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sz w:val="48"/>
          <w:szCs w:val="48"/>
        </w:rPr>
      </w:pPr>
      <w:bookmarkStart w:id="0" w:name="_Toc248327046"/>
    </w:p>
    <w:p>
      <w:pPr>
        <w:jc w:val="center"/>
        <w:rPr>
          <w:rFonts w:hint="eastAsia" w:ascii="黑体" w:hAnsi="黑体" w:eastAsia="黑体"/>
          <w:b/>
          <w:sz w:val="48"/>
          <w:szCs w:val="48"/>
        </w:rPr>
      </w:pP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val="0"/>
          <w:bCs/>
          <w:color w:val="auto"/>
          <w:sz w:val="48"/>
          <w:szCs w:val="48"/>
          <w:highlight w:val="none"/>
        </w:rPr>
      </w:pPr>
      <w:bookmarkStart w:id="1" w:name="OLE_LINK2"/>
      <w:r>
        <w:rPr>
          <w:rFonts w:hint="eastAsia" w:ascii="黑体" w:hAnsi="黑体" w:eastAsia="黑体" w:cs="黑体"/>
          <w:b w:val="0"/>
          <w:bCs/>
          <w:color w:val="auto"/>
          <w:position w:val="20"/>
          <w:sz w:val="48"/>
          <w:szCs w:val="48"/>
          <w:highlight w:val="none"/>
          <w:u w:val="none"/>
        </w:rPr>
        <w:t>肥东县</w:t>
      </w:r>
      <w:r>
        <w:rPr>
          <w:rFonts w:hint="eastAsia" w:ascii="黑体" w:hAnsi="黑体" w:eastAsia="黑体" w:cs="黑体"/>
          <w:b w:val="0"/>
          <w:bCs/>
          <w:color w:val="auto"/>
          <w:position w:val="20"/>
          <w:sz w:val="48"/>
          <w:szCs w:val="48"/>
          <w:highlight w:val="none"/>
          <w:u w:val="none"/>
          <w:lang w:val="en-US" w:eastAsia="zh-CN"/>
        </w:rPr>
        <w:t>白龙</w:t>
      </w:r>
      <w:r>
        <w:rPr>
          <w:rFonts w:hint="eastAsia" w:ascii="黑体" w:hAnsi="黑体" w:eastAsia="黑体" w:cs="黑体"/>
          <w:b w:val="0"/>
          <w:bCs/>
          <w:color w:val="auto"/>
          <w:position w:val="20"/>
          <w:sz w:val="48"/>
          <w:szCs w:val="48"/>
          <w:highlight w:val="none"/>
          <w:u w:val="none"/>
        </w:rPr>
        <w:t>学</w:t>
      </w:r>
      <w:r>
        <w:rPr>
          <w:rFonts w:hint="eastAsia" w:ascii="黑体" w:hAnsi="黑体" w:eastAsia="黑体" w:cs="黑体"/>
          <w:b w:val="0"/>
          <w:bCs/>
          <w:color w:val="auto"/>
          <w:position w:val="20"/>
          <w:sz w:val="48"/>
          <w:szCs w:val="48"/>
          <w:highlight w:val="none"/>
          <w:u w:val="none"/>
          <w:lang w:val="en-US" w:eastAsia="zh-CN"/>
        </w:rPr>
        <w:t>校</w:t>
      </w:r>
      <w:r>
        <w:rPr>
          <w:rFonts w:hint="eastAsia" w:ascii="黑体" w:hAnsi="黑体" w:eastAsia="黑体" w:cs="黑体"/>
          <w:b w:val="0"/>
          <w:bCs/>
          <w:color w:val="auto"/>
          <w:position w:val="20"/>
          <w:sz w:val="48"/>
          <w:szCs w:val="48"/>
          <w:highlight w:val="none"/>
          <w:u w:val="none"/>
        </w:rPr>
        <w:t>中心幼儿园电力升级改造项目招标采购</w:t>
      </w:r>
    </w:p>
    <w:bookmarkEnd w:id="1"/>
    <w:p>
      <w:pPr>
        <w:spacing w:line="360" w:lineRule="auto"/>
        <w:jc w:val="center"/>
        <w:rPr>
          <w:rFonts w:ascii="宋体"/>
          <w:b/>
          <w:sz w:val="48"/>
          <w:szCs w:val="48"/>
        </w:rPr>
      </w:pPr>
    </w:p>
    <w:p>
      <w:pPr>
        <w:spacing w:line="360" w:lineRule="auto"/>
        <w:jc w:val="center"/>
        <w:rPr>
          <w:rFonts w:ascii="宋体"/>
          <w:b/>
          <w:sz w:val="48"/>
          <w:szCs w:val="48"/>
        </w:rPr>
      </w:pPr>
    </w:p>
    <w:p>
      <w:pPr>
        <w:spacing w:line="360" w:lineRule="auto"/>
        <w:jc w:val="center"/>
        <w:rPr>
          <w:rFonts w:hint="eastAsia" w:ascii="宋体" w:hAnsi="宋体" w:eastAsia="宋体"/>
          <w:b/>
          <w:color w:val="0000FF"/>
          <w:sz w:val="44"/>
          <w:highlight w:val="none"/>
          <w:u w:val="none"/>
          <w:lang w:eastAsia="zh-CN"/>
        </w:rPr>
      </w:pPr>
      <w:r>
        <w:rPr>
          <w:rFonts w:hint="eastAsia" w:ascii="宋体" w:hAnsi="宋体" w:eastAsia="宋体"/>
          <w:b/>
          <w:color w:val="0000FF"/>
          <w:sz w:val="44"/>
          <w:highlight w:val="none"/>
          <w:u w:val="none"/>
          <w:lang w:eastAsia="zh-CN"/>
        </w:rPr>
        <w:t>电缆接线端子（含双孔）</w:t>
      </w:r>
    </w:p>
    <w:p>
      <w:pPr>
        <w:spacing w:line="360" w:lineRule="auto"/>
        <w:jc w:val="center"/>
        <w:rPr>
          <w:rFonts w:hint="eastAsia" w:ascii="宋体" w:hAnsi="宋体"/>
          <w:b/>
          <w:sz w:val="48"/>
          <w:szCs w:val="48"/>
        </w:rPr>
      </w:pPr>
    </w:p>
    <w:p>
      <w:pPr>
        <w:spacing w:line="360" w:lineRule="auto"/>
        <w:jc w:val="center"/>
        <w:rPr>
          <w:rFonts w:ascii="方正小标宋简体" w:eastAsia="方正小标宋简体"/>
          <w:sz w:val="72"/>
          <w:szCs w:val="72"/>
        </w:rPr>
      </w:pPr>
      <w:bookmarkStart w:id="2" w:name="_GoBack"/>
      <w:bookmarkEnd w:id="2"/>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黑体" w:hAnsi="黑体" w:eastAsia="黑体" w:cs="黑体"/>
          <w:b w:val="0"/>
          <w:bCs/>
          <w:color w:val="auto"/>
          <w:sz w:val="52"/>
          <w:szCs w:val="52"/>
          <w:highlight w:val="none"/>
          <w:u w:val="none"/>
          <w:lang w:val="en-US" w:eastAsia="zh-CN"/>
        </w:rPr>
      </w:pPr>
      <w:r>
        <w:rPr>
          <w:rFonts w:hint="eastAsia" w:ascii="黑体" w:hAnsi="黑体" w:eastAsia="黑体" w:cs="黑体"/>
          <w:b w:val="0"/>
          <w:bCs/>
          <w:color w:val="auto"/>
          <w:sz w:val="52"/>
          <w:szCs w:val="52"/>
          <w:highlight w:val="none"/>
          <w:u w:val="none"/>
          <w:lang w:val="en-US" w:eastAsia="zh-CN"/>
        </w:rPr>
        <w:t>招标文件</w:t>
      </w:r>
    </w:p>
    <w:p>
      <w:pPr>
        <w:widowControl/>
        <w:spacing w:after="200" w:line="360" w:lineRule="auto"/>
        <w:ind w:firstLine="260" w:firstLineChars="50"/>
        <w:jc w:val="center"/>
        <w:rPr>
          <w:rFonts w:hint="eastAsia" w:ascii="宋体" w:hAnsi="宋体"/>
          <w:b/>
          <w:kern w:val="0"/>
          <w:sz w:val="52"/>
          <w:szCs w:val="22"/>
        </w:rPr>
      </w:pPr>
      <w:r>
        <w:rPr>
          <w:rFonts w:hint="eastAsia" w:ascii="黑体" w:hAnsi="黑体" w:eastAsia="黑体" w:cs="黑体"/>
          <w:b w:val="0"/>
          <w:bCs/>
          <w:color w:val="auto"/>
          <w:sz w:val="52"/>
          <w:szCs w:val="52"/>
          <w:highlight w:val="none"/>
          <w:u w:val="none"/>
          <w:lang w:val="en-US" w:eastAsia="zh-CN"/>
        </w:rPr>
        <w:t>（技术规范）</w:t>
      </w:r>
    </w:p>
    <w:p>
      <w:pPr>
        <w:spacing w:line="360" w:lineRule="auto"/>
        <w:jc w:val="center"/>
        <w:rPr>
          <w:rFonts w:ascii="宋体" w:hAnsi="宋体"/>
          <w:b/>
          <w:sz w:val="52"/>
        </w:rPr>
      </w:pPr>
    </w:p>
    <w:p>
      <w:pPr>
        <w:spacing w:line="360" w:lineRule="auto"/>
        <w:jc w:val="center"/>
        <w:rPr>
          <w:rFonts w:hint="eastAsia" w:ascii="宋体" w:hAnsi="宋体"/>
          <w:b/>
          <w:sz w:val="52"/>
        </w:rPr>
      </w:pPr>
    </w:p>
    <w:p>
      <w:pPr>
        <w:spacing w:line="360" w:lineRule="auto"/>
        <w:jc w:val="center"/>
        <w:rPr>
          <w:rFonts w:hint="eastAsia" w:ascii="宋体" w:hAnsi="宋体"/>
          <w:b/>
          <w:sz w:val="52"/>
        </w:rPr>
      </w:pPr>
    </w:p>
    <w:p>
      <w:pPr>
        <w:spacing w:line="360" w:lineRule="auto"/>
        <w:jc w:val="center"/>
        <w:rPr>
          <w:rFonts w:ascii="宋体" w:hAnsi="宋体"/>
          <w:b/>
          <w:sz w:val="52"/>
        </w:rPr>
      </w:pPr>
    </w:p>
    <w:p>
      <w:pPr>
        <w:spacing w:line="360" w:lineRule="auto"/>
        <w:jc w:val="center"/>
        <w:rPr>
          <w:rFonts w:hint="eastAsia" w:ascii="黑体" w:hAnsi="黑体" w:eastAsia="黑体"/>
          <w:sz w:val="28"/>
        </w:rPr>
      </w:pPr>
      <w:r>
        <w:rPr>
          <w:rFonts w:ascii="黑体" w:hAnsi="黑体" w:eastAsia="黑体"/>
          <w:sz w:val="28"/>
        </w:rPr>
        <w:br w:type="page"/>
      </w:r>
    </w:p>
    <w:bookmarkEnd w:id="0"/>
    <w:p>
      <w:pPr>
        <w:jc w:val="center"/>
        <w:rPr>
          <w:rFonts w:hint="eastAsia" w:ascii="宋体" w:hAnsi="宋体" w:eastAsia="宋体" w:cs="宋体"/>
          <w:b/>
          <w:sz w:val="32"/>
          <w:szCs w:val="32"/>
        </w:rPr>
      </w:pPr>
      <w:r>
        <w:rPr>
          <w:rFonts w:hint="eastAsia" w:ascii="宋体" w:hAnsi="宋体" w:eastAsia="宋体" w:cs="宋体"/>
          <w:b/>
          <w:sz w:val="32"/>
          <w:szCs w:val="32"/>
        </w:rPr>
        <w:t>电缆接线端子技术规范书</w:t>
      </w:r>
    </w:p>
    <w:p>
      <w:pPr>
        <w:rPr>
          <w:rFonts w:hint="eastAsia" w:ascii="宋体" w:hAnsi="宋体" w:eastAsia="宋体" w:cs="宋体"/>
        </w:rPr>
      </w:pPr>
    </w:p>
    <w:p>
      <w:pPr>
        <w:rPr>
          <w:rFonts w:hint="eastAsia" w:ascii="宋体" w:hAnsi="宋体" w:eastAsia="宋体" w:cs="宋体"/>
          <w:sz w:val="24"/>
          <w:szCs w:val="24"/>
        </w:rPr>
      </w:pPr>
      <w:r>
        <w:rPr>
          <w:rFonts w:hint="eastAsia" w:ascii="宋体" w:hAnsi="宋体" w:eastAsia="宋体" w:cs="宋体"/>
          <w:sz w:val="24"/>
          <w:szCs w:val="24"/>
        </w:rPr>
        <w:t>1范围</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本标准规定了 35 kV（um =40 . 5 kV)及以下电力电缆导体用压接型铜 、铝及铜铝过渡接线端子和 铜 、铝连接管的型号 、规格 、技术要求 、试验 、检验规则 、包装及贮运 。</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本标准适用于 35 kV（um =40 . 5 kV)及以下电力电缆导体用压接型铜 、铝及铜铝过渡接线端子和 铜 、铝连接管 。适用铜导体截面范围为(10 ~ 630) mm2 、铝导体截面范围为(16 ~ 630)mm2  ,对固定敷设 用的其他电线电缆亦可参照采用 。 </w:t>
      </w:r>
    </w:p>
    <w:p>
      <w:pPr>
        <w:rPr>
          <w:rFonts w:hint="eastAsia" w:ascii="宋体" w:hAnsi="宋体" w:eastAsia="宋体" w:cs="宋体"/>
          <w:sz w:val="24"/>
          <w:szCs w:val="24"/>
        </w:rPr>
      </w:pPr>
      <w:r>
        <w:rPr>
          <w:rFonts w:hint="eastAsia" w:ascii="宋体" w:hAnsi="宋体" w:eastAsia="宋体" w:cs="宋体"/>
          <w:sz w:val="24"/>
          <w:szCs w:val="24"/>
        </w:rPr>
        <w:t>2引用标淮</w:t>
      </w:r>
    </w:p>
    <w:p>
      <w:pPr>
        <w:rPr>
          <w:rFonts w:hint="eastAsia" w:ascii="宋体" w:hAnsi="宋体" w:eastAsia="宋体" w:cs="宋体"/>
          <w:sz w:val="24"/>
          <w:szCs w:val="24"/>
        </w:rPr>
      </w:pPr>
      <w:r>
        <w:rPr>
          <w:rFonts w:hint="eastAsia" w:ascii="宋体" w:hAnsi="宋体" w:eastAsia="宋体" w:cs="宋体"/>
          <w:sz w:val="24"/>
          <w:szCs w:val="24"/>
        </w:rPr>
        <w:t xml:space="preserve"> </w:t>
      </w:r>
    </w:p>
    <w:p>
      <w:pPr>
        <w:rPr>
          <w:rFonts w:hint="eastAsia" w:ascii="宋体" w:hAnsi="宋体" w:eastAsia="宋体" w:cs="宋体"/>
          <w:sz w:val="24"/>
          <w:szCs w:val="24"/>
        </w:rPr>
      </w:pPr>
      <w:r>
        <w:rPr>
          <w:rFonts w:hint="eastAsia" w:ascii="宋体" w:hAnsi="宋体" w:eastAsia="宋体" w:cs="宋体"/>
          <w:sz w:val="24"/>
          <w:szCs w:val="24"/>
        </w:rPr>
        <w:t>GB 1184 形状和位置公差未注公差的规定</w:t>
      </w:r>
    </w:p>
    <w:p>
      <w:pPr>
        <w:rPr>
          <w:rFonts w:hint="eastAsia" w:ascii="宋体" w:hAnsi="宋体" w:eastAsia="宋体" w:cs="宋体"/>
          <w:sz w:val="24"/>
          <w:szCs w:val="24"/>
        </w:rPr>
      </w:pPr>
      <w:r>
        <w:rPr>
          <w:rFonts w:hint="eastAsia" w:ascii="宋体" w:hAnsi="宋体" w:eastAsia="宋体" w:cs="宋体"/>
          <w:sz w:val="24"/>
          <w:szCs w:val="24"/>
        </w:rPr>
        <w:t>GB 1527 拉制铜管</w:t>
      </w:r>
    </w:p>
    <w:p>
      <w:pPr>
        <w:rPr>
          <w:rFonts w:hint="eastAsia" w:ascii="宋体" w:hAnsi="宋体" w:eastAsia="宋体" w:cs="宋体"/>
          <w:sz w:val="24"/>
          <w:szCs w:val="24"/>
        </w:rPr>
      </w:pPr>
      <w:r>
        <w:rPr>
          <w:rFonts w:hint="eastAsia" w:ascii="宋体" w:hAnsi="宋体" w:eastAsia="宋体" w:cs="宋体"/>
          <w:sz w:val="24"/>
          <w:szCs w:val="24"/>
        </w:rPr>
        <w:t>GB 1800公差与配合总论标准公差与基本偏差</w:t>
      </w:r>
    </w:p>
    <w:p>
      <w:pPr>
        <w:rPr>
          <w:rFonts w:hint="eastAsia" w:ascii="宋体" w:hAnsi="宋体" w:eastAsia="宋体" w:cs="宋体"/>
          <w:sz w:val="24"/>
          <w:szCs w:val="24"/>
        </w:rPr>
      </w:pPr>
      <w:r>
        <w:rPr>
          <w:rFonts w:hint="eastAsia" w:ascii="宋体" w:hAnsi="宋体" w:eastAsia="宋体" w:cs="宋体"/>
          <w:sz w:val="24"/>
          <w:szCs w:val="24"/>
        </w:rPr>
        <w:t>GB 1958形状和位置公差检测规定</w:t>
      </w:r>
    </w:p>
    <w:p>
      <w:pPr>
        <w:rPr>
          <w:rFonts w:hint="eastAsia" w:ascii="宋体" w:hAnsi="宋体" w:eastAsia="宋体" w:cs="宋体"/>
          <w:sz w:val="24"/>
          <w:szCs w:val="24"/>
        </w:rPr>
      </w:pPr>
      <w:r>
        <w:rPr>
          <w:rFonts w:hint="eastAsia" w:ascii="宋体" w:hAnsi="宋体" w:eastAsia="宋体" w:cs="宋体"/>
          <w:sz w:val="24"/>
          <w:szCs w:val="24"/>
        </w:rPr>
        <w:t>GB 3190铝及铝合金加工产品的化学成分</w:t>
      </w:r>
    </w:p>
    <w:p>
      <w:pPr>
        <w:rPr>
          <w:rFonts w:hint="eastAsia" w:ascii="宋体" w:hAnsi="宋体" w:eastAsia="宋体" w:cs="宋体"/>
          <w:sz w:val="24"/>
          <w:szCs w:val="24"/>
        </w:rPr>
      </w:pPr>
      <w:r>
        <w:rPr>
          <w:rFonts w:hint="eastAsia" w:ascii="宋体" w:hAnsi="宋体" w:eastAsia="宋体" w:cs="宋体"/>
          <w:sz w:val="24"/>
          <w:szCs w:val="24"/>
        </w:rPr>
        <w:t>GB 3191铝及铝合金挤压棒材</w:t>
      </w:r>
    </w:p>
    <w:p>
      <w:pPr>
        <w:rPr>
          <w:rFonts w:hint="eastAsia" w:ascii="宋体" w:hAnsi="宋体" w:eastAsia="宋体" w:cs="宋体"/>
          <w:sz w:val="24"/>
          <w:szCs w:val="24"/>
        </w:rPr>
      </w:pPr>
      <w:r>
        <w:rPr>
          <w:rFonts w:hint="eastAsia" w:ascii="宋体" w:hAnsi="宋体" w:eastAsia="宋体" w:cs="宋体"/>
          <w:sz w:val="24"/>
          <w:szCs w:val="24"/>
        </w:rPr>
        <w:t>GB 3956电气装备电线电缆铜、铝导电线芯</w:t>
      </w:r>
    </w:p>
    <w:p>
      <w:pPr>
        <w:rPr>
          <w:rFonts w:hint="eastAsia" w:ascii="宋体" w:hAnsi="宋体" w:eastAsia="宋体" w:cs="宋体"/>
          <w:sz w:val="24"/>
          <w:szCs w:val="24"/>
        </w:rPr>
      </w:pPr>
      <w:r>
        <w:rPr>
          <w:rFonts w:hint="eastAsia" w:ascii="宋体" w:hAnsi="宋体" w:eastAsia="宋体" w:cs="宋体"/>
          <w:sz w:val="24"/>
          <w:szCs w:val="24"/>
        </w:rPr>
        <w:t>GB 3957电力电缆铜、铝导电线芯</w:t>
      </w:r>
    </w:p>
    <w:p>
      <w:pPr>
        <w:rPr>
          <w:rFonts w:hint="eastAsia" w:ascii="宋体" w:hAnsi="宋体" w:eastAsia="宋体" w:cs="宋体"/>
          <w:sz w:val="24"/>
          <w:szCs w:val="24"/>
        </w:rPr>
      </w:pPr>
      <w:r>
        <w:rPr>
          <w:rFonts w:hint="eastAsia" w:ascii="宋体" w:hAnsi="宋体" w:eastAsia="宋体" w:cs="宋体"/>
          <w:sz w:val="24"/>
          <w:szCs w:val="24"/>
        </w:rPr>
        <w:t>GB 4423纯铜棒</w:t>
      </w:r>
    </w:p>
    <w:p>
      <w:pPr>
        <w:rPr>
          <w:rFonts w:hint="eastAsia" w:ascii="宋体" w:hAnsi="宋体" w:eastAsia="宋体" w:cs="宋体"/>
          <w:sz w:val="24"/>
          <w:szCs w:val="24"/>
        </w:rPr>
      </w:pPr>
      <w:r>
        <w:rPr>
          <w:rFonts w:hint="eastAsia" w:ascii="宋体" w:hAnsi="宋体" w:eastAsia="宋体" w:cs="宋体"/>
          <w:sz w:val="24"/>
          <w:szCs w:val="24"/>
        </w:rPr>
        <w:t>GB 5231加工铜化学成分和产品形状</w:t>
      </w:r>
    </w:p>
    <w:p>
      <w:pPr>
        <w:rPr>
          <w:rFonts w:hint="eastAsia" w:ascii="宋体" w:hAnsi="宋体" w:eastAsia="宋体" w:cs="宋体"/>
          <w:sz w:val="24"/>
          <w:szCs w:val="24"/>
        </w:rPr>
      </w:pPr>
      <w:r>
        <w:rPr>
          <w:rFonts w:hint="eastAsia" w:ascii="宋体" w:hAnsi="宋体" w:eastAsia="宋体" w:cs="宋体"/>
          <w:sz w:val="24"/>
          <w:szCs w:val="24"/>
        </w:rPr>
        <w:t>GB 5277紧固件螺栓和螺钉通孔</w:t>
      </w:r>
    </w:p>
    <w:p>
      <w:pPr>
        <w:rPr>
          <w:rFonts w:hint="eastAsia" w:ascii="宋体" w:hAnsi="宋体" w:eastAsia="宋体" w:cs="宋体"/>
          <w:sz w:val="24"/>
          <w:szCs w:val="24"/>
        </w:rPr>
      </w:pPr>
      <w:r>
        <w:rPr>
          <w:rFonts w:hint="eastAsia" w:ascii="宋体" w:hAnsi="宋体" w:eastAsia="宋体" w:cs="宋体"/>
          <w:sz w:val="24"/>
          <w:szCs w:val="24"/>
        </w:rPr>
        <w:t>GB 9327电缆导体压缩和机械连接接头试验方法</w:t>
      </w:r>
    </w:p>
    <w:p>
      <w:pPr>
        <w:rPr>
          <w:rFonts w:hint="eastAsia" w:ascii="宋体" w:hAnsi="宋体" w:eastAsia="宋体" w:cs="宋体"/>
          <w:sz w:val="24"/>
          <w:szCs w:val="24"/>
        </w:rPr>
      </w:pPr>
      <w:r>
        <w:rPr>
          <w:rFonts w:hint="eastAsia" w:ascii="宋体" w:hAnsi="宋体" w:eastAsia="宋体" w:cs="宋体"/>
          <w:sz w:val="24"/>
          <w:szCs w:val="24"/>
        </w:rPr>
        <w:t xml:space="preserve">  </w:t>
      </w:r>
    </w:p>
    <w:p>
      <w:pPr>
        <w:rPr>
          <w:rFonts w:hint="eastAsia" w:ascii="宋体" w:hAnsi="宋体" w:eastAsia="宋体" w:cs="宋体"/>
          <w:sz w:val="24"/>
          <w:szCs w:val="24"/>
        </w:rPr>
      </w:pPr>
      <w:r>
        <w:rPr>
          <w:rFonts w:hint="eastAsia" w:ascii="宋体" w:hAnsi="宋体" w:eastAsia="宋体" w:cs="宋体"/>
          <w:sz w:val="24"/>
          <w:szCs w:val="24"/>
        </w:rPr>
        <w:t>3术语</w:t>
      </w:r>
    </w:p>
    <w:p>
      <w:pPr>
        <w:rPr>
          <w:rFonts w:hint="eastAsia" w:ascii="宋体" w:hAnsi="宋体" w:eastAsia="宋体" w:cs="宋体"/>
          <w:sz w:val="24"/>
          <w:szCs w:val="24"/>
        </w:rPr>
      </w:pPr>
      <w:r>
        <w:rPr>
          <w:rFonts w:hint="eastAsia" w:ascii="宋体" w:hAnsi="宋体" w:eastAsia="宋体" w:cs="宋体"/>
          <w:sz w:val="24"/>
          <w:szCs w:val="24"/>
        </w:rPr>
        <w:t>3. 1压接型接线端子</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用压接方式使电缆末端导体与用电装置连接的导电金具，通常它与电缆末端导体连接的一端为管状，与用电装置连接的另一端为特定形状的平板。</w:t>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3.2压接型连接管</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用压接方式将邻近两根及以上的电缆导体在线路中间相互连接用的管状导电金具。</w:t>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3.3 铜铝过渡接线端子</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由铜铝两种金属用焊接或其他工艺加工而成的接线端子，用于连接由这两种金属组成的导电部件</w:t>
      </w:r>
    </w:p>
    <w:p>
      <w:pPr>
        <w:ind w:firstLine="480" w:firstLineChars="200"/>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 xml:space="preserve">4产品标记和代号 </w:t>
      </w:r>
    </w:p>
    <w:p>
      <w:pPr>
        <w:rPr>
          <w:rFonts w:hint="eastAsia" w:ascii="宋体" w:hAnsi="宋体" w:eastAsia="宋体" w:cs="宋体"/>
          <w:sz w:val="24"/>
          <w:szCs w:val="24"/>
        </w:rPr>
      </w:pPr>
      <w:r>
        <w:rPr>
          <w:rFonts w:hint="eastAsia" w:ascii="宋体" w:hAnsi="宋体" w:eastAsia="宋体" w:cs="宋体"/>
          <w:sz w:val="24"/>
          <w:szCs w:val="24"/>
        </w:rPr>
        <w:t>4.1代号</w:t>
      </w:r>
    </w:p>
    <w:p>
      <w:pPr>
        <w:rPr>
          <w:rFonts w:hint="eastAsia" w:ascii="宋体" w:hAnsi="宋体" w:eastAsia="宋体" w:cs="宋体"/>
          <w:sz w:val="24"/>
          <w:szCs w:val="24"/>
        </w:rPr>
      </w:pPr>
      <w:r>
        <w:rPr>
          <w:rFonts w:hint="eastAsia" w:ascii="宋体" w:hAnsi="宋体" w:eastAsia="宋体" w:cs="宋体"/>
          <w:sz w:val="24"/>
          <w:szCs w:val="24"/>
        </w:rPr>
        <w:t>4.1.1按系列分</w:t>
      </w:r>
    </w:p>
    <w:p>
      <w:pPr>
        <w:rPr>
          <w:rFonts w:hint="eastAsia" w:ascii="宋体" w:hAnsi="宋体" w:eastAsia="宋体" w:cs="宋体"/>
          <w:sz w:val="24"/>
          <w:szCs w:val="24"/>
        </w:rPr>
      </w:pPr>
      <w:r>
        <w:rPr>
          <w:rFonts w:hint="eastAsia" w:ascii="宋体" w:hAnsi="宋体" w:eastAsia="宋体" w:cs="宋体"/>
          <w:sz w:val="24"/>
          <w:szCs w:val="24"/>
        </w:rPr>
        <w:t>压接型接线端子••••••••••••••••••••••••••••••••D</w:t>
      </w:r>
    </w:p>
    <w:p>
      <w:pPr>
        <w:rPr>
          <w:rFonts w:hint="eastAsia" w:ascii="宋体" w:hAnsi="宋体" w:eastAsia="宋体" w:cs="宋体"/>
          <w:sz w:val="24"/>
          <w:szCs w:val="24"/>
        </w:rPr>
      </w:pPr>
      <w:r>
        <w:rPr>
          <w:rFonts w:hint="eastAsia" w:ascii="宋体" w:hAnsi="宋体" w:eastAsia="宋体" w:cs="宋体"/>
          <w:sz w:val="24"/>
          <w:szCs w:val="24"/>
        </w:rPr>
        <w:t>压接型连接管••••••••••••••••••••••••••••••••••G</w:t>
      </w:r>
    </w:p>
    <w:p>
      <w:pPr>
        <w:rPr>
          <w:rFonts w:hint="eastAsia" w:ascii="宋体" w:hAnsi="宋体" w:eastAsia="宋体" w:cs="宋体"/>
          <w:sz w:val="24"/>
          <w:szCs w:val="24"/>
        </w:rPr>
      </w:pPr>
      <w:r>
        <w:rPr>
          <w:rFonts w:hint="eastAsia" w:ascii="宋体" w:hAnsi="宋体" w:eastAsia="宋体" w:cs="宋体"/>
          <w:sz w:val="24"/>
          <w:szCs w:val="24"/>
        </w:rPr>
        <w:t>4.1.2按材料特征分</w:t>
      </w:r>
    </w:p>
    <w:p>
      <w:pPr>
        <w:rPr>
          <w:rFonts w:hint="eastAsia" w:ascii="宋体" w:hAnsi="宋体" w:eastAsia="宋体" w:cs="宋体"/>
          <w:sz w:val="24"/>
          <w:szCs w:val="24"/>
        </w:rPr>
      </w:pPr>
      <w:r>
        <w:rPr>
          <w:rFonts w:hint="eastAsia" w:ascii="宋体" w:hAnsi="宋体" w:eastAsia="宋体" w:cs="宋体"/>
          <w:sz w:val="24"/>
          <w:szCs w:val="24"/>
        </w:rPr>
        <w:t>铜 •••••••••••••••••••••••••••••••••••••••••• T</w:t>
      </w:r>
    </w:p>
    <w:p>
      <w:pPr>
        <w:rPr>
          <w:rFonts w:hint="eastAsia" w:ascii="宋体" w:hAnsi="宋体" w:eastAsia="宋体" w:cs="宋体"/>
          <w:sz w:val="24"/>
          <w:szCs w:val="24"/>
        </w:rPr>
      </w:pPr>
      <w:r>
        <w:rPr>
          <w:rFonts w:hint="eastAsia" w:ascii="宋体" w:hAnsi="宋体" w:eastAsia="宋体" w:cs="宋体"/>
          <w:sz w:val="24"/>
          <w:szCs w:val="24"/>
        </w:rPr>
        <w:t>铝 •••••••••••••••••••••••••••••••••••••••••• L</w:t>
      </w:r>
    </w:p>
    <w:p>
      <w:pPr>
        <w:rPr>
          <w:rFonts w:hint="eastAsia" w:ascii="宋体" w:hAnsi="宋体" w:eastAsia="宋体" w:cs="宋体"/>
          <w:sz w:val="24"/>
          <w:szCs w:val="24"/>
        </w:rPr>
      </w:pPr>
      <w:r>
        <w:rPr>
          <w:rFonts w:hint="eastAsia" w:ascii="宋体" w:hAnsi="宋体" w:eastAsia="宋体" w:cs="宋体"/>
          <w:sz w:val="24"/>
          <w:szCs w:val="24"/>
        </w:rPr>
        <w:t>铜铝过渡•••••••••••••••••••••••••••••••••••• TL</w:t>
      </w:r>
    </w:p>
    <w:p>
      <w:pPr>
        <w:rPr>
          <w:rFonts w:hint="eastAsia" w:ascii="宋体" w:hAnsi="宋体" w:eastAsia="宋体" w:cs="宋体"/>
          <w:sz w:val="24"/>
          <w:szCs w:val="24"/>
        </w:rPr>
      </w:pPr>
      <w:r>
        <w:rPr>
          <w:rFonts w:hint="eastAsia" w:ascii="宋体" w:hAnsi="宋体" w:eastAsia="宋体" w:cs="宋体"/>
          <w:sz w:val="24"/>
          <w:szCs w:val="24"/>
        </w:rPr>
        <w:t>4.1.3按结构特征分</w:t>
      </w:r>
    </w:p>
    <w:p>
      <w:pPr>
        <w:rPr>
          <w:rFonts w:hint="eastAsia" w:ascii="宋体" w:hAnsi="宋体" w:eastAsia="宋体" w:cs="宋体"/>
          <w:sz w:val="24"/>
          <w:szCs w:val="24"/>
        </w:rPr>
      </w:pPr>
      <w:r>
        <w:rPr>
          <w:rFonts w:hint="eastAsia" w:ascii="宋体" w:hAnsi="宋体" w:eastAsia="宋体" w:cs="宋体"/>
          <w:sz w:val="24"/>
          <w:szCs w:val="24"/>
        </w:rPr>
        <w:t>堵油、密封式•••••••••••••••••••••••••••••••• M</w:t>
      </w:r>
    </w:p>
    <w:p>
      <w:pPr>
        <w:rPr>
          <w:rFonts w:hint="eastAsia" w:ascii="宋体" w:hAnsi="宋体" w:eastAsia="宋体" w:cs="宋体"/>
          <w:sz w:val="24"/>
          <w:szCs w:val="24"/>
        </w:rPr>
      </w:pPr>
      <w:r>
        <w:rPr>
          <w:rFonts w:hint="eastAsia" w:ascii="宋体" w:hAnsi="宋体" w:eastAsia="宋体" w:cs="宋体"/>
          <w:sz w:val="24"/>
          <w:szCs w:val="24"/>
        </w:rPr>
        <w:t>直通式或非堵油、非密封式•••••（省略）</w:t>
      </w:r>
    </w:p>
    <w:p>
      <w:pPr>
        <w:rPr>
          <w:rFonts w:hint="eastAsia" w:ascii="宋体" w:hAnsi="宋体" w:eastAsia="宋体" w:cs="宋体"/>
          <w:sz w:val="24"/>
          <w:szCs w:val="24"/>
        </w:rPr>
      </w:pPr>
      <w:r>
        <w:rPr>
          <w:rFonts w:hint="eastAsia" w:ascii="宋体" w:hAnsi="宋体" w:eastAsia="宋体" w:cs="宋体"/>
          <w:sz w:val="24"/>
          <w:szCs w:val="24"/>
        </w:rPr>
        <w:t>4.2产品表示方法</w:t>
      </w:r>
    </w:p>
    <w:p>
      <w:pPr>
        <w:rPr>
          <w:rFonts w:hint="eastAsia" w:ascii="宋体" w:hAnsi="宋体" w:eastAsia="宋体" w:cs="宋体"/>
          <w:sz w:val="24"/>
          <w:szCs w:val="24"/>
        </w:rPr>
      </w:pPr>
      <w:r>
        <w:rPr>
          <w:rFonts w:hint="eastAsia" w:ascii="宋体" w:hAnsi="宋体" w:eastAsia="宋体" w:cs="宋体"/>
          <w:sz w:val="24"/>
          <w:szCs w:val="24"/>
        </w:rPr>
        <w:t>4.2.1产品型号由产品类型、材料特征及结构特征的代号组成。产品用型号、规格、螺栓直径（如果有的话）表示，其构成示意如下：</w:t>
      </w:r>
    </w:p>
    <w:p>
      <w:pPr>
        <w:rPr>
          <w:rFonts w:hint="eastAsia" w:ascii="宋体" w:hAnsi="宋体" w:eastAsia="宋体" w:cs="宋体"/>
          <w:sz w:val="24"/>
          <w:szCs w:val="24"/>
        </w:rPr>
      </w:pPr>
      <w:r>
        <w:rPr>
          <w:rFonts w:hint="eastAsia" w:ascii="宋体" w:hAnsi="宋体" w:eastAsia="宋体" w:cs="宋体"/>
          <w:sz w:val="24"/>
          <w:szCs w:val="24"/>
        </w:rPr>
        <w:t>a. 接线端子</w:t>
      </w:r>
    </w:p>
    <w:p>
      <w:pPr>
        <w:rPr>
          <w:rFonts w:hint="eastAsia" w:ascii="宋体" w:hAnsi="宋体" w:eastAsia="宋体" w:cs="宋体"/>
          <w:sz w:val="24"/>
          <w:szCs w:val="24"/>
        </w:rPr>
      </w:pPr>
      <w:r>
        <w:rPr>
          <w:rFonts w:hint="eastAsia" w:ascii="宋体" w:hAnsi="宋体" w:eastAsia="宋体" w:cs="宋体"/>
          <w:kern w:val="0"/>
          <w:sz w:val="24"/>
          <w:szCs w:val="24"/>
        </w:rPr>
        <w:drawing>
          <wp:inline distT="0" distB="0" distL="114300" distR="114300">
            <wp:extent cx="3876675" cy="1933575"/>
            <wp:effectExtent l="0" t="0" r="9525" b="1905"/>
            <wp:docPr id="1"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4"/>
                    <pic:cNvPicPr>
                      <a:picLocks noChangeAspect="1"/>
                    </pic:cNvPicPr>
                  </pic:nvPicPr>
                  <pic:blipFill>
                    <a:blip r:embed="rId4"/>
                    <a:stretch>
                      <a:fillRect/>
                    </a:stretch>
                  </pic:blipFill>
                  <pic:spPr>
                    <a:xfrm>
                      <a:off x="0" y="0"/>
                      <a:ext cx="3876675" cy="1933575"/>
                    </a:xfrm>
                    <a:prstGeom prst="rect">
                      <a:avLst/>
                    </a:prstGeom>
                    <a:noFill/>
                    <a:ln>
                      <a:noFill/>
                    </a:ln>
                  </pic:spPr>
                </pic:pic>
              </a:graphicData>
            </a:graphic>
          </wp:inline>
        </w:drawing>
      </w:r>
    </w:p>
    <w:p>
      <w:pPr>
        <w:rPr>
          <w:rFonts w:hint="eastAsia" w:ascii="宋体" w:hAnsi="宋体" w:eastAsia="宋体" w:cs="宋体"/>
          <w:sz w:val="24"/>
          <w:szCs w:val="24"/>
        </w:rPr>
      </w:pPr>
      <w:r>
        <w:rPr>
          <w:rFonts w:hint="eastAsia" w:ascii="宋体" w:hAnsi="宋体" w:eastAsia="宋体" w:cs="宋体"/>
          <w:sz w:val="24"/>
          <w:szCs w:val="24"/>
        </w:rPr>
        <w:t>b 连接管</w:t>
      </w:r>
    </w:p>
    <w:p>
      <w:pPr>
        <w:rPr>
          <w:rFonts w:hint="eastAsia" w:ascii="宋体" w:hAnsi="宋体" w:eastAsia="宋体" w:cs="宋体"/>
          <w:sz w:val="24"/>
          <w:szCs w:val="24"/>
        </w:rPr>
      </w:pPr>
      <w:r>
        <w:rPr>
          <w:rFonts w:hint="eastAsia" w:ascii="宋体" w:hAnsi="宋体" w:eastAsia="宋体" w:cs="宋体"/>
          <w:kern w:val="0"/>
          <w:sz w:val="24"/>
          <w:szCs w:val="24"/>
        </w:rPr>
        <w:drawing>
          <wp:inline distT="0" distB="0" distL="114300" distR="114300">
            <wp:extent cx="3990975" cy="1552575"/>
            <wp:effectExtent l="0" t="0" r="1905" b="1905"/>
            <wp:docPr id="2"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7"/>
                    <pic:cNvPicPr>
                      <a:picLocks noChangeAspect="1"/>
                    </pic:cNvPicPr>
                  </pic:nvPicPr>
                  <pic:blipFill>
                    <a:blip r:embed="rId5"/>
                    <a:stretch>
                      <a:fillRect/>
                    </a:stretch>
                  </pic:blipFill>
                  <pic:spPr>
                    <a:xfrm>
                      <a:off x="0" y="0"/>
                      <a:ext cx="3990975" cy="1552575"/>
                    </a:xfrm>
                    <a:prstGeom prst="rect">
                      <a:avLst/>
                    </a:prstGeom>
                    <a:noFill/>
                    <a:ln>
                      <a:noFill/>
                    </a:ln>
                  </pic:spPr>
                </pic:pic>
              </a:graphicData>
            </a:graphic>
          </wp:inline>
        </w:drawing>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4.2.2示例</w:t>
      </w:r>
    </w:p>
    <w:p>
      <w:pPr>
        <w:rPr>
          <w:rFonts w:hint="eastAsia" w:ascii="宋体" w:hAnsi="宋体" w:eastAsia="宋体" w:cs="宋体"/>
          <w:sz w:val="24"/>
          <w:szCs w:val="24"/>
        </w:rPr>
      </w:pPr>
      <w:r>
        <w:rPr>
          <w:rFonts w:hint="eastAsia" w:ascii="宋体" w:hAnsi="宋体" w:eastAsia="宋体" w:cs="宋体"/>
          <w:sz w:val="24"/>
          <w:szCs w:val="24"/>
        </w:rPr>
        <w:t>a. 用于导体标称截面 120mm2 电缆，堵油式铝连接管，表示为 GLM-120。</w:t>
      </w:r>
    </w:p>
    <w:p>
      <w:pPr>
        <w:rPr>
          <w:rFonts w:hint="eastAsia" w:ascii="宋体" w:hAnsi="宋体" w:eastAsia="宋体" w:cs="宋体"/>
          <w:sz w:val="24"/>
          <w:szCs w:val="24"/>
        </w:rPr>
      </w:pPr>
      <w:r>
        <w:rPr>
          <w:rFonts w:hint="eastAsia" w:ascii="宋体" w:hAnsi="宋体" w:eastAsia="宋体" w:cs="宋体"/>
          <w:sz w:val="24"/>
          <w:szCs w:val="24"/>
        </w:rPr>
        <w:t>b. 用于电器设备端子板与截面积 185mm2 铝电缆连接的铜铝接线端子，表示为 DTL-185.</w:t>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5技术要求</w:t>
      </w:r>
    </w:p>
    <w:p>
      <w:pPr>
        <w:rPr>
          <w:rFonts w:hint="eastAsia" w:ascii="宋体" w:hAnsi="宋体" w:eastAsia="宋体" w:cs="宋体"/>
          <w:sz w:val="24"/>
          <w:szCs w:val="24"/>
        </w:rPr>
      </w:pPr>
      <w:r>
        <w:rPr>
          <w:rFonts w:hint="eastAsia" w:ascii="宋体" w:hAnsi="宋体" w:eastAsia="宋体" w:cs="宋体"/>
          <w:sz w:val="24"/>
          <w:szCs w:val="24"/>
        </w:rPr>
        <w:t>5.1产品用材料的化学成分应符合以下要求：</w:t>
      </w:r>
    </w:p>
    <w:p>
      <w:pPr>
        <w:rPr>
          <w:rFonts w:hint="eastAsia" w:ascii="宋体" w:hAnsi="宋体" w:eastAsia="宋体" w:cs="宋体"/>
          <w:sz w:val="24"/>
          <w:szCs w:val="24"/>
        </w:rPr>
      </w:pPr>
      <w:r>
        <w:rPr>
          <w:rFonts w:hint="eastAsia" w:ascii="宋体" w:hAnsi="宋体" w:eastAsia="宋体" w:cs="宋体"/>
          <w:sz w:val="24"/>
          <w:szCs w:val="24"/>
        </w:rPr>
        <w:t>a. 铜材应不低于GB /T5231-2001二号铜（T2）的规定。</w:t>
      </w:r>
    </w:p>
    <w:p>
      <w:pPr>
        <w:rPr>
          <w:rFonts w:hint="eastAsia" w:ascii="宋体" w:hAnsi="宋体" w:eastAsia="宋体" w:cs="宋体"/>
          <w:sz w:val="24"/>
          <w:szCs w:val="24"/>
        </w:rPr>
      </w:pPr>
      <w:r>
        <w:rPr>
          <w:rFonts w:hint="eastAsia" w:ascii="宋体" w:hAnsi="宋体" w:eastAsia="宋体" w:cs="宋体"/>
          <w:sz w:val="24"/>
          <w:szCs w:val="24"/>
        </w:rPr>
        <w:t>b. 铜挤压棒材和拉制铜管尺寸可分别按GB/T 4423-2007、GB 3191及GB 1527规定</w:t>
      </w:r>
    </w:p>
    <w:p>
      <w:pPr>
        <w:rPr>
          <w:rFonts w:hint="eastAsia" w:ascii="宋体" w:hAnsi="宋体" w:eastAsia="宋体" w:cs="宋体"/>
          <w:sz w:val="24"/>
          <w:szCs w:val="24"/>
        </w:rPr>
      </w:pPr>
      <w:r>
        <w:rPr>
          <w:rFonts w:hint="eastAsia" w:ascii="宋体" w:hAnsi="宋体" w:eastAsia="宋体" w:cs="宋体"/>
          <w:sz w:val="24"/>
          <w:szCs w:val="24"/>
        </w:rPr>
        <w:t>的相应规格选用</w:t>
      </w:r>
    </w:p>
    <w:p>
      <w:pPr>
        <w:rPr>
          <w:rFonts w:hint="eastAsia" w:ascii="宋体" w:hAnsi="宋体" w:eastAsia="宋体" w:cs="宋体"/>
          <w:sz w:val="24"/>
          <w:szCs w:val="24"/>
        </w:rPr>
      </w:pPr>
      <w:r>
        <w:rPr>
          <w:rFonts w:hint="eastAsia" w:ascii="宋体" w:hAnsi="宋体" w:eastAsia="宋体" w:cs="宋体"/>
          <w:sz w:val="24"/>
          <w:szCs w:val="24"/>
        </w:rPr>
        <w:t>5.2尺寸</w:t>
      </w:r>
    </w:p>
    <w:p>
      <w:pPr>
        <w:rPr>
          <w:rFonts w:hint="eastAsia" w:ascii="宋体" w:hAnsi="宋体" w:eastAsia="宋体" w:cs="宋体"/>
          <w:sz w:val="24"/>
          <w:szCs w:val="24"/>
        </w:rPr>
      </w:pPr>
      <w:r>
        <w:rPr>
          <w:rFonts w:hint="eastAsia" w:ascii="宋体" w:hAnsi="宋体" w:eastAsia="宋体" w:cs="宋体"/>
          <w:sz w:val="24"/>
          <w:szCs w:val="24"/>
        </w:rPr>
        <w:t>5.2.1铜接线端子（DT型）</w:t>
      </w:r>
    </w:p>
    <w:p>
      <w:pPr>
        <w:rPr>
          <w:rFonts w:hint="eastAsia" w:ascii="宋体" w:hAnsi="宋体" w:eastAsia="宋体" w:cs="宋体"/>
          <w:sz w:val="24"/>
          <w:szCs w:val="24"/>
        </w:rPr>
      </w:pPr>
      <w:r>
        <w:rPr>
          <w:rFonts w:hint="eastAsia" w:ascii="宋体" w:hAnsi="宋体" w:eastAsia="宋体" w:cs="宋体"/>
          <w:sz w:val="24"/>
          <w:szCs w:val="24"/>
        </w:rPr>
        <w:t>5.2.1.1形状如图1铜接线端子、图2双孔铜接线端子。</w:t>
      </w:r>
    </w:p>
    <w:p>
      <w:pPr>
        <w:rPr>
          <w:rFonts w:hint="eastAsia" w:ascii="宋体" w:hAnsi="宋体" w:eastAsia="宋体" w:cs="宋体"/>
          <w:kern w:val="0"/>
          <w:sz w:val="24"/>
          <w:szCs w:val="24"/>
        </w:rPr>
      </w:pPr>
      <w:r>
        <w:rPr>
          <w:rFonts w:hint="eastAsia" w:ascii="宋体" w:hAnsi="宋体" w:eastAsia="宋体" w:cs="宋体"/>
          <w:kern w:val="0"/>
          <w:sz w:val="24"/>
          <w:szCs w:val="24"/>
        </w:rPr>
        <w:drawing>
          <wp:inline distT="0" distB="0" distL="114300" distR="114300">
            <wp:extent cx="3886200" cy="2743200"/>
            <wp:effectExtent l="0" t="0" r="0" b="0"/>
            <wp:docPr id="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3"/>
                    <pic:cNvPicPr>
                      <a:picLocks noChangeAspect="1"/>
                    </pic:cNvPicPr>
                  </pic:nvPicPr>
                  <pic:blipFill>
                    <a:blip r:embed="rId6"/>
                    <a:stretch>
                      <a:fillRect/>
                    </a:stretch>
                  </pic:blipFill>
                  <pic:spPr>
                    <a:xfrm>
                      <a:off x="0" y="0"/>
                      <a:ext cx="3886200" cy="2743200"/>
                    </a:xfrm>
                    <a:prstGeom prst="rect">
                      <a:avLst/>
                    </a:prstGeom>
                    <a:noFill/>
                    <a:ln>
                      <a:noFill/>
                    </a:ln>
                  </pic:spPr>
                </pic:pic>
              </a:graphicData>
            </a:graphic>
          </wp:inline>
        </w:drawing>
      </w:r>
    </w:p>
    <w:p>
      <w:pPr>
        <w:jc w:val="center"/>
        <w:rPr>
          <w:rFonts w:hint="eastAsia" w:ascii="宋体" w:hAnsi="宋体" w:eastAsia="宋体" w:cs="宋体"/>
          <w:sz w:val="24"/>
          <w:szCs w:val="24"/>
        </w:rPr>
      </w:pPr>
      <w:r>
        <w:rPr>
          <w:rFonts w:hint="eastAsia" w:ascii="宋体" w:hAnsi="宋体" w:eastAsia="宋体" w:cs="宋体"/>
          <w:sz w:val="24"/>
          <w:szCs w:val="24"/>
        </w:rPr>
        <w:t>图1铜接线端子（DT型）</w:t>
      </w:r>
    </w:p>
    <w:p>
      <w:pPr>
        <w:rPr>
          <w:rFonts w:hint="eastAsia" w:ascii="宋体" w:hAnsi="宋体" w:eastAsia="宋体" w:cs="宋体"/>
          <w:kern w:val="0"/>
          <w:sz w:val="24"/>
          <w:szCs w:val="24"/>
        </w:rPr>
      </w:pPr>
    </w:p>
    <w:p>
      <w:pPr>
        <w:rPr>
          <w:rFonts w:hint="eastAsia" w:ascii="宋体" w:hAnsi="宋体" w:eastAsia="宋体" w:cs="宋体"/>
          <w:sz w:val="24"/>
          <w:szCs w:val="24"/>
        </w:rPr>
      </w:pPr>
    </w:p>
    <w:p>
      <w:pPr>
        <w:rPr>
          <w:rFonts w:hint="eastAsia" w:ascii="宋体" w:hAnsi="宋体" w:eastAsia="宋体" w:cs="宋体"/>
          <w:kern w:val="0"/>
          <w:sz w:val="24"/>
          <w:szCs w:val="24"/>
        </w:rPr>
      </w:pPr>
      <w:r>
        <w:rPr>
          <w:rFonts w:hint="eastAsia" w:ascii="宋体" w:hAnsi="宋体" w:eastAsia="宋体" w:cs="宋体"/>
          <w:kern w:val="0"/>
          <w:sz w:val="24"/>
          <w:szCs w:val="24"/>
        </w:rPr>
        <w:drawing>
          <wp:inline distT="0" distB="0" distL="114300" distR="114300">
            <wp:extent cx="4114165" cy="2919095"/>
            <wp:effectExtent l="0" t="0" r="635" b="6985"/>
            <wp:docPr id="4" name="图片 22"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2" descr="12"/>
                    <pic:cNvPicPr>
                      <a:picLocks noChangeAspect="1"/>
                    </pic:cNvPicPr>
                  </pic:nvPicPr>
                  <pic:blipFill>
                    <a:blip r:embed="rId7"/>
                    <a:srcRect l="2542" t="6180" r="4013" b="7164"/>
                    <a:stretch>
                      <a:fillRect/>
                    </a:stretch>
                  </pic:blipFill>
                  <pic:spPr>
                    <a:xfrm>
                      <a:off x="0" y="0"/>
                      <a:ext cx="4114165" cy="2919095"/>
                    </a:xfrm>
                    <a:prstGeom prst="rect">
                      <a:avLst/>
                    </a:prstGeom>
                    <a:noFill/>
                    <a:ln>
                      <a:noFill/>
                    </a:ln>
                  </pic:spPr>
                </pic:pic>
              </a:graphicData>
            </a:graphic>
          </wp:inline>
        </w:drawing>
      </w:r>
    </w:p>
    <w:p>
      <w:pPr>
        <w:jc w:val="center"/>
        <w:rPr>
          <w:rFonts w:hint="eastAsia" w:ascii="宋体" w:hAnsi="宋体" w:eastAsia="宋体" w:cs="宋体"/>
          <w:sz w:val="24"/>
          <w:szCs w:val="24"/>
        </w:rPr>
      </w:pPr>
      <w:r>
        <w:rPr>
          <w:rFonts w:hint="eastAsia" w:ascii="宋体" w:hAnsi="宋体" w:eastAsia="宋体" w:cs="宋体"/>
          <w:sz w:val="24"/>
          <w:szCs w:val="24"/>
        </w:rPr>
        <w:t>图2双孔铜接线端子（DT型）</w:t>
      </w:r>
    </w:p>
    <w:p>
      <w:pPr>
        <w:rPr>
          <w:rFonts w:hint="eastAsia" w:ascii="宋体" w:hAnsi="宋体" w:eastAsia="宋体" w:cs="宋体"/>
          <w:sz w:val="24"/>
          <w:szCs w:val="24"/>
        </w:rPr>
      </w:pPr>
      <w:r>
        <w:rPr>
          <w:rFonts w:hint="eastAsia" w:ascii="宋体" w:hAnsi="宋体" w:eastAsia="宋体" w:cs="宋体"/>
          <w:sz w:val="24"/>
          <w:szCs w:val="24"/>
        </w:rPr>
        <w:t xml:space="preserve"> </w:t>
      </w:r>
    </w:p>
    <w:p>
      <w:pPr>
        <w:rPr>
          <w:rFonts w:hint="eastAsia" w:ascii="宋体" w:hAnsi="宋体" w:eastAsia="宋体" w:cs="宋体"/>
          <w:sz w:val="24"/>
          <w:szCs w:val="24"/>
        </w:rPr>
      </w:pPr>
      <w:r>
        <w:rPr>
          <w:rFonts w:hint="eastAsia" w:ascii="宋体" w:hAnsi="宋体" w:eastAsia="宋体" w:cs="宋体"/>
          <w:sz w:val="24"/>
          <w:szCs w:val="24"/>
        </w:rPr>
        <w:t>5.2.1.2铜接线端子（DT型）尺寸应符合表1（单孔）、表2（双孔）的规定。</w:t>
      </w:r>
    </w:p>
    <w:p>
      <w:pPr>
        <w:jc w:val="center"/>
        <w:rPr>
          <w:rFonts w:hint="eastAsia" w:ascii="宋体" w:hAnsi="宋体" w:eastAsia="宋体" w:cs="宋体"/>
          <w:sz w:val="24"/>
          <w:szCs w:val="24"/>
        </w:rPr>
      </w:pPr>
      <w:r>
        <w:rPr>
          <w:rFonts w:hint="eastAsia" w:ascii="宋体" w:hAnsi="宋体" w:eastAsia="宋体" w:cs="宋体"/>
          <w:sz w:val="24"/>
          <w:szCs w:val="24"/>
        </w:rPr>
        <w:t>表1单孔铜接线端子（DT型）尺寸</w:t>
      </w:r>
    </w:p>
    <w:p>
      <w:pPr>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4890770" cy="4186555"/>
            <wp:effectExtent l="0" t="0" r="1270" b="4445"/>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pic:cNvPicPr>
                      <a:picLocks noChangeAspect="1"/>
                    </pic:cNvPicPr>
                  </pic:nvPicPr>
                  <pic:blipFill>
                    <a:blip r:embed="rId8"/>
                    <a:stretch>
                      <a:fillRect/>
                    </a:stretch>
                  </pic:blipFill>
                  <pic:spPr>
                    <a:xfrm>
                      <a:off x="0" y="0"/>
                      <a:ext cx="4890770" cy="4186555"/>
                    </a:xfrm>
                    <a:prstGeom prst="rect">
                      <a:avLst/>
                    </a:prstGeom>
                    <a:noFill/>
                    <a:ln>
                      <a:noFill/>
                    </a:ln>
                  </pic:spPr>
                </pic:pic>
              </a:graphicData>
            </a:graphic>
          </wp:inline>
        </w:drawing>
      </w:r>
    </w:p>
    <w:p>
      <w:pPr>
        <w:jc w:val="center"/>
        <w:rPr>
          <w:rFonts w:hint="eastAsia" w:ascii="宋体" w:hAnsi="宋体" w:eastAsia="宋体" w:cs="宋体"/>
          <w:sz w:val="24"/>
          <w:szCs w:val="24"/>
        </w:rPr>
      </w:pPr>
      <w:r>
        <w:rPr>
          <w:rFonts w:hint="eastAsia" w:ascii="宋体" w:hAnsi="宋体" w:eastAsia="宋体" w:cs="宋体"/>
          <w:sz w:val="24"/>
          <w:szCs w:val="24"/>
        </w:rPr>
        <w:t>表2双孔铜接线端子（DT型）尺寸</w:t>
      </w:r>
    </w:p>
    <w:p>
      <w:pPr>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5273675" cy="4098925"/>
            <wp:effectExtent l="9525" t="9525" r="20320" b="21590"/>
            <wp:docPr id="6" name="图片 23"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3" descr="13"/>
                    <pic:cNvPicPr>
                      <a:picLocks noChangeAspect="1"/>
                    </pic:cNvPicPr>
                  </pic:nvPicPr>
                  <pic:blipFill>
                    <a:blip r:embed="rId9"/>
                    <a:srcRect b="10260"/>
                    <a:stretch>
                      <a:fillRect/>
                    </a:stretch>
                  </pic:blipFill>
                  <pic:spPr>
                    <a:xfrm>
                      <a:off x="0" y="0"/>
                      <a:ext cx="5273675" cy="4098925"/>
                    </a:xfrm>
                    <a:prstGeom prst="rect">
                      <a:avLst/>
                    </a:prstGeom>
                    <a:noFill/>
                    <a:ln w="9525" cap="flat" cmpd="sng">
                      <a:solidFill>
                        <a:srgbClr val="000000"/>
                      </a:solidFill>
                      <a:prstDash val="solid"/>
                      <a:miter/>
                      <a:headEnd type="none" w="med" len="med"/>
                      <a:tailEnd type="none" w="med" len="med"/>
                    </a:ln>
                  </pic:spPr>
                </pic:pic>
              </a:graphicData>
            </a:graphic>
          </wp:inline>
        </w:drawing>
      </w:r>
    </w:p>
    <w:p>
      <w:pPr>
        <w:rPr>
          <w:rFonts w:hint="eastAsia" w:ascii="宋体" w:hAnsi="宋体" w:eastAsia="宋体" w:cs="宋体"/>
          <w:sz w:val="24"/>
          <w:szCs w:val="24"/>
        </w:rPr>
      </w:pPr>
      <w:r>
        <w:rPr>
          <w:rFonts w:hint="eastAsia" w:ascii="宋体" w:hAnsi="宋体" w:eastAsia="宋体" w:cs="宋体"/>
          <w:sz w:val="24"/>
          <w:szCs w:val="24"/>
        </w:rPr>
        <w:t>5.2.2密封式铜接线端子（DTM型）</w:t>
      </w:r>
    </w:p>
    <w:p>
      <w:pPr>
        <w:rPr>
          <w:rFonts w:hint="eastAsia" w:ascii="宋体" w:hAnsi="宋体" w:eastAsia="宋体" w:cs="宋体"/>
          <w:sz w:val="24"/>
          <w:szCs w:val="24"/>
        </w:rPr>
      </w:pPr>
      <w:r>
        <w:rPr>
          <w:rFonts w:hint="eastAsia" w:ascii="宋体" w:hAnsi="宋体" w:eastAsia="宋体" w:cs="宋体"/>
          <w:sz w:val="24"/>
          <w:szCs w:val="24"/>
        </w:rPr>
        <w:t>5.2.2.1形状如图3</w:t>
      </w:r>
    </w:p>
    <w:p>
      <w:pPr>
        <w:jc w:val="center"/>
        <w:rPr>
          <w:rFonts w:hint="eastAsia" w:ascii="宋体" w:hAnsi="宋体" w:eastAsia="宋体" w:cs="宋体"/>
          <w:sz w:val="24"/>
          <w:szCs w:val="24"/>
        </w:rPr>
      </w:pPr>
      <w:r>
        <w:rPr>
          <w:rFonts w:hint="eastAsia" w:ascii="宋体" w:hAnsi="宋体" w:eastAsia="宋体" w:cs="宋体"/>
          <w:kern w:val="0"/>
          <w:sz w:val="24"/>
          <w:szCs w:val="24"/>
        </w:rPr>
        <w:drawing>
          <wp:inline distT="0" distB="0" distL="114300" distR="114300">
            <wp:extent cx="4114800" cy="2906395"/>
            <wp:effectExtent l="0" t="0" r="0" b="4445"/>
            <wp:docPr id="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7"/>
                    <pic:cNvPicPr>
                      <a:picLocks noChangeAspect="1"/>
                    </pic:cNvPicPr>
                  </pic:nvPicPr>
                  <pic:blipFill>
                    <a:blip r:embed="rId10"/>
                    <a:stretch>
                      <a:fillRect/>
                    </a:stretch>
                  </pic:blipFill>
                  <pic:spPr>
                    <a:xfrm>
                      <a:off x="0" y="0"/>
                      <a:ext cx="4114800" cy="2906395"/>
                    </a:xfrm>
                    <a:prstGeom prst="rect">
                      <a:avLst/>
                    </a:prstGeom>
                    <a:noFill/>
                    <a:ln>
                      <a:noFill/>
                    </a:ln>
                  </pic:spPr>
                </pic:pic>
              </a:graphicData>
            </a:graphic>
          </wp:inline>
        </w:drawing>
      </w:r>
    </w:p>
    <w:p>
      <w:pPr>
        <w:jc w:val="center"/>
        <w:rPr>
          <w:rFonts w:hint="eastAsia" w:ascii="宋体" w:hAnsi="宋体" w:eastAsia="宋体" w:cs="宋体"/>
          <w:sz w:val="24"/>
          <w:szCs w:val="24"/>
        </w:rPr>
      </w:pPr>
      <w:r>
        <w:rPr>
          <w:rFonts w:hint="eastAsia" w:ascii="宋体" w:hAnsi="宋体" w:eastAsia="宋体" w:cs="宋体"/>
          <w:sz w:val="24"/>
          <w:szCs w:val="24"/>
        </w:rPr>
        <w:t>图3 密封式铜接线端子（DTM型）</w:t>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5.2.2.2密封式铜接线端子（DTM型）尺寸应符合表3的规定，双孔密封式铜接线端子双孔间距参照双孔铜接线端子。</w:t>
      </w:r>
    </w:p>
    <w:p>
      <w:pPr>
        <w:jc w:val="center"/>
        <w:rPr>
          <w:rFonts w:hint="eastAsia" w:ascii="宋体" w:hAnsi="宋体" w:eastAsia="宋体" w:cs="宋体"/>
          <w:sz w:val="24"/>
          <w:szCs w:val="24"/>
        </w:rPr>
      </w:pPr>
      <w:r>
        <w:rPr>
          <w:rFonts w:hint="eastAsia" w:ascii="宋体" w:hAnsi="宋体" w:eastAsia="宋体" w:cs="宋体"/>
          <w:sz w:val="24"/>
          <w:szCs w:val="24"/>
        </w:rPr>
        <w:t>表3 密封式铜接线端子（DTM型）尺寸</w:t>
      </w:r>
    </w:p>
    <w:p>
      <w:pP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drawing>
          <wp:inline distT="0" distB="0" distL="114300" distR="114300">
            <wp:extent cx="5266055" cy="4123055"/>
            <wp:effectExtent l="0" t="0" r="6985" b="6985"/>
            <wp:docPr id="8"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0"/>
                    <pic:cNvPicPr>
                      <a:picLocks noChangeAspect="1"/>
                    </pic:cNvPicPr>
                  </pic:nvPicPr>
                  <pic:blipFill>
                    <a:blip r:embed="rId11"/>
                    <a:stretch>
                      <a:fillRect/>
                    </a:stretch>
                  </pic:blipFill>
                  <pic:spPr>
                    <a:xfrm>
                      <a:off x="0" y="0"/>
                      <a:ext cx="5266055" cy="4123055"/>
                    </a:xfrm>
                    <a:prstGeom prst="rect">
                      <a:avLst/>
                    </a:prstGeom>
                    <a:noFill/>
                    <a:ln>
                      <a:noFill/>
                    </a:ln>
                  </pic:spPr>
                </pic:pic>
              </a:graphicData>
            </a:graphic>
          </wp:inline>
        </w:drawing>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5.3产品应按本标准规定的形状、主要尺寸的图样（表1至表3）制造，其主要尺寸及加工精度应符合本标准第5.2条及第5.6条规定。</w:t>
      </w:r>
    </w:p>
    <w:p>
      <w:pPr>
        <w:rPr>
          <w:rFonts w:hint="eastAsia" w:ascii="宋体" w:hAnsi="宋体" w:eastAsia="宋体" w:cs="宋体"/>
          <w:sz w:val="24"/>
          <w:szCs w:val="24"/>
        </w:rPr>
      </w:pPr>
      <w:r>
        <w:rPr>
          <w:rFonts w:hint="eastAsia" w:ascii="宋体" w:hAnsi="宋体" w:eastAsia="宋体" w:cs="宋体"/>
          <w:sz w:val="24"/>
          <w:szCs w:val="24"/>
        </w:rPr>
        <w:t>5.4产品经压接与导体连接做成为接头后，其电气、机械性能应满足由表4规定的技术要求。</w:t>
      </w:r>
    </w:p>
    <w:p>
      <w:pPr>
        <w:jc w:val="center"/>
        <w:rPr>
          <w:rFonts w:hint="eastAsia" w:ascii="宋体" w:hAnsi="宋体" w:eastAsia="宋体" w:cs="宋体"/>
          <w:sz w:val="24"/>
          <w:szCs w:val="24"/>
        </w:rPr>
      </w:pPr>
      <w:r>
        <w:rPr>
          <w:rFonts w:hint="eastAsia" w:ascii="宋体" w:hAnsi="宋体" w:eastAsia="宋体" w:cs="宋体"/>
          <w:sz w:val="24"/>
          <w:szCs w:val="24"/>
        </w:rPr>
        <w:t>表 4</w:t>
      </w:r>
    </w:p>
    <w:p>
      <w:pPr>
        <w:rPr>
          <w:rFonts w:hint="eastAsia" w:ascii="宋体" w:hAnsi="宋体" w:eastAsia="宋体" w:cs="宋体"/>
          <w:sz w:val="24"/>
          <w:szCs w:val="24"/>
        </w:rPr>
      </w:pPr>
      <w:r>
        <w:rPr>
          <w:rFonts w:hint="eastAsia" w:ascii="宋体" w:hAnsi="宋体" w:eastAsia="宋体" w:cs="宋体"/>
          <w:kern w:val="0"/>
          <w:sz w:val="24"/>
          <w:szCs w:val="24"/>
        </w:rPr>
        <w:drawing>
          <wp:inline distT="0" distB="0" distL="114300" distR="114300">
            <wp:extent cx="5273040" cy="2501900"/>
            <wp:effectExtent l="0" t="0" r="0" b="12700"/>
            <wp:docPr id="9"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1"/>
                    <pic:cNvPicPr>
                      <a:picLocks noChangeAspect="1"/>
                    </pic:cNvPicPr>
                  </pic:nvPicPr>
                  <pic:blipFill>
                    <a:blip r:embed="rId12"/>
                    <a:stretch>
                      <a:fillRect/>
                    </a:stretch>
                  </pic:blipFill>
                  <pic:spPr>
                    <a:xfrm>
                      <a:off x="0" y="0"/>
                      <a:ext cx="5273040" cy="2501900"/>
                    </a:xfrm>
                    <a:prstGeom prst="rect">
                      <a:avLst/>
                    </a:prstGeom>
                    <a:noFill/>
                    <a:ln>
                      <a:noFill/>
                    </a:ln>
                  </pic:spPr>
                </pic:pic>
              </a:graphicData>
            </a:graphic>
          </wp:inline>
        </w:drawing>
      </w:r>
    </w:p>
    <w:p>
      <w:pPr>
        <w:rPr>
          <w:rFonts w:hint="eastAsia" w:ascii="宋体" w:hAnsi="宋体" w:eastAsia="宋体" w:cs="宋体"/>
          <w:sz w:val="24"/>
          <w:szCs w:val="24"/>
        </w:rPr>
      </w:pPr>
      <w:r>
        <w:rPr>
          <w:rFonts w:hint="eastAsia" w:ascii="宋体" w:hAnsi="宋体" w:eastAsia="宋体" w:cs="宋体"/>
          <w:sz w:val="24"/>
          <w:szCs w:val="24"/>
        </w:rPr>
        <w:t>5.5经冷轧、冷挤的铜半成品在表面处理前，必须退火，退火后的硬度，铜HB应不大于62，铝HB应不大于25。</w:t>
      </w:r>
    </w:p>
    <w:p>
      <w:pPr>
        <w:rPr>
          <w:rFonts w:hint="eastAsia" w:ascii="宋体" w:hAnsi="宋体" w:eastAsia="宋体" w:cs="宋体"/>
          <w:sz w:val="24"/>
          <w:szCs w:val="24"/>
        </w:rPr>
      </w:pPr>
      <w:r>
        <w:rPr>
          <w:rFonts w:hint="eastAsia" w:ascii="宋体" w:hAnsi="宋体" w:eastAsia="宋体" w:cs="宋体"/>
          <w:sz w:val="24"/>
          <w:szCs w:val="24"/>
        </w:rPr>
        <w:t>5.6产品内外表面应光洁平滑，不允许有毛刺、裂纹、锐边、折叠；端子板部要求平坦。</w:t>
      </w:r>
    </w:p>
    <w:p>
      <w:pPr>
        <w:rPr>
          <w:rFonts w:hint="eastAsia" w:ascii="宋体" w:hAnsi="宋体" w:eastAsia="宋体" w:cs="宋体"/>
          <w:sz w:val="24"/>
          <w:szCs w:val="24"/>
        </w:rPr>
      </w:pPr>
      <w:r>
        <w:rPr>
          <w:rFonts w:hint="eastAsia" w:ascii="宋体" w:hAnsi="宋体" w:eastAsia="宋体" w:cs="宋体"/>
          <w:sz w:val="24"/>
          <w:szCs w:val="24"/>
        </w:rPr>
        <w:t>5.7铜产品表面应镀锡，镀层应均匀，色泽一致，无脱皮。</w:t>
      </w: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6 检验规则</w:t>
      </w:r>
    </w:p>
    <w:p>
      <w:pPr>
        <w:rPr>
          <w:rFonts w:hint="eastAsia" w:ascii="宋体" w:hAnsi="宋体" w:eastAsia="宋体" w:cs="宋体"/>
          <w:sz w:val="24"/>
          <w:szCs w:val="24"/>
        </w:rPr>
      </w:pPr>
      <w:r>
        <w:rPr>
          <w:rFonts w:hint="eastAsia" w:ascii="宋体" w:hAnsi="宋体" w:eastAsia="宋体" w:cs="宋体"/>
          <w:sz w:val="24"/>
          <w:szCs w:val="24"/>
        </w:rPr>
        <w:t>6.1制造厂应按表5规定，对产品进行型式检验（T）、抽样试验（S）、例行试验（R）及定期抽样试验（St）。</w:t>
      </w:r>
    </w:p>
    <w:p>
      <w:pPr>
        <w:rPr>
          <w:rFonts w:hint="eastAsia" w:ascii="宋体" w:hAnsi="宋体" w:eastAsia="宋体" w:cs="宋体"/>
          <w:sz w:val="24"/>
          <w:szCs w:val="24"/>
        </w:rPr>
      </w:pPr>
      <w:r>
        <w:rPr>
          <w:rFonts w:hint="eastAsia" w:ascii="宋体" w:hAnsi="宋体" w:eastAsia="宋体" w:cs="宋体"/>
          <w:sz w:val="24"/>
          <w:szCs w:val="24"/>
        </w:rPr>
        <w:t>表10</w:t>
      </w:r>
    </w:p>
    <w:p>
      <w:pPr>
        <w:rPr>
          <w:rFonts w:hint="eastAsia" w:ascii="宋体" w:hAnsi="宋体" w:eastAsia="宋体" w:cs="宋体"/>
          <w:sz w:val="24"/>
          <w:szCs w:val="24"/>
        </w:rPr>
      </w:pPr>
      <w:r>
        <w:rPr>
          <w:rFonts w:hint="eastAsia" w:ascii="宋体" w:hAnsi="宋体" w:eastAsia="宋体" w:cs="宋体"/>
          <w:sz w:val="24"/>
          <w:szCs w:val="24"/>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1950"/>
        <w:gridCol w:w="2389"/>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序号</w:t>
            </w:r>
          </w:p>
        </w:tc>
        <w:tc>
          <w:tcPr>
            <w:tcW w:w="1950"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检验或试验项目</w:t>
            </w:r>
          </w:p>
        </w:tc>
        <w:tc>
          <w:tcPr>
            <w:tcW w:w="2389"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条文号</w:t>
            </w:r>
          </w:p>
        </w:tc>
        <w:tc>
          <w:tcPr>
            <w:tcW w:w="1705"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试验类型</w:t>
            </w:r>
          </w:p>
        </w:tc>
        <w:tc>
          <w:tcPr>
            <w:tcW w:w="1705"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1</w:t>
            </w:r>
          </w:p>
        </w:tc>
        <w:tc>
          <w:tcPr>
            <w:tcW w:w="1950"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外观质量检验</w:t>
            </w:r>
          </w:p>
        </w:tc>
        <w:tc>
          <w:tcPr>
            <w:tcW w:w="2389"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第5.6、5.7条</w:t>
            </w:r>
          </w:p>
        </w:tc>
        <w:tc>
          <w:tcPr>
            <w:tcW w:w="1705"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T.R</w:t>
            </w:r>
          </w:p>
        </w:tc>
        <w:tc>
          <w:tcPr>
            <w:tcW w:w="1705"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2</w:t>
            </w:r>
          </w:p>
        </w:tc>
        <w:tc>
          <w:tcPr>
            <w:tcW w:w="1950"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尺寸检验</w:t>
            </w:r>
          </w:p>
        </w:tc>
        <w:tc>
          <w:tcPr>
            <w:tcW w:w="2389"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第5.2条</w:t>
            </w:r>
          </w:p>
        </w:tc>
        <w:tc>
          <w:tcPr>
            <w:tcW w:w="1705"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T.S</w:t>
            </w:r>
          </w:p>
        </w:tc>
        <w:tc>
          <w:tcPr>
            <w:tcW w:w="1705"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量具测量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3</w:t>
            </w:r>
          </w:p>
        </w:tc>
        <w:tc>
          <w:tcPr>
            <w:tcW w:w="1950"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直流电阻试验</w:t>
            </w:r>
          </w:p>
        </w:tc>
        <w:tc>
          <w:tcPr>
            <w:tcW w:w="2389"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第5.4条 表4</w:t>
            </w:r>
          </w:p>
        </w:tc>
        <w:tc>
          <w:tcPr>
            <w:tcW w:w="1705"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T.St</w:t>
            </w:r>
          </w:p>
        </w:tc>
        <w:tc>
          <w:tcPr>
            <w:tcW w:w="1705"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GB9327-2008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4</w:t>
            </w:r>
          </w:p>
        </w:tc>
        <w:tc>
          <w:tcPr>
            <w:tcW w:w="1950"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拉力试验</w:t>
            </w:r>
          </w:p>
        </w:tc>
        <w:tc>
          <w:tcPr>
            <w:tcW w:w="2389"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第5.4条 表4</w:t>
            </w:r>
          </w:p>
        </w:tc>
        <w:tc>
          <w:tcPr>
            <w:tcW w:w="1705"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T.St</w:t>
            </w:r>
          </w:p>
        </w:tc>
        <w:tc>
          <w:tcPr>
            <w:tcW w:w="1705"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GB9327-2008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5</w:t>
            </w:r>
          </w:p>
        </w:tc>
        <w:tc>
          <w:tcPr>
            <w:tcW w:w="1950"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短路试验</w:t>
            </w:r>
          </w:p>
        </w:tc>
        <w:tc>
          <w:tcPr>
            <w:tcW w:w="2389"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第5.4条 表4</w:t>
            </w:r>
          </w:p>
        </w:tc>
        <w:tc>
          <w:tcPr>
            <w:tcW w:w="1705"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T</w:t>
            </w:r>
          </w:p>
        </w:tc>
        <w:tc>
          <w:tcPr>
            <w:tcW w:w="1705"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GB9327-2008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6</w:t>
            </w:r>
          </w:p>
        </w:tc>
        <w:tc>
          <w:tcPr>
            <w:tcW w:w="1950"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热循环试验</w:t>
            </w:r>
          </w:p>
        </w:tc>
        <w:tc>
          <w:tcPr>
            <w:tcW w:w="2389"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第5.4条 表4</w:t>
            </w:r>
          </w:p>
        </w:tc>
        <w:tc>
          <w:tcPr>
            <w:tcW w:w="1705"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T</w:t>
            </w:r>
          </w:p>
        </w:tc>
        <w:tc>
          <w:tcPr>
            <w:tcW w:w="1705" w:type="dxa"/>
            <w:noWrap w:val="0"/>
            <w:vAlign w:val="top"/>
          </w:tcPr>
          <w:p>
            <w:pPr>
              <w:rPr>
                <w:rFonts w:hint="eastAsia" w:ascii="宋体" w:hAnsi="宋体" w:eastAsia="宋体" w:cs="宋体"/>
                <w:sz w:val="24"/>
                <w:szCs w:val="24"/>
              </w:rPr>
            </w:pPr>
            <w:r>
              <w:rPr>
                <w:rFonts w:hint="eastAsia" w:ascii="宋体" w:hAnsi="宋体" w:eastAsia="宋体" w:cs="宋体"/>
                <w:sz w:val="24"/>
                <w:szCs w:val="24"/>
              </w:rPr>
              <w:t>GB9327-2008</w:t>
            </w:r>
          </w:p>
        </w:tc>
      </w:tr>
    </w:tbl>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t>6.2抽样试验的样本大小为每批产品的0.5%，定期抽样频度每年至少1次，抽样数不得少于6件。如第一次抽样试验有不合格时，则应另取双倍数量的试样就不合格项目进行第二次试验，如仍不合格，则该批为不合格批，制造厂可逐件检查。</w:t>
      </w:r>
    </w:p>
    <w:p>
      <w:pPr>
        <w:rPr>
          <w:rFonts w:hint="eastAsia" w:ascii="宋体" w:hAnsi="宋体" w:eastAsia="宋体" w:cs="宋体"/>
          <w:sz w:val="24"/>
          <w:szCs w:val="24"/>
        </w:rPr>
      </w:pPr>
      <w:r>
        <w:rPr>
          <w:rFonts w:hint="eastAsia" w:ascii="宋体" w:hAnsi="宋体" w:eastAsia="宋体" w:cs="宋体"/>
          <w:sz w:val="24"/>
          <w:szCs w:val="24"/>
        </w:rPr>
        <w:t>6.3如有下列情况之一者，须按本标准第6.1条规定进行型式试验：</w:t>
      </w:r>
    </w:p>
    <w:p>
      <w:pPr>
        <w:rPr>
          <w:rFonts w:hint="eastAsia" w:ascii="宋体" w:hAnsi="宋体" w:eastAsia="宋体" w:cs="宋体"/>
          <w:sz w:val="24"/>
          <w:szCs w:val="24"/>
        </w:rPr>
      </w:pPr>
      <w:r>
        <w:rPr>
          <w:rFonts w:hint="eastAsia" w:ascii="宋体" w:hAnsi="宋体" w:eastAsia="宋体" w:cs="宋体"/>
          <w:sz w:val="24"/>
          <w:szCs w:val="24"/>
        </w:rPr>
        <w:t>a. 产品结构、原材料或生产工艺有重大变更时；</w:t>
      </w:r>
    </w:p>
    <w:p>
      <w:pPr>
        <w:rPr>
          <w:rFonts w:hint="eastAsia" w:ascii="宋体" w:hAnsi="宋体" w:eastAsia="宋体" w:cs="宋体"/>
          <w:sz w:val="24"/>
          <w:szCs w:val="24"/>
        </w:rPr>
      </w:pPr>
      <w:r>
        <w:rPr>
          <w:rFonts w:hint="eastAsia" w:ascii="宋体" w:hAnsi="宋体" w:eastAsia="宋体" w:cs="宋体"/>
          <w:sz w:val="24"/>
          <w:szCs w:val="24"/>
        </w:rPr>
        <w:t>b. 产品停产1~2年后，又重新投产时；</w:t>
      </w:r>
    </w:p>
    <w:p>
      <w:pPr>
        <w:rPr>
          <w:rFonts w:hint="eastAsia" w:ascii="宋体" w:hAnsi="宋体" w:eastAsia="宋体" w:cs="宋体"/>
          <w:sz w:val="24"/>
          <w:szCs w:val="24"/>
        </w:rPr>
      </w:pPr>
      <w:r>
        <w:rPr>
          <w:rFonts w:hint="eastAsia" w:ascii="宋体" w:hAnsi="宋体" w:eastAsia="宋体" w:cs="宋体"/>
          <w:sz w:val="24"/>
          <w:szCs w:val="24"/>
        </w:rPr>
        <w:t>c. 国家质量监督机构提出要求时；</w:t>
      </w:r>
    </w:p>
    <w:p>
      <w:pPr>
        <w:rPr>
          <w:rFonts w:hint="eastAsia" w:ascii="宋体" w:hAnsi="宋体" w:eastAsia="宋体" w:cs="宋体"/>
          <w:sz w:val="24"/>
          <w:szCs w:val="24"/>
        </w:rPr>
      </w:pPr>
      <w:r>
        <w:rPr>
          <w:rFonts w:hint="eastAsia" w:ascii="宋体" w:hAnsi="宋体" w:eastAsia="宋体" w:cs="宋体"/>
          <w:sz w:val="24"/>
          <w:szCs w:val="24"/>
        </w:rPr>
        <w:t>d. 新产品或老产品转厂生产的试制定型检验时。</w:t>
      </w:r>
    </w:p>
    <w:p>
      <w:pPr>
        <w:rPr>
          <w:rFonts w:hint="eastAsia" w:ascii="宋体" w:hAnsi="宋体" w:eastAsia="宋体" w:cs="宋体"/>
          <w:sz w:val="24"/>
          <w:szCs w:val="24"/>
        </w:rPr>
      </w:pPr>
      <w:r>
        <w:rPr>
          <w:rFonts w:hint="eastAsia" w:ascii="宋体" w:hAnsi="宋体" w:eastAsia="宋体" w:cs="宋体"/>
          <w:sz w:val="24"/>
          <w:szCs w:val="24"/>
        </w:rPr>
        <w:t>6.4产品应由制造厂质量检查部门检查合格后方能出厂。</w:t>
      </w:r>
    </w:p>
    <w:p>
      <w:pPr>
        <w:rPr>
          <w:rFonts w:hint="eastAsia" w:ascii="宋体" w:hAnsi="宋体" w:eastAsia="宋体" w:cs="宋体"/>
          <w:sz w:val="24"/>
          <w:szCs w:val="24"/>
        </w:rPr>
      </w:pPr>
      <w:r>
        <w:rPr>
          <w:rFonts w:hint="eastAsia" w:ascii="宋体" w:hAnsi="宋体" w:eastAsia="宋体" w:cs="宋体"/>
          <w:sz w:val="24"/>
          <w:szCs w:val="24"/>
        </w:rPr>
        <w:t>7标志、包装</w:t>
      </w:r>
    </w:p>
    <w:p>
      <w:pPr>
        <w:rPr>
          <w:rFonts w:hint="eastAsia" w:ascii="宋体" w:hAnsi="宋体" w:eastAsia="宋体" w:cs="宋体"/>
          <w:sz w:val="24"/>
          <w:szCs w:val="24"/>
        </w:rPr>
      </w:pPr>
      <w:r>
        <w:rPr>
          <w:rFonts w:hint="eastAsia" w:ascii="宋体" w:hAnsi="宋体" w:eastAsia="宋体" w:cs="宋体"/>
          <w:sz w:val="24"/>
          <w:szCs w:val="24"/>
        </w:rPr>
        <w:t>7.1产品上应有 符合本标准第4条规定的型号、规格标志，字迹应清晰可辨。</w:t>
      </w:r>
    </w:p>
    <w:p>
      <w:pPr>
        <w:rPr>
          <w:rFonts w:hint="eastAsia" w:ascii="宋体" w:hAnsi="宋体" w:eastAsia="宋体" w:cs="宋体"/>
          <w:sz w:val="24"/>
          <w:szCs w:val="24"/>
        </w:rPr>
      </w:pPr>
      <w:r>
        <w:rPr>
          <w:rFonts w:hint="eastAsia" w:ascii="宋体" w:hAnsi="宋体" w:eastAsia="宋体" w:cs="宋体"/>
          <w:sz w:val="24"/>
          <w:szCs w:val="24"/>
        </w:rPr>
        <w:t>7.2包装产品前应清除其内外表面油污或金属屑末，铝产品应在压接圆筒内表面涂上导电油脂，套上塑料帽盖后，用合适的包装物包装。</w:t>
      </w:r>
    </w:p>
    <w:p>
      <w:pPr>
        <w:rPr>
          <w:rFonts w:hint="eastAsia" w:ascii="宋体" w:hAnsi="宋体" w:eastAsia="宋体" w:cs="宋体"/>
          <w:sz w:val="24"/>
          <w:szCs w:val="24"/>
        </w:rPr>
      </w:pPr>
      <w:r>
        <w:rPr>
          <w:rFonts w:hint="eastAsia" w:ascii="宋体" w:hAnsi="宋体" w:eastAsia="宋体" w:cs="宋体"/>
          <w:sz w:val="24"/>
          <w:szCs w:val="24"/>
        </w:rPr>
        <w:t>7.3在包装物外表面应具有以下标志：</w:t>
      </w:r>
    </w:p>
    <w:p>
      <w:pPr>
        <w:rPr>
          <w:rFonts w:hint="eastAsia" w:ascii="宋体" w:hAnsi="宋体" w:eastAsia="宋体" w:cs="宋体"/>
          <w:sz w:val="24"/>
          <w:szCs w:val="24"/>
        </w:rPr>
      </w:pPr>
      <w:r>
        <w:rPr>
          <w:rFonts w:hint="eastAsia" w:ascii="宋体" w:hAnsi="宋体" w:eastAsia="宋体" w:cs="宋体"/>
          <w:sz w:val="24"/>
          <w:szCs w:val="24"/>
        </w:rPr>
        <w:t>a. 制造厂名；</w:t>
      </w:r>
    </w:p>
    <w:p>
      <w:pPr>
        <w:rPr>
          <w:rFonts w:hint="eastAsia" w:ascii="宋体" w:hAnsi="宋体" w:eastAsia="宋体" w:cs="宋体"/>
          <w:sz w:val="24"/>
          <w:szCs w:val="24"/>
        </w:rPr>
      </w:pPr>
      <w:r>
        <w:rPr>
          <w:rFonts w:hint="eastAsia" w:ascii="宋体" w:hAnsi="宋体" w:eastAsia="宋体" w:cs="宋体"/>
          <w:sz w:val="24"/>
          <w:szCs w:val="24"/>
        </w:rPr>
        <w:t>b. 产品型号、规格；</w:t>
      </w:r>
    </w:p>
    <w:p>
      <w:pPr>
        <w:rPr>
          <w:rFonts w:hint="eastAsia" w:ascii="宋体" w:hAnsi="宋体" w:eastAsia="宋体" w:cs="宋体"/>
          <w:sz w:val="24"/>
          <w:szCs w:val="24"/>
        </w:rPr>
      </w:pPr>
      <w:r>
        <w:rPr>
          <w:rFonts w:hint="eastAsia" w:ascii="宋体" w:hAnsi="宋体" w:eastAsia="宋体" w:cs="宋体"/>
          <w:sz w:val="24"/>
          <w:szCs w:val="24"/>
        </w:rPr>
        <w:t>c. 本标准编号。</w:t>
      </w:r>
    </w:p>
    <w:p>
      <w:pPr>
        <w:rPr>
          <w:rFonts w:hint="eastAsia" w:ascii="宋体" w:hAnsi="宋体" w:eastAsia="宋体" w:cs="宋体"/>
          <w:sz w:val="24"/>
          <w:szCs w:val="24"/>
        </w:rPr>
      </w:pPr>
      <w:r>
        <w:rPr>
          <w:rFonts w:hint="eastAsia" w:ascii="宋体" w:hAnsi="宋体" w:eastAsia="宋体" w:cs="宋体"/>
          <w:sz w:val="24"/>
          <w:szCs w:val="24"/>
        </w:rPr>
        <w:t>7.4包装袋内应附有产品检验合格证，合格证上应注明：</w:t>
      </w:r>
    </w:p>
    <w:p>
      <w:pPr>
        <w:rPr>
          <w:rFonts w:hint="eastAsia" w:ascii="宋体" w:hAnsi="宋体" w:eastAsia="宋体" w:cs="宋体"/>
          <w:sz w:val="24"/>
          <w:szCs w:val="24"/>
        </w:rPr>
      </w:pPr>
      <w:r>
        <w:rPr>
          <w:rFonts w:hint="eastAsia" w:ascii="宋体" w:hAnsi="宋体" w:eastAsia="宋体" w:cs="宋体"/>
          <w:sz w:val="24"/>
          <w:szCs w:val="24"/>
        </w:rPr>
        <w:t>a. 产品出厂年月；</w:t>
      </w:r>
    </w:p>
    <w:p>
      <w:pPr>
        <w:rPr>
          <w:rFonts w:hint="eastAsia" w:ascii="宋体" w:hAnsi="宋体" w:eastAsia="宋体" w:cs="宋体"/>
          <w:sz w:val="24"/>
          <w:szCs w:val="24"/>
        </w:rPr>
      </w:pPr>
      <w:r>
        <w:rPr>
          <w:rFonts w:hint="eastAsia" w:ascii="宋体" w:hAnsi="宋体" w:eastAsia="宋体" w:cs="宋体"/>
          <w:sz w:val="24"/>
          <w:szCs w:val="24"/>
        </w:rPr>
        <w:t xml:space="preserve">b. 检验者代号。 </w:t>
      </w:r>
    </w:p>
    <w:p>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2010609000101010101"/>
    <w:charset w:val="86"/>
    <w:family w:val="modern"/>
    <w:pitch w:val="default"/>
    <w:sig w:usb0="00000000" w:usb1="00000000" w:usb2="00000012"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6062ED"/>
    <w:multiLevelType w:val="multilevel"/>
    <w:tmpl w:val="5D6062ED"/>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3OGE2YWEwNjE4NGNjMTE0ZTZkODYxNTNkMTRmYzkifQ=="/>
  </w:docVars>
  <w:rsids>
    <w:rsidRoot w:val="009F2742"/>
    <w:rsid w:val="0001195C"/>
    <w:rsid w:val="00043B3C"/>
    <w:rsid w:val="000D1048"/>
    <w:rsid w:val="00343ABD"/>
    <w:rsid w:val="005B044F"/>
    <w:rsid w:val="00646FB8"/>
    <w:rsid w:val="006F78D5"/>
    <w:rsid w:val="007877E0"/>
    <w:rsid w:val="008B1278"/>
    <w:rsid w:val="008F58A5"/>
    <w:rsid w:val="009E6DAC"/>
    <w:rsid w:val="009F2742"/>
    <w:rsid w:val="00B74B05"/>
    <w:rsid w:val="00C05921"/>
    <w:rsid w:val="00C63EA2"/>
    <w:rsid w:val="00D354C9"/>
    <w:rsid w:val="00DC3C3A"/>
    <w:rsid w:val="0C1D4B9A"/>
    <w:rsid w:val="0D834947"/>
    <w:rsid w:val="135D13C9"/>
    <w:rsid w:val="1FFA5DAC"/>
    <w:rsid w:val="23EB5EE5"/>
    <w:rsid w:val="36A31F16"/>
    <w:rsid w:val="56345CAE"/>
    <w:rsid w:val="5B677DB6"/>
    <w:rsid w:val="5CC2067B"/>
    <w:rsid w:val="5E542086"/>
    <w:rsid w:val="69362D1E"/>
    <w:rsid w:val="6D737CA4"/>
    <w:rsid w:val="70952C86"/>
    <w:rsid w:val="70E476C0"/>
    <w:rsid w:val="75E84B5B"/>
    <w:rsid w:val="76AF006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6">
    <w:name w:val="heading 1"/>
    <w:basedOn w:val="1"/>
    <w:next w:val="1"/>
    <w:link w:val="19"/>
    <w:qFormat/>
    <w:uiPriority w:val="0"/>
    <w:pPr>
      <w:keepNext/>
      <w:keepLines/>
      <w:topLinePunct/>
      <w:spacing w:line="480" w:lineRule="auto"/>
      <w:ind w:firstLine="420"/>
      <w:textAlignment w:val="baseline"/>
      <w:outlineLvl w:val="0"/>
    </w:pPr>
    <w:rPr>
      <w:rFonts w:ascii="Times New Roman" w:hAnsi="Times New Roman" w:eastAsia="汉仪大宋简" w:cs="Times New Roman"/>
      <w:kern w:val="44"/>
      <w:sz w:val="22"/>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ind w:firstLine="420"/>
    </w:pPr>
  </w:style>
  <w:style w:type="paragraph" w:styleId="3">
    <w:name w:val="Body Text Indent"/>
    <w:basedOn w:val="1"/>
    <w:qFormat/>
    <w:uiPriority w:val="0"/>
    <w:pPr>
      <w:spacing w:after="120" w:afterLines="0"/>
      <w:ind w:left="420"/>
    </w:pPr>
  </w:style>
  <w:style w:type="paragraph" w:customStyle="1" w:styleId="4">
    <w:name w:val="表格文字"/>
    <w:basedOn w:val="5"/>
    <w:next w:val="1"/>
    <w:qFormat/>
    <w:uiPriority w:val="0"/>
    <w:pPr>
      <w:spacing w:line="420" w:lineRule="atLeast"/>
      <w:jc w:val="left"/>
      <w:textAlignment w:val="baseline"/>
    </w:pPr>
  </w:style>
  <w:style w:type="paragraph" w:styleId="5">
    <w:name w:val="List"/>
    <w:basedOn w:val="1"/>
    <w:qFormat/>
    <w:uiPriority w:val="0"/>
    <w:pPr>
      <w:ind w:left="420" w:hanging="420"/>
    </w:pPr>
  </w:style>
  <w:style w:type="paragraph" w:styleId="7">
    <w:name w:val="annotation text"/>
    <w:basedOn w:val="1"/>
    <w:link w:val="15"/>
    <w:unhideWhenUsed/>
    <w:qFormat/>
    <w:uiPriority w:val="0"/>
    <w:pPr>
      <w:adjustRightInd w:val="0"/>
      <w:spacing w:line="360" w:lineRule="atLeast"/>
      <w:jc w:val="left"/>
    </w:pPr>
    <w:rPr>
      <w:rFonts w:ascii="Times New Roman" w:hAnsi="Times New Roman"/>
      <w:kern w:val="0"/>
      <w:sz w:val="24"/>
      <w:szCs w:val="20"/>
    </w:rPr>
  </w:style>
  <w:style w:type="paragraph" w:styleId="8">
    <w:name w:val="Balloon Text"/>
    <w:basedOn w:val="1"/>
    <w:link w:val="16"/>
    <w:unhideWhenUsed/>
    <w:qFormat/>
    <w:uiPriority w:val="99"/>
    <w:rPr>
      <w:sz w:val="18"/>
      <w:szCs w:val="18"/>
    </w:rPr>
  </w:style>
  <w:style w:type="paragraph" w:styleId="9">
    <w:name w:val="footer"/>
    <w:basedOn w:val="1"/>
    <w:link w:val="17"/>
    <w:unhideWhenUsed/>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1 Char"/>
    <w:basedOn w:val="13"/>
    <w:link w:val="6"/>
    <w:uiPriority w:val="9"/>
    <w:rPr>
      <w:b/>
      <w:bCs/>
      <w:kern w:val="44"/>
      <w:sz w:val="44"/>
      <w:szCs w:val="44"/>
    </w:rPr>
  </w:style>
  <w:style w:type="character" w:customStyle="1" w:styleId="15">
    <w:name w:val="批注文字 Char"/>
    <w:basedOn w:val="13"/>
    <w:link w:val="7"/>
    <w:semiHidden/>
    <w:qFormat/>
    <w:uiPriority w:val="0"/>
    <w:rPr>
      <w:rFonts w:ascii="Times New Roman" w:hAnsi="Times New Roman"/>
      <w:sz w:val="24"/>
    </w:rPr>
  </w:style>
  <w:style w:type="character" w:customStyle="1" w:styleId="16">
    <w:name w:val="批注框文本 Char"/>
    <w:basedOn w:val="13"/>
    <w:link w:val="8"/>
    <w:semiHidden/>
    <w:qFormat/>
    <w:uiPriority w:val="99"/>
    <w:rPr>
      <w:sz w:val="18"/>
      <w:szCs w:val="18"/>
    </w:rPr>
  </w:style>
  <w:style w:type="character" w:customStyle="1" w:styleId="17">
    <w:name w:val="页脚 Char"/>
    <w:basedOn w:val="13"/>
    <w:link w:val="9"/>
    <w:semiHidden/>
    <w:qFormat/>
    <w:uiPriority w:val="99"/>
    <w:rPr>
      <w:kern w:val="2"/>
      <w:sz w:val="18"/>
      <w:szCs w:val="18"/>
    </w:rPr>
  </w:style>
  <w:style w:type="character" w:customStyle="1" w:styleId="18">
    <w:name w:val="页眉 Char"/>
    <w:basedOn w:val="13"/>
    <w:link w:val="10"/>
    <w:semiHidden/>
    <w:qFormat/>
    <w:uiPriority w:val="99"/>
    <w:rPr>
      <w:kern w:val="2"/>
      <w:sz w:val="18"/>
      <w:szCs w:val="18"/>
    </w:rPr>
  </w:style>
  <w:style w:type="character" w:customStyle="1" w:styleId="19">
    <w:name w:val="标题 1 Char1"/>
    <w:basedOn w:val="13"/>
    <w:link w:val="6"/>
    <w:qFormat/>
    <w:uiPriority w:val="0"/>
    <w:rPr>
      <w:rFonts w:ascii="Times New Roman" w:hAnsi="Times New Roman" w:eastAsia="汉仪大宋简" w:cs="Times New Roman"/>
      <w:kern w:val="44"/>
      <w:sz w:val="22"/>
    </w:rPr>
  </w:style>
  <w:style w:type="paragraph" w:customStyle="1" w:styleId="20">
    <w:name w:val="正文表标题"/>
    <w:next w:val="21"/>
    <w:qFormat/>
    <w:uiPriority w:val="0"/>
    <w:pPr>
      <w:numPr>
        <w:ilvl w:val="0"/>
        <w:numId w:val="1"/>
      </w:numPr>
      <w:spacing w:before="156" w:beforeLines="50"/>
      <w:jc w:val="center"/>
    </w:pPr>
    <w:rPr>
      <w:rFonts w:ascii="黑体" w:hAnsi="Times New Roman" w:eastAsia="黑体" w:cs="Times New Roman"/>
      <w:sz w:val="21"/>
      <w:lang w:val="en-US" w:eastAsia="zh-CN" w:bidi="ar-SA"/>
    </w:rPr>
  </w:style>
  <w:style w:type="paragraph" w:customStyle="1" w:styleId="2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2074</Words>
  <Characters>2406</Characters>
  <Lines>18</Lines>
  <Paragraphs>5</Paragraphs>
  <TotalTime>0</TotalTime>
  <ScaleCrop>false</ScaleCrop>
  <LinksUpToDate>false</LinksUpToDate>
  <CharactersWithSpaces>2506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2013-11-27T04:00:00Z</dcterms:created>
  <dc:creator>Administrator</dc:creator>
  <cp:lastModifiedBy>I'm</cp:lastModifiedBy>
  <dcterms:modified xsi:type="dcterms:W3CDTF">2025-08-15T06:37:47Z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60882A3EEA8443E78E0DAD57F78F71C3_13</vt:lpwstr>
  </property>
  <property fmtid="{D5CDD505-2E9C-101B-9397-08002B2CF9AE}" pid="4" name="KSOTemplateDocerSaveRecord">
    <vt:lpwstr>eyJoZGlkIjoiMzMzZGNmYTA3YjVmY2NkYWYzNjhhZDE2MzZjODZkM2UiLCJ1c2VySWQiOiIzOTIyOTgyNTAifQ==</vt:lpwstr>
  </property>
</Properties>
</file>