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pStyle w:val="2"/>
        <w:ind w:left="0" w:leftChars="0" w:firstLine="0" w:firstLineChars="0"/>
        <w:jc w:val="cente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供参考，具体内容以采购文件为准</w:t>
      </w:r>
      <w:r>
        <w:rPr>
          <w:rFonts w:hint="eastAsia" w:asciiTheme="minorEastAsia" w:hAnsiTheme="minorEastAsia" w:eastAsiaTheme="minorEastAsia"/>
          <w:b/>
          <w:sz w:val="28"/>
          <w:highlight w:val="none"/>
          <w:lang w:eastAsia="zh-CN"/>
        </w:rPr>
        <w:t>）</w:t>
      </w:r>
    </w:p>
    <w:p>
      <w:pPr>
        <w:spacing w:line="360" w:lineRule="auto"/>
        <w:rPr>
          <w:rFonts w:asciiTheme="minorEastAsia" w:hAnsiTheme="minorEastAsia" w:eastAsiaTheme="minorEastAsia"/>
          <w:b/>
          <w:sz w:val="24"/>
          <w:highlight w:val="none"/>
        </w:rPr>
      </w:pPr>
      <w:bookmarkStart w:id="2" w:name="_GoBack"/>
      <w:bookmarkEnd w:id="2"/>
      <w:r>
        <w:rPr>
          <w:rFonts w:hint="eastAsia" w:asciiTheme="minorEastAsia" w:hAnsiTheme="minorEastAsia" w:eastAsiaTheme="minorEastAsia"/>
          <w:b/>
          <w:sz w:val="24"/>
          <w:highlight w:val="none"/>
        </w:rPr>
        <w:t>前注：</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8"/>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8"/>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8"/>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eastAsia" w:ascii="宋体" w:hAnsi="宋体" w:eastAsia="宋体" w:cs="宋体"/>
                <w:b w:val="0"/>
                <w:bCs w:val="0"/>
                <w:sz w:val="24"/>
                <w:szCs w:val="24"/>
                <w:highlight w:val="none"/>
                <w:lang w:eastAsia="zh-CN"/>
              </w:rPr>
              <w:t>合同签订后，采购人支付合同款的30%；成交供应商服务期满2年，采购人支付合同款的30%；服务期满后，一次性支付剩余合同款。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pPr>
              <w:pStyle w:val="8"/>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pPr>
              <w:pStyle w:val="8"/>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cs="宋体"/>
                <w:b w:val="0"/>
                <w:sz w:val="24"/>
                <w:szCs w:val="24"/>
                <w:highlight w:val="none"/>
                <w:lang w:val="en-US" w:eastAsia="zh-CN"/>
              </w:rPr>
              <w:t>合同签订后三年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4</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val="en-US" w:eastAsia="zh-CN"/>
              </w:rPr>
              <w:t>安徽肥东管湾国家湿地公园2025年省财政湿地保护修复资金项目</w:t>
            </w:r>
          </w:p>
          <w:p>
            <w:pPr>
              <w:rPr>
                <w:rFonts w:ascii="宋体" w:hAnsi="宋体" w:eastAsia="宋体"/>
                <w:sz w:val="24"/>
                <w:highlight w:val="none"/>
                <w:u w:val="single"/>
              </w:rPr>
            </w:pPr>
            <w:r>
              <w:rPr>
                <w:rFonts w:hint="eastAsia" w:asciiTheme="minorEastAsia" w:hAnsiTheme="minorEastAsia" w:eastAsiaTheme="minorEastAsia"/>
                <w:sz w:val="24"/>
                <w:highlight w:val="none"/>
              </w:rPr>
              <w:t>所属行业：</w:t>
            </w:r>
            <w:r>
              <w:rPr>
                <w:rFonts w:ascii="宋体" w:hAnsi="宋体" w:eastAsia="宋体" w:cs="宋体"/>
                <w:sz w:val="24"/>
                <w:szCs w:val="24"/>
                <w:highlight w:val="none"/>
                <w:lang w:eastAsia="zh-CN"/>
              </w:rPr>
              <w:t>其他未列明行业</w:t>
            </w:r>
          </w:p>
        </w:tc>
      </w:tr>
    </w:tbl>
    <w:p>
      <w:pPr>
        <w:spacing w:line="360" w:lineRule="auto"/>
        <w:ind w:firstLine="437"/>
        <w:outlineLvl w:val="1"/>
        <w:rPr>
          <w:rFonts w:ascii="宋体" w:hAnsi="宋体" w:eastAsia="宋体"/>
          <w:b/>
          <w:sz w:val="24"/>
          <w:szCs w:val="18"/>
          <w:highlight w:val="none"/>
        </w:rPr>
      </w:pPr>
      <w:bookmarkStart w:id="0" w:name="_Hlk16461016"/>
      <w:r>
        <w:rPr>
          <w:rFonts w:hint="eastAsia" w:ascii="宋体" w:hAnsi="宋体" w:eastAsia="宋体"/>
          <w:b/>
          <w:sz w:val="24"/>
          <w:szCs w:val="18"/>
          <w:highlight w:val="none"/>
        </w:rPr>
        <w:t>二、项目概况</w:t>
      </w:r>
    </w:p>
    <w:p>
      <w:pPr>
        <w:spacing w:line="360" w:lineRule="auto"/>
        <w:ind w:firstLine="480" w:firstLineChars="200"/>
        <w:rPr>
          <w:rFonts w:ascii="宋体" w:hAnsi="宋体" w:eastAsia="宋体"/>
          <w:sz w:val="24"/>
          <w:szCs w:val="24"/>
          <w:highlight w:val="none"/>
          <w:lang w:eastAsia="zh-CN"/>
        </w:rPr>
      </w:pPr>
      <w:r>
        <w:rPr>
          <w:rFonts w:hint="eastAsia" w:ascii="宋体" w:hAnsi="宋体" w:eastAsia="宋体"/>
          <w:sz w:val="24"/>
          <w:szCs w:val="24"/>
          <w:highlight w:val="none"/>
          <w:lang w:eastAsia="zh-CN"/>
        </w:rPr>
        <w:t>安徽肥东管湾国家湿地公园位于肥东县北部，是江淮分水岭地区“河流—库塘—陂塘”复合型湿地生态系统的典型代表。规划范围涉及梁园镇、杨店乡和牌坊回族满族乡，总面积664.24公顷，湿地面积412.81公顷，湿地率62.00%。湿地公园</w:t>
      </w:r>
      <w:r>
        <w:rPr>
          <w:rFonts w:hint="eastAsia" w:ascii="宋体" w:hAnsi="宋体" w:eastAsia="宋体"/>
          <w:sz w:val="24"/>
          <w:szCs w:val="24"/>
          <w:highlight w:val="none"/>
          <w:lang w:val="en-US" w:eastAsia="zh-CN"/>
        </w:rPr>
        <w:t>在</w:t>
      </w:r>
      <w:r>
        <w:rPr>
          <w:rFonts w:hint="eastAsia" w:ascii="宋体" w:hAnsi="宋体" w:eastAsia="宋体"/>
          <w:sz w:val="24"/>
          <w:szCs w:val="24"/>
          <w:highlight w:val="none"/>
          <w:lang w:eastAsia="zh-CN"/>
        </w:rPr>
        <w:t>维持管湾湖周边生物多样性、保障江淮分水岭地区生态安全、完善环巢湖地区湿地保护等方面承担着至关重要的作用。</w:t>
      </w:r>
    </w:p>
    <w:p>
      <w:pPr>
        <w:spacing w:line="360" w:lineRule="auto"/>
        <w:ind w:firstLine="480" w:firstLineChars="200"/>
        <w:rPr>
          <w:rFonts w:ascii="宋体" w:hAnsi="宋体" w:eastAsia="宋体"/>
          <w:b/>
          <w:sz w:val="24"/>
          <w:szCs w:val="18"/>
          <w:highlight w:val="none"/>
        </w:rPr>
      </w:pPr>
      <w:r>
        <w:rPr>
          <w:rFonts w:hint="eastAsia" w:ascii="宋体" w:hAnsi="宋体" w:eastAsia="宋体"/>
          <w:sz w:val="24"/>
          <w:szCs w:val="24"/>
          <w:highlight w:val="none"/>
          <w:lang w:eastAsia="zh-CN"/>
        </w:rPr>
        <w:t>安徽肥东管湾国家湿地公园作为重要的生态保护区，其生态环境的保护与可持续发展对于维护生物多样性、促进地区生态平衡具有不可替代的作用。为积极响应《全国湿地保护规划（2022-2030年）》、《安徽省湿地保护规划（2022—2030年）》及《关于加强湿地“人防+技防”工作的通知》（皖林长办〔2023〕10号）等文件要求，落实国家、省、市、县各级湿地保护管理政策，强化湿地保护管理能力，肥东管湾国家湿地公园迫切需要建设一套技术先进、功能全面、系统完整的信息化系统。通过建设智慧湿地视频监控系统，能够实时监控湿地状态，及时发现和处理潜在的生态威胁，也是湿地保护现代化、智能化的体现。智慧湿地视频监控系统的应用将有效推动湿地保护管理工作向技防为主、人技结合的新型管理模式转变，实现精准管控、精细管理、精确施策的管理目标。</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pPr>
        <w:spacing w:line="36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本项目服务内容包括</w:t>
      </w:r>
      <w:bookmarkStart w:id="1" w:name="_Hlk192578529"/>
      <w:r>
        <w:rPr>
          <w:rFonts w:hint="eastAsia" w:ascii="宋体" w:hAnsi="宋体" w:eastAsia="宋体"/>
          <w:sz w:val="24"/>
          <w:szCs w:val="24"/>
          <w:highlight w:val="none"/>
          <w:lang w:eastAsia="zh-CN"/>
        </w:rPr>
        <w:t>高空监控点位视频服务</w:t>
      </w:r>
      <w:bookmarkEnd w:id="1"/>
      <w:r>
        <w:rPr>
          <w:rFonts w:hint="eastAsia" w:ascii="宋体" w:hAnsi="宋体" w:eastAsia="宋体"/>
          <w:sz w:val="24"/>
          <w:szCs w:val="24"/>
          <w:highlight w:val="none"/>
          <w:lang w:eastAsia="zh-CN"/>
        </w:rPr>
        <w:t>、低空监控点位视频服务、湿地指挥中心建设服务、智慧湿地监管平台服务以及小型设备购置。通过完善智慧湿地监控服务，依托远程智慧视频监控系统，可对湿地公园重点区域实时可视化自动监管覆盖，加速推动湿地保护向新型智慧管理模式转变，不断推进湿地保护监管力度。本项目所配备的所有资源应能充分满足服务需求。</w:t>
      </w:r>
    </w:p>
    <w:p>
      <w:pPr>
        <w:pStyle w:val="9"/>
        <w:numPr>
          <w:ilvl w:val="0"/>
          <w:numId w:val="0"/>
        </w:numPr>
        <w:spacing w:line="360" w:lineRule="auto"/>
        <w:ind w:leftChars="200"/>
        <w:jc w:val="both"/>
        <w:rPr>
          <w:rFonts w:ascii="宋体" w:hAnsi="宋体" w:eastAsia="宋体"/>
          <w:b/>
          <w:bCs/>
          <w:sz w:val="24"/>
          <w:szCs w:val="24"/>
          <w:highlight w:val="none"/>
          <w:lang w:eastAsia="zh-CN"/>
        </w:rPr>
      </w:pPr>
      <w:r>
        <w:rPr>
          <w:rFonts w:hint="eastAsia" w:ascii="宋体" w:hAnsi="宋体" w:eastAsia="宋体"/>
          <w:b/>
          <w:bCs/>
          <w:sz w:val="24"/>
          <w:szCs w:val="24"/>
          <w:highlight w:val="none"/>
          <w:lang w:val="en-US" w:eastAsia="zh-CN"/>
        </w:rPr>
        <w:t>1、</w:t>
      </w:r>
      <w:r>
        <w:rPr>
          <w:rFonts w:hint="eastAsia" w:ascii="宋体" w:hAnsi="宋体" w:eastAsia="宋体"/>
          <w:b/>
          <w:bCs/>
          <w:sz w:val="24"/>
          <w:szCs w:val="24"/>
          <w:highlight w:val="none"/>
          <w:lang w:eastAsia="zh-CN"/>
        </w:rPr>
        <w:t>高空监控点位视频服务</w:t>
      </w:r>
    </w:p>
    <w:p>
      <w:pPr>
        <w:spacing w:line="36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为最大限度保护湿地公园生态环境，综合利用湿地公园现有资源，充分利用项目资金，综合考虑</w:t>
      </w:r>
      <w:r>
        <w:rPr>
          <w:rFonts w:hint="eastAsia" w:ascii="宋体" w:hAnsi="宋体" w:eastAsia="宋体"/>
          <w:sz w:val="24"/>
          <w:szCs w:val="24"/>
          <w:highlight w:val="none"/>
          <w:lang w:eastAsia="zh-CN"/>
        </w:rPr>
        <w:t>管湾湿地生态保护及巡护监管的实际需求</w:t>
      </w:r>
      <w:r>
        <w:rPr>
          <w:rFonts w:hint="eastAsia" w:ascii="宋体" w:hAnsi="宋体" w:eastAsia="宋体"/>
          <w:sz w:val="24"/>
          <w:szCs w:val="24"/>
          <w:highlight w:val="none"/>
          <w:lang w:val="en-US" w:eastAsia="zh-CN"/>
        </w:rPr>
        <w:t>，成交供应商须在成交后建设不低于5处</w:t>
      </w:r>
      <w:r>
        <w:rPr>
          <w:rFonts w:hint="eastAsia" w:ascii="宋体" w:hAnsi="宋体" w:eastAsia="宋体"/>
          <w:sz w:val="24"/>
          <w:szCs w:val="24"/>
          <w:highlight w:val="none"/>
          <w:lang w:eastAsia="zh-CN"/>
        </w:rPr>
        <w:t>高空监控点位视频服务</w:t>
      </w:r>
      <w:r>
        <w:rPr>
          <w:rFonts w:hint="eastAsia" w:ascii="宋体" w:hAnsi="宋体" w:eastAsia="宋体"/>
          <w:sz w:val="24"/>
          <w:szCs w:val="24"/>
          <w:highlight w:val="none"/>
          <w:lang w:val="en-US" w:eastAsia="zh-CN"/>
        </w:rPr>
        <w:t>，实现湿地范围全覆盖，</w:t>
      </w:r>
      <w:r>
        <w:rPr>
          <w:rFonts w:hint="eastAsia" w:ascii="宋体" w:hAnsi="宋体" w:eastAsia="宋体"/>
          <w:sz w:val="24"/>
          <w:szCs w:val="24"/>
          <w:highlight w:val="none"/>
          <w:lang w:eastAsia="zh-CN"/>
        </w:rPr>
        <w:t>要求挂载高度不低于</w:t>
      </w:r>
      <w:r>
        <w:rPr>
          <w:rFonts w:hint="eastAsia" w:ascii="宋体" w:hAnsi="宋体" w:eastAsia="宋体"/>
          <w:sz w:val="24"/>
          <w:szCs w:val="24"/>
          <w:highlight w:val="none"/>
          <w:lang w:val="en-US" w:eastAsia="zh-CN"/>
        </w:rPr>
        <w:t>30</w:t>
      </w:r>
      <w:r>
        <w:rPr>
          <w:rFonts w:hint="eastAsia" w:ascii="宋体" w:hAnsi="宋体" w:eastAsia="宋体"/>
          <w:sz w:val="24"/>
          <w:szCs w:val="24"/>
          <w:highlight w:val="none"/>
          <w:lang w:eastAsia="zh-CN"/>
        </w:rPr>
        <w:t>米，并提供一系列智慧AI监管算法服务，实现对湿地周边火情的24小时不间断、全方位、自动化监测预警；实时违规活动监测，及时发现并打击湿地保护区内的多种违规行为，包括但不限于违规建设、岸线监管疏漏、盗采资源以及违法船只活动等；河湖区域的“四乱”行为（即乱采、乱占、乱堆、乱建），以及违规捕捞和重点区域的异常进入等行为。</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合同执行时，采购人将核查成交供应商</w:t>
      </w:r>
      <w:r>
        <w:rPr>
          <w:rFonts w:hint="eastAsia" w:ascii="宋体" w:hAnsi="宋体" w:eastAsia="宋体"/>
          <w:sz w:val="24"/>
          <w:szCs w:val="24"/>
          <w:highlight w:val="none"/>
          <w:lang w:eastAsia="zh-CN"/>
        </w:rPr>
        <w:t>高空监控点位</w:t>
      </w:r>
      <w:r>
        <w:rPr>
          <w:rFonts w:hint="eastAsia" w:ascii="宋体" w:hAnsi="宋体" w:eastAsia="宋体"/>
          <w:sz w:val="24"/>
          <w:szCs w:val="24"/>
          <w:highlight w:val="none"/>
          <w:lang w:val="en-US" w:eastAsia="zh-CN"/>
        </w:rPr>
        <w:t>建设情况，如发现弄虚作假或不满足采购人实际需求的情况，采购人将报监管部门依法处理，所造成的全部责任由成交供应商承担。</w:t>
      </w:r>
    </w:p>
    <w:p>
      <w:pPr>
        <w:pStyle w:val="9"/>
        <w:numPr>
          <w:ilvl w:val="0"/>
          <w:numId w:val="0"/>
        </w:numPr>
        <w:spacing w:line="360" w:lineRule="auto"/>
        <w:ind w:leftChars="200"/>
        <w:rPr>
          <w:rFonts w:ascii="宋体" w:hAnsi="宋体" w:eastAsia="宋体"/>
          <w:b/>
          <w:bCs/>
          <w:sz w:val="24"/>
          <w:szCs w:val="24"/>
          <w:highlight w:val="none"/>
          <w:lang w:eastAsia="zh-CN"/>
        </w:rPr>
      </w:pPr>
      <w:r>
        <w:rPr>
          <w:rFonts w:hint="eastAsia" w:ascii="宋体" w:hAnsi="宋体" w:eastAsia="宋体"/>
          <w:b/>
          <w:bCs/>
          <w:sz w:val="24"/>
          <w:szCs w:val="24"/>
          <w:highlight w:val="none"/>
          <w:lang w:val="en-US" w:eastAsia="zh-CN"/>
        </w:rPr>
        <w:t>2、</w:t>
      </w:r>
      <w:r>
        <w:rPr>
          <w:rFonts w:hint="eastAsia" w:ascii="宋体" w:hAnsi="宋体" w:eastAsia="宋体"/>
          <w:b/>
          <w:bCs/>
          <w:sz w:val="24"/>
          <w:szCs w:val="24"/>
          <w:highlight w:val="none"/>
          <w:lang w:eastAsia="zh-CN"/>
        </w:rPr>
        <w:t>低空监控点位视频服务</w:t>
      </w:r>
    </w:p>
    <w:p>
      <w:pPr>
        <w:spacing w:line="36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为最大限度保护湿地公园生态环境，综合利用湿地公园现有资源，充分利用项目资金，成交供应商须在成交后建设不低于5处</w:t>
      </w:r>
      <w:r>
        <w:rPr>
          <w:rFonts w:hint="eastAsia" w:ascii="宋体" w:hAnsi="宋体" w:eastAsia="宋体"/>
          <w:sz w:val="24"/>
          <w:szCs w:val="24"/>
          <w:highlight w:val="none"/>
          <w:lang w:eastAsia="zh-CN"/>
        </w:rPr>
        <w:t>低空监控点位视频服务，要求挂载高度不低于15米。通过设置入侵告警算法绘制电子围栏和警戒区域，进行重点区域全覆盖实施安全防范和实时动态监护，有效监管出入口的人员及车辆等。</w:t>
      </w:r>
    </w:p>
    <w:p>
      <w:pPr>
        <w:spacing w:line="360" w:lineRule="auto"/>
        <w:ind w:firstLine="480" w:firstLineChars="200"/>
        <w:rPr>
          <w:rFonts w:ascii="宋体" w:hAnsi="宋体" w:eastAsia="宋体"/>
          <w:sz w:val="24"/>
          <w:szCs w:val="24"/>
          <w:highlight w:val="none"/>
          <w:lang w:eastAsia="zh-CN"/>
        </w:rPr>
      </w:pPr>
      <w:r>
        <w:rPr>
          <w:rFonts w:hint="eastAsia" w:ascii="宋体" w:hAnsi="宋体" w:eastAsia="宋体"/>
          <w:sz w:val="24"/>
          <w:szCs w:val="24"/>
          <w:highlight w:val="none"/>
          <w:lang w:val="en-US" w:eastAsia="zh-CN"/>
        </w:rPr>
        <w:t>合同执行时，采购人将核查成交供应商</w:t>
      </w:r>
      <w:r>
        <w:rPr>
          <w:rFonts w:hint="eastAsia" w:ascii="宋体" w:hAnsi="宋体" w:eastAsia="宋体"/>
          <w:sz w:val="24"/>
          <w:szCs w:val="24"/>
          <w:highlight w:val="none"/>
          <w:lang w:eastAsia="zh-CN"/>
        </w:rPr>
        <w:t>低空监控点位</w:t>
      </w:r>
      <w:r>
        <w:rPr>
          <w:rFonts w:hint="eastAsia" w:ascii="宋体" w:hAnsi="宋体" w:eastAsia="宋体"/>
          <w:sz w:val="24"/>
          <w:szCs w:val="24"/>
          <w:highlight w:val="none"/>
          <w:lang w:val="en-US" w:eastAsia="zh-CN"/>
        </w:rPr>
        <w:t>建设情况，如发现弄虚作假或不满足采购人实际需求的情况，采购人将报监管部门依法处理，所造成的全部责任由成交供应商承担。</w:t>
      </w:r>
    </w:p>
    <w:p>
      <w:pPr>
        <w:pStyle w:val="9"/>
        <w:numPr>
          <w:ilvl w:val="0"/>
          <w:numId w:val="0"/>
        </w:numPr>
        <w:spacing w:line="360" w:lineRule="auto"/>
        <w:ind w:leftChars="200"/>
        <w:rPr>
          <w:rFonts w:ascii="宋体" w:hAnsi="宋体" w:eastAsia="宋体"/>
          <w:b/>
          <w:bCs/>
          <w:sz w:val="24"/>
          <w:szCs w:val="24"/>
          <w:highlight w:val="none"/>
          <w:lang w:eastAsia="zh-CN"/>
        </w:rPr>
      </w:pP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3）</w:t>
      </w:r>
      <w:r>
        <w:rPr>
          <w:rFonts w:hint="eastAsia" w:ascii="宋体" w:hAnsi="宋体" w:eastAsia="宋体"/>
          <w:b/>
          <w:bCs/>
          <w:sz w:val="24"/>
          <w:szCs w:val="24"/>
          <w:highlight w:val="none"/>
          <w:lang w:eastAsia="zh-CN"/>
        </w:rPr>
        <w:t>湿地指挥中心建设服务</w:t>
      </w:r>
    </w:p>
    <w:p>
      <w:pPr>
        <w:spacing w:line="360" w:lineRule="auto"/>
        <w:ind w:firstLine="480" w:firstLineChars="200"/>
        <w:rPr>
          <w:rFonts w:ascii="宋体" w:hAnsi="宋体" w:eastAsia="宋体"/>
          <w:sz w:val="24"/>
          <w:szCs w:val="24"/>
          <w:highlight w:val="none"/>
          <w:lang w:eastAsia="zh-CN"/>
        </w:rPr>
      </w:pPr>
      <w:r>
        <w:rPr>
          <w:rFonts w:hint="eastAsia" w:ascii="宋体" w:hAnsi="宋体" w:eastAsia="宋体"/>
          <w:sz w:val="24"/>
          <w:szCs w:val="24"/>
          <w:highlight w:val="none"/>
          <w:lang w:eastAsia="zh-CN"/>
        </w:rPr>
        <w:t>考虑湿地公园合理利用（湿地研学）满足100人以上的研学活动空间，本项目拟采购管湾湿地指挥中心建设服务，规划面积约200㎡。智慧湿地监管平台指挥中心应满足肥东管湾国家湿地公园的实时监管、科学决策及科普宣教等功能场景下的使用，指挥中心室内建设不少于12平方米LED大屏及配套音响扩声系统设施设备，进行全方位的监测数据、湿地资源及湿地保护建设成效展示等。提供湿地内水草打捞设备采购服务，主要用于园区水生植物打捞收割等水面维护作业服务，提高水生植物打捞收割等维护效率。</w:t>
      </w:r>
    </w:p>
    <w:p>
      <w:pPr>
        <w:spacing w:line="36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提供配套智慧湿地监管平台服务，满足管湾湿地保护区内工作人员对湿地资源的调查、监测和统计、对野生动植物资源和生物多样性的调查保护、对巡护人员的日常工作管理以及承担湿地违法监管及防火业务管理的需求，其功能要求如下：</w:t>
      </w:r>
    </w:p>
    <w:p>
      <w:pPr>
        <w:spacing w:line="36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fldChar w:fldCharType="begin"/>
      </w:r>
      <w:r>
        <w:rPr>
          <w:rFonts w:hint="eastAsia" w:ascii="宋体" w:hAnsi="宋体" w:eastAsia="宋体"/>
          <w:sz w:val="24"/>
          <w:szCs w:val="24"/>
          <w:highlight w:val="none"/>
          <w:lang w:eastAsia="zh-CN"/>
        </w:rPr>
        <w:instrText xml:space="preserve">=1\*GB3</w:instrText>
      </w:r>
      <w:r>
        <w:rPr>
          <w:rFonts w:hint="eastAsia" w:ascii="宋体" w:hAnsi="宋体" w:eastAsia="宋体"/>
          <w:sz w:val="24"/>
          <w:szCs w:val="24"/>
          <w:highlight w:val="none"/>
          <w:lang w:eastAsia="zh-CN"/>
        </w:rPr>
        <w:fldChar w:fldCharType="separate"/>
      </w:r>
      <w:r>
        <w:rPr>
          <w:rFonts w:hint="eastAsia" w:ascii="宋体" w:hAnsi="宋体" w:eastAsia="宋体"/>
          <w:sz w:val="24"/>
          <w:szCs w:val="24"/>
          <w:highlight w:val="none"/>
          <w:lang w:eastAsia="zh-CN"/>
        </w:rPr>
        <w:t>①</w:t>
      </w:r>
      <w:r>
        <w:rPr>
          <w:rFonts w:hint="eastAsia" w:ascii="宋体" w:hAnsi="宋体" w:eastAsia="宋体"/>
          <w:sz w:val="24"/>
          <w:szCs w:val="24"/>
          <w:highlight w:val="none"/>
          <w:lang w:eastAsia="zh-CN"/>
        </w:rPr>
        <w:fldChar w:fldCharType="end"/>
      </w:r>
      <w:r>
        <w:rPr>
          <w:rFonts w:hint="eastAsia" w:ascii="宋体" w:hAnsi="宋体" w:eastAsia="宋体"/>
          <w:sz w:val="24"/>
          <w:szCs w:val="24"/>
          <w:highlight w:val="none"/>
          <w:lang w:eastAsia="zh-CN"/>
        </w:rPr>
        <w:t>湿地监管一张图模块：以大数据可视化界面的方式展示管湾国家湿地公园的全量要素，包括湿地资源概况、物种资源统计、巡查数据统计、监控设备统计、天气数据、视频监控、告警统计等。</w:t>
      </w:r>
    </w:p>
    <w:p>
      <w:pPr>
        <w:spacing w:line="36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fldChar w:fldCharType="begin"/>
      </w:r>
      <w:r>
        <w:rPr>
          <w:rFonts w:hint="eastAsia" w:ascii="宋体" w:hAnsi="宋体" w:eastAsia="宋体"/>
          <w:sz w:val="24"/>
          <w:szCs w:val="24"/>
          <w:highlight w:val="none"/>
          <w:lang w:eastAsia="zh-CN"/>
        </w:rPr>
        <w:instrText xml:space="preserve">=2\*GB3</w:instrText>
      </w:r>
      <w:r>
        <w:rPr>
          <w:rFonts w:hint="eastAsia" w:ascii="宋体" w:hAnsi="宋体" w:eastAsia="宋体"/>
          <w:sz w:val="24"/>
          <w:szCs w:val="24"/>
          <w:highlight w:val="none"/>
          <w:lang w:eastAsia="zh-CN"/>
        </w:rPr>
        <w:fldChar w:fldCharType="separate"/>
      </w:r>
      <w:r>
        <w:rPr>
          <w:rFonts w:hint="eastAsia" w:ascii="宋体" w:hAnsi="宋体" w:eastAsia="宋体"/>
          <w:sz w:val="24"/>
          <w:szCs w:val="24"/>
          <w:highlight w:val="none"/>
          <w:lang w:eastAsia="zh-CN"/>
        </w:rPr>
        <w:t>②</w:t>
      </w:r>
      <w:r>
        <w:rPr>
          <w:rFonts w:hint="eastAsia" w:ascii="宋体" w:hAnsi="宋体" w:eastAsia="宋体"/>
          <w:sz w:val="24"/>
          <w:szCs w:val="24"/>
          <w:highlight w:val="none"/>
          <w:lang w:eastAsia="zh-CN"/>
        </w:rPr>
        <w:fldChar w:fldCharType="end"/>
      </w:r>
      <w:r>
        <w:rPr>
          <w:rFonts w:hint="eastAsia" w:ascii="宋体" w:hAnsi="宋体" w:eastAsia="宋体"/>
          <w:sz w:val="24"/>
          <w:szCs w:val="24"/>
          <w:highlight w:val="none"/>
          <w:lang w:eastAsia="zh-CN"/>
        </w:rPr>
        <w:t>监测告警模块：采用智能图像识别技术、智能传感器技术、地理信息系统技术、物联网技术、大型网络监测技术等前沿技术，建立湿地保护预警智能监测系统，基于监控区域视频流的检测，结合AI智能分析模型，系统能够实时对检测范围内区域进行全天候异常事件监测功能，若出现异常情况，产生预警信息并上报中心平台，并实现完整的事件告警处理流程闭环，平台功能包括疑似烟火告警、重点区域异常人车闯入告警、水域岸线识别告警、违法捕捞行为告警、告警事件管理等。</w:t>
      </w:r>
    </w:p>
    <w:p>
      <w:pPr>
        <w:spacing w:line="36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fldChar w:fldCharType="begin"/>
      </w:r>
      <w:r>
        <w:rPr>
          <w:rFonts w:hint="eastAsia" w:ascii="宋体" w:hAnsi="宋体" w:eastAsia="宋体"/>
          <w:sz w:val="24"/>
          <w:szCs w:val="24"/>
          <w:highlight w:val="none"/>
          <w:lang w:eastAsia="zh-CN"/>
        </w:rPr>
        <w:instrText xml:space="preserve">=3\*GB3</w:instrText>
      </w:r>
      <w:r>
        <w:rPr>
          <w:rFonts w:hint="eastAsia" w:ascii="宋体" w:hAnsi="宋体" w:eastAsia="宋体"/>
          <w:sz w:val="24"/>
          <w:szCs w:val="24"/>
          <w:highlight w:val="none"/>
          <w:lang w:eastAsia="zh-CN"/>
        </w:rPr>
        <w:fldChar w:fldCharType="separate"/>
      </w:r>
      <w:r>
        <w:rPr>
          <w:rFonts w:hint="eastAsia" w:ascii="宋体" w:hAnsi="宋体" w:eastAsia="宋体"/>
          <w:sz w:val="24"/>
          <w:szCs w:val="24"/>
          <w:highlight w:val="none"/>
          <w:lang w:eastAsia="zh-CN"/>
        </w:rPr>
        <w:t>③</w:t>
      </w:r>
      <w:r>
        <w:rPr>
          <w:rFonts w:hint="eastAsia" w:ascii="宋体" w:hAnsi="宋体" w:eastAsia="宋体"/>
          <w:sz w:val="24"/>
          <w:szCs w:val="24"/>
          <w:highlight w:val="none"/>
          <w:lang w:eastAsia="zh-CN"/>
        </w:rPr>
        <w:fldChar w:fldCharType="end"/>
      </w:r>
      <w:r>
        <w:rPr>
          <w:rFonts w:hint="eastAsia" w:ascii="宋体" w:hAnsi="宋体" w:eastAsia="宋体"/>
          <w:sz w:val="24"/>
          <w:szCs w:val="24"/>
          <w:highlight w:val="none"/>
          <w:lang w:eastAsia="zh-CN"/>
        </w:rPr>
        <w:t>巡查管理模块：支持巡护人员在日常巡查过程中通过手持终端进行巡防任务的执行及违法事件数据的采集，采集信息能够实时传输到监控中心。通过巡护执法系统辅助网格人员巡护管理工作，能够让异常事件得到及时反馈，功能包括巡护员管理、巡护统计、巡防路线、巡防任务管理、实时定位、事件上报及事件统计等。</w:t>
      </w:r>
    </w:p>
    <w:p>
      <w:pPr>
        <w:spacing w:line="36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fldChar w:fldCharType="begin"/>
      </w:r>
      <w:r>
        <w:rPr>
          <w:rFonts w:hint="eastAsia" w:ascii="宋体" w:hAnsi="宋体" w:eastAsia="宋体"/>
          <w:sz w:val="24"/>
          <w:szCs w:val="24"/>
          <w:highlight w:val="none"/>
          <w:lang w:eastAsia="zh-CN"/>
        </w:rPr>
        <w:instrText xml:space="preserve">=4\*GB3</w:instrText>
      </w:r>
      <w:r>
        <w:rPr>
          <w:rFonts w:hint="eastAsia" w:ascii="宋体" w:hAnsi="宋体" w:eastAsia="宋体"/>
          <w:sz w:val="24"/>
          <w:szCs w:val="24"/>
          <w:highlight w:val="none"/>
          <w:lang w:eastAsia="zh-CN"/>
        </w:rPr>
        <w:fldChar w:fldCharType="separate"/>
      </w:r>
      <w:r>
        <w:rPr>
          <w:rFonts w:hint="eastAsia" w:ascii="宋体" w:hAnsi="宋体" w:eastAsia="宋体"/>
          <w:sz w:val="24"/>
          <w:szCs w:val="24"/>
          <w:highlight w:val="none"/>
          <w:lang w:eastAsia="zh-CN"/>
        </w:rPr>
        <w:t>④</w:t>
      </w:r>
      <w:r>
        <w:rPr>
          <w:rFonts w:hint="eastAsia" w:ascii="宋体" w:hAnsi="宋体" w:eastAsia="宋体"/>
          <w:sz w:val="24"/>
          <w:szCs w:val="24"/>
          <w:highlight w:val="none"/>
          <w:lang w:eastAsia="zh-CN"/>
        </w:rPr>
        <w:fldChar w:fldCharType="end"/>
      </w:r>
      <w:r>
        <w:rPr>
          <w:rFonts w:hint="eastAsia" w:ascii="宋体" w:hAnsi="宋体" w:eastAsia="宋体"/>
          <w:sz w:val="24"/>
          <w:szCs w:val="24"/>
          <w:highlight w:val="none"/>
          <w:lang w:eastAsia="zh-CN"/>
        </w:rPr>
        <w:t>视频巡检模块：视频巡检模块围绕管湾湿地保护业务特点和应用场景进行设计开发，全面整合前端高点视频监控和低点卡口监控资源，充分运用视频人工智能AI识别能力，实现对湿地保护的智能监控和智慧监管，平台应用功能包括视频墙实时轮播、历史视频回看、远程云台控制、远程设备管理及远程配置维护等。</w:t>
      </w:r>
    </w:p>
    <w:p>
      <w:pPr>
        <w:spacing w:line="360" w:lineRule="auto"/>
        <w:ind w:firstLine="482" w:firstLineChars="200"/>
        <w:rPr>
          <w:rFonts w:hint="eastAsia" w:asciiTheme="minorEastAsia" w:hAnsiTheme="minorEastAsia" w:eastAsiaTheme="minorEastAsia" w:cstheme="minorEastAsia"/>
          <w:b/>
          <w:bCs/>
          <w:kern w:val="0"/>
          <w:sz w:val="24"/>
          <w:szCs w:val="24"/>
          <w:highlight w:val="none"/>
          <w:lang w:eastAsia="zh-CN"/>
        </w:rPr>
      </w:pPr>
      <w:r>
        <w:rPr>
          <w:rFonts w:hint="eastAsia" w:ascii="宋体" w:hAnsi="宋体" w:eastAsia="宋体"/>
          <w:b/>
          <w:bCs/>
          <w:sz w:val="24"/>
          <w:szCs w:val="24"/>
          <w:highlight w:val="none"/>
          <w:lang w:val="en-US" w:eastAsia="zh-CN"/>
        </w:rPr>
        <w:t>（4）、货物需求</w:t>
      </w:r>
    </w:p>
    <w:tbl>
      <w:tblPr>
        <w:tblStyle w:val="5"/>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293"/>
        <w:gridCol w:w="664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highlight w:val="none"/>
                <w:lang w:eastAsia="en-US"/>
              </w:rPr>
            </w:pPr>
            <w:r>
              <w:rPr>
                <w:rFonts w:hint="eastAsia" w:asciiTheme="minorEastAsia" w:hAnsiTheme="minorEastAsia" w:eastAsiaTheme="minorEastAsia" w:cstheme="minorEastAsia"/>
                <w:b/>
                <w:bCs/>
                <w:kern w:val="0"/>
                <w:sz w:val="24"/>
                <w:szCs w:val="24"/>
                <w:highlight w:val="none"/>
                <w:lang w:eastAsia="en-US"/>
              </w:rPr>
              <w:t>序号</w:t>
            </w:r>
          </w:p>
        </w:tc>
        <w:tc>
          <w:tcPr>
            <w:tcW w:w="12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highlight w:val="none"/>
                <w:lang w:eastAsia="en-US"/>
              </w:rPr>
            </w:pPr>
            <w:r>
              <w:rPr>
                <w:rFonts w:hint="eastAsia" w:asciiTheme="minorEastAsia" w:hAnsiTheme="minorEastAsia" w:eastAsiaTheme="minorEastAsia" w:cstheme="minorEastAsia"/>
                <w:b/>
                <w:bCs/>
                <w:kern w:val="0"/>
                <w:sz w:val="24"/>
                <w:szCs w:val="24"/>
                <w:highlight w:val="none"/>
                <w:lang w:eastAsia="en-US"/>
              </w:rPr>
              <w:t>设备名称</w:t>
            </w:r>
          </w:p>
        </w:tc>
        <w:tc>
          <w:tcPr>
            <w:tcW w:w="66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规格及部分技术参数</w:t>
            </w:r>
          </w:p>
        </w:tc>
        <w:tc>
          <w:tcPr>
            <w:tcW w:w="143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highlight w:val="none"/>
                <w:lang w:eastAsia="en-US"/>
              </w:rPr>
            </w:pPr>
            <w:r>
              <w:rPr>
                <w:rFonts w:hint="eastAsia" w:asciiTheme="minorEastAsia" w:hAnsiTheme="minorEastAsia" w:eastAsiaTheme="minorEastAsia" w:cstheme="minorEastAsia"/>
                <w:b/>
                <w:bCs/>
                <w:kern w:val="0"/>
                <w:sz w:val="24"/>
                <w:szCs w:val="24"/>
                <w:highlight w:val="none"/>
                <w:lang w:eastAsia="en-US"/>
              </w:rPr>
              <w:t>数量</w:t>
            </w:r>
            <w:r>
              <w:rPr>
                <w:rFonts w:hint="eastAsia" w:asciiTheme="minorEastAsia" w:hAnsiTheme="minorEastAsia" w:eastAsiaTheme="minorEastAsia" w:cstheme="minorEastAsia"/>
                <w:b/>
                <w:bCs/>
                <w:kern w:val="0"/>
                <w:sz w:val="24"/>
                <w:szCs w:val="24"/>
                <w:highlight w:val="none"/>
                <w:lang w:val="en-US" w:eastAsia="zh-CN"/>
              </w:rPr>
              <w:t>(</w:t>
            </w:r>
            <w:r>
              <w:rPr>
                <w:rFonts w:hint="eastAsia" w:asciiTheme="minorEastAsia" w:hAnsiTheme="minorEastAsia" w:eastAsiaTheme="minorEastAsia" w:cstheme="minorEastAsia"/>
                <w:b/>
                <w:bCs/>
                <w:kern w:val="0"/>
                <w:sz w:val="24"/>
                <w:szCs w:val="24"/>
                <w:highlight w:val="none"/>
                <w:lang w:eastAsia="en-US"/>
              </w:rPr>
              <w:t>单位</w:t>
            </w:r>
            <w:r>
              <w:rPr>
                <w:rFonts w:hint="eastAsia" w:asciiTheme="minorEastAsia" w:hAnsiTheme="minorEastAsia" w:eastAsiaTheme="minorEastAsia" w:cstheme="minorEastAsia"/>
                <w:b/>
                <w:bCs/>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7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一、高空监控点位视频服务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en-US"/>
              </w:rPr>
            </w:pPr>
            <w:r>
              <w:rPr>
                <w:rFonts w:hint="eastAsia" w:asciiTheme="minorEastAsia" w:hAnsiTheme="minorEastAsia" w:eastAsiaTheme="minorEastAsia" w:cstheme="minorEastAsia"/>
                <w:kern w:val="0"/>
                <w:sz w:val="24"/>
                <w:szCs w:val="24"/>
                <w:highlight w:val="none"/>
                <w:lang w:eastAsia="en-US"/>
              </w:rPr>
              <w:t>1</w:t>
            </w:r>
          </w:p>
        </w:tc>
        <w:tc>
          <w:tcPr>
            <w:tcW w:w="12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双目热成像球机</w:t>
            </w:r>
          </w:p>
        </w:tc>
        <w:tc>
          <w:tcPr>
            <w:tcW w:w="66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1、热成像分辨率≥384×288，热成像焦距≥50mm；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2、车辆最远报警距离（以4米</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eastAsia="zh-CN"/>
              </w:rPr>
              <w:t>1.4米为准）≥1050m；人员最远报警距离（以1.8米</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eastAsia="zh-CN"/>
              </w:rPr>
              <w:t>0.5米为准）≥350m；火点最远报警距离（以2米</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eastAsia="zh-CN"/>
              </w:rPr>
              <w:t>2米为准）≥3000m；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3、可见光分辨率≥2688</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eastAsia="zh-CN"/>
              </w:rPr>
              <w:t>1520，≥400万实时高清，光学变倍≥56倍；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4、激光补光有效距离≥800m；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5、防护等级：IP66，电磁兼容符合GB/T17626.5四级标准；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6、具备故障自诊断系统，可自动识别系统故障（包括视频图像异常、系统异常重启、云台异常、镜头运行状态异常、网络异常、智能分析异常、算法状态异常、电机状态异常等）并可通过OSD进行显示及后台输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7、可根据温度变化自动调整聚焦；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8、支持目标热源细节凸显，并可对指定热源细节进行增强显示；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9、噪声等效温差(NETD)在8mk及以下，最小可分辨温差（MRTD）在150mk及以下；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10、在40%的网络丢包环境中，可正常显示监视画面；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11、可对当前样机安装倾角进行检测，并可将检测结果与烟火定位功能进行参数同步；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12、提供不低于30米的监控点位挂载资源，要求具备稳定的市电和网络接入；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13、提供满足监控点位正常运行的配套设施，包括但不限于挂载支架、逆变器、防雷器、配电箱及各类线材等；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14、提供不低于20M的专线服务。</w:t>
            </w:r>
          </w:p>
        </w:tc>
        <w:tc>
          <w:tcPr>
            <w:tcW w:w="143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en-US"/>
              </w:rPr>
            </w:pPr>
            <w:r>
              <w:rPr>
                <w:rFonts w:hint="eastAsia" w:asciiTheme="minorEastAsia" w:hAnsiTheme="minorEastAsia" w:eastAsiaTheme="minorEastAsia" w:cstheme="minorEastAsia"/>
                <w:kern w:val="0"/>
                <w:sz w:val="24"/>
                <w:szCs w:val="24"/>
                <w:highlight w:val="none"/>
                <w:lang w:eastAsia="en-US"/>
              </w:rPr>
              <w:t>5</w:t>
            </w:r>
            <w:r>
              <w:rPr>
                <w:rFonts w:hint="eastAsia" w:asciiTheme="minorEastAsia" w:hAnsiTheme="minorEastAsia" w:eastAsiaTheme="minorEastAsia" w:cstheme="minorEastAsia"/>
                <w:kern w:val="0"/>
                <w:sz w:val="24"/>
                <w:szCs w:val="24"/>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二、低空监控点位视频服务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en-US"/>
              </w:rPr>
            </w:pPr>
            <w:r>
              <w:rPr>
                <w:rFonts w:hint="eastAsia" w:asciiTheme="minorEastAsia" w:hAnsiTheme="minorEastAsia" w:eastAsiaTheme="minorEastAsia" w:cstheme="minorEastAsia"/>
                <w:kern w:val="0"/>
                <w:sz w:val="24"/>
                <w:szCs w:val="24"/>
                <w:highlight w:val="none"/>
                <w:lang w:eastAsia="en-US"/>
              </w:rPr>
              <w:t>1</w:t>
            </w:r>
          </w:p>
        </w:tc>
        <w:tc>
          <w:tcPr>
            <w:tcW w:w="12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en-US"/>
              </w:rPr>
            </w:pPr>
            <w:r>
              <w:rPr>
                <w:rFonts w:hint="eastAsia" w:asciiTheme="minorEastAsia" w:hAnsiTheme="minorEastAsia" w:eastAsiaTheme="minorEastAsia" w:cstheme="minorEastAsia"/>
                <w:kern w:val="0"/>
                <w:sz w:val="24"/>
                <w:szCs w:val="24"/>
                <w:highlight w:val="none"/>
                <w:lang w:eastAsia="en-US"/>
              </w:rPr>
              <w:t>高清球型摄像机</w:t>
            </w:r>
          </w:p>
        </w:tc>
        <w:tc>
          <w:tcPr>
            <w:tcW w:w="6642"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1、摄像机像素不低于400万，分辨力不小于1400线（分辨率设置为2560×1440，帧率设置为25fps、码率设置为6Mbps、RJ45输出），可识别距设备150m的人体轮廓；</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2、光学变倍≥32倍，最大焦距≥185mm；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3、最低照度：红外灯关闭：彩色≤0.005Lux，黑白模式≤0.001Lux（AGCON、RJ45输出、应能分辨反射式视频矩阵测试卡中的彩色色块）；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4、球机水平手控速度不小于160°/S，垂直速度不小于120°/S，云台定位精度≤0.1°，水平旋转范围为360°连续旋转，垂直旋转范围为-15°～90°；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5、应具有不少于300个预置位，可按照所设置的预置位完成不小于8条巡航路径，可按照所设置轨迹完成4条模式路径；可实现RS485接口优先或RJ45网络接口优先控制功能；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6、具有≥1路音频输入、≥1路音频输出、≥2路报警输入、≥1路报警输出，可将视频图像存储至SD卡或客户端，支持SD卡热插拔，最大支持256GB；</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 xml:space="preserve">7、设备应符合IP67的规定；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8、提供不低于15米的监控点位挂载立杆，杆体材质采用Q235钢，厚度不低于8mm，直径由185mm渐变至320mm；横杆0.5～1米，直径不低于76mm，厚度不低于4mm，含地笼及避雷针，热镀锌厚度不低于80μm，不低于11级抗风能力，基础不低于6.75m³，C30混凝土，抗冻等级不低于F50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9、提供满足监控点位正常运行的配套设施，包括但不限于室外防水配电箱、漏电保护器、插排、防雷器以及各类线材等；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10、提供不低于20M的专线服务。</w:t>
            </w:r>
          </w:p>
        </w:tc>
        <w:tc>
          <w:tcPr>
            <w:tcW w:w="143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en-US"/>
              </w:rPr>
            </w:pPr>
            <w:r>
              <w:rPr>
                <w:rFonts w:hint="eastAsia" w:asciiTheme="minorEastAsia" w:hAnsiTheme="minorEastAsia" w:eastAsiaTheme="minorEastAsia" w:cstheme="minorEastAsia"/>
                <w:kern w:val="0"/>
                <w:sz w:val="24"/>
                <w:szCs w:val="24"/>
                <w:highlight w:val="none"/>
                <w:lang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三、湿地指挥中心建设服务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en-US"/>
              </w:rPr>
            </w:pPr>
            <w:r>
              <w:rPr>
                <w:rFonts w:hint="eastAsia" w:asciiTheme="minorEastAsia" w:hAnsiTheme="minorEastAsia" w:eastAsiaTheme="minorEastAsia" w:cstheme="minorEastAsia"/>
                <w:color w:val="000000"/>
                <w:kern w:val="0"/>
                <w:sz w:val="24"/>
                <w:szCs w:val="24"/>
                <w:highlight w:val="none"/>
                <w:lang w:eastAsia="en-US"/>
              </w:rPr>
              <w:t>1</w:t>
            </w:r>
          </w:p>
        </w:tc>
        <w:tc>
          <w:tcPr>
            <w:tcW w:w="12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指挥中心LED大屏显示</w:t>
            </w:r>
          </w:p>
        </w:tc>
        <w:tc>
          <w:tcPr>
            <w:tcW w:w="6642"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1、LED大屏显示面积不小于12㎡，显示屏采用≤1.25mm点间距；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2、LED显示屏单元模组与单元箱体之间采用工业级精密浮动无线连接器，具备嵌合纠偏能力，以模组为单位可对整屏拼缝进行精细调节，避免模组间因拼缝产生亮暗线效果，箱体内部看不到信号排线、低压电源线，可带电直接插拔；</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3、LED显示屏采用非接触式磁悬浮前维护设计，可正面拆卸模组、接收卡、电源等低压器件，具备热插拔能力；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eastAsia="en-US"/>
              </w:rPr>
            </w:pPr>
            <w:r>
              <w:rPr>
                <w:rFonts w:hint="eastAsia" w:asciiTheme="minorEastAsia" w:hAnsiTheme="minorEastAsia" w:eastAsiaTheme="minorEastAsia" w:cstheme="minorEastAsia"/>
                <w:color w:val="000000"/>
                <w:kern w:val="0"/>
                <w:sz w:val="24"/>
                <w:szCs w:val="24"/>
                <w:highlight w:val="none"/>
                <w:lang w:eastAsia="en-US"/>
              </w:rPr>
              <w:t>4、LED显示屏开关电源具备PFC功能，功率因素≥0.95，电源效率≥91%@25℃，并具有过流、短路、过压、欠压的保护功能；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5、LED显示屏对比度≥10000：1；LED显示屏杂点率≤1/100000且无连续失控点；LED显示屏亮度均匀性≥99%；LED显示色度均匀性±0.001Cx,Cy之内；LED显示屏像素中心距相对偏差≤1%；LED显示屏观看水平/垂直视角≥175°；LED显示屏平均故障恢复时间（MTTR）≤2分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6、LED显示屏刷新频率≥4200Hz，可通过配套控制软件调节刷新率设置选项；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7、LED显示屏色温100K-20000K连续可调，可设冷色、暖色、标准等多档白场调节,色温为8500K时，100%、75%、50%、25%四档电平白场调节色温误差≤100K；</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8、LED显示屏峰值功耗为≤500W/㎡；LED显示屏平均功耗为≤125W/㎡；</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9、LED显示屏为防止金属离子迁移、线路短路现象，PCB采用FR-4四层板同等级或更高材料，PCB导线更宽、导线间距和过孔间距更大，能更好的杜绝模块黑屏、显示异常、灯珠缺色、毛毛虫等现象，表面沉金处理，板厚≥2mm，铜厚≥1盎司，TG≥170℃，PCB板表面具备防潮、防尘、防静电、抗氧化</w:t>
            </w:r>
            <w:r>
              <w:rPr>
                <w:rFonts w:hint="eastAsia" w:asciiTheme="minorEastAsia" w:hAnsiTheme="minorEastAsia" w:eastAsiaTheme="minorEastAsia" w:cstheme="minorEastAsia"/>
                <w:color w:val="000000"/>
                <w:kern w:val="0"/>
                <w:sz w:val="24"/>
                <w:szCs w:val="24"/>
                <w:highlight w:val="none"/>
                <w:lang w:val="en-US" w:eastAsia="zh-CN"/>
              </w:rPr>
              <w:t>功能</w:t>
            </w:r>
            <w:r>
              <w:rPr>
                <w:rFonts w:hint="eastAsia" w:asciiTheme="minorEastAsia" w:hAnsiTheme="minorEastAsia" w:eastAsiaTheme="minorEastAsia" w:cstheme="minorEastAsia"/>
                <w:color w:val="000000"/>
                <w:kern w:val="0"/>
                <w:sz w:val="24"/>
                <w:szCs w:val="24"/>
                <w:highlight w:val="none"/>
                <w:lang w:eastAsia="zh-CN"/>
              </w:rPr>
              <w:t>，防霉等级≤1级；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10、LED显示屏具备单电源漏电电流≤0.3mA，杜绝多个电源形成的漏电电流对上级电箱造成跳闸等风险；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11、LED显示屏具备低蓝光模式，可在控制软件中选择30%、40%、70%三挡调节显示屏蓝光输出，有效减少蓝光辐射对眼睛的伤害；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12、提供满足大屏显示所需的供电、配套结构支架、解码拼控设备以及无线投屏器等。</w:t>
            </w:r>
          </w:p>
        </w:tc>
        <w:tc>
          <w:tcPr>
            <w:tcW w:w="143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en-US"/>
              </w:rPr>
            </w:pPr>
            <w:r>
              <w:rPr>
                <w:rFonts w:hint="eastAsia" w:asciiTheme="minorEastAsia" w:hAnsiTheme="minorEastAsia" w:eastAsiaTheme="minorEastAsia" w:cstheme="minorEastAsia"/>
                <w:color w:val="000000"/>
                <w:kern w:val="0"/>
                <w:sz w:val="24"/>
                <w:szCs w:val="24"/>
                <w:highlight w:val="none"/>
                <w:lang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2</w:t>
            </w:r>
          </w:p>
        </w:tc>
        <w:tc>
          <w:tcPr>
            <w:tcW w:w="1293"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智慧湿地平台软件</w:t>
            </w:r>
          </w:p>
        </w:tc>
        <w:tc>
          <w:tcPr>
            <w:tcW w:w="6642"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1.支持多场景湿地VR全景图与GIS地图的切换；支持图上查看设备分布及设备详情信息；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2.支持查看视频画面及其可视域范围；支持拖动可视域范围联动视频画面转动；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3.根据不同的视频监控场景绘制电子围栏，并在围栏内配置相应算法；算法类型须至少包含暴露垃圾、工程车辆、船只入侵、人员入侵、车辆入侵5种算法能力；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4.视频告警事件详情须包括：告警时间、事件类型、告警抓图、视频录像、告警位置等；支持告警事件的研判下发，事件全流程闭环处理详情查看；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5.支持巡护人员通过移动端查看告警事件，并根据事件位置导航至事件现场进行核查，可将核查结果以文字、视频、图片方式上传至系统平台；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6.支持以视频墙的方式展示视频实时画面，支持单屏、多屏模式的切换展示；并支持查询视频的历史告警记录；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7.支持按生物学分类（界、门、纲、目、科、属）统计湿地物种名录，并查看物种详情信息；支持GIS地图展示鸟类监测数据分布，并可切换热力图模式；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8.支持GIS地图展示在线巡护人员实时定位、历史巡护路线，支持轨迹回放，并可查看巡护上报的图片或视频等数据；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9．针对本项目使用的各类算法提供不定期的迭代、升级服务。</w:t>
            </w:r>
          </w:p>
        </w:tc>
        <w:tc>
          <w:tcPr>
            <w:tcW w:w="1437"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1</w:t>
            </w:r>
            <w:r>
              <w:rPr>
                <w:rFonts w:hint="eastAsia" w:asciiTheme="minorEastAsia" w:hAnsiTheme="minorEastAsia" w:eastAsiaTheme="minorEastAsia" w:cstheme="minorEastAsia"/>
                <w:kern w:val="0"/>
                <w:sz w:val="24"/>
                <w:szCs w:val="24"/>
                <w:highlight w:val="no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3</w:t>
            </w:r>
          </w:p>
        </w:tc>
        <w:tc>
          <w:tcPr>
            <w:tcW w:w="12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水草打捞船</w:t>
            </w:r>
          </w:p>
        </w:tc>
        <w:tc>
          <w:tcPr>
            <w:tcW w:w="6642"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打捞船收割面积不低于1000㎡/小时，储草量不低于4m³，收割深度不低于0.6m，工作航速不低于2km/小时，柴油机功率不低于50HP。</w:t>
            </w:r>
          </w:p>
        </w:tc>
        <w:tc>
          <w:tcPr>
            <w:tcW w:w="143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eastAsia="en-US"/>
              </w:rPr>
              <w:t>1</w:t>
            </w:r>
            <w:r>
              <w:rPr>
                <w:rFonts w:hint="eastAsia" w:asciiTheme="minorEastAsia" w:hAnsiTheme="minorEastAsia" w:eastAsiaTheme="minorEastAsia" w:cstheme="minorEastAsia"/>
                <w:color w:val="000000"/>
                <w:kern w:val="0"/>
                <w:sz w:val="24"/>
                <w:szCs w:val="24"/>
                <w:highlight w:val="none"/>
                <w:lang w:val="en-US" w:eastAsia="zh-CN"/>
              </w:rPr>
              <w:t>条</w:t>
            </w:r>
          </w:p>
        </w:tc>
      </w:tr>
    </w:tbl>
    <w:p>
      <w:pPr>
        <w:spacing w:line="240" w:lineRule="auto"/>
        <w:rPr>
          <w:rFonts w:hint="eastAsia" w:ascii="宋体" w:hAnsi="宋体" w:eastAsia="宋体"/>
          <w:sz w:val="24"/>
          <w:szCs w:val="24"/>
          <w:highlight w:val="none"/>
          <w:lang w:eastAsia="zh-CN"/>
        </w:rPr>
      </w:pPr>
    </w:p>
    <w:p>
      <w:pPr>
        <w:pStyle w:val="9"/>
        <w:numPr>
          <w:ilvl w:val="0"/>
          <w:numId w:val="0"/>
        </w:numPr>
        <w:spacing w:line="360" w:lineRule="auto"/>
        <w:ind w:leftChars="200"/>
        <w:rPr>
          <w:rFonts w:hint="eastAsia" w:ascii="宋体" w:hAnsi="宋体" w:eastAsia="宋体"/>
          <w:b/>
          <w:bCs/>
          <w:sz w:val="24"/>
          <w:szCs w:val="24"/>
          <w:highlight w:val="none"/>
          <w:lang w:eastAsia="zh-CN"/>
        </w:rPr>
      </w:pPr>
      <w:r>
        <w:rPr>
          <w:rFonts w:hint="eastAsia" w:ascii="宋体" w:hAnsi="宋体" w:eastAsia="宋体"/>
          <w:b/>
          <w:bCs/>
          <w:sz w:val="24"/>
          <w:szCs w:val="24"/>
          <w:highlight w:val="none"/>
          <w:lang w:val="en-US" w:eastAsia="zh-CN"/>
        </w:rPr>
        <w:t>（5）</w:t>
      </w:r>
      <w:r>
        <w:rPr>
          <w:rFonts w:hint="eastAsia" w:ascii="宋体" w:hAnsi="宋体" w:eastAsia="宋体"/>
          <w:b/>
          <w:bCs/>
          <w:sz w:val="24"/>
          <w:szCs w:val="24"/>
          <w:highlight w:val="none"/>
          <w:lang w:eastAsia="zh-CN"/>
        </w:rPr>
        <w:t>运维服务需求</w:t>
      </w:r>
    </w:p>
    <w:p>
      <w:pPr>
        <w:widowControl w:val="0"/>
        <w:spacing w:before="0" w:line="360" w:lineRule="auto"/>
        <w:ind w:left="0" w:firstLine="482"/>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服务期内，供应商应定期组织开展检测测试，采用全天候在线式检测及月度现场检测排查运维方式，并结合实战应用及时发现链路不畅、在线率低、抓拍图片质量不高、预警延迟、灵敏度不高以及现场预警图片传输、基础服务器时间不准等问题，针对这些问题及时调整优化和研究解决，定期保养维护，确保设备始终处于灵敏高效运转状态。供应商将提供包括巡检、维护、故障处理、电话支持、应急服务在内的多项服务。具体如下：</w:t>
      </w:r>
    </w:p>
    <w:p>
      <w:pPr>
        <w:widowControl w:val="0"/>
        <w:spacing w:before="0" w:line="360" w:lineRule="auto"/>
        <w:ind w:left="0" w:firstLine="482"/>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fldChar w:fldCharType="begin"/>
      </w:r>
      <w:r>
        <w:rPr>
          <w:rFonts w:hint="eastAsia" w:ascii="宋体" w:hAnsi="宋体" w:eastAsia="宋体" w:cs="宋体"/>
          <w:sz w:val="24"/>
          <w:szCs w:val="24"/>
          <w:highlight w:val="none"/>
          <w:lang w:val="en-US" w:eastAsia="zh-CN" w:bidi="ar-SA"/>
        </w:rPr>
        <w:instrText xml:space="preserve">=1\*GB3</w:instrText>
      </w:r>
      <w:r>
        <w:rPr>
          <w:rFonts w:hint="eastAsia" w:ascii="宋体" w:hAnsi="宋体" w:eastAsia="宋体" w:cs="宋体"/>
          <w:sz w:val="24"/>
          <w:szCs w:val="24"/>
          <w:highlight w:val="none"/>
          <w:lang w:val="en-US" w:eastAsia="zh-CN" w:bidi="ar-SA"/>
        </w:rPr>
        <w:fldChar w:fldCharType="separate"/>
      </w:r>
      <w:r>
        <w:rPr>
          <w:rFonts w:hint="eastAsia" w:ascii="宋体" w:hAnsi="宋体" w:eastAsia="宋体" w:cs="宋体"/>
          <w:sz w:val="24"/>
          <w:szCs w:val="24"/>
          <w:highlight w:val="none"/>
          <w:lang w:val="en-US" w:eastAsia="zh-CN" w:bidi="ar-SA"/>
        </w:rPr>
        <w:t>①</w:t>
      </w:r>
      <w:r>
        <w:rPr>
          <w:rFonts w:hint="eastAsia" w:ascii="宋体" w:hAnsi="宋体" w:eastAsia="宋体" w:cs="宋体"/>
          <w:sz w:val="24"/>
          <w:szCs w:val="24"/>
          <w:highlight w:val="none"/>
          <w:lang w:val="en-US" w:eastAsia="zh-CN" w:bidi="ar-SA"/>
        </w:rPr>
        <w:fldChar w:fldCharType="end"/>
      </w:r>
      <w:r>
        <w:rPr>
          <w:rFonts w:hint="eastAsia" w:ascii="宋体" w:hAnsi="宋体" w:eastAsia="宋体" w:cs="宋体"/>
          <w:sz w:val="24"/>
          <w:szCs w:val="24"/>
          <w:highlight w:val="none"/>
          <w:lang w:val="en-US" w:eastAsia="zh-CN" w:bidi="ar-SA"/>
        </w:rPr>
        <w:t>服务期内产生的设备维护/更换、升级、人工服务、传输链路、设备供电等费用包含在报价中。</w:t>
      </w:r>
    </w:p>
    <w:p>
      <w:pPr>
        <w:widowControl w:val="0"/>
        <w:spacing w:before="0" w:line="360" w:lineRule="auto"/>
        <w:ind w:left="0" w:firstLine="482"/>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②针对所有设备提供每季度一次的巡检工作，包含但不限于所有设施的日常例行养护、突发故障处置、故障或不合格设备部件及材料的更换修复以及与之相关的定期测试和检测、维护文档和系统资料更新等工作。</w:t>
      </w:r>
    </w:p>
    <w:p>
      <w:pPr>
        <w:widowControl w:val="0"/>
        <w:spacing w:before="0" w:line="360" w:lineRule="auto"/>
        <w:ind w:left="0" w:firstLine="482"/>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③为保障项目正常运行，供应商须能在12小时内提供必要的备品备件及备用材料。</w:t>
      </w:r>
    </w:p>
    <w:p>
      <w:pPr>
        <w:widowControl w:val="0"/>
        <w:spacing w:before="0" w:line="360" w:lineRule="auto"/>
        <w:ind w:left="0" w:firstLine="482"/>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④供应商必须承担监测数据的保密责任：按照采购人的要求，进行报告和传输有关的监测数据，均不得以任何方式和渠道向外界传递任何监测数据。</w:t>
      </w:r>
    </w:p>
    <w:p>
      <w:pPr>
        <w:widowControl w:val="0"/>
        <w:spacing w:before="0" w:line="360" w:lineRule="auto"/>
        <w:ind w:left="0" w:firstLine="482"/>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⑤服务响应时间：在服务期内，系统出现故障，供应商接到采购人通知后，应立即响应并进行远程诊断和维护，同时提供售后服务电话。硬件故障和软件远程诊断不能修复时，供应商应在24小时之内到达现场（遇洪水、台风、地震等不可抗力除外）进行运维服务。</w:t>
      </w:r>
    </w:p>
    <w:p>
      <w:pPr>
        <w:widowControl w:val="0"/>
        <w:spacing w:before="0" w:line="360" w:lineRule="auto"/>
        <w:ind w:left="0" w:firstLine="482"/>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⑥故障处理：24小时内完成修复。同一设备一个月内出现三次故障，更换经建设单位认可的同档次设备，产生费用包含在报价中。</w:t>
      </w:r>
    </w:p>
    <w:p>
      <w:pPr>
        <w:widowControl w:val="0"/>
        <w:spacing w:before="0" w:line="360" w:lineRule="auto"/>
        <w:ind w:left="0" w:firstLine="482"/>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⑦日常养护：供应商负责提供点位设备及线路的日常保养和维护，费用包含在报价中。</w:t>
      </w:r>
    </w:p>
    <w:p>
      <w:pPr>
        <w:pStyle w:val="9"/>
        <w:numPr>
          <w:ilvl w:val="0"/>
          <w:numId w:val="0"/>
        </w:numPr>
        <w:spacing w:line="360" w:lineRule="auto"/>
        <w:ind w:leftChars="200"/>
        <w:rPr>
          <w:rFonts w:hint="default" w:ascii="宋体" w:hAnsi="宋体" w:eastAsia="宋体" w:cs="宋体"/>
          <w:sz w:val="24"/>
          <w:szCs w:val="24"/>
          <w:highlight w:val="none"/>
          <w:lang w:val="en-US" w:eastAsia="zh-CN" w:bidi="ar-SA"/>
        </w:rPr>
      </w:pPr>
      <w:r>
        <w:rPr>
          <w:rFonts w:hint="eastAsia" w:ascii="宋体" w:hAnsi="宋体" w:eastAsia="宋体"/>
          <w:b/>
          <w:bCs/>
          <w:sz w:val="24"/>
          <w:szCs w:val="24"/>
          <w:highlight w:val="none"/>
          <w:lang w:val="en-US" w:eastAsia="zh-CN"/>
        </w:rPr>
        <w:t>（6）应急保障需求</w:t>
      </w:r>
    </w:p>
    <w:p>
      <w:pPr>
        <w:widowControl w:val="0"/>
        <w:spacing w:before="0" w:line="360" w:lineRule="auto"/>
        <w:ind w:left="0" w:firstLine="482"/>
        <w:rPr>
          <w:highlight w:val="none"/>
        </w:rPr>
      </w:pPr>
      <w:r>
        <w:rPr>
          <w:rFonts w:hint="eastAsia" w:ascii="宋体" w:hAnsi="宋体" w:eastAsia="宋体" w:cs="宋体"/>
          <w:sz w:val="24"/>
          <w:szCs w:val="24"/>
          <w:highlight w:val="none"/>
          <w:lang w:val="en-US" w:eastAsia="zh-CN" w:bidi="ar-SA"/>
        </w:rPr>
        <w:t>服务期内，因采购人业务需要或发生突发情况时，供应商需提供7*24小时远程及现场应急保障服务，包括远程技术指导、现场技术保障、现场咨询服务等。采购单位不支付任何应急保障服务费用。</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四、报价要求</w:t>
      </w:r>
    </w:p>
    <w:p>
      <w:pPr>
        <w:widowControl w:val="0"/>
        <w:spacing w:before="0" w:line="360" w:lineRule="auto"/>
        <w:ind w:left="0" w:firstLine="482"/>
        <w:rPr>
          <w:rFonts w:hint="eastAsia" w:ascii="宋体" w:hAnsi="宋体" w:eastAsia="宋体"/>
          <w:b/>
          <w:sz w:val="24"/>
          <w:szCs w:val="18"/>
          <w:highlight w:val="none"/>
          <w:lang w:val="en-US" w:eastAsia="zh-CN"/>
        </w:rPr>
      </w:pPr>
      <w:r>
        <w:rPr>
          <w:rFonts w:hint="eastAsia" w:ascii="宋体" w:hAnsi="宋体" w:eastAsia="宋体" w:cs="宋体"/>
          <w:sz w:val="24"/>
          <w:szCs w:val="24"/>
          <w:highlight w:val="none"/>
          <w:lang w:val="en-US" w:eastAsia="zh-CN" w:bidi="ar-SA"/>
        </w:rPr>
        <w:t>本项目采用总价报价，供应商报价不得高于最高限价，否则按无效响应处理。报价包含完成本项目所有内容的费用，采购人后期不再追加任何费用，供应商报价时应综合考虑报价风险。</w:t>
      </w:r>
    </w:p>
    <w:p>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五</w:t>
      </w:r>
      <w:r>
        <w:rPr>
          <w:rFonts w:hint="eastAsia" w:ascii="宋体" w:hAnsi="宋体" w:eastAsia="宋体"/>
          <w:b/>
          <w:sz w:val="24"/>
          <w:szCs w:val="18"/>
          <w:highlight w:val="none"/>
        </w:rPr>
        <w:t>、</w:t>
      </w:r>
      <w:r>
        <w:rPr>
          <w:rFonts w:hint="eastAsia" w:ascii="宋体" w:hAnsi="宋体" w:eastAsia="宋体"/>
          <w:b/>
          <w:sz w:val="24"/>
          <w:szCs w:val="18"/>
          <w:highlight w:val="none"/>
          <w:lang w:val="en-US" w:eastAsia="zh-CN"/>
        </w:rPr>
        <w:t>其他</w:t>
      </w:r>
      <w:r>
        <w:rPr>
          <w:rFonts w:hint="eastAsia" w:ascii="宋体" w:hAnsi="宋体" w:eastAsia="宋体"/>
          <w:b/>
          <w:sz w:val="24"/>
          <w:szCs w:val="18"/>
          <w:highlight w:val="none"/>
        </w:rPr>
        <w:t>要求</w:t>
      </w:r>
    </w:p>
    <w:p>
      <w:pPr>
        <w:widowControl w:val="0"/>
        <w:spacing w:before="36" w:line="360" w:lineRule="auto"/>
        <w:ind w:left="100"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本项目验收流程依次为上线试运行、项目竣工验收。</w:t>
      </w:r>
    </w:p>
    <w:p>
      <w:pPr>
        <w:widowControl w:val="0"/>
        <w:spacing w:before="0" w:line="360" w:lineRule="auto"/>
        <w:ind w:left="0" w:firstLine="482" w:firstLineChars="200"/>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(1)上线试运行标准要求</w:t>
      </w:r>
    </w:p>
    <w:p>
      <w:pPr>
        <w:widowControl w:val="0"/>
        <w:spacing w:before="0" w:line="360" w:lineRule="auto"/>
        <w:ind w:left="0"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试运行时间不低于3个月。启动试运行条件为项目建设内容基本完成。试运行期间成交供应商进行试运行记录，试运行期间出现的问题解决后试运行结束。</w:t>
      </w:r>
    </w:p>
    <w:p>
      <w:pPr>
        <w:widowControl w:val="0"/>
        <w:spacing w:before="0" w:line="360" w:lineRule="auto"/>
        <w:ind w:left="0" w:firstLine="482" w:firstLineChars="200"/>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(2)项目竣工验收标准要求</w:t>
      </w:r>
    </w:p>
    <w:p>
      <w:pPr>
        <w:widowControl w:val="0"/>
        <w:spacing w:before="0" w:line="360" w:lineRule="auto"/>
        <w:ind w:left="0"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系统试运行结束，成交供应商经自测自验合格且过程资料齐全后提交竣工验收申请向采购人申请组织竣工验收。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六</w:t>
      </w:r>
      <w:r>
        <w:rPr>
          <w:rFonts w:hint="eastAsia" w:ascii="宋体" w:hAnsi="宋体" w:eastAsia="宋体"/>
          <w:b/>
          <w:sz w:val="24"/>
          <w:szCs w:val="18"/>
          <w:highlight w:val="none"/>
        </w:rPr>
        <w:t>、验收要求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lang w:val="en-US" w:eastAsia="zh-CN"/>
        </w:rPr>
        <w:t>组织</w:t>
      </w:r>
      <w:r>
        <w:rPr>
          <w:rFonts w:hint="eastAsia" w:ascii="宋体" w:hAnsi="宋体" w:eastAsia="宋体" w:cs="宋体"/>
          <w:sz w:val="24"/>
          <w:szCs w:val="24"/>
          <w:highlight w:val="none"/>
        </w:rPr>
        <w:t>验收小组，验收小组应严格依照采购文件、采购合同及相关验收规范进行核对、验收，形成验收</w:t>
      </w:r>
      <w:r>
        <w:rPr>
          <w:rFonts w:hint="eastAsia" w:ascii="宋体" w:hAnsi="宋体" w:eastAsia="宋体" w:cs="宋体"/>
          <w:b w:val="0"/>
          <w:bCs w:val="0"/>
          <w:sz w:val="24"/>
          <w:szCs w:val="24"/>
          <w:highlight w:val="none"/>
        </w:rPr>
        <w:t>结论，并出具书面验收报告。</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color w:val="auto"/>
          <w:highlight w:val="none"/>
        </w:rPr>
      </w:pPr>
      <w:r>
        <w:rPr>
          <w:rFonts w:hint="eastAsia" w:ascii="宋体" w:hAnsi="宋体" w:eastAsia="宋体" w:cs="宋体"/>
          <w:b w:val="0"/>
          <w:bCs w:val="0"/>
          <w:color w:val="auto"/>
          <w:sz w:val="24"/>
          <w:szCs w:val="24"/>
          <w:highlight w:val="none"/>
          <w:lang w:val="en-US" w:eastAsia="zh-CN"/>
        </w:rPr>
        <w:t>政府向社会公众提供的公共服务项目，采购文件应写明验收时邀请服务对象参与并出具意见、验收结果应该向社会公告。</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433C0425"/>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3C0425"/>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Closing"/>
    <w:basedOn w:val="1"/>
    <w:qFormat/>
    <w:uiPriority w:val="0"/>
    <w:pPr>
      <w:ind w:left="100" w:leftChars="2100"/>
    </w:pPr>
  </w:style>
  <w:style w:type="paragraph" w:styleId="3">
    <w:name w:val="Body Text"/>
    <w:basedOn w:val="1"/>
    <w:next w:val="1"/>
    <w:qFormat/>
    <w:uiPriority w:val="0"/>
    <w:pPr>
      <w:spacing w:after="120"/>
    </w:pPr>
    <w:rPr>
      <w:rFonts w:ascii="@微软简标宋" w:hAnsi="@微软简标宋" w:eastAsia="@微软简标宋" w:cs="@微软简标宋"/>
      <w:szCs w:val="24"/>
      <w:lang w:val="zh-CN"/>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2025-05-15T08:16:00Z</dcterms:created>
  <dc:creator>丁吉</dc:creator>
  <cp:lastModifiedBy>丁吉</cp:lastModifiedBy>
  <dcterms:modified xsi:type="dcterms:W3CDTF">2025-05-15T08:16:37Z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77C51199F738463993BAAADDB8A61691_11</vt:lpwstr>
  </property>
</Properties>
</file>