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90F1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</w:rPr>
        <w:t>采购需求</w:t>
      </w:r>
    </w:p>
    <w:p w14:paraId="55ADA1B9">
      <w:pPr>
        <w:spacing w:line="360" w:lineRule="auto"/>
        <w:jc w:val="center"/>
        <w:outlineLvl w:val="0"/>
        <w:rPr>
          <w:rFonts w:hint="default" w:asciiTheme="minorEastAsia" w:hAnsiTheme="minorEastAsia" w:eastAsiaTheme="minorEastAsia"/>
          <w:b/>
          <w:sz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highlight w:val="none"/>
          <w:lang w:val="en-US" w:eastAsia="zh-CN"/>
        </w:rPr>
        <w:t>供参考,具体以采购文件为准）</w:t>
      </w:r>
    </w:p>
    <w:p w14:paraId="0481D2EF">
      <w:pPr>
        <w:spacing w:line="360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前注：</w:t>
      </w:r>
    </w:p>
    <w:p w14:paraId="4B8EB43B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1.</w:t>
      </w:r>
      <w:r>
        <w:rPr>
          <w:rFonts w:ascii="宋体" w:hAnsi="宋体" w:eastAsia="宋体"/>
          <w:sz w:val="24"/>
          <w:szCs w:val="18"/>
          <w:highlight w:val="none"/>
        </w:rPr>
        <w:t>根据《关于规范政府采购进口产品有关工作的通知》及政府采购管理部门的相关规定，下列采购需求中</w:t>
      </w:r>
      <w:r>
        <w:rPr>
          <w:rFonts w:hint="eastAsia" w:ascii="宋体" w:hAnsi="宋体" w:eastAsia="宋体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  <w:highlight w:val="none"/>
        </w:rPr>
        <w:t>产品</w:t>
      </w:r>
      <w:r>
        <w:rPr>
          <w:rFonts w:ascii="宋体" w:hAnsi="宋体" w:eastAsia="宋体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sz w:val="24"/>
          <w:szCs w:val="18"/>
          <w:highlight w:val="none"/>
        </w:rPr>
        <w:t>。</w:t>
      </w:r>
    </w:p>
    <w:p w14:paraId="70F15B75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2.下列采购需求中：</w:t>
      </w:r>
    </w:p>
    <w:p w14:paraId="45ECAC97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243F73AF"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57866D91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3.</w:t>
      </w:r>
      <w:r>
        <w:rPr>
          <w:rFonts w:ascii="宋体" w:hAnsi="宋体" w:eastAsia="宋体"/>
          <w:sz w:val="24"/>
          <w:szCs w:val="18"/>
          <w:highlight w:val="none"/>
        </w:rPr>
        <w:t>下列采购需求中：标注▲的产品</w:t>
      </w:r>
      <w:r>
        <w:rPr>
          <w:rFonts w:hint="eastAsia" w:ascii="宋体" w:hAnsi="宋体" w:eastAsia="宋体"/>
          <w:sz w:val="24"/>
          <w:szCs w:val="18"/>
          <w:highlight w:val="none"/>
          <w:lang w:val="en-US" w:eastAsia="zh-CN"/>
        </w:rPr>
        <w:t>为</w:t>
      </w:r>
      <w:r>
        <w:rPr>
          <w:rFonts w:hint="eastAsia" w:ascii="宋体" w:hAnsi="宋体" w:eastAsia="宋体"/>
          <w:sz w:val="24"/>
          <w:szCs w:val="18"/>
          <w:highlight w:val="none"/>
        </w:rPr>
        <w:t>核心产品</w:t>
      </w:r>
      <w:r>
        <w:rPr>
          <w:rFonts w:hint="eastAsia" w:ascii="宋体" w:hAnsi="宋体" w:eastAsia="宋体"/>
          <w:sz w:val="24"/>
          <w:szCs w:val="18"/>
          <w:highlight w:val="none"/>
          <w:lang w:eastAsia="zh-CN"/>
        </w:rPr>
        <w:t>。</w:t>
      </w:r>
    </w:p>
    <w:p w14:paraId="3552017D">
      <w:pPr>
        <w:spacing w:line="360" w:lineRule="auto"/>
        <w:ind w:firstLine="435"/>
        <w:rPr>
          <w:rFonts w:ascii="宋体" w:hAnsi="宋体" w:eastAsia="宋体"/>
          <w:sz w:val="24"/>
          <w:szCs w:val="18"/>
          <w:highlight w:val="none"/>
        </w:rPr>
      </w:pPr>
      <w:r>
        <w:rPr>
          <w:rFonts w:hint="eastAsia" w:ascii="宋体" w:hAnsi="宋体" w:eastAsia="宋体"/>
          <w:sz w:val="24"/>
          <w:szCs w:val="18"/>
          <w:highlight w:val="none"/>
        </w:rPr>
        <w:t>4.</w:t>
      </w:r>
      <w:r>
        <w:rPr>
          <w:rFonts w:hint="eastAsia"/>
          <w:highlight w:val="none"/>
        </w:rPr>
        <w:t xml:space="preserve"> </w:t>
      </w:r>
      <w:r>
        <w:rPr>
          <w:rFonts w:hint="eastAsia" w:ascii="宋体" w:hAnsi="宋体" w:eastAsia="宋体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3F2C1F93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sz w:val="24"/>
          <w:szCs w:val="18"/>
          <w:highlight w:val="none"/>
        </w:rPr>
        <w:t>一、采购需求前附表</w:t>
      </w:r>
    </w:p>
    <w:tbl>
      <w:tblPr>
        <w:tblStyle w:val="5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28"/>
        <w:gridCol w:w="5893"/>
      </w:tblGrid>
      <w:tr w14:paraId="186E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pct"/>
            <w:vAlign w:val="center"/>
          </w:tcPr>
          <w:p w14:paraId="659FB4BE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kern w:val="2"/>
                <w:highlight w:val="none"/>
              </w:rPr>
              <w:t>序号</w:t>
            </w:r>
          </w:p>
        </w:tc>
        <w:tc>
          <w:tcPr>
            <w:tcW w:w="1137" w:type="pct"/>
            <w:vAlign w:val="center"/>
          </w:tcPr>
          <w:p w14:paraId="1FCF7600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条款名称</w:t>
            </w:r>
          </w:p>
        </w:tc>
        <w:tc>
          <w:tcPr>
            <w:tcW w:w="3303" w:type="pct"/>
            <w:vAlign w:val="center"/>
          </w:tcPr>
          <w:p w14:paraId="5968986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sz w:val="24"/>
                <w:highlight w:val="none"/>
              </w:rPr>
              <w:t>内容、说明与要求</w:t>
            </w:r>
          </w:p>
        </w:tc>
      </w:tr>
      <w:tr w14:paraId="63D3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pct"/>
            <w:vAlign w:val="center"/>
          </w:tcPr>
          <w:p w14:paraId="0ED1F9D7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1</w:t>
            </w:r>
          </w:p>
        </w:tc>
        <w:tc>
          <w:tcPr>
            <w:tcW w:w="1137" w:type="pct"/>
            <w:vAlign w:val="center"/>
          </w:tcPr>
          <w:p w14:paraId="38867483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付款方式</w:t>
            </w:r>
          </w:p>
        </w:tc>
        <w:tc>
          <w:tcPr>
            <w:tcW w:w="3303" w:type="pct"/>
            <w:vAlign w:val="center"/>
          </w:tcPr>
          <w:p w14:paraId="3B4696A0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安装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验收合格后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一次性付清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合同款</w:t>
            </w:r>
          </w:p>
        </w:tc>
      </w:tr>
      <w:tr w14:paraId="17DA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pct"/>
            <w:vAlign w:val="center"/>
          </w:tcPr>
          <w:p w14:paraId="5D8E2AD9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2</w:t>
            </w:r>
          </w:p>
        </w:tc>
        <w:tc>
          <w:tcPr>
            <w:tcW w:w="1137" w:type="pct"/>
            <w:vAlign w:val="center"/>
          </w:tcPr>
          <w:p w14:paraId="75C4E30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供货及安装地点</w:t>
            </w:r>
          </w:p>
        </w:tc>
        <w:tc>
          <w:tcPr>
            <w:tcW w:w="3303" w:type="pct"/>
            <w:vAlign w:val="center"/>
          </w:tcPr>
          <w:p w14:paraId="0D632715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肥东县境内，具体以采购人指定地点为准</w:t>
            </w:r>
          </w:p>
        </w:tc>
      </w:tr>
      <w:tr w14:paraId="2EBC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pct"/>
            <w:vAlign w:val="center"/>
          </w:tcPr>
          <w:p w14:paraId="1DBB769C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3</w:t>
            </w:r>
          </w:p>
        </w:tc>
        <w:tc>
          <w:tcPr>
            <w:tcW w:w="1137" w:type="pct"/>
            <w:vAlign w:val="center"/>
          </w:tcPr>
          <w:p w14:paraId="666150F3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供货及安装期限</w:t>
            </w:r>
          </w:p>
        </w:tc>
        <w:tc>
          <w:tcPr>
            <w:tcW w:w="3303" w:type="pct"/>
            <w:vAlign w:val="center"/>
          </w:tcPr>
          <w:p w14:paraId="78260542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合同签订后15日历天完成供货安装调试</w:t>
            </w:r>
          </w:p>
        </w:tc>
      </w:tr>
      <w:tr w14:paraId="1F88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" w:type="pct"/>
            <w:vAlign w:val="center"/>
          </w:tcPr>
          <w:p w14:paraId="0C9D4565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kern w:val="2"/>
                <w:highlight w:val="none"/>
              </w:rPr>
              <w:t>4</w:t>
            </w:r>
          </w:p>
        </w:tc>
        <w:tc>
          <w:tcPr>
            <w:tcW w:w="1137" w:type="pct"/>
            <w:vAlign w:val="center"/>
          </w:tcPr>
          <w:p w14:paraId="44393118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质保期</w:t>
            </w:r>
          </w:p>
        </w:tc>
        <w:tc>
          <w:tcPr>
            <w:tcW w:w="3303" w:type="pct"/>
            <w:vAlign w:val="center"/>
          </w:tcPr>
          <w:p w14:paraId="51B3C193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合同签订后3年</w:t>
            </w:r>
          </w:p>
        </w:tc>
      </w:tr>
    </w:tbl>
    <w:p w14:paraId="71E8E726"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18"/>
          <w:highlight w:val="none"/>
        </w:rPr>
        <w:t>货物需求</w:t>
      </w:r>
    </w:p>
    <w:p w14:paraId="4B128AD5">
      <w:pPr>
        <w:numPr>
          <w:ilvl w:val="0"/>
          <w:numId w:val="2"/>
        </w:numPr>
        <w:spacing w:line="360" w:lineRule="auto"/>
        <w:outlineLvl w:val="1"/>
        <w:rPr>
          <w:rFonts w:hint="eastAsia" w:asciiTheme="minorEastAsia" w:hAnsiTheme="minorEastAsia" w:eastAsiaTheme="minorEastAsia"/>
          <w:b w:val="0"/>
          <w:bCs w:val="0"/>
          <w:sz w:val="24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18"/>
          <w:highlight w:val="none"/>
          <w:lang w:val="en-US" w:eastAsia="zh-CN"/>
        </w:rPr>
        <w:t>指标重要性描述</w:t>
      </w:r>
    </w:p>
    <w:tbl>
      <w:tblPr>
        <w:tblStyle w:val="10"/>
        <w:tblW w:w="88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417"/>
        <w:gridCol w:w="5405"/>
      </w:tblGrid>
      <w:tr w14:paraId="6C201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045" w:type="dxa"/>
            <w:noWrap w:val="0"/>
            <w:vAlign w:val="center"/>
          </w:tcPr>
          <w:p w14:paraId="31862B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标识重要性</w:t>
            </w:r>
          </w:p>
        </w:tc>
        <w:tc>
          <w:tcPr>
            <w:tcW w:w="1417" w:type="dxa"/>
            <w:noWrap w:val="0"/>
            <w:vAlign w:val="top"/>
          </w:tcPr>
          <w:p w14:paraId="5705CF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标识符号</w:t>
            </w:r>
          </w:p>
        </w:tc>
        <w:tc>
          <w:tcPr>
            <w:tcW w:w="5405" w:type="dxa"/>
            <w:noWrap w:val="0"/>
            <w:vAlign w:val="top"/>
          </w:tcPr>
          <w:p w14:paraId="7356C4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符号说明</w:t>
            </w:r>
          </w:p>
        </w:tc>
      </w:tr>
      <w:tr w14:paraId="0DCCA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45" w:type="dxa"/>
            <w:noWrap w:val="0"/>
            <w:vAlign w:val="center"/>
          </w:tcPr>
          <w:p w14:paraId="22000B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重要指标项</w:t>
            </w:r>
          </w:p>
        </w:tc>
        <w:tc>
          <w:tcPr>
            <w:tcW w:w="1417" w:type="dxa"/>
            <w:noWrap w:val="0"/>
            <w:vAlign w:val="center"/>
          </w:tcPr>
          <w:p w14:paraId="093EF3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★</w:t>
            </w:r>
          </w:p>
        </w:tc>
        <w:tc>
          <w:tcPr>
            <w:tcW w:w="5405" w:type="dxa"/>
            <w:noWrap w:val="0"/>
            <w:vAlign w:val="top"/>
          </w:tcPr>
          <w:p w14:paraId="355A9E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★条款须满足或优于招标文件要求，否则按无效响应处理。投标文件中无须提供相关证明材料，以“第六章 投标文件格式”“六、响应表”的“6.2 技术响应表”作为评审依据，合同执行时提供符合招标文件要求的：医疗器械注册证、第三方检测机构出具的检验或检测报告、技术彩页、技术白皮书、官网截图其中任一证明材料供采购人核查。若出现虚假响应，将上报肥东县财政局依法处理，引起的一切后果由</w:t>
            </w:r>
            <w:r>
              <w:rPr>
                <w:rFonts w:hint="eastAsia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自行承担。</w:t>
            </w:r>
          </w:p>
        </w:tc>
      </w:tr>
      <w:tr w14:paraId="06EA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045" w:type="dxa"/>
            <w:noWrap w:val="0"/>
            <w:vAlign w:val="center"/>
          </w:tcPr>
          <w:p w14:paraId="38EED9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无标识项</w:t>
            </w:r>
          </w:p>
        </w:tc>
        <w:tc>
          <w:tcPr>
            <w:tcW w:w="1417" w:type="dxa"/>
            <w:noWrap w:val="0"/>
            <w:vAlign w:val="top"/>
          </w:tcPr>
          <w:p w14:paraId="68AA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05" w:type="dxa"/>
            <w:noWrap w:val="0"/>
            <w:vAlign w:val="top"/>
          </w:tcPr>
          <w:p w14:paraId="35C9C2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供应商须在投标文件中提供承诺，承诺无标识项完全满足（或优于）招标文件要求，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  <w:lang w:val="en-US" w:eastAsia="zh-CN"/>
              </w:rPr>
              <w:t>如项目验收时发现所提供的产品不满足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招标文件</w:t>
            </w:r>
            <w:r>
              <w:rPr>
                <w:rFonts w:hint="eastAsia" w:asciiTheme="minorEastAsia" w:hAnsiTheme="minorEastAsia" w:eastAsiaTheme="minorEastAsia"/>
                <w:sz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，投标人承担由此产生的一切后果及责任（承诺函格式详见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投标文件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格式）。投标文件中未提供相应承诺或承诺的内容不满足要求的，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按无效响应处理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14BB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8867" w:type="dxa"/>
            <w:gridSpan w:val="3"/>
            <w:noWrap w:val="0"/>
            <w:vAlign w:val="top"/>
          </w:tcPr>
          <w:p w14:paraId="405F54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注：如某项标识中包含多条技术参数或要求，则该项标识所含内容均需满足或优于采购要求，否则不予认可。</w:t>
            </w:r>
          </w:p>
        </w:tc>
      </w:tr>
    </w:tbl>
    <w:p w14:paraId="2F50C245">
      <w:pPr>
        <w:numPr>
          <w:ilvl w:val="0"/>
          <w:numId w:val="0"/>
        </w:numPr>
        <w:spacing w:line="360" w:lineRule="auto"/>
        <w:outlineLvl w:val="1"/>
        <w:rPr>
          <w:rFonts w:hint="default"/>
          <w:highlight w:val="none"/>
          <w:lang w:val="en-US"/>
        </w:rPr>
      </w:pPr>
      <w:r>
        <w:rPr>
          <w:rFonts w:hint="eastAsia" w:asciiTheme="minorEastAsia" w:hAnsiTheme="minorEastAsia" w:eastAsiaTheme="minorEastAsia"/>
          <w:b w:val="0"/>
          <w:bCs w:val="0"/>
          <w:sz w:val="24"/>
          <w:szCs w:val="18"/>
          <w:highlight w:val="none"/>
          <w:lang w:val="en-US" w:eastAsia="zh-CN"/>
        </w:rPr>
        <w:t>2、货物需求</w:t>
      </w:r>
    </w:p>
    <w:tbl>
      <w:tblPr>
        <w:tblStyle w:val="6"/>
        <w:tblpPr w:leftFromText="180" w:rightFromText="180" w:vertAnchor="text" w:horzAnchor="page" w:tblpXSpec="center" w:tblpY="186"/>
        <w:tblOverlap w:val="never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11"/>
        <w:gridCol w:w="1215"/>
        <w:gridCol w:w="1620"/>
        <w:gridCol w:w="2060"/>
        <w:gridCol w:w="1214"/>
      </w:tblGrid>
      <w:tr w14:paraId="17EF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031A1E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211" w:type="dxa"/>
            <w:noWrap w:val="0"/>
            <w:vAlign w:val="center"/>
          </w:tcPr>
          <w:p w14:paraId="3E3639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货物名称</w:t>
            </w:r>
          </w:p>
        </w:tc>
        <w:tc>
          <w:tcPr>
            <w:tcW w:w="1215" w:type="dxa"/>
            <w:noWrap w:val="0"/>
            <w:vAlign w:val="center"/>
          </w:tcPr>
          <w:p w14:paraId="3F84D6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  <w:p w14:paraId="006064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（单位）</w:t>
            </w:r>
          </w:p>
        </w:tc>
        <w:tc>
          <w:tcPr>
            <w:tcW w:w="1620" w:type="dxa"/>
            <w:noWrap w:val="0"/>
            <w:vAlign w:val="center"/>
          </w:tcPr>
          <w:p w14:paraId="69CA3F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是否允许采购进口产品</w:t>
            </w:r>
          </w:p>
        </w:tc>
        <w:tc>
          <w:tcPr>
            <w:tcW w:w="2060" w:type="dxa"/>
            <w:noWrap w:val="0"/>
            <w:vAlign w:val="center"/>
          </w:tcPr>
          <w:p w14:paraId="3262E2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是否需要提供医疗器械注册证</w:t>
            </w:r>
          </w:p>
        </w:tc>
        <w:tc>
          <w:tcPr>
            <w:tcW w:w="1214" w:type="dxa"/>
            <w:noWrap w:val="0"/>
            <w:vAlign w:val="center"/>
          </w:tcPr>
          <w:p w14:paraId="1627E5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行业</w:t>
            </w:r>
          </w:p>
          <w:p w14:paraId="1B48E2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（必填）</w:t>
            </w:r>
          </w:p>
        </w:tc>
      </w:tr>
      <w:tr w14:paraId="3B71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62" w:type="dxa"/>
            <w:noWrap w:val="0"/>
            <w:vAlign w:val="center"/>
          </w:tcPr>
          <w:p w14:paraId="227252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11" w:type="dxa"/>
            <w:noWrap w:val="0"/>
            <w:vAlign w:val="center"/>
          </w:tcPr>
          <w:p w14:paraId="21C916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低频电子脉冲红外治疗仪（通乳型治疗仪）</w:t>
            </w:r>
          </w:p>
        </w:tc>
        <w:tc>
          <w:tcPr>
            <w:tcW w:w="1215" w:type="dxa"/>
            <w:noWrap w:val="0"/>
            <w:vAlign w:val="center"/>
          </w:tcPr>
          <w:p w14:paraId="165C48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1620" w:type="dxa"/>
            <w:noWrap w:val="0"/>
            <w:vAlign w:val="center"/>
          </w:tcPr>
          <w:p w14:paraId="153291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2060" w:type="dxa"/>
            <w:noWrap w:val="0"/>
            <w:vAlign w:val="center"/>
          </w:tcPr>
          <w:p w14:paraId="540BDC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14" w:type="dxa"/>
            <w:noWrap w:val="0"/>
            <w:vAlign w:val="center"/>
          </w:tcPr>
          <w:p w14:paraId="36B694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2601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205E75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11" w:type="dxa"/>
            <w:noWrap w:val="0"/>
            <w:vAlign w:val="center"/>
          </w:tcPr>
          <w:p w14:paraId="1C5F85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盆底磁刺激仪</w:t>
            </w:r>
          </w:p>
        </w:tc>
        <w:tc>
          <w:tcPr>
            <w:tcW w:w="1215" w:type="dxa"/>
            <w:noWrap w:val="0"/>
            <w:vAlign w:val="center"/>
          </w:tcPr>
          <w:p w14:paraId="62800E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1620" w:type="dxa"/>
            <w:noWrap w:val="0"/>
            <w:vAlign w:val="center"/>
          </w:tcPr>
          <w:p w14:paraId="16F07B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2060" w:type="dxa"/>
            <w:noWrap w:val="0"/>
            <w:vAlign w:val="center"/>
          </w:tcPr>
          <w:p w14:paraId="13290D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14" w:type="dxa"/>
            <w:noWrap w:val="0"/>
            <w:vAlign w:val="center"/>
          </w:tcPr>
          <w:p w14:paraId="166C93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3972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4AAFF2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11" w:type="dxa"/>
            <w:noWrap w:val="0"/>
            <w:vAlign w:val="center"/>
          </w:tcPr>
          <w:p w14:paraId="78F53B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产后康复治疗仪</w:t>
            </w:r>
          </w:p>
        </w:tc>
        <w:tc>
          <w:tcPr>
            <w:tcW w:w="1215" w:type="dxa"/>
            <w:noWrap w:val="0"/>
            <w:vAlign w:val="center"/>
          </w:tcPr>
          <w:p w14:paraId="1ECFCF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1620" w:type="dxa"/>
            <w:noWrap w:val="0"/>
            <w:vAlign w:val="center"/>
          </w:tcPr>
          <w:p w14:paraId="427AFE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2060" w:type="dxa"/>
            <w:noWrap w:val="0"/>
            <w:vAlign w:val="center"/>
          </w:tcPr>
          <w:p w14:paraId="5409A9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14" w:type="dxa"/>
            <w:noWrap w:val="0"/>
            <w:vAlign w:val="center"/>
          </w:tcPr>
          <w:p w14:paraId="63907E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0F5B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141A43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11" w:type="dxa"/>
            <w:noWrap w:val="0"/>
            <w:vAlign w:val="center"/>
          </w:tcPr>
          <w:p w14:paraId="403134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both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骨盆治疗仪</w:t>
            </w:r>
          </w:p>
        </w:tc>
        <w:tc>
          <w:tcPr>
            <w:tcW w:w="1215" w:type="dxa"/>
            <w:noWrap w:val="0"/>
            <w:vAlign w:val="center"/>
          </w:tcPr>
          <w:p w14:paraId="7C37DD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1620" w:type="dxa"/>
            <w:noWrap w:val="0"/>
            <w:vAlign w:val="center"/>
          </w:tcPr>
          <w:p w14:paraId="7BCEEA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2060" w:type="dxa"/>
            <w:noWrap w:val="0"/>
            <w:vAlign w:val="center"/>
          </w:tcPr>
          <w:p w14:paraId="2DB2B1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214" w:type="dxa"/>
            <w:noWrap w:val="0"/>
            <w:vAlign w:val="center"/>
          </w:tcPr>
          <w:p w14:paraId="6C736B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</w:tbl>
    <w:p w14:paraId="1A6A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outlineLvl w:val="1"/>
        <w:rPr>
          <w:rFonts w:hint="default" w:ascii="宋体" w:hAnsi="宋体" w:eastAsia="宋体"/>
          <w:b/>
          <w:bCs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18"/>
          <w:highlight w:val="none"/>
          <w:lang w:val="en-US" w:eastAsia="zh-CN"/>
        </w:rPr>
        <w:t>三、技术要求</w:t>
      </w:r>
    </w:p>
    <w:tbl>
      <w:tblPr>
        <w:tblStyle w:val="5"/>
        <w:tblW w:w="55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322"/>
        <w:gridCol w:w="5810"/>
        <w:gridCol w:w="1063"/>
        <w:gridCol w:w="714"/>
      </w:tblGrid>
      <w:tr w14:paraId="10D4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" w:type="pct"/>
            <w:vAlign w:val="center"/>
          </w:tcPr>
          <w:p w14:paraId="5D12E761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704" w:type="pct"/>
            <w:vAlign w:val="center"/>
          </w:tcPr>
          <w:p w14:paraId="43709B01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货物名称</w:t>
            </w:r>
          </w:p>
        </w:tc>
        <w:tc>
          <w:tcPr>
            <w:tcW w:w="3097" w:type="pct"/>
            <w:vAlign w:val="center"/>
          </w:tcPr>
          <w:p w14:paraId="17048894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技术参数及要求</w:t>
            </w:r>
          </w:p>
        </w:tc>
        <w:tc>
          <w:tcPr>
            <w:tcW w:w="566" w:type="pct"/>
            <w:vAlign w:val="center"/>
          </w:tcPr>
          <w:p w14:paraId="1229923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数量</w:t>
            </w:r>
          </w:p>
          <w:p w14:paraId="352D973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（单位）</w:t>
            </w:r>
          </w:p>
        </w:tc>
        <w:tc>
          <w:tcPr>
            <w:tcW w:w="380" w:type="pct"/>
            <w:vAlign w:val="center"/>
          </w:tcPr>
          <w:p w14:paraId="1F14FD1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  <w:highlight w:val="none"/>
              </w:rPr>
              <w:t>所属行业</w:t>
            </w:r>
          </w:p>
        </w:tc>
      </w:tr>
      <w:tr w14:paraId="6F06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50" w:type="pct"/>
            <w:vAlign w:val="center"/>
          </w:tcPr>
          <w:p w14:paraId="463ECC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18"/>
                <w:highlight w:val="none"/>
              </w:rPr>
              <w:t>1</w:t>
            </w:r>
          </w:p>
        </w:tc>
        <w:tc>
          <w:tcPr>
            <w:tcW w:w="704" w:type="pct"/>
            <w:vAlign w:val="center"/>
          </w:tcPr>
          <w:p w14:paraId="080F64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低频电子脉冲红外治疗仪（通乳型治疗仪）</w:t>
            </w:r>
          </w:p>
        </w:tc>
        <w:tc>
          <w:tcPr>
            <w:tcW w:w="3097" w:type="pct"/>
            <w:vAlign w:val="center"/>
          </w:tcPr>
          <w:p w14:paraId="00F0437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工作条件：</w:t>
            </w:r>
          </w:p>
          <w:p w14:paraId="17C7AC7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环境温度5℃～40℃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34FAE4E5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相对湿度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80%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074B5E7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大气压力700hPa～1060hPa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623AC95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使用电源：单相交流220V，50Hz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00E267C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技术规格：</w:t>
            </w:r>
          </w:p>
          <w:p w14:paraId="5F231C6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光谱范围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光谱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分布在800nm～2500nm内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3B053A2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★红外探头温度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分三档，强档50℃、中档45℃、弱档41℃，误差±2℃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固定贴身电极温度：40℃±2℃</w:t>
            </w:r>
          </w:p>
          <w:p w14:paraId="65BF7E9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可以调节红外输出强度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47082A1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定时时间：</w:t>
            </w:r>
          </w:p>
          <w:p w14:paraId="7DB9CC2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乳房：40分钟、60分钟、80分钟，可选择。</w:t>
            </w:r>
          </w:p>
          <w:p w14:paraId="2862209D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腹部：20分钟、30分钟、40分钟，可选择。</w:t>
            </w:r>
          </w:p>
          <w:p w14:paraId="52218C1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连续工作时间：不少于12小时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27DDA3E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 xml:space="preserve">基本配置： </w:t>
            </w:r>
          </w:p>
          <w:p w14:paraId="3E64B87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微电脑模拟控制，结合中医基础理论，通配穴方法全方位对催乳通乳、乳腺炎及常见乳腺良性病进行治疗，效果显著，见效快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1E16467B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主机、1个移动红外探头、1个固定贴身电极，患者可自助治疗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29436CE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3、两路独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立输出（1路输出红外探头电极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0-100调节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、1路输出固定贴身电极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0-100调节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）旋钮调节。</w:t>
            </w:r>
          </w:p>
          <w:p w14:paraId="357333F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四种治疗方案，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处方一至处方四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可供选择，根据不同的病情选择不同的处方。</w:t>
            </w:r>
          </w:p>
          <w:p w14:paraId="621653B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处方一：乳腺增生，回乳；</w:t>
            </w:r>
          </w:p>
          <w:p w14:paraId="5608C1B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处方二：乳腺炎、积乳症、乳头皲裂；</w:t>
            </w:r>
          </w:p>
          <w:p w14:paraId="432C717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处方三：丰乳健胸；</w:t>
            </w:r>
          </w:p>
          <w:p w14:paraId="6EEDCE74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处方四：催乳调理。</w:t>
            </w:r>
          </w:p>
          <w:p w14:paraId="6186B24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仪器操作面采用薄膜键盘和超清晰低功耗宽视野的中文液晶显示屏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3寸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，可显示时间、光强、波形、部位、穴位、中科包络波大小，使操作更简单、直观。</w:t>
            </w:r>
          </w:p>
          <w:p w14:paraId="0FD19FF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部位选择设置；乳房、腹部。</w:t>
            </w:r>
          </w:p>
          <w:p w14:paraId="608E2B2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 xml:space="preserve">输出电压 </w:t>
            </w:r>
          </w:p>
          <w:p w14:paraId="537DF23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可以调节输出电压强度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。</w:t>
            </w:r>
          </w:p>
          <w:p w14:paraId="4F0EE05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输出电压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：</w:t>
            </w:r>
          </w:p>
          <w:p w14:paraId="033FE1B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A波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：探头电极：0～20V分级可调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2088192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固定电极：0～30V分级可调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312D46A0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B波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：探头电极：0～35V分级可调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时峰-峰值, 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26F9276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固定电极：0～55V分级可调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时峰-峰值, 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5340D87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C波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：探头电极：0～25V分级可调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时峰-峰值, 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0CBB013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固定电极：0～45V分级可调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负载阻抗500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时峰-峰值, 满幅误差±15%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）</w:t>
            </w:r>
          </w:p>
          <w:p w14:paraId="6F08CE6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输出参数随波形实时变化，输出电压值与对应波形电压峰-峰值范围相同。</w:t>
            </w:r>
          </w:p>
          <w:p w14:paraId="634AC5C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  <w:lang w:val="en-US" w:eastAsia="zh-CN"/>
              </w:rPr>
              <w:t>五、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输出波形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ab/>
            </w:r>
          </w:p>
          <w:p w14:paraId="394CDDB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A波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近似三角波调幅的基波脉冲组合，调幅包络周期2.3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，误差±15％；基波脉宽320μs，误差±15％。</w:t>
            </w:r>
          </w:p>
          <w:p w14:paraId="3C9BE9E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B波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频率800Hz，误差±15%；脉宽625μs，误差±10%；</w:t>
            </w:r>
          </w:p>
          <w:p w14:paraId="04CDB57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调制波频率50Hz～400Hz，高低端点频率误差±18%；</w:t>
            </w:r>
          </w:p>
          <w:p w14:paraId="343F8F5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调制波脉宽1.25ms～10ms，高低端点脉宽误差±18%。</w:t>
            </w:r>
          </w:p>
          <w:p w14:paraId="0201325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18"/>
                <w:highlight w:val="none"/>
              </w:rPr>
              <w:t>C波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 xml:space="preserve">发出不等幅脉冲串，脉冲频率2.5kHz，误差±15%；串间隔0.4s, 误差±15%； </w:t>
            </w:r>
          </w:p>
          <w:p w14:paraId="75E5E49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其中短波串持续0.1s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误差±15%；</w:t>
            </w:r>
          </w:p>
          <w:p w14:paraId="22F0D525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长波串持续0.8s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误差±15%。</w:t>
            </w:r>
          </w:p>
          <w:p w14:paraId="04C1F551">
            <w:pPr>
              <w:pStyle w:val="2"/>
              <w:rPr>
                <w:rFonts w:hint="eastAsia"/>
                <w:highlight w:val="none"/>
              </w:rPr>
            </w:pPr>
          </w:p>
        </w:tc>
        <w:tc>
          <w:tcPr>
            <w:tcW w:w="566" w:type="pct"/>
            <w:vAlign w:val="center"/>
          </w:tcPr>
          <w:p w14:paraId="53C563DF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380" w:type="pct"/>
            <w:vAlign w:val="center"/>
          </w:tcPr>
          <w:p w14:paraId="1F091DE8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3A47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" w:type="pct"/>
            <w:vAlign w:val="center"/>
          </w:tcPr>
          <w:p w14:paraId="138CDC0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18"/>
                <w:highlight w:val="none"/>
              </w:rPr>
              <w:t>2</w:t>
            </w:r>
          </w:p>
        </w:tc>
        <w:tc>
          <w:tcPr>
            <w:tcW w:w="704" w:type="pct"/>
            <w:vAlign w:val="center"/>
          </w:tcPr>
          <w:p w14:paraId="38CF62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盆底磁刺激仪</w:t>
            </w:r>
          </w:p>
        </w:tc>
        <w:tc>
          <w:tcPr>
            <w:tcW w:w="3097" w:type="pct"/>
            <w:vAlign w:val="center"/>
          </w:tcPr>
          <w:p w14:paraId="2D4AA9EE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★液冷盆底线圈符合人体盆底结构设计，最大磁感应强度≥7T</w:t>
            </w:r>
          </w:p>
          <w:p w14:paraId="6D3AE4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2、★产品用于刺激人体中枢神经和外周神经，注册证适用范围包含腰骶神经功能障碍的辅助治疗。</w:t>
            </w:r>
          </w:p>
          <w:p w14:paraId="01E23575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3、满足≥80Hz 临床治疗方案。</w:t>
            </w:r>
          </w:p>
          <w:p w14:paraId="46543F7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4、★磁刺激主机、冷却系统集成在机箱内，冷却系统非外置，座椅与机箱一体式设计，安全稳定。</w:t>
            </w:r>
          </w:p>
          <w:p w14:paraId="6B2AF6C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5、★配置可移动工作站，非内嵌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式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，方便办公操作使用。</w:t>
            </w:r>
          </w:p>
          <w:p w14:paraId="40EB5A3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6、脉冲上升时间：≤80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s。</w:t>
            </w:r>
          </w:p>
          <w:p w14:paraId="42260C5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7、脉冲持续时间：≤360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s。</w:t>
            </w:r>
          </w:p>
          <w:p w14:paraId="688D70E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8、磁感应强度最大变化率范围：10kT/s～50kT/s。</w:t>
            </w:r>
          </w:p>
          <w:p w14:paraId="5618143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9、运动诱发电位检测最小分辨率：≤1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V。</w:t>
            </w:r>
          </w:p>
          <w:p w14:paraId="6489A34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10、运动诱发电位检查双通道采样率：≥3kHz。</w:t>
            </w:r>
          </w:p>
          <w:p w14:paraId="3A8923CD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11、测量灵敏度范围：2～3000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μ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V。</w:t>
            </w:r>
          </w:p>
          <w:p w14:paraId="35A4DD8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12、★可实现单脉冲刺激、重复脉冲刺激、变频刺激和变幅刺激等多种刺激模式，满足临床多种治疗场景需要。</w:t>
            </w:r>
          </w:p>
          <w:p w14:paraId="244A10E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13、治疗过程中，无需暂停即可根据患者感受更改刺激强度。</w:t>
            </w:r>
          </w:p>
          <w:p w14:paraId="07E32A7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14、治疗过程中可对刺激强度进行连续调节，同时显示方案的输出进程，已完成/剩余脉冲个数及刺激时间。</w:t>
            </w:r>
          </w:p>
          <w:p w14:paraId="7A0E7298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15、★采用液态内循环冷却系统，具有智能温度保护功能，刺激线圈温度达到40℃会自动停止输出。</w:t>
            </w:r>
          </w:p>
          <w:p w14:paraId="27B448E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16、支持运动诱发电位监测模块对接，可实现神经传导速度检测。</w:t>
            </w:r>
          </w:p>
          <w:p w14:paraId="1D61D30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17、脚踏最高可抬至与地面水平位置。</w:t>
            </w:r>
          </w:p>
          <w:p w14:paraId="441C2A75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18、★治疗座椅可电动调节座椅靠背，靠背可与坐垫形成夹角角度需大于140°,脚踏角度可单独调节。</w:t>
            </w:r>
          </w:p>
          <w:p w14:paraId="61EB3716"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</w:rPr>
              <w:t>19、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★系统支持与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盆底电刺激、生物刺激反馈类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设备之间数据同步。</w:t>
            </w:r>
          </w:p>
        </w:tc>
        <w:tc>
          <w:tcPr>
            <w:tcW w:w="566" w:type="pct"/>
            <w:vAlign w:val="center"/>
          </w:tcPr>
          <w:p w14:paraId="1745C4AF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380" w:type="pct"/>
            <w:vAlign w:val="center"/>
          </w:tcPr>
          <w:p w14:paraId="48EC6BE1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0A8B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0" w:type="pct"/>
            <w:vAlign w:val="center"/>
          </w:tcPr>
          <w:p w14:paraId="6AEC873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18"/>
                <w:highlight w:val="none"/>
              </w:rPr>
              <w:t>3</w:t>
            </w:r>
          </w:p>
        </w:tc>
        <w:tc>
          <w:tcPr>
            <w:tcW w:w="704" w:type="pct"/>
            <w:vAlign w:val="center"/>
          </w:tcPr>
          <w:p w14:paraId="373407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产后康复治疗仪</w:t>
            </w:r>
          </w:p>
        </w:tc>
        <w:tc>
          <w:tcPr>
            <w:tcW w:w="3097" w:type="pct"/>
            <w:vAlign w:val="center"/>
          </w:tcPr>
          <w:p w14:paraId="399B264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★注册证适用范围需包括电刺激治疗和生物反馈治疗。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产品结构由主机、电极线、阴道电极、一次性使用阴道电极或者一次性使用无菌阴道电极、粘胶电极片等组成。</w:t>
            </w:r>
          </w:p>
          <w:p w14:paraId="11A1AAC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主机电容触摸屏，触摸屏幕尺寸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10英寸。</w:t>
            </w:r>
          </w:p>
          <w:p w14:paraId="296D4A8C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内置电池+外接电源，锂电池容量≥4000mAh，双供电模式，满足不同的临床应用需求。</w:t>
            </w:r>
          </w:p>
          <w:p w14:paraId="1C27020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★具有手提把手，可立放于桌台上，方便进行观察屏幕的生物反馈训练。</w:t>
            </w:r>
          </w:p>
          <w:p w14:paraId="491C7E0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★主机多功能物理通道≥4个，其中≥4个电刺激通道(STIM)，≥3个肌电采集通道(EMG)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。</w:t>
            </w:r>
          </w:p>
          <w:p w14:paraId="4C013A4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肌电采集范围：2-2500uV(r.m.s)，分辨率：≤0.5uV(r.m.s)</w:t>
            </w:r>
          </w:p>
          <w:p w14:paraId="3B704F3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电刺激脉冲宽度：至少在50-900us范围内均可调，步进10us可调节，电刺激脉冲频率：至少在1-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0Hz范围内均可调，步进1Hz可调节。</w:t>
            </w:r>
          </w:p>
          <w:p w14:paraId="0FE26D7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★通频带：不窄于20Hz～520Hz。</w:t>
            </w:r>
          </w:p>
          <w:p w14:paraId="1176525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★上升/下降时间：0s～20s范围内可调。</w:t>
            </w:r>
          </w:p>
          <w:p w14:paraId="2A6401F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各通道独立控制，可任意选择开启的通道，可用于多个不同部位的联合治疗。</w:t>
            </w:r>
          </w:p>
          <w:p w14:paraId="2848BDC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产康方案包括电刺激治疗和生物反馈治疗两种治疗方法。</w:t>
            </w:r>
          </w:p>
          <w:p w14:paraId="3060E69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★设备包含产后康复及综合康复双模块，治疗方案不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于50种。功能模块可通过设置自由切换。</w:t>
            </w:r>
          </w:p>
          <w:p w14:paraId="4448E320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13、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设备可连接无线打印机，直接打印肌电评估报告。</w:t>
            </w:r>
          </w:p>
          <w:p w14:paraId="793A623F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★具有生物反馈治疗功能，有多种针对腰背部肌肉进行的生物反馈治疗方案，具有至少3种以上体位的生物反馈方案，可从视觉和听觉角度，进行动画及音乐的生物反馈治疗。</w:t>
            </w:r>
          </w:p>
          <w:p w14:paraId="037D31A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、★具有腹直肌的触发电刺激训练功能，可针对腹肌力量薄弱的患者进行辅助训练。触发电刺激的频率,脉宽可任意调节。</w:t>
            </w:r>
          </w:p>
          <w:p w14:paraId="135E624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16、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单个电刺激治疗可设置变频模式，实现刺激过程中至少两种频率以及脉宽之间转换。</w:t>
            </w:r>
          </w:p>
          <w:p w14:paraId="41D22129"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17、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所有产后康复方案，均具有电极片粘贴示意图，自动检测通道连接，电极脱落有提示保护，保证治疗安全。</w:t>
            </w:r>
          </w:p>
        </w:tc>
        <w:tc>
          <w:tcPr>
            <w:tcW w:w="566" w:type="pct"/>
            <w:vAlign w:val="center"/>
          </w:tcPr>
          <w:p w14:paraId="37139949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380" w:type="pct"/>
            <w:vAlign w:val="center"/>
          </w:tcPr>
          <w:p w14:paraId="6B297C93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  <w:tr w14:paraId="0B78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" w:type="pct"/>
            <w:vAlign w:val="center"/>
          </w:tcPr>
          <w:p w14:paraId="21C3B41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18"/>
                <w:highlight w:val="none"/>
              </w:rPr>
              <w:t>4</w:t>
            </w:r>
          </w:p>
        </w:tc>
        <w:tc>
          <w:tcPr>
            <w:tcW w:w="704" w:type="pct"/>
            <w:vAlign w:val="center"/>
          </w:tcPr>
          <w:p w14:paraId="47118C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105" w:leftChars="50"/>
              <w:jc w:val="center"/>
              <w:textAlignment w:val="auto"/>
              <w:outlineLvl w:val="1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骨盆治疗仪</w:t>
            </w:r>
          </w:p>
        </w:tc>
        <w:tc>
          <w:tcPr>
            <w:tcW w:w="3097" w:type="pct"/>
            <w:vAlign w:val="center"/>
          </w:tcPr>
          <w:p w14:paraId="1DB5BFA5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1、双路12腔设计。</w:t>
            </w:r>
          </w:p>
          <w:p w14:paraId="0C7F279A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2、套筒类型：3D立体设计套筒。</w:t>
            </w:r>
          </w:p>
          <w:p w14:paraId="6A34E87B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3、压力范围：0～20</w:t>
            </w:r>
            <w:r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0mmHg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，调节步长为1mmHg。</w:t>
            </w:r>
          </w:p>
          <w:p w14:paraId="5CD1312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4、调压方式≥3种，滑块拖动、压力标尺、触屏按键三种调压方式。</w:t>
            </w:r>
          </w:p>
          <w:p w14:paraId="64A2560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5、压力调节≥2种：同步调节/单腔调节。</w:t>
            </w:r>
          </w:p>
          <w:p w14:paraId="64967E61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6、保持时间：0～12秒可调，步长精确到1秒可调。</w:t>
            </w:r>
          </w:p>
          <w:p w14:paraId="21B222A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7、间歇时间：循环间隔的默认值为</w:t>
            </w:r>
            <w:r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秒，调节范围：</w:t>
            </w:r>
            <w:r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秒。</w:t>
            </w:r>
          </w:p>
          <w:p w14:paraId="7D48E026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8、运行状态噪音：工作时噪音≤50dB。</w:t>
            </w:r>
          </w:p>
          <w:p w14:paraId="7D4B31F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9、操作方法：触屏操作。</w:t>
            </w:r>
          </w:p>
          <w:p w14:paraId="08CCC03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10、操控、运行状态等语音提示功能。</w:t>
            </w:r>
          </w:p>
          <w:p w14:paraId="39F04E7D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11、充气速度在触控屏上可调并显示。</w:t>
            </w:r>
          </w:p>
          <w:p w14:paraId="1EAF8187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12、髋部套筒，</w:t>
            </w:r>
            <w:bookmarkStart w:id="0" w:name="OLE_LINK1"/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循环压力分别作用于大腿、盆底肌、骨盆、臀、腹等12部位，促进淋巴液和静脉血液回流</w:t>
            </w:r>
            <w:bookmarkEnd w:id="0"/>
          </w:p>
          <w:p w14:paraId="38065BE0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13、★内置不少于23种模式处方，处方可编辑，组合成不少于1024种个性化治疗处方，处方可存储。</w:t>
            </w:r>
          </w:p>
          <w:p w14:paraId="7C606B3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14、★蠕动组合模式，缓解肢体的肿胀、僵硬、乏力</w:t>
            </w:r>
          </w:p>
          <w:p w14:paraId="5C81EBFD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15、康复组合模式，放松髋部周围肌肉。</w:t>
            </w:r>
          </w:p>
          <w:p w14:paraId="1F60B4E4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16、电磁兼容，稳定运行的同时，不会于扰同区其他医疗设备的使用。</w:t>
            </w:r>
          </w:p>
          <w:p w14:paraId="39CE331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17、智能报警，自诊断功能，过压、漏气、管路脱落、空接状态等安全检测，声光报警同步提示解决办法。</w:t>
            </w:r>
          </w:p>
          <w:p w14:paraId="3E63C89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18、★急停按钮，患者自持。</w:t>
            </w:r>
          </w:p>
          <w:p w14:paraId="7675EE3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19、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eastAsia="zh-CN"/>
              </w:rPr>
              <w:t>可关闭某腔以跳过伤口或脆弱部位。</w:t>
            </w:r>
          </w:p>
          <w:p w14:paraId="4C9E25F4"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18"/>
                <w:highlight w:val="none"/>
                <w:lang w:val="en-US" w:eastAsia="zh-CN"/>
              </w:rPr>
              <w:t>20、套筒型号：S、M、L三个型号可供选择。</w:t>
            </w:r>
          </w:p>
        </w:tc>
        <w:tc>
          <w:tcPr>
            <w:tcW w:w="566" w:type="pct"/>
            <w:vAlign w:val="center"/>
          </w:tcPr>
          <w:p w14:paraId="3B2C87E1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380" w:type="pct"/>
            <w:vAlign w:val="center"/>
          </w:tcPr>
          <w:p w14:paraId="46F398BD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</w:tr>
    </w:tbl>
    <w:p w14:paraId="36E6E04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所投产品可与医院HIS系统无缝连接，采购人提供端口并协调对接事宜。</w:t>
      </w:r>
    </w:p>
    <w:p w14:paraId="5F377E14">
      <w:pPr>
        <w:numPr>
          <w:ilvl w:val="0"/>
          <w:numId w:val="0"/>
        </w:numPr>
        <w:spacing w:line="360" w:lineRule="auto"/>
        <w:ind w:left="437" w:leftChars="0"/>
        <w:outlineLvl w:val="1"/>
        <w:rPr>
          <w:rFonts w:hint="eastAsia" w:asciiTheme="minorEastAsia" w:hAnsiTheme="minorEastAsia" w:eastAsiaTheme="minorEastAsia"/>
          <w:b/>
          <w:bCs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/>
          <w:b/>
          <w:bCs/>
          <w:sz w:val="24"/>
          <w:szCs w:val="18"/>
          <w:highlight w:val="none"/>
        </w:rPr>
        <w:t>报价要求</w:t>
      </w:r>
    </w:p>
    <w:p w14:paraId="277C79F9"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采用总价报价，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报价不得高于本包最高限价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否则按无效响应处理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。报价包含完成本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项目所有内容的费用，采购人后期不再追加任何费用。</w:t>
      </w:r>
    </w:p>
    <w:p w14:paraId="79F120C3"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sz w:val="24"/>
          <w:szCs w:val="18"/>
          <w:highlight w:val="none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24"/>
          <w:szCs w:val="18"/>
          <w:highlight w:val="none"/>
        </w:rPr>
        <w:t>、验收要求</w:t>
      </w:r>
    </w:p>
    <w:p w14:paraId="453BF90B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验收时，由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组成验收小组，验收小组应严格依照采购文件、采购合同及相关验收规范进行核对、验收，形成验收结论，并出具书面验收报告。</w:t>
      </w:r>
    </w:p>
    <w:p w14:paraId="1E3C0C1F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1E82F0FE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B245CD2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5032CC89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16D50197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3A400A68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4AA2C71D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1F402F22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4725D081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12552F1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2A40E"/>
    <w:multiLevelType w:val="singleLevel"/>
    <w:tmpl w:val="DC52A4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2716D5"/>
    <w:multiLevelType w:val="singleLevel"/>
    <w:tmpl w:val="0D2716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538F9C1"/>
    <w:multiLevelType w:val="singleLevel"/>
    <w:tmpl w:val="5538F9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45BC4"/>
    <w:rsid w:val="34E73B44"/>
    <w:rsid w:val="3D5877B1"/>
    <w:rsid w:val="46845BC4"/>
    <w:rsid w:val="72E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&amp;L"/>
    <w:basedOn w:val="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3969</Words>
  <Characters>4292</Characters>
  <Lines>0</Lines>
  <Paragraphs>0</Paragraphs>
  <TotalTime>0</TotalTime>
  <ScaleCrop>false</ScaleCrop>
  <LinksUpToDate>false</LinksUpToDate>
  <CharactersWithSpaces>4305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2025-04-23T07:25:00Z</dcterms:created>
  <dc:creator>尹书红</dc:creator>
  <cp:lastModifiedBy>尹书红</cp:lastModifiedBy>
  <dcterms:modified xsi:type="dcterms:W3CDTF">2025-08-13T08:16:06Z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571C90C48D414B1CAC1C1C91EDB9A0C8_11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