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5A2B7">
      <w:pPr>
        <w:spacing w:line="360" w:lineRule="auto"/>
        <w:jc w:val="center"/>
        <w:outlineLvl w:val="0"/>
        <w:rPr>
          <w:rFonts w:hint="eastAsia" w:ascii="宋体" w:hAnsi="宋体" w:eastAsia="宋体" w:cs="宋体"/>
          <w:b/>
          <w:sz w:val="28"/>
          <w:highlight w:val="none"/>
        </w:rPr>
      </w:pPr>
      <w:r>
        <w:rPr>
          <w:rFonts w:hint="eastAsia" w:ascii="宋体" w:hAnsi="宋体" w:eastAsia="宋体" w:cs="宋体"/>
          <w:b/>
          <w:sz w:val="28"/>
          <w:highlight w:val="none"/>
        </w:rPr>
        <w:t>采购需求</w:t>
      </w:r>
    </w:p>
    <w:p w14:paraId="031A6170">
      <w:pPr>
        <w:spacing w:line="360" w:lineRule="auto"/>
        <w:jc w:val="center"/>
        <w:outlineLvl w:val="0"/>
        <w:rPr>
          <w:rFonts w:hint="default" w:ascii="宋体" w:hAnsi="宋体" w:eastAsia="宋体" w:cs="宋体"/>
          <w:b/>
          <w:sz w:val="28"/>
          <w:highlight w:val="none"/>
          <w:lang w:val="en-US" w:eastAsia="zh-CN"/>
        </w:rPr>
      </w:pPr>
      <w:r>
        <w:rPr>
          <w:rFonts w:hint="eastAsia" w:ascii="宋体" w:hAnsi="宋体" w:eastAsia="宋体" w:cs="宋体"/>
          <w:b/>
          <w:sz w:val="28"/>
          <w:highlight w:val="none"/>
          <w:lang w:val="en-US" w:eastAsia="zh-CN"/>
        </w:rPr>
        <w:t>(仅供参考、以征集文件为准)</w:t>
      </w:r>
    </w:p>
    <w:p w14:paraId="3D50034D">
      <w:pPr>
        <w:keepNext w:val="0"/>
        <w:keepLines w:val="0"/>
        <w:pageBreakBefore w:val="0"/>
        <w:kinsoku/>
        <w:wordWrap w:val="0"/>
        <w:overflowPunct/>
        <w:topLinePunct w:val="0"/>
        <w:autoSpaceDE/>
        <w:autoSpaceDN/>
        <w:bidi w:val="0"/>
        <w:adjustRightInd/>
        <w:snapToGrid/>
        <w:spacing w:line="360" w:lineRule="auto"/>
        <w:textAlignment w:val="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39AC0E90">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本采购需求中提出的服务方案仅为参考，如无明确限制，</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可以进行优化，提供满足</w:t>
      </w:r>
      <w:r>
        <w:rPr>
          <w:rFonts w:hint="eastAsia" w:ascii="宋体" w:hAnsi="宋体" w:eastAsia="宋体" w:cs="宋体"/>
          <w:sz w:val="24"/>
          <w:szCs w:val="24"/>
          <w:highlight w:val="none"/>
          <w:lang w:eastAsia="zh-CN"/>
        </w:rPr>
        <w:t>征集人</w:t>
      </w:r>
      <w:r>
        <w:rPr>
          <w:rFonts w:ascii="宋体" w:hAnsi="宋体" w:eastAsia="宋体" w:cs="宋体"/>
          <w:sz w:val="24"/>
          <w:szCs w:val="24"/>
          <w:highlight w:val="none"/>
        </w:rPr>
        <w:t>实际需要的更优（或者性能实质上不低于的）服务方案，且此方案须经评标委员会评审认可</w:t>
      </w:r>
      <w:r>
        <w:rPr>
          <w:rFonts w:hint="eastAsia" w:ascii="宋体" w:hAnsi="宋体" w:eastAsia="宋体" w:cs="宋体"/>
          <w:sz w:val="24"/>
          <w:szCs w:val="24"/>
          <w:highlight w:val="none"/>
        </w:rPr>
        <w:t>。</w:t>
      </w:r>
    </w:p>
    <w:p w14:paraId="0848B188">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下列采购需求中：</w:t>
      </w:r>
    </w:p>
    <w:p w14:paraId="7C09460E">
      <w:pPr>
        <w:keepNext w:val="0"/>
        <w:keepLines w:val="0"/>
        <w:pageBreakBefore w:val="0"/>
        <w:widowControl w:val="0"/>
        <w:kinsoku/>
        <w:wordWrap w:val="0"/>
        <w:overflowPunct/>
        <w:topLinePunct w:val="0"/>
        <w:autoSpaceDE/>
        <w:autoSpaceDN/>
        <w:bidi w:val="0"/>
        <w:adjustRightInd/>
        <w:snapToGrid/>
        <w:spacing w:line="360" w:lineRule="auto"/>
        <w:ind w:firstLine="240" w:firstLineChars="100"/>
        <w:textAlignment w:val="auto"/>
        <w:rPr>
          <w:rFonts w:ascii="宋体" w:hAnsi="宋体" w:eastAsia="宋体" w:cs="宋体"/>
          <w:sz w:val="24"/>
          <w:szCs w:val="24"/>
          <w:highlight w:val="none"/>
        </w:rPr>
      </w:pPr>
      <w:r>
        <w:rPr>
          <w:rFonts w:ascii="宋体" w:hAnsi="宋体" w:eastAsia="宋体" w:cs="宋体"/>
          <w:sz w:val="24"/>
          <w:szCs w:val="24"/>
          <w:highlight w:val="none"/>
        </w:rPr>
        <w:t>（1）如属于《节能产品政府采购品目清单》中政府强制采购的节能产品，则</w:t>
      </w:r>
      <w:r>
        <w:rPr>
          <w:rFonts w:hint="eastAsia" w:ascii="宋体" w:hAnsi="宋体" w:eastAsia="宋体" w:cs="宋体"/>
          <w:sz w:val="24"/>
          <w:szCs w:val="24"/>
          <w:highlight w:val="none"/>
          <w:lang w:eastAsia="zh-CN"/>
        </w:rPr>
        <w:t>供应商</w:t>
      </w:r>
      <w:r>
        <w:rPr>
          <w:rFonts w:ascii="宋体" w:hAnsi="宋体" w:eastAsia="宋体" w:cs="宋体"/>
          <w:sz w:val="24"/>
          <w:szCs w:val="24"/>
          <w:highlight w:val="none"/>
        </w:rPr>
        <w:t>所投产品须具有市场监管总局公布的《参与实施政府采购节能产品认证机构目录》中的认证机构出具的、处于有效期内的节能产品认证证书。</w:t>
      </w:r>
      <w:r>
        <w:rPr>
          <w:rFonts w:ascii="宋体" w:hAnsi="宋体" w:eastAsia="宋体" w:cs="宋体"/>
          <w:sz w:val="24"/>
          <w:szCs w:val="24"/>
          <w:highlight w:val="none"/>
        </w:rPr>
        <w:br w:type="textWrapping"/>
      </w:r>
      <w:r>
        <w:rPr>
          <w:rFonts w:hint="eastAsia" w:ascii="宋体" w:hAnsi="宋体" w:eastAsia="宋体" w:cs="宋体"/>
          <w:sz w:val="24"/>
          <w:szCs w:val="24"/>
          <w:highlight w:val="none"/>
        </w:rPr>
        <w:t xml:space="preserve">  </w:t>
      </w:r>
      <w:r>
        <w:rPr>
          <w:rFonts w:ascii="宋体" w:hAnsi="宋体" w:eastAsia="宋体" w:cs="宋体"/>
          <w:sz w:val="24"/>
          <w:szCs w:val="24"/>
          <w:highlight w:val="none"/>
        </w:rPr>
        <w:t>（2）如涉及商品包装和快递包装，</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w:t>
      </w:r>
      <w:r>
        <w:rPr>
          <w:rFonts w:hint="eastAsia" w:ascii="宋体" w:hAnsi="宋体" w:eastAsia="宋体" w:cs="宋体"/>
          <w:sz w:val="24"/>
          <w:szCs w:val="24"/>
          <w:highlight w:val="none"/>
          <w:lang w:eastAsia="zh-CN"/>
        </w:rPr>
        <w:t>征集人</w:t>
      </w:r>
      <w:r>
        <w:rPr>
          <w:rFonts w:ascii="宋体" w:hAnsi="宋体" w:eastAsia="宋体" w:cs="宋体"/>
          <w:sz w:val="24"/>
          <w:szCs w:val="24"/>
          <w:highlight w:val="none"/>
        </w:rPr>
        <w:t>将对包装材料和运输环节作为履约验收条款进行验收。</w:t>
      </w:r>
    </w:p>
    <w:p w14:paraId="235550E9">
      <w:pPr>
        <w:keepNext w:val="0"/>
        <w:keepLines w:val="0"/>
        <w:pageBreakBefore w:val="0"/>
        <w:widowControl w:val="0"/>
        <w:kinsoku/>
        <w:wordWrap w:val="0"/>
        <w:overflowPunct/>
        <w:topLinePunct w:val="0"/>
        <w:autoSpaceDE/>
        <w:autoSpaceDN/>
        <w:bidi w:val="0"/>
        <w:adjustRightInd/>
        <w:snapToGrid/>
        <w:spacing w:line="360" w:lineRule="auto"/>
        <w:ind w:firstLine="435"/>
        <w:textAlignment w:val="auto"/>
        <w:rPr>
          <w:rFonts w:hint="eastAsia" w:ascii="宋体" w:hAnsi="宋体" w:eastAsia="宋体"/>
          <w:sz w:val="24"/>
          <w:szCs w:val="18"/>
          <w:highlight w:val="none"/>
        </w:rPr>
      </w:pPr>
      <w:r>
        <w:rPr>
          <w:rFonts w:hint="eastAsia" w:ascii="宋体" w:hAnsi="宋体" w:eastAsia="宋体"/>
          <w:sz w:val="24"/>
          <w:szCs w:val="18"/>
          <w:highlight w:val="none"/>
        </w:rPr>
        <w:t>3</w:t>
      </w:r>
      <w:r>
        <w:rPr>
          <w:rFonts w:hint="eastAsia" w:ascii="宋体" w:hAnsi="宋体" w:eastAsia="宋体"/>
          <w:sz w:val="24"/>
          <w:szCs w:val="18"/>
          <w:highlight w:val="none"/>
          <w:lang w:eastAsia="zh-CN"/>
        </w:rPr>
        <w:t>、</w:t>
      </w:r>
      <w:r>
        <w:rPr>
          <w:rFonts w:hint="eastAsia" w:ascii="宋体" w:hAnsi="宋体" w:eastAsia="宋体"/>
          <w:sz w:val="24"/>
          <w:szCs w:val="18"/>
          <w:highlight w:val="none"/>
        </w:rPr>
        <w:t>如</w:t>
      </w:r>
      <w:r>
        <w:rPr>
          <w:rFonts w:hint="eastAsia" w:ascii="宋体" w:hAnsi="宋体" w:eastAsia="宋体"/>
          <w:sz w:val="24"/>
          <w:szCs w:val="18"/>
          <w:highlight w:val="none"/>
          <w:lang w:eastAsia="zh-CN"/>
        </w:rPr>
        <w:t>征集人</w:t>
      </w:r>
      <w:r>
        <w:rPr>
          <w:rFonts w:hint="eastAsia" w:ascii="宋体" w:hAnsi="宋体" w:eastAsia="宋体"/>
          <w:sz w:val="24"/>
          <w:szCs w:val="18"/>
          <w:highlight w:val="none"/>
        </w:rPr>
        <w:t>允许采用分包方式履行合同的，应当明确可以分包履行的相关内容。</w:t>
      </w:r>
    </w:p>
    <w:p w14:paraId="6308F27A">
      <w:pPr>
        <w:keepNext w:val="0"/>
        <w:keepLines w:val="0"/>
        <w:pageBreakBefore w:val="0"/>
        <w:kinsoku/>
        <w:wordWrap w:val="0"/>
        <w:overflowPunct/>
        <w:topLinePunct w:val="0"/>
        <w:autoSpaceDE/>
        <w:autoSpaceDN/>
        <w:bidi w:val="0"/>
        <w:adjustRightInd/>
        <w:snapToGrid/>
        <w:spacing w:line="360" w:lineRule="auto"/>
        <w:textAlignment w:val="auto"/>
        <w:rPr>
          <w:rFonts w:ascii="宋体" w:hAnsi="宋体" w:eastAsia="宋体" w:cs="宋体"/>
          <w:b/>
          <w:sz w:val="24"/>
          <w:szCs w:val="18"/>
          <w:highlight w:val="none"/>
        </w:rPr>
      </w:pPr>
      <w:bookmarkStart w:id="0" w:name="_Hlk23621890"/>
      <w:r>
        <w:rPr>
          <w:rFonts w:hint="eastAsia" w:ascii="宋体" w:hAnsi="宋体" w:eastAsia="宋体" w:cs="宋体"/>
          <w:b/>
          <w:sz w:val="24"/>
          <w:szCs w:val="18"/>
          <w:highlight w:val="none"/>
        </w:rPr>
        <w:t>一、采购需求前附表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6D65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91" w:type="pct"/>
            <w:vAlign w:val="center"/>
          </w:tcPr>
          <w:p w14:paraId="03A56CC5">
            <w:pPr>
              <w:pStyle w:val="12"/>
              <w:keepNext w:val="0"/>
              <w:keepLines w:val="0"/>
              <w:pageBreakBefore w:val="0"/>
              <w:pBdr>
                <w:bottom w:val="none" w:color="auto" w:sz="0" w:space="0"/>
              </w:pBdr>
              <w:tabs>
                <w:tab w:val="clear" w:pos="4153"/>
                <w:tab w:val="clear" w:pos="8306"/>
              </w:tabs>
              <w:kinsoku/>
              <w:wordWrap w:val="0"/>
              <w:overflowPunct/>
              <w:topLinePunct w:val="0"/>
              <w:autoSpaceDE/>
              <w:autoSpaceDN/>
              <w:bidi w:val="0"/>
              <w:adjustRightInd/>
              <w:snapToGrid/>
              <w:spacing w:line="240" w:lineRule="auto"/>
              <w:textAlignment w:val="auto"/>
              <w:rPr>
                <w:rFonts w:ascii="宋体" w:hAnsi="宋体" w:eastAsia="宋体" w:cs="宋体"/>
                <w:b/>
                <w:kern w:val="2"/>
                <w:highlight w:val="none"/>
              </w:rPr>
            </w:pPr>
            <w:r>
              <w:rPr>
                <w:rFonts w:hint="eastAsia" w:ascii="宋体" w:hAnsi="宋体" w:eastAsia="宋体" w:cs="宋体"/>
                <w:b/>
                <w:kern w:val="2"/>
                <w:highlight w:val="none"/>
              </w:rPr>
              <w:t>序号</w:t>
            </w:r>
          </w:p>
        </w:tc>
        <w:tc>
          <w:tcPr>
            <w:tcW w:w="1192" w:type="pct"/>
            <w:vAlign w:val="center"/>
          </w:tcPr>
          <w:p w14:paraId="7B640349">
            <w:pPr>
              <w:pStyle w:val="13"/>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textAlignment w:val="auto"/>
              <w:rPr>
                <w:rFonts w:ascii="宋体" w:hAnsi="宋体" w:eastAsia="宋体" w:cs="宋体"/>
                <w:bCs w:val="0"/>
                <w:sz w:val="24"/>
                <w:highlight w:val="none"/>
              </w:rPr>
            </w:pPr>
            <w:r>
              <w:rPr>
                <w:rFonts w:hint="eastAsia" w:ascii="宋体" w:hAnsi="宋体" w:eastAsia="宋体" w:cs="宋体"/>
                <w:bCs w:val="0"/>
                <w:sz w:val="24"/>
                <w:highlight w:val="none"/>
              </w:rPr>
              <w:t>条款名称</w:t>
            </w:r>
          </w:p>
        </w:tc>
        <w:tc>
          <w:tcPr>
            <w:tcW w:w="3217" w:type="pct"/>
            <w:vAlign w:val="center"/>
          </w:tcPr>
          <w:p w14:paraId="1D57C70D">
            <w:pPr>
              <w:pStyle w:val="13"/>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textAlignment w:val="auto"/>
              <w:rPr>
                <w:rFonts w:ascii="宋体" w:hAnsi="宋体" w:eastAsia="宋体" w:cs="宋体"/>
                <w:bCs w:val="0"/>
                <w:sz w:val="24"/>
                <w:highlight w:val="none"/>
              </w:rPr>
            </w:pPr>
            <w:r>
              <w:rPr>
                <w:rFonts w:hint="eastAsia" w:ascii="宋体" w:hAnsi="宋体" w:eastAsia="宋体" w:cs="宋体"/>
                <w:bCs w:val="0"/>
                <w:sz w:val="24"/>
                <w:highlight w:val="none"/>
              </w:rPr>
              <w:t>内容、说明与要求</w:t>
            </w:r>
          </w:p>
        </w:tc>
      </w:tr>
      <w:tr w14:paraId="466E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91" w:type="pct"/>
            <w:vAlign w:val="center"/>
          </w:tcPr>
          <w:p w14:paraId="010C0A27">
            <w:pPr>
              <w:pStyle w:val="12"/>
              <w:keepNext w:val="0"/>
              <w:keepLines w:val="0"/>
              <w:pageBreakBefore w:val="0"/>
              <w:pBdr>
                <w:bottom w:val="none" w:color="auto" w:sz="0" w:space="0"/>
              </w:pBdr>
              <w:tabs>
                <w:tab w:val="clear" w:pos="4153"/>
                <w:tab w:val="clear" w:pos="8306"/>
              </w:tabs>
              <w:kinsoku/>
              <w:wordWrap w:val="0"/>
              <w:overflowPunct/>
              <w:topLinePunct w:val="0"/>
              <w:autoSpaceDE/>
              <w:autoSpaceDN/>
              <w:bidi w:val="0"/>
              <w:adjustRightInd/>
              <w:snapToGrid/>
              <w:spacing w:line="240" w:lineRule="auto"/>
              <w:textAlignment w:val="auto"/>
              <w:rPr>
                <w:rFonts w:ascii="宋体" w:hAnsi="宋体" w:eastAsia="宋体" w:cs="宋体"/>
                <w:bCs/>
                <w:kern w:val="2"/>
                <w:highlight w:val="none"/>
              </w:rPr>
            </w:pPr>
            <w:r>
              <w:rPr>
                <w:rFonts w:hint="eastAsia" w:ascii="宋体" w:hAnsi="宋体" w:eastAsia="宋体" w:cs="宋体"/>
                <w:bCs/>
                <w:kern w:val="2"/>
                <w:highlight w:val="none"/>
              </w:rPr>
              <w:t>1</w:t>
            </w:r>
          </w:p>
        </w:tc>
        <w:tc>
          <w:tcPr>
            <w:tcW w:w="1192" w:type="pct"/>
            <w:vAlign w:val="center"/>
          </w:tcPr>
          <w:p w14:paraId="60E3D5CF">
            <w:pPr>
              <w:pStyle w:val="13"/>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付款方式</w:t>
            </w:r>
          </w:p>
        </w:tc>
        <w:tc>
          <w:tcPr>
            <w:tcW w:w="3217" w:type="pct"/>
            <w:vAlign w:val="center"/>
          </w:tcPr>
          <w:p w14:paraId="049DD6E8">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default" w:ascii="宋体" w:hAnsi="宋体" w:eastAsia="宋体" w:cs="宋体"/>
                <w:b w:val="0"/>
                <w:bCs w:val="0"/>
                <w:kern w:val="0"/>
                <w:sz w:val="24"/>
                <w:szCs w:val="24"/>
                <w:highlight w:val="none"/>
                <w:lang w:val="en-US" w:eastAsia="zh-CN" w:bidi="ar-SA"/>
              </w:rPr>
            </w:pPr>
            <w:r>
              <w:rPr>
                <w:rFonts w:ascii="宋体" w:hAnsi="宋体" w:eastAsia="宋体" w:cs="宋体"/>
                <w:sz w:val="24"/>
                <w:szCs w:val="24"/>
                <w:highlight w:val="none"/>
              </w:rPr>
              <w:t>每季度根据实际完成工作任务结算</w:t>
            </w:r>
          </w:p>
        </w:tc>
      </w:tr>
      <w:tr w14:paraId="09BF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91" w:type="pct"/>
            <w:vAlign w:val="center"/>
          </w:tcPr>
          <w:p w14:paraId="30D4FBF9">
            <w:pPr>
              <w:pStyle w:val="12"/>
              <w:keepNext w:val="0"/>
              <w:keepLines w:val="0"/>
              <w:pageBreakBefore w:val="0"/>
              <w:pBdr>
                <w:bottom w:val="none" w:color="auto" w:sz="0" w:space="0"/>
              </w:pBdr>
              <w:tabs>
                <w:tab w:val="clear" w:pos="4153"/>
                <w:tab w:val="clear" w:pos="8306"/>
              </w:tabs>
              <w:kinsoku/>
              <w:wordWrap w:val="0"/>
              <w:overflowPunct/>
              <w:topLinePunct w:val="0"/>
              <w:autoSpaceDE/>
              <w:autoSpaceDN/>
              <w:bidi w:val="0"/>
              <w:adjustRightInd/>
              <w:snapToGrid/>
              <w:spacing w:line="240" w:lineRule="auto"/>
              <w:textAlignment w:val="auto"/>
              <w:rPr>
                <w:rFonts w:ascii="宋体" w:hAnsi="宋体" w:eastAsia="宋体" w:cs="宋体"/>
                <w:bCs/>
                <w:kern w:val="2"/>
                <w:highlight w:val="none"/>
              </w:rPr>
            </w:pPr>
            <w:r>
              <w:rPr>
                <w:rFonts w:hint="eastAsia" w:ascii="宋体" w:hAnsi="宋体" w:eastAsia="宋体" w:cs="宋体"/>
                <w:bCs/>
                <w:kern w:val="2"/>
                <w:highlight w:val="none"/>
              </w:rPr>
              <w:t>2</w:t>
            </w:r>
          </w:p>
        </w:tc>
        <w:tc>
          <w:tcPr>
            <w:tcW w:w="1192" w:type="pct"/>
            <w:vAlign w:val="center"/>
          </w:tcPr>
          <w:p w14:paraId="544B9DDE">
            <w:pPr>
              <w:pStyle w:val="13"/>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textAlignment w:val="auto"/>
              <w:rPr>
                <w:rFonts w:ascii="宋体" w:hAnsi="宋体" w:eastAsia="宋体" w:cs="宋体"/>
                <w:b w:val="0"/>
                <w:sz w:val="24"/>
                <w:highlight w:val="none"/>
              </w:rPr>
            </w:pPr>
            <w:r>
              <w:rPr>
                <w:rFonts w:hint="eastAsia" w:ascii="宋体" w:hAnsi="宋体" w:eastAsia="宋体" w:cs="宋体"/>
                <w:b w:val="0"/>
                <w:sz w:val="24"/>
                <w:highlight w:val="none"/>
              </w:rPr>
              <w:t>服务地点</w:t>
            </w:r>
          </w:p>
        </w:tc>
        <w:tc>
          <w:tcPr>
            <w:tcW w:w="3217" w:type="pct"/>
            <w:vAlign w:val="center"/>
          </w:tcPr>
          <w:p w14:paraId="582EEB29">
            <w:pPr>
              <w:pStyle w:val="13"/>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cs="宋体"/>
                <w:b w:val="0"/>
                <w:sz w:val="24"/>
                <w:highlight w:val="none"/>
              </w:rPr>
            </w:pPr>
            <w:r>
              <w:rPr>
                <w:rFonts w:hint="eastAsia" w:ascii="宋体" w:hAnsi="宋体" w:eastAsia="宋体" w:cs="宋体"/>
                <w:b w:val="0"/>
                <w:sz w:val="24"/>
                <w:szCs w:val="24"/>
                <w:highlight w:val="none"/>
              </w:rPr>
              <w:t>肥东县</w:t>
            </w:r>
            <w:r>
              <w:rPr>
                <w:rFonts w:hint="eastAsia" w:ascii="宋体" w:hAnsi="宋体" w:eastAsia="宋体" w:cs="宋体"/>
                <w:b w:val="0"/>
                <w:sz w:val="24"/>
                <w:szCs w:val="24"/>
                <w:highlight w:val="none"/>
                <w:lang w:val="en-US" w:eastAsia="zh-CN"/>
              </w:rPr>
              <w:t>境内，具体以采购人指定地点为准</w:t>
            </w:r>
          </w:p>
        </w:tc>
      </w:tr>
      <w:tr w14:paraId="1128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91" w:type="pct"/>
            <w:vAlign w:val="center"/>
          </w:tcPr>
          <w:p w14:paraId="20899A98">
            <w:pPr>
              <w:pStyle w:val="12"/>
              <w:keepNext w:val="0"/>
              <w:keepLines w:val="0"/>
              <w:pageBreakBefore w:val="0"/>
              <w:pBdr>
                <w:bottom w:val="none" w:color="auto" w:sz="0" w:space="0"/>
              </w:pBdr>
              <w:tabs>
                <w:tab w:val="clear" w:pos="4153"/>
                <w:tab w:val="clear" w:pos="8306"/>
              </w:tabs>
              <w:kinsoku/>
              <w:wordWrap w:val="0"/>
              <w:overflowPunct/>
              <w:topLinePunct w:val="0"/>
              <w:autoSpaceDE/>
              <w:autoSpaceDN/>
              <w:bidi w:val="0"/>
              <w:adjustRightInd/>
              <w:snapToGrid/>
              <w:spacing w:line="240" w:lineRule="auto"/>
              <w:textAlignment w:val="auto"/>
              <w:rPr>
                <w:rFonts w:ascii="宋体" w:hAnsi="宋体" w:eastAsia="宋体" w:cs="宋体"/>
                <w:bCs/>
                <w:kern w:val="2"/>
                <w:highlight w:val="none"/>
              </w:rPr>
            </w:pPr>
            <w:r>
              <w:rPr>
                <w:rFonts w:hint="eastAsia" w:ascii="宋体" w:hAnsi="宋体" w:eastAsia="宋体" w:cs="宋体"/>
                <w:bCs/>
                <w:kern w:val="2"/>
                <w:highlight w:val="none"/>
              </w:rPr>
              <w:t>3</w:t>
            </w:r>
          </w:p>
        </w:tc>
        <w:tc>
          <w:tcPr>
            <w:tcW w:w="1192" w:type="pct"/>
            <w:vAlign w:val="center"/>
          </w:tcPr>
          <w:p w14:paraId="3A61807F">
            <w:pPr>
              <w:pStyle w:val="13"/>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textAlignment w:val="auto"/>
              <w:rPr>
                <w:rFonts w:ascii="宋体" w:hAnsi="宋体" w:eastAsia="宋体" w:cs="宋体"/>
                <w:b w:val="0"/>
                <w:sz w:val="24"/>
                <w:highlight w:val="none"/>
              </w:rPr>
            </w:pPr>
            <w:r>
              <w:rPr>
                <w:rFonts w:hint="eastAsia" w:ascii="宋体" w:hAnsi="宋体" w:eastAsia="宋体" w:cs="宋体"/>
                <w:b w:val="0"/>
                <w:sz w:val="24"/>
                <w:highlight w:val="none"/>
                <w:lang w:val="en-US" w:eastAsia="zh-CN"/>
              </w:rPr>
              <w:t>协议期限</w:t>
            </w:r>
          </w:p>
        </w:tc>
        <w:tc>
          <w:tcPr>
            <w:tcW w:w="3217" w:type="pct"/>
            <w:vAlign w:val="center"/>
          </w:tcPr>
          <w:p w14:paraId="2D3180FF">
            <w:pPr>
              <w:pStyle w:val="13"/>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sz w:val="24"/>
                <w:highlight w:val="none"/>
                <w:lang w:eastAsia="zh-CN"/>
              </w:rPr>
            </w:pPr>
            <w:r>
              <w:rPr>
                <w:rFonts w:hint="eastAsia" w:ascii="宋体" w:hAnsi="宋体" w:eastAsia="宋体" w:cs="宋体"/>
                <w:b w:val="0"/>
                <w:sz w:val="24"/>
                <w:highlight w:val="none"/>
                <w:lang w:eastAsia="zh-CN"/>
              </w:rPr>
              <w:t>框架协议签订后2年。</w:t>
            </w:r>
          </w:p>
        </w:tc>
      </w:tr>
      <w:tr w14:paraId="4FA7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91" w:type="pct"/>
            <w:vAlign w:val="center"/>
          </w:tcPr>
          <w:p w14:paraId="00275BD2">
            <w:pPr>
              <w:pStyle w:val="12"/>
              <w:keepNext w:val="0"/>
              <w:keepLines w:val="0"/>
              <w:pageBreakBefore w:val="0"/>
              <w:pBdr>
                <w:bottom w:val="none" w:color="auto" w:sz="0" w:space="0"/>
              </w:pBdr>
              <w:tabs>
                <w:tab w:val="clear" w:pos="4153"/>
                <w:tab w:val="clear" w:pos="8306"/>
              </w:tabs>
              <w:kinsoku/>
              <w:wordWrap w:val="0"/>
              <w:overflowPunct/>
              <w:topLinePunct w:val="0"/>
              <w:autoSpaceDE/>
              <w:autoSpaceDN/>
              <w:bidi w:val="0"/>
              <w:adjustRightInd/>
              <w:snapToGrid/>
              <w:spacing w:line="240" w:lineRule="auto"/>
              <w:textAlignment w:val="auto"/>
              <w:rPr>
                <w:rFonts w:ascii="宋体" w:hAnsi="宋体" w:eastAsia="宋体" w:cs="宋体"/>
                <w:bCs/>
                <w:kern w:val="2"/>
                <w:highlight w:val="none"/>
              </w:rPr>
            </w:pPr>
            <w:bookmarkStart w:id="1" w:name="_Hlk16461016"/>
            <w:r>
              <w:rPr>
                <w:rFonts w:hint="eastAsia" w:ascii="宋体" w:hAnsi="宋体" w:eastAsia="宋体" w:cs="宋体"/>
                <w:bCs/>
                <w:kern w:val="2"/>
                <w:highlight w:val="none"/>
              </w:rPr>
              <w:t>4</w:t>
            </w:r>
          </w:p>
        </w:tc>
        <w:tc>
          <w:tcPr>
            <w:tcW w:w="1192" w:type="pct"/>
            <w:vAlign w:val="center"/>
          </w:tcPr>
          <w:p w14:paraId="71478471">
            <w:pPr>
              <w:pStyle w:val="13"/>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textAlignment w:val="auto"/>
              <w:rPr>
                <w:rFonts w:ascii="宋体" w:hAnsi="宋体" w:eastAsia="宋体" w:cs="宋体"/>
                <w:b w:val="0"/>
                <w:sz w:val="24"/>
                <w:highlight w:val="none"/>
              </w:rPr>
            </w:pPr>
            <w:r>
              <w:rPr>
                <w:rFonts w:hint="eastAsia" w:ascii="宋体" w:hAnsi="宋体" w:eastAsia="宋体"/>
                <w:b w:val="0"/>
                <w:sz w:val="24"/>
                <w:highlight w:val="none"/>
              </w:rPr>
              <w:t>本项目采购标的名称及所属行业</w:t>
            </w:r>
          </w:p>
        </w:tc>
        <w:tc>
          <w:tcPr>
            <w:tcW w:w="3217" w:type="pct"/>
            <w:vAlign w:val="center"/>
          </w:tcPr>
          <w:p w14:paraId="3CE38F63">
            <w:pPr>
              <w:pStyle w:val="13"/>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sz w:val="24"/>
                <w:highlight w:val="none"/>
                <w:lang w:val="en-US" w:eastAsia="zh-CN"/>
              </w:rPr>
            </w:pPr>
            <w:r>
              <w:rPr>
                <w:rFonts w:hint="eastAsia" w:ascii="宋体" w:hAnsi="宋体" w:eastAsia="宋体" w:cs="宋体"/>
                <w:b w:val="0"/>
                <w:sz w:val="24"/>
                <w:highlight w:val="none"/>
                <w:lang w:val="en-US" w:eastAsia="zh-CN"/>
              </w:rPr>
              <w:t>标的名称：2026-2028年肥东县公安局道路交通事故检验鉴定服务项目</w:t>
            </w:r>
          </w:p>
          <w:p w14:paraId="2B1CC975">
            <w:pPr>
              <w:pStyle w:val="13"/>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宋体"/>
                <w:b w:val="0"/>
                <w:sz w:val="24"/>
                <w:highlight w:val="none"/>
                <w:lang w:val="en-US" w:eastAsia="zh-CN"/>
              </w:rPr>
            </w:pPr>
            <w:r>
              <w:rPr>
                <w:rFonts w:hint="eastAsia" w:ascii="宋体" w:hAnsi="宋体" w:eastAsia="宋体" w:cs="宋体"/>
                <w:b w:val="0"/>
                <w:sz w:val="24"/>
                <w:highlight w:val="none"/>
                <w:lang w:val="en-US" w:eastAsia="zh-CN"/>
              </w:rPr>
              <w:t>所属行业：其他未列明行业</w:t>
            </w:r>
          </w:p>
        </w:tc>
      </w:tr>
      <w:bookmarkEnd w:id="0"/>
      <w:bookmarkEnd w:id="1"/>
    </w:tbl>
    <w:p w14:paraId="7BFD5837">
      <w:pPr>
        <w:pStyle w:val="14"/>
        <w:keepNext/>
        <w:keepLines/>
        <w:pageBreakBefore w:val="0"/>
        <w:widowControl w:val="0"/>
        <w:numPr>
          <w:ilvl w:val="0"/>
          <w:numId w:val="1"/>
        </w:numPr>
        <w:kinsoku/>
        <w:overflowPunct/>
        <w:topLinePunct w:val="0"/>
        <w:autoSpaceDE/>
        <w:autoSpaceDN/>
        <w:bidi w:val="0"/>
        <w:adjustRightInd/>
        <w:snapToGrid/>
        <w:spacing w:line="360" w:lineRule="auto"/>
        <w:ind w:left="0" w:leftChars="0" w:right="0" w:firstLine="0" w:firstLineChars="0"/>
        <w:jc w:val="both"/>
        <w:textAlignment w:val="auto"/>
        <w:rPr>
          <w:rFonts w:hint="eastAsia" w:asciiTheme="minorEastAsia" w:hAnsiTheme="minorEastAsia" w:eastAsiaTheme="minorEastAsia" w:cstheme="minorEastAsia"/>
          <w:b/>
          <w:bCs/>
          <w:sz w:val="24"/>
          <w:szCs w:val="24"/>
        </w:rPr>
      </w:pPr>
      <w:bookmarkStart w:id="2" w:name="bookmark131"/>
      <w:r>
        <w:rPr>
          <w:rFonts w:hint="eastAsia" w:asciiTheme="minorEastAsia" w:hAnsiTheme="minorEastAsia" w:eastAsiaTheme="minorEastAsia" w:cstheme="minorEastAsia"/>
          <w:b/>
          <w:bCs/>
          <w:sz w:val="24"/>
          <w:szCs w:val="24"/>
        </w:rPr>
        <w:t>服务要求</w:t>
      </w:r>
      <w:bookmarkEnd w:id="2"/>
    </w:p>
    <w:p w14:paraId="3F6E953A">
      <w:pPr>
        <w:pStyle w:val="4"/>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1、在委托受理的营业场所内分设有许可鉴定类别的服务窗口及业务受理洽谈窗口，各窗口的工作实用面积不得少于10平方米，室内装有恒温设备，布置有客户休息区。</w:t>
      </w:r>
    </w:p>
    <w:p w14:paraId="351A8BA7">
      <w:pPr>
        <w:pStyle w:val="4"/>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营业场所内醒目的墙面上公示有司法鉴定许可证、公正性声明、检验鉴定程序流转示意图、委托申请提示、检验鉴定项目名细、收费许可证（收费项目应与许可鉴定项目相吻合）、执证人2寸免冠彩色照片及司法鉴定人执业证号等信息。</w:t>
      </w:r>
    </w:p>
    <w:p w14:paraId="1B05FCBB">
      <w:pPr>
        <w:pStyle w:val="4"/>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3、有许可司法鉴定类别分置的办公场所和实验场所（获有计量认证合格证），办公和通讯设备齐全。</w:t>
      </w:r>
    </w:p>
    <w:p w14:paraId="08734A17">
      <w:pPr>
        <w:pStyle w:val="4"/>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4、建有存放检验、鉴定的档案室，有专人负责档案管理工作，档案室环境条件应能满足档案的安全保管和方便调阅。</w:t>
      </w:r>
    </w:p>
    <w:p w14:paraId="04AF31F8">
      <w:pPr>
        <w:pStyle w:val="4"/>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5、建有存放检材的保管设施，其条件应能满足检材不发生变质、变形、腐蚀、丢失，有专职人员负责保管工作。</w:t>
      </w:r>
    </w:p>
    <w:p w14:paraId="2924390C">
      <w:pPr>
        <w:pStyle w:val="4"/>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6、配备有用于勘验的交通工具，其数量及装备应能满足我县行政辖区交通事故处理的需要，且全天候开展工作，接受委托后赶赴现场的时间不得超过2小时。</w:t>
      </w:r>
    </w:p>
    <w:p w14:paraId="1D3C67E1">
      <w:pPr>
        <w:pStyle w:val="4"/>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7、配备有满足相关标准要求的用于勘验和提取物证，以及进行事故车辆安全技术检验的仪器和装备，至少有下列器具：</w:t>
      </w:r>
    </w:p>
    <w:tbl>
      <w:tblPr>
        <w:tblStyle w:val="9"/>
        <w:tblW w:w="6021" w:type="dxa"/>
        <w:tblInd w:w="6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3969"/>
      </w:tblGrid>
      <w:tr w14:paraId="71E2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0563E79D">
            <w:pPr>
              <w:pStyle w:val="4"/>
              <w:pageBreakBefore w:val="0"/>
              <w:overflowPunct/>
              <w:topLinePunct w:val="0"/>
              <w:bidi w:val="0"/>
              <w:spacing w:after="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969" w:type="dxa"/>
            <w:noWrap w:val="0"/>
            <w:vAlign w:val="top"/>
          </w:tcPr>
          <w:p w14:paraId="5E423E76">
            <w:pPr>
              <w:pStyle w:val="4"/>
              <w:pageBreakBefore w:val="0"/>
              <w:overflowPunct/>
              <w:topLinePunct w:val="0"/>
              <w:bidi w:val="0"/>
              <w:spacing w:after="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r>
      <w:tr w14:paraId="1E46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3DB2831D">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5D6C0D80">
            <w:pPr>
              <w:pStyle w:val="4"/>
              <w:pageBreakBefore w:val="0"/>
              <w:overflowPunct/>
              <w:topLinePunct w:val="0"/>
              <w:bidi w:val="0"/>
              <w:spacing w:after="0" w:line="360" w:lineRule="auto"/>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数码照相机</w:t>
            </w:r>
          </w:p>
        </w:tc>
      </w:tr>
      <w:tr w14:paraId="60DE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397CD053">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68DCD98D">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高清摄像机</w:t>
            </w:r>
          </w:p>
        </w:tc>
      </w:tr>
      <w:tr w14:paraId="6C05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773C7D4D">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3AE4AC79">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路面附着系数测定仪</w:t>
            </w:r>
          </w:p>
        </w:tc>
      </w:tr>
      <w:tr w14:paraId="6949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109BCB22">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6F0ABE4A">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测距仪</w:t>
            </w:r>
          </w:p>
        </w:tc>
      </w:tr>
      <w:tr w14:paraId="4633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1AEB3F4E">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5AE9F5ED">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钢卷尺</w:t>
            </w:r>
          </w:p>
        </w:tc>
      </w:tr>
      <w:tr w14:paraId="4861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599BE370">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130C5E60">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坡度仪</w:t>
            </w:r>
          </w:p>
        </w:tc>
      </w:tr>
      <w:tr w14:paraId="39A9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5385B69B">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6DEFD1C8">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钢直尺</w:t>
            </w:r>
          </w:p>
        </w:tc>
      </w:tr>
      <w:tr w14:paraId="7F2A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194B5B6B">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684803CD">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游标卡尺</w:t>
            </w:r>
          </w:p>
        </w:tc>
      </w:tr>
      <w:tr w14:paraId="6FA7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17130BE5">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36CD77CB">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z w:val="24"/>
                <w:szCs w:val="24"/>
              </w:rPr>
              <w:t>塞尺</w:t>
            </w:r>
          </w:p>
        </w:tc>
      </w:tr>
      <w:tr w14:paraId="70D4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42FB8184">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78EC4C33">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角度尺</w:t>
            </w:r>
          </w:p>
        </w:tc>
      </w:tr>
      <w:tr w14:paraId="150B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0247D86F">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0F6E033D">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交通事故勘验箱</w:t>
            </w:r>
          </w:p>
        </w:tc>
      </w:tr>
      <w:tr w14:paraId="7334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37871F18">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3EA52843">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多波段光源</w:t>
            </w:r>
          </w:p>
        </w:tc>
      </w:tr>
      <w:tr w14:paraId="303C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2A17C010">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612903F5">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便携式放大镜</w:t>
            </w:r>
          </w:p>
        </w:tc>
      </w:tr>
      <w:tr w14:paraId="2E7D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5A48EC50">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29D0487F">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体视显微镜</w:t>
            </w:r>
          </w:p>
        </w:tc>
      </w:tr>
      <w:tr w14:paraId="0330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751A5AAA">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17F2F74F">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指纹熏显箱</w:t>
            </w:r>
          </w:p>
        </w:tc>
      </w:tr>
      <w:tr w14:paraId="71C2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1A00B01D">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67D7A59A">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强光手电筒</w:t>
            </w:r>
          </w:p>
        </w:tc>
      </w:tr>
      <w:tr w14:paraId="28C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79A72769">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379F3574">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汽车制动检验台</w:t>
            </w:r>
          </w:p>
        </w:tc>
      </w:tr>
      <w:tr w14:paraId="2694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036BD61C">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72657CBD">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z w:val="24"/>
                <w:szCs w:val="24"/>
              </w:rPr>
              <w:t>汽车轴（轮）</w:t>
            </w:r>
            <w:r>
              <w:rPr>
                <w:rFonts w:hint="eastAsia" w:asciiTheme="minorEastAsia" w:hAnsiTheme="minorEastAsia" w:eastAsiaTheme="minorEastAsia" w:cstheme="minorEastAsia"/>
                <w:spacing w:val="-2"/>
                <w:sz w:val="24"/>
                <w:szCs w:val="24"/>
              </w:rPr>
              <w:t>重仪</w:t>
            </w:r>
          </w:p>
        </w:tc>
      </w:tr>
      <w:tr w14:paraId="6CAC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08583EFF">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0EDAB619">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汽车侧滑检验台</w:t>
            </w:r>
          </w:p>
        </w:tc>
      </w:tr>
      <w:tr w14:paraId="5125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58E4E196">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23625FF1">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汽车前照灯检测仪</w:t>
            </w:r>
          </w:p>
        </w:tc>
      </w:tr>
      <w:tr w14:paraId="3FEF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1C699560">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3D4F7019">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汽车车速表检验台</w:t>
            </w:r>
          </w:p>
        </w:tc>
      </w:tr>
      <w:tr w14:paraId="5830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4A97563C">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24FF3B2F">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摩托车车速表检验台</w:t>
            </w:r>
          </w:p>
        </w:tc>
      </w:tr>
      <w:tr w14:paraId="0B28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7CEDB3EE">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2F0EDCC7">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摩托车制动检验台</w:t>
            </w:r>
          </w:p>
        </w:tc>
      </w:tr>
      <w:tr w14:paraId="705A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26952A80">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02F1F2F0">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摩托车轮重仪</w:t>
            </w:r>
          </w:p>
        </w:tc>
      </w:tr>
      <w:tr w14:paraId="0C43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2" w:type="dxa"/>
            <w:noWrap w:val="0"/>
            <w:vAlign w:val="top"/>
          </w:tcPr>
          <w:p w14:paraId="631B3DBF">
            <w:pPr>
              <w:pStyle w:val="4"/>
              <w:pageBreakBefore w:val="0"/>
              <w:numPr>
                <w:ilvl w:val="0"/>
                <w:numId w:val="2"/>
              </w:numPr>
              <w:overflowPunct/>
              <w:topLinePunct w:val="0"/>
              <w:bidi w:val="0"/>
              <w:spacing w:after="0" w:line="360" w:lineRule="auto"/>
              <w:ind w:left="425" w:leftChars="0" w:right="0" w:hanging="425" w:firstLineChars="0"/>
              <w:jc w:val="center"/>
              <w:rPr>
                <w:rFonts w:hint="eastAsia" w:asciiTheme="minorEastAsia" w:hAnsiTheme="minorEastAsia" w:eastAsiaTheme="minorEastAsia" w:cstheme="minorEastAsia"/>
                <w:sz w:val="24"/>
                <w:szCs w:val="24"/>
              </w:rPr>
            </w:pPr>
          </w:p>
        </w:tc>
        <w:tc>
          <w:tcPr>
            <w:tcW w:w="3969" w:type="dxa"/>
            <w:noWrap w:val="0"/>
            <w:vAlign w:val="top"/>
          </w:tcPr>
          <w:p w14:paraId="2803B56A">
            <w:pPr>
              <w:pStyle w:val="4"/>
              <w:pageBreakBefore w:val="0"/>
              <w:overflowPunct/>
              <w:topLinePunct w:val="0"/>
              <w:bidi w:val="0"/>
              <w:spacing w:after="0" w:line="36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pacing w:val="-1"/>
                <w:sz w:val="24"/>
                <w:szCs w:val="24"/>
              </w:rPr>
              <w:t>摩托车前照灯检测仪</w:t>
            </w:r>
          </w:p>
        </w:tc>
      </w:tr>
    </w:tbl>
    <w:p w14:paraId="1E1F55E4">
      <w:pPr>
        <w:pStyle w:val="15"/>
        <w:pageBreakBefore w:val="0"/>
        <w:widowControl w:val="0"/>
        <w:tabs>
          <w:tab w:val="left" w:pos="970"/>
        </w:tabs>
        <w:kinsoku/>
        <w:wordWrap/>
        <w:overflowPunct/>
        <w:topLinePunct w:val="0"/>
        <w:bidi w:val="0"/>
        <w:adjustRightInd/>
        <w:snapToGrid/>
        <w:spacing w:line="360" w:lineRule="auto"/>
        <w:ind w:left="0" w:right="0" w:firstLine="478"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1"/>
          <w:sz w:val="24"/>
          <w:szCs w:val="24"/>
        </w:rPr>
        <w:t>注：</w:t>
      </w:r>
    </w:p>
    <w:p w14:paraId="40524193">
      <w:pPr>
        <w:pStyle w:val="4"/>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（1）上表中标有★号的器具应进行量值溯源并持有检定合格证，且在有效期内，框架协议签订后、进场服务前须向征集人提供检定合格证核查。</w:t>
      </w:r>
      <w:r>
        <w:rPr>
          <w:rFonts w:hint="eastAsia" w:ascii="宋体" w:hAnsi="宋体" w:eastAsia="宋体" w:cs="宋体"/>
          <w:b/>
          <w:bCs/>
          <w:kern w:val="2"/>
          <w:sz w:val="24"/>
          <w:szCs w:val="24"/>
          <w:highlight w:val="none"/>
          <w:lang w:val="en-US" w:eastAsia="zh-CN" w:bidi="ar-SA"/>
        </w:rPr>
        <w:t>此项为初审项，响应文件中须提供承诺函（格式自拟），未提供或承诺不符合上述要求的按无效响应处理。</w:t>
      </w:r>
    </w:p>
    <w:p w14:paraId="64046CC2">
      <w:pPr>
        <w:pStyle w:val="4"/>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（2）上表中第17～25项器具可外协，其规格为3t级或10t级，框架协议签订后、进场服务前须向征集人提供外协合作协议等证明材料核查。</w:t>
      </w:r>
      <w:r>
        <w:rPr>
          <w:rFonts w:hint="eastAsia" w:ascii="宋体" w:hAnsi="宋体" w:eastAsia="宋体" w:cs="宋体"/>
          <w:b/>
          <w:bCs/>
          <w:kern w:val="2"/>
          <w:sz w:val="24"/>
          <w:szCs w:val="24"/>
          <w:highlight w:val="none"/>
          <w:lang w:val="en-US" w:eastAsia="zh-CN" w:bidi="ar-SA"/>
        </w:rPr>
        <w:t>此项为初审项，响应文件中须提供承诺函（格式自拟），未提供或承诺不符合上述要求的按无效响应处理。</w:t>
      </w:r>
    </w:p>
    <w:p w14:paraId="5860EED0">
      <w:pPr>
        <w:pStyle w:val="4"/>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8、进行损伤检查的场所面积不得少于10平方米，具有恒温条件，至少置有用于检查的下列设施和装备。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6107"/>
      </w:tblGrid>
      <w:tr w14:paraId="097B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top"/>
          </w:tcPr>
          <w:p w14:paraId="11538CA2">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jc w:val="center"/>
              <w:textAlignment w:val="auto"/>
              <w:rPr>
                <w:rFonts w:hint="eastAsia" w:asciiTheme="minorEastAsia" w:hAnsiTheme="minorEastAsia" w:eastAsiaTheme="minorEastAsia" w:cstheme="minorEastAsia"/>
                <w:spacing w:val="-1"/>
                <w:kern w:val="0"/>
                <w:sz w:val="24"/>
                <w:szCs w:val="24"/>
                <w:vertAlign w:val="baseline"/>
                <w:lang w:val="en-US" w:eastAsia="zh-CN" w:bidi="zh-CN"/>
              </w:rPr>
            </w:pPr>
            <w:r>
              <w:rPr>
                <w:rFonts w:hint="eastAsia" w:asciiTheme="minorEastAsia" w:hAnsiTheme="minorEastAsia" w:eastAsiaTheme="minorEastAsia" w:cstheme="minorEastAsia"/>
                <w:sz w:val="24"/>
                <w:szCs w:val="24"/>
              </w:rPr>
              <w:t>序号</w:t>
            </w:r>
          </w:p>
        </w:tc>
        <w:tc>
          <w:tcPr>
            <w:tcW w:w="6107" w:type="dxa"/>
            <w:vAlign w:val="top"/>
          </w:tcPr>
          <w:p w14:paraId="24B2AC51">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jc w:val="center"/>
              <w:textAlignment w:val="auto"/>
              <w:rPr>
                <w:rFonts w:hint="eastAsia" w:asciiTheme="minorEastAsia" w:hAnsiTheme="minorEastAsia" w:eastAsiaTheme="minorEastAsia" w:cstheme="minorEastAsia"/>
                <w:spacing w:val="-1"/>
                <w:kern w:val="0"/>
                <w:sz w:val="24"/>
                <w:szCs w:val="24"/>
                <w:vertAlign w:val="baseline"/>
                <w:lang w:val="en-US" w:eastAsia="zh-CN" w:bidi="zh-CN"/>
              </w:rPr>
            </w:pPr>
            <w:r>
              <w:rPr>
                <w:rFonts w:hint="eastAsia" w:asciiTheme="minorEastAsia" w:hAnsiTheme="minorEastAsia" w:eastAsiaTheme="minorEastAsia" w:cstheme="minorEastAsia"/>
                <w:sz w:val="24"/>
                <w:szCs w:val="24"/>
              </w:rPr>
              <w:t>名称</w:t>
            </w:r>
          </w:p>
        </w:tc>
      </w:tr>
      <w:tr w14:paraId="7B4E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top"/>
          </w:tcPr>
          <w:p w14:paraId="6DDF2436">
            <w:pPr>
              <w:pStyle w:val="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425" w:leftChars="0" w:right="0" w:rightChars="0" w:hanging="425" w:firstLineChars="0"/>
              <w:jc w:val="center"/>
              <w:textAlignment w:val="auto"/>
              <w:rPr>
                <w:rFonts w:hint="eastAsia" w:asciiTheme="minorEastAsia" w:hAnsiTheme="minorEastAsia" w:eastAsiaTheme="minorEastAsia" w:cstheme="minorEastAsia"/>
                <w:spacing w:val="-1"/>
                <w:kern w:val="0"/>
                <w:sz w:val="24"/>
                <w:szCs w:val="24"/>
                <w:vertAlign w:val="baseline"/>
                <w:lang w:val="en-US" w:eastAsia="zh-CN" w:bidi="zh-CN"/>
              </w:rPr>
            </w:pPr>
          </w:p>
        </w:tc>
        <w:tc>
          <w:tcPr>
            <w:tcW w:w="6107" w:type="dxa"/>
            <w:vAlign w:val="top"/>
          </w:tcPr>
          <w:p w14:paraId="4535F482">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textAlignment w:val="auto"/>
              <w:rPr>
                <w:rFonts w:hint="eastAsia" w:asciiTheme="minorEastAsia" w:hAnsiTheme="minorEastAsia" w:eastAsiaTheme="minorEastAsia" w:cstheme="minorEastAsia"/>
                <w:spacing w:val="-1"/>
                <w:kern w:val="0"/>
                <w:sz w:val="24"/>
                <w:szCs w:val="24"/>
                <w:vertAlign w:val="baseline"/>
                <w:lang w:val="en-US" w:eastAsia="zh-CN" w:bidi="zh-CN"/>
              </w:rPr>
            </w:pPr>
            <w:r>
              <w:rPr>
                <w:rFonts w:hint="eastAsia" w:asciiTheme="minorEastAsia" w:hAnsiTheme="minorEastAsia" w:eastAsiaTheme="minorEastAsia" w:cstheme="minorEastAsia"/>
                <w:sz w:val="24"/>
                <w:szCs w:val="24"/>
              </w:rPr>
              <w:t>医检专用床</w:t>
            </w:r>
          </w:p>
        </w:tc>
      </w:tr>
      <w:tr w14:paraId="4E91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top"/>
          </w:tcPr>
          <w:p w14:paraId="6809FA00">
            <w:pPr>
              <w:pStyle w:val="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425" w:leftChars="0" w:right="0" w:rightChars="0" w:hanging="425" w:firstLineChars="0"/>
              <w:jc w:val="center"/>
              <w:textAlignment w:val="auto"/>
              <w:rPr>
                <w:rFonts w:hint="eastAsia" w:asciiTheme="minorEastAsia" w:hAnsiTheme="minorEastAsia" w:eastAsiaTheme="minorEastAsia" w:cstheme="minorEastAsia"/>
                <w:spacing w:val="-1"/>
                <w:kern w:val="0"/>
                <w:sz w:val="24"/>
                <w:szCs w:val="24"/>
                <w:vertAlign w:val="baseline"/>
                <w:lang w:val="en-US" w:eastAsia="zh-CN" w:bidi="zh-CN"/>
              </w:rPr>
            </w:pPr>
          </w:p>
        </w:tc>
        <w:tc>
          <w:tcPr>
            <w:tcW w:w="6107" w:type="dxa"/>
            <w:vAlign w:val="top"/>
          </w:tcPr>
          <w:p w14:paraId="686FE702">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textAlignment w:val="auto"/>
              <w:rPr>
                <w:rFonts w:hint="eastAsia" w:asciiTheme="minorEastAsia" w:hAnsiTheme="minorEastAsia" w:eastAsiaTheme="minorEastAsia" w:cstheme="minorEastAsia"/>
                <w:spacing w:val="-1"/>
                <w:kern w:val="0"/>
                <w:sz w:val="24"/>
                <w:szCs w:val="24"/>
                <w:vertAlign w:val="baseline"/>
                <w:lang w:val="en-US" w:eastAsia="zh-CN" w:bidi="zh-CN"/>
              </w:rPr>
            </w:pPr>
            <w:r>
              <w:rPr>
                <w:rFonts w:hint="eastAsia" w:asciiTheme="minorEastAsia" w:hAnsiTheme="minorEastAsia" w:eastAsiaTheme="minorEastAsia" w:cstheme="minorEastAsia"/>
                <w:sz w:val="24"/>
                <w:szCs w:val="24"/>
              </w:rPr>
              <w:t>X光图像观察灯箱</w:t>
            </w:r>
          </w:p>
        </w:tc>
      </w:tr>
      <w:tr w14:paraId="5D68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top"/>
          </w:tcPr>
          <w:p w14:paraId="019A34C8">
            <w:pPr>
              <w:pStyle w:val="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425" w:leftChars="0" w:right="0" w:rightChars="0" w:hanging="425" w:firstLineChars="0"/>
              <w:jc w:val="center"/>
              <w:textAlignment w:val="auto"/>
              <w:rPr>
                <w:rFonts w:hint="eastAsia" w:asciiTheme="minorEastAsia" w:hAnsiTheme="minorEastAsia" w:eastAsiaTheme="minorEastAsia" w:cstheme="minorEastAsia"/>
                <w:spacing w:val="-1"/>
                <w:kern w:val="0"/>
                <w:sz w:val="24"/>
                <w:szCs w:val="24"/>
                <w:vertAlign w:val="baseline"/>
                <w:lang w:val="en-US" w:eastAsia="zh-CN" w:bidi="zh-CN"/>
              </w:rPr>
            </w:pPr>
          </w:p>
        </w:tc>
        <w:tc>
          <w:tcPr>
            <w:tcW w:w="6107" w:type="dxa"/>
            <w:vAlign w:val="top"/>
          </w:tcPr>
          <w:p w14:paraId="39DC870F">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textAlignment w:val="auto"/>
              <w:rPr>
                <w:rFonts w:hint="eastAsia" w:asciiTheme="minorEastAsia" w:hAnsiTheme="minorEastAsia" w:eastAsiaTheme="minorEastAsia" w:cstheme="minorEastAsia"/>
                <w:spacing w:val="-1"/>
                <w:kern w:val="0"/>
                <w:sz w:val="24"/>
                <w:szCs w:val="24"/>
                <w:vertAlign w:val="baseline"/>
                <w:lang w:val="en-US" w:eastAsia="zh-CN" w:bidi="zh-CN"/>
              </w:rPr>
            </w:pPr>
            <w:r>
              <w:rPr>
                <w:rFonts w:hint="eastAsia" w:asciiTheme="minorEastAsia" w:hAnsiTheme="minorEastAsia" w:eastAsiaTheme="minorEastAsia" w:cstheme="minorEastAsia"/>
                <w:sz w:val="24"/>
                <w:szCs w:val="24"/>
              </w:rPr>
              <w:t>医学图像存储仪</w:t>
            </w:r>
          </w:p>
        </w:tc>
      </w:tr>
      <w:tr w14:paraId="2652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top"/>
          </w:tcPr>
          <w:p w14:paraId="531F5A90">
            <w:pPr>
              <w:pStyle w:val="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425" w:leftChars="0" w:right="0" w:rightChars="0" w:hanging="425" w:firstLineChars="0"/>
              <w:jc w:val="center"/>
              <w:textAlignment w:val="auto"/>
              <w:rPr>
                <w:rFonts w:hint="eastAsia" w:asciiTheme="minorEastAsia" w:hAnsiTheme="minorEastAsia" w:eastAsiaTheme="minorEastAsia" w:cstheme="minorEastAsia"/>
                <w:spacing w:val="-1"/>
                <w:kern w:val="0"/>
                <w:sz w:val="24"/>
                <w:szCs w:val="24"/>
                <w:vertAlign w:val="baseline"/>
                <w:lang w:val="en-US" w:eastAsia="zh-CN" w:bidi="zh-CN"/>
              </w:rPr>
            </w:pPr>
          </w:p>
        </w:tc>
        <w:tc>
          <w:tcPr>
            <w:tcW w:w="6107" w:type="dxa"/>
            <w:vAlign w:val="top"/>
          </w:tcPr>
          <w:p w14:paraId="29AC44ED">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textAlignment w:val="auto"/>
              <w:rPr>
                <w:rFonts w:hint="eastAsia" w:asciiTheme="minorEastAsia" w:hAnsiTheme="minorEastAsia" w:eastAsiaTheme="minorEastAsia" w:cstheme="minorEastAsia"/>
                <w:spacing w:val="-1"/>
                <w:kern w:val="0"/>
                <w:sz w:val="24"/>
                <w:szCs w:val="24"/>
                <w:vertAlign w:val="baseline"/>
                <w:lang w:val="en-US" w:eastAsia="zh-CN" w:bidi="zh-CN"/>
              </w:rPr>
            </w:pPr>
            <w:r>
              <w:rPr>
                <w:rFonts w:hint="eastAsia" w:asciiTheme="minorEastAsia" w:hAnsiTheme="minorEastAsia" w:eastAsiaTheme="minorEastAsia" w:cstheme="minorEastAsia"/>
                <w:sz w:val="24"/>
                <w:szCs w:val="24"/>
              </w:rPr>
              <w:t>彩色打印机</w:t>
            </w:r>
          </w:p>
        </w:tc>
      </w:tr>
      <w:tr w14:paraId="05D9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top"/>
          </w:tcPr>
          <w:p w14:paraId="37D7C120">
            <w:pPr>
              <w:pStyle w:val="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425" w:leftChars="0" w:right="0" w:rightChars="0" w:hanging="425" w:firstLineChars="0"/>
              <w:jc w:val="center"/>
              <w:textAlignment w:val="auto"/>
              <w:rPr>
                <w:rFonts w:hint="eastAsia" w:asciiTheme="minorEastAsia" w:hAnsiTheme="minorEastAsia" w:eastAsiaTheme="minorEastAsia" w:cstheme="minorEastAsia"/>
                <w:spacing w:val="-1"/>
                <w:kern w:val="0"/>
                <w:sz w:val="24"/>
                <w:szCs w:val="24"/>
                <w:vertAlign w:val="baseline"/>
                <w:lang w:val="en-US" w:eastAsia="zh-CN" w:bidi="zh-CN"/>
              </w:rPr>
            </w:pPr>
          </w:p>
        </w:tc>
        <w:tc>
          <w:tcPr>
            <w:tcW w:w="6107" w:type="dxa"/>
            <w:vAlign w:val="top"/>
          </w:tcPr>
          <w:p w14:paraId="6178084D">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textAlignment w:val="auto"/>
              <w:rPr>
                <w:rFonts w:hint="eastAsia" w:asciiTheme="minorEastAsia" w:hAnsiTheme="minorEastAsia" w:eastAsiaTheme="minorEastAsia" w:cstheme="minorEastAsia"/>
                <w:spacing w:val="-1"/>
                <w:kern w:val="0"/>
                <w:sz w:val="24"/>
                <w:szCs w:val="24"/>
                <w:vertAlign w:val="baseline"/>
                <w:lang w:val="en-US" w:eastAsia="zh-CN" w:bidi="zh-CN"/>
              </w:rPr>
            </w:pPr>
            <w:r>
              <w:rPr>
                <w:rFonts w:hint="eastAsia" w:asciiTheme="minorEastAsia" w:hAnsiTheme="minorEastAsia" w:eastAsiaTheme="minorEastAsia" w:cstheme="minorEastAsia"/>
                <w:sz w:val="24"/>
                <w:szCs w:val="24"/>
              </w:rPr>
              <w:t>人体测重测高仪</w:t>
            </w:r>
          </w:p>
        </w:tc>
      </w:tr>
      <w:tr w14:paraId="2942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top"/>
          </w:tcPr>
          <w:p w14:paraId="7C375015">
            <w:pPr>
              <w:pStyle w:val="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425" w:leftChars="0" w:right="0" w:rightChars="0" w:hanging="425" w:firstLineChars="0"/>
              <w:jc w:val="center"/>
              <w:textAlignment w:val="auto"/>
              <w:rPr>
                <w:rFonts w:hint="eastAsia" w:asciiTheme="minorEastAsia" w:hAnsiTheme="minorEastAsia" w:eastAsiaTheme="minorEastAsia" w:cstheme="minorEastAsia"/>
                <w:spacing w:val="-1"/>
                <w:kern w:val="0"/>
                <w:sz w:val="24"/>
                <w:szCs w:val="24"/>
                <w:vertAlign w:val="baseline"/>
                <w:lang w:val="en-US" w:eastAsia="zh-CN" w:bidi="zh-CN"/>
              </w:rPr>
            </w:pPr>
          </w:p>
        </w:tc>
        <w:tc>
          <w:tcPr>
            <w:tcW w:w="6107" w:type="dxa"/>
            <w:vAlign w:val="top"/>
          </w:tcPr>
          <w:p w14:paraId="0FE7274A">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textAlignment w:val="auto"/>
              <w:rPr>
                <w:rFonts w:hint="eastAsia" w:asciiTheme="minorEastAsia" w:hAnsiTheme="minorEastAsia" w:eastAsiaTheme="minorEastAsia" w:cstheme="minorEastAsia"/>
                <w:spacing w:val="-1"/>
                <w:kern w:val="0"/>
                <w:sz w:val="24"/>
                <w:szCs w:val="24"/>
                <w:vertAlign w:val="baseline"/>
                <w:lang w:val="en-US" w:eastAsia="zh-CN" w:bidi="zh-CN"/>
              </w:rPr>
            </w:pPr>
            <w:r>
              <w:rPr>
                <w:rFonts w:hint="eastAsia" w:asciiTheme="minorEastAsia" w:hAnsiTheme="minorEastAsia" w:eastAsiaTheme="minorEastAsia" w:cstheme="minorEastAsia"/>
                <w:sz w:val="24"/>
                <w:szCs w:val="24"/>
              </w:rPr>
              <w:t>应备的医用检查器具</w:t>
            </w:r>
          </w:p>
        </w:tc>
      </w:tr>
      <w:tr w14:paraId="6D1D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top"/>
          </w:tcPr>
          <w:p w14:paraId="353215C1">
            <w:pPr>
              <w:pStyle w:val="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425" w:leftChars="0" w:right="0" w:rightChars="0" w:hanging="425" w:firstLineChars="0"/>
              <w:jc w:val="center"/>
              <w:textAlignment w:val="auto"/>
              <w:rPr>
                <w:rFonts w:hint="eastAsia" w:asciiTheme="minorEastAsia" w:hAnsiTheme="minorEastAsia" w:eastAsiaTheme="minorEastAsia" w:cstheme="minorEastAsia"/>
                <w:spacing w:val="-1"/>
                <w:kern w:val="0"/>
                <w:sz w:val="24"/>
                <w:szCs w:val="24"/>
                <w:vertAlign w:val="baseline"/>
                <w:lang w:val="en-US" w:eastAsia="zh-CN" w:bidi="zh-CN"/>
              </w:rPr>
            </w:pPr>
          </w:p>
        </w:tc>
        <w:tc>
          <w:tcPr>
            <w:tcW w:w="6107" w:type="dxa"/>
            <w:vAlign w:val="top"/>
          </w:tcPr>
          <w:p w14:paraId="72DDB084">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textAlignment w:val="auto"/>
              <w:rPr>
                <w:rFonts w:hint="eastAsia" w:asciiTheme="minorEastAsia" w:hAnsiTheme="minorEastAsia" w:eastAsiaTheme="minorEastAsia" w:cstheme="minorEastAsia"/>
                <w:spacing w:val="-1"/>
                <w:kern w:val="0"/>
                <w:sz w:val="24"/>
                <w:szCs w:val="24"/>
                <w:vertAlign w:val="baseline"/>
                <w:lang w:val="en-US" w:eastAsia="zh-CN" w:bidi="zh-CN"/>
              </w:rPr>
            </w:pPr>
            <w:r>
              <w:rPr>
                <w:rFonts w:hint="eastAsia" w:asciiTheme="minorEastAsia" w:hAnsiTheme="minorEastAsia" w:eastAsiaTheme="minorEastAsia" w:cstheme="minorEastAsia"/>
                <w:sz w:val="24"/>
                <w:szCs w:val="24"/>
              </w:rPr>
              <w:t>数码照相机及电脑</w:t>
            </w:r>
          </w:p>
        </w:tc>
      </w:tr>
      <w:tr w14:paraId="4F82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top"/>
          </w:tcPr>
          <w:p w14:paraId="245C275B">
            <w:pPr>
              <w:pStyle w:val="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425" w:leftChars="0" w:right="0" w:rightChars="0" w:hanging="425" w:firstLineChars="0"/>
              <w:jc w:val="center"/>
              <w:textAlignment w:val="auto"/>
              <w:rPr>
                <w:rFonts w:hint="eastAsia" w:asciiTheme="minorEastAsia" w:hAnsiTheme="minorEastAsia" w:eastAsiaTheme="minorEastAsia" w:cstheme="minorEastAsia"/>
                <w:spacing w:val="-1"/>
                <w:kern w:val="0"/>
                <w:sz w:val="24"/>
                <w:szCs w:val="24"/>
                <w:vertAlign w:val="baseline"/>
                <w:lang w:val="en-US" w:eastAsia="zh-CN" w:bidi="zh-CN"/>
              </w:rPr>
            </w:pPr>
          </w:p>
        </w:tc>
        <w:tc>
          <w:tcPr>
            <w:tcW w:w="6107" w:type="dxa"/>
            <w:vAlign w:val="top"/>
          </w:tcPr>
          <w:p w14:paraId="55941D20">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textAlignment w:val="auto"/>
              <w:rPr>
                <w:rFonts w:hint="eastAsia" w:asciiTheme="minorEastAsia" w:hAnsiTheme="minorEastAsia" w:eastAsiaTheme="minorEastAsia" w:cstheme="minorEastAsia"/>
                <w:spacing w:val="-1"/>
                <w:kern w:val="0"/>
                <w:sz w:val="24"/>
                <w:szCs w:val="24"/>
                <w:vertAlign w:val="baseline"/>
                <w:lang w:val="en-US" w:eastAsia="zh-CN" w:bidi="zh-CN"/>
              </w:rPr>
            </w:pPr>
            <w:r>
              <w:rPr>
                <w:rFonts w:hint="eastAsia" w:asciiTheme="minorEastAsia" w:hAnsiTheme="minorEastAsia" w:eastAsiaTheme="minorEastAsia" w:cstheme="minorEastAsia"/>
                <w:sz w:val="24"/>
                <w:szCs w:val="24"/>
              </w:rPr>
              <w:t>钢卷尺</w:t>
            </w:r>
          </w:p>
        </w:tc>
      </w:tr>
      <w:tr w14:paraId="6B05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top"/>
          </w:tcPr>
          <w:p w14:paraId="737E0607">
            <w:pPr>
              <w:pStyle w:val="4"/>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425" w:leftChars="0" w:right="0" w:rightChars="0" w:hanging="425" w:firstLineChars="0"/>
              <w:jc w:val="center"/>
              <w:textAlignment w:val="auto"/>
              <w:rPr>
                <w:rFonts w:hint="eastAsia" w:asciiTheme="minorEastAsia" w:hAnsiTheme="minorEastAsia" w:eastAsiaTheme="minorEastAsia" w:cstheme="minorEastAsia"/>
                <w:spacing w:val="-1"/>
                <w:kern w:val="0"/>
                <w:sz w:val="24"/>
                <w:szCs w:val="24"/>
                <w:vertAlign w:val="baseline"/>
                <w:lang w:val="en-US" w:eastAsia="zh-CN" w:bidi="zh-CN"/>
              </w:rPr>
            </w:pPr>
          </w:p>
        </w:tc>
        <w:tc>
          <w:tcPr>
            <w:tcW w:w="6107" w:type="dxa"/>
            <w:vAlign w:val="top"/>
          </w:tcPr>
          <w:p w14:paraId="2B8C36C1">
            <w:pPr>
              <w:pStyle w:val="4"/>
              <w:keepNext w:val="0"/>
              <w:keepLines w:val="0"/>
              <w:pageBreakBefore w:val="0"/>
              <w:widowControl w:val="0"/>
              <w:kinsoku/>
              <w:wordWrap/>
              <w:overflowPunct/>
              <w:topLinePunct w:val="0"/>
              <w:autoSpaceDE/>
              <w:autoSpaceDN/>
              <w:bidi w:val="0"/>
              <w:adjustRightInd/>
              <w:snapToGrid/>
              <w:spacing w:after="0" w:line="360" w:lineRule="auto"/>
              <w:ind w:left="0" w:right="0" w:rightChars="0"/>
              <w:textAlignment w:val="auto"/>
              <w:rPr>
                <w:rFonts w:hint="eastAsia" w:asciiTheme="minorEastAsia" w:hAnsiTheme="minorEastAsia" w:eastAsiaTheme="minorEastAsia" w:cstheme="minorEastAsia"/>
                <w:spacing w:val="-1"/>
                <w:kern w:val="0"/>
                <w:sz w:val="24"/>
                <w:szCs w:val="24"/>
                <w:vertAlign w:val="baseline"/>
                <w:lang w:val="en-US" w:eastAsia="zh-CN" w:bidi="zh-CN"/>
              </w:rPr>
            </w:pPr>
            <w:r>
              <w:rPr>
                <w:rFonts w:hint="eastAsia" w:asciiTheme="minorEastAsia" w:hAnsiTheme="minorEastAsia" w:eastAsiaTheme="minorEastAsia" w:cstheme="minorEastAsia"/>
                <w:sz w:val="24"/>
                <w:szCs w:val="24"/>
              </w:rPr>
              <w:t>人体检查勘验箱</w:t>
            </w:r>
          </w:p>
        </w:tc>
      </w:tr>
    </w:tbl>
    <w:p w14:paraId="3E69E522">
      <w:pPr>
        <w:pStyle w:val="15"/>
        <w:keepNext w:val="0"/>
        <w:keepLines w:val="0"/>
        <w:pageBreakBefore w:val="0"/>
        <w:widowControl w:val="0"/>
        <w:tabs>
          <w:tab w:val="left" w:pos="970"/>
        </w:tabs>
        <w:kinsoku/>
        <w:wordWrap/>
        <w:overflowPunct/>
        <w:topLinePunct w:val="0"/>
        <w:autoSpaceDE w:val="0"/>
        <w:autoSpaceDN w:val="0"/>
        <w:bidi w:val="0"/>
        <w:adjustRightInd/>
        <w:snapToGrid/>
        <w:spacing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9、应有进行病理检查的工作室，其面积不得少于10平方米，具有恒温装置，通风条件良好，至少有下列设施和装备。</w:t>
      </w:r>
    </w:p>
    <w:tbl>
      <w:tblPr>
        <w:tblStyle w:val="9"/>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6100"/>
      </w:tblGrid>
      <w:tr w14:paraId="60D2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noWrap w:val="0"/>
            <w:vAlign w:val="top"/>
          </w:tcPr>
          <w:p w14:paraId="48C508CD">
            <w:pPr>
              <w:pStyle w:val="4"/>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6100" w:type="dxa"/>
            <w:noWrap w:val="0"/>
            <w:vAlign w:val="top"/>
          </w:tcPr>
          <w:p w14:paraId="08E1F903">
            <w:pPr>
              <w:pStyle w:val="4"/>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r>
      <w:tr w14:paraId="55F8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noWrap w:val="0"/>
            <w:vAlign w:val="center"/>
          </w:tcPr>
          <w:p w14:paraId="3B9D21D6">
            <w:pPr>
              <w:pStyle w:val="4"/>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right="0" w:hanging="425" w:firstLineChars="0"/>
              <w:jc w:val="center"/>
              <w:textAlignment w:val="auto"/>
              <w:rPr>
                <w:rFonts w:hint="eastAsia" w:asciiTheme="minorEastAsia" w:hAnsiTheme="minorEastAsia" w:eastAsiaTheme="minorEastAsia" w:cstheme="minorEastAsia"/>
                <w:sz w:val="24"/>
                <w:szCs w:val="24"/>
              </w:rPr>
            </w:pPr>
          </w:p>
        </w:tc>
        <w:tc>
          <w:tcPr>
            <w:tcW w:w="6100" w:type="dxa"/>
            <w:noWrap w:val="0"/>
            <w:vAlign w:val="top"/>
          </w:tcPr>
          <w:p w14:paraId="1AA6D7B6">
            <w:pPr>
              <w:pStyle w:val="4"/>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尸表检查室（可外协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响应文件中无须提供相关证明材料，</w:t>
            </w:r>
            <w:r>
              <w:rPr>
                <w:rFonts w:hint="eastAsia" w:asciiTheme="minorEastAsia" w:hAnsiTheme="minorEastAsia" w:eastAsiaTheme="minorEastAsia" w:cstheme="minorEastAsia"/>
                <w:b w:val="0"/>
                <w:bCs w:val="0"/>
                <w:color w:val="000000"/>
                <w:sz w:val="24"/>
                <w:szCs w:val="24"/>
              </w:rPr>
              <w:t>框架协议签订后提供合同</w:t>
            </w:r>
            <w:r>
              <w:rPr>
                <w:rFonts w:hint="eastAsia" w:asciiTheme="minorEastAsia" w:hAnsiTheme="minorEastAsia" w:eastAsiaTheme="minorEastAsia" w:cstheme="minorEastAsia"/>
                <w:b w:val="0"/>
                <w:bCs w:val="0"/>
                <w:color w:val="000000"/>
                <w:sz w:val="24"/>
                <w:szCs w:val="24"/>
                <w:lang w:val="en-US" w:eastAsia="zh-CN"/>
              </w:rPr>
              <w:t>供征集人核查</w:t>
            </w:r>
            <w:r>
              <w:rPr>
                <w:rFonts w:hint="eastAsia" w:asciiTheme="minorEastAsia" w:hAnsiTheme="minorEastAsia" w:eastAsiaTheme="minorEastAsia" w:cstheme="minorEastAsia"/>
                <w:sz w:val="24"/>
                <w:szCs w:val="24"/>
              </w:rPr>
              <w:t>）</w:t>
            </w:r>
          </w:p>
        </w:tc>
      </w:tr>
      <w:tr w14:paraId="2415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noWrap w:val="0"/>
            <w:vAlign w:val="center"/>
          </w:tcPr>
          <w:p w14:paraId="0AB808BB">
            <w:pPr>
              <w:pStyle w:val="4"/>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right="0" w:hanging="425" w:firstLineChars="0"/>
              <w:jc w:val="center"/>
              <w:textAlignment w:val="auto"/>
              <w:rPr>
                <w:rFonts w:hint="eastAsia" w:asciiTheme="minorEastAsia" w:hAnsiTheme="minorEastAsia" w:eastAsiaTheme="minorEastAsia" w:cstheme="minorEastAsia"/>
                <w:sz w:val="24"/>
                <w:szCs w:val="24"/>
              </w:rPr>
            </w:pPr>
          </w:p>
        </w:tc>
        <w:tc>
          <w:tcPr>
            <w:tcW w:w="6100" w:type="dxa"/>
            <w:noWrap w:val="0"/>
            <w:vAlign w:val="top"/>
          </w:tcPr>
          <w:p w14:paraId="5784A217">
            <w:pPr>
              <w:pStyle w:val="4"/>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尸体检查勘验箱</w:t>
            </w:r>
          </w:p>
        </w:tc>
      </w:tr>
      <w:tr w14:paraId="6BF6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noWrap w:val="0"/>
            <w:vAlign w:val="center"/>
          </w:tcPr>
          <w:p w14:paraId="4B64CA62">
            <w:pPr>
              <w:pStyle w:val="4"/>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right="0" w:hanging="425" w:firstLineChars="0"/>
              <w:jc w:val="center"/>
              <w:textAlignment w:val="auto"/>
              <w:rPr>
                <w:rFonts w:hint="eastAsia" w:asciiTheme="minorEastAsia" w:hAnsiTheme="minorEastAsia" w:eastAsiaTheme="minorEastAsia" w:cstheme="minorEastAsia"/>
                <w:sz w:val="24"/>
                <w:szCs w:val="24"/>
              </w:rPr>
            </w:pPr>
          </w:p>
        </w:tc>
        <w:tc>
          <w:tcPr>
            <w:tcW w:w="6100" w:type="dxa"/>
            <w:noWrap w:val="0"/>
            <w:vAlign w:val="top"/>
          </w:tcPr>
          <w:p w14:paraId="1FF758D6">
            <w:pPr>
              <w:pStyle w:val="4"/>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数码照相机</w:t>
            </w:r>
          </w:p>
        </w:tc>
      </w:tr>
      <w:tr w14:paraId="37DA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noWrap w:val="0"/>
            <w:vAlign w:val="center"/>
          </w:tcPr>
          <w:p w14:paraId="2897DB14">
            <w:pPr>
              <w:pStyle w:val="4"/>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right="0" w:hanging="425" w:firstLineChars="0"/>
              <w:jc w:val="center"/>
              <w:textAlignment w:val="auto"/>
              <w:rPr>
                <w:rFonts w:hint="eastAsia" w:asciiTheme="minorEastAsia" w:hAnsiTheme="minorEastAsia" w:eastAsiaTheme="minorEastAsia" w:cstheme="minorEastAsia"/>
                <w:sz w:val="24"/>
                <w:szCs w:val="24"/>
              </w:rPr>
            </w:pPr>
          </w:p>
        </w:tc>
        <w:tc>
          <w:tcPr>
            <w:tcW w:w="6100" w:type="dxa"/>
            <w:noWrap w:val="0"/>
            <w:vAlign w:val="top"/>
          </w:tcPr>
          <w:p w14:paraId="0F5F78FB">
            <w:pPr>
              <w:pStyle w:val="4"/>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钢卷尺</w:t>
            </w:r>
          </w:p>
        </w:tc>
      </w:tr>
      <w:tr w14:paraId="4519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noWrap w:val="0"/>
            <w:vAlign w:val="center"/>
          </w:tcPr>
          <w:p w14:paraId="21122856">
            <w:pPr>
              <w:pStyle w:val="4"/>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5" w:leftChars="0" w:right="0" w:hanging="425" w:firstLineChars="0"/>
              <w:jc w:val="center"/>
              <w:textAlignment w:val="auto"/>
              <w:rPr>
                <w:rFonts w:hint="eastAsia" w:asciiTheme="minorEastAsia" w:hAnsiTheme="minorEastAsia" w:eastAsiaTheme="minorEastAsia" w:cstheme="minorEastAsia"/>
                <w:sz w:val="24"/>
                <w:szCs w:val="24"/>
              </w:rPr>
            </w:pPr>
          </w:p>
        </w:tc>
        <w:tc>
          <w:tcPr>
            <w:tcW w:w="6100" w:type="dxa"/>
            <w:noWrap w:val="0"/>
            <w:vAlign w:val="top"/>
          </w:tcPr>
          <w:p w14:paraId="0C533D34">
            <w:pPr>
              <w:pStyle w:val="4"/>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强光手电筒</w:t>
            </w:r>
          </w:p>
        </w:tc>
      </w:tr>
    </w:tbl>
    <w:p w14:paraId="7188DA71">
      <w:pPr>
        <w:pStyle w:val="15"/>
        <w:keepNext w:val="0"/>
        <w:keepLines w:val="0"/>
        <w:pageBreakBefore w:val="0"/>
        <w:widowControl w:val="0"/>
        <w:tabs>
          <w:tab w:val="left" w:pos="970"/>
        </w:tabs>
        <w:kinsoku/>
        <w:wordWrap/>
        <w:overflowPunct/>
        <w:topLinePunct w:val="0"/>
        <w:autoSpaceDE w:val="0"/>
        <w:autoSpaceDN w:val="0"/>
        <w:bidi w:val="0"/>
        <w:adjustRightInd/>
        <w:snapToGrid/>
        <w:spacing w:line="360" w:lineRule="auto"/>
        <w:ind w:left="0" w:right="0" w:firstLine="480" w:firstLineChars="200"/>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10、有与交通事故认定痕迹勘验、物证提取、车速计算、参与事故人交通行为方式以及碰撞形态鉴定、微量物证检验鉴定</w:t>
      </w:r>
      <w:r>
        <w:rPr>
          <w:rFonts w:hint="eastAsia" w:ascii="宋体" w:hAnsi="宋体" w:eastAsia="宋体" w:cs="宋体"/>
          <w:kern w:val="2"/>
          <w:sz w:val="24"/>
          <w:szCs w:val="24"/>
          <w:highlight w:val="none"/>
          <w:lang w:val="en-US" w:eastAsia="zh-CN" w:bidi="ar-SA"/>
        </w:rPr>
        <w:t>(可外协）</w:t>
      </w:r>
      <w:r>
        <w:rPr>
          <w:rFonts w:hint="eastAsia" w:ascii="宋体" w:hAnsi="宋体" w:eastAsia="宋体" w:cs="宋体"/>
          <w:kern w:val="2"/>
          <w:sz w:val="24"/>
          <w:szCs w:val="24"/>
          <w:highlight w:val="none"/>
          <w:lang w:val="zh-CN" w:eastAsia="zh-CN" w:bidi="ar-SA"/>
        </w:rPr>
        <w:t>相关的标准、技术规范和资料。有与交通事故认定法医学检验、鉴定相关的标准、技术规范和资料。</w:t>
      </w:r>
    </w:p>
    <w:p w14:paraId="5C8406F3">
      <w:pPr>
        <w:pStyle w:val="15"/>
        <w:keepNext w:val="0"/>
        <w:keepLines w:val="0"/>
        <w:pageBreakBefore w:val="0"/>
        <w:widowControl w:val="0"/>
        <w:tabs>
          <w:tab w:val="left" w:pos="970"/>
        </w:tabs>
        <w:kinsoku/>
        <w:wordWrap/>
        <w:overflowPunct/>
        <w:topLinePunct w:val="0"/>
        <w:autoSpaceDE w:val="0"/>
        <w:autoSpaceDN w:val="0"/>
        <w:bidi w:val="0"/>
        <w:adjustRightInd/>
        <w:snapToGrid/>
        <w:spacing w:line="360" w:lineRule="auto"/>
        <w:ind w:left="0" w:right="0" w:firstLine="480" w:firstLineChars="200"/>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11、可以承担交通事故当事人致伤或致死成因分析并结合客体形态（痕迹）映证的检验、鉴定（进行致伤物或致伤方式推断）并出具结论报告；有对参与交通事故人的交通行为方式进行检验、鉴定的能力并出具结论意见。</w:t>
      </w:r>
    </w:p>
    <w:p w14:paraId="1947D334">
      <w:pPr>
        <w:pStyle w:val="15"/>
        <w:keepNext w:val="0"/>
        <w:keepLines w:val="0"/>
        <w:pageBreakBefore w:val="0"/>
        <w:widowControl w:val="0"/>
        <w:tabs>
          <w:tab w:val="left" w:pos="970"/>
        </w:tabs>
        <w:kinsoku/>
        <w:wordWrap/>
        <w:overflowPunct/>
        <w:topLinePunct w:val="0"/>
        <w:autoSpaceDE w:val="0"/>
        <w:autoSpaceDN w:val="0"/>
        <w:bidi w:val="0"/>
        <w:adjustRightInd/>
        <w:snapToGrid/>
        <w:spacing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12、保密要求：机构及工作人员应严格遵守《司法鉴定程序通则》相关要求，制定切实有效的保密措施，保守秘密；未经委托人同意，不得向其他人或者组织提供鉴定有关的信息，否则将承担相应的法律责任。</w:t>
      </w:r>
    </w:p>
    <w:p w14:paraId="1343B7B3">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三、人员配备要求</w:t>
      </w:r>
      <w:r>
        <w:rPr>
          <w:rFonts w:hint="eastAsia" w:asciiTheme="minorEastAsia" w:hAnsiTheme="minorEastAsia" w:eastAsiaTheme="minorEastAsia" w:cstheme="minorEastAsia"/>
          <w:bCs/>
          <w:sz w:val="24"/>
          <w:szCs w:val="24"/>
          <w:highlight w:val="none"/>
          <w:lang w:val="en-US" w:eastAsia="zh-CN"/>
        </w:rPr>
        <w:t>：</w:t>
      </w:r>
    </w:p>
    <w:tbl>
      <w:tblPr>
        <w:tblStyle w:val="10"/>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3254"/>
        <w:gridCol w:w="766"/>
        <w:gridCol w:w="4245"/>
      </w:tblGrid>
      <w:tr w14:paraId="06D2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dxa"/>
            <w:noWrap w:val="0"/>
            <w:vAlign w:val="top"/>
          </w:tcPr>
          <w:p w14:paraId="67940DB5">
            <w:pPr>
              <w:pStyle w:val="8"/>
              <w:pageBreakBefore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kern w:val="2"/>
                <w:sz w:val="24"/>
                <w:szCs w:val="24"/>
                <w:highlight w:val="none"/>
                <w:lang w:val="en-US" w:eastAsia="zh-CN" w:bidi="ar-SA"/>
              </w:rPr>
              <w:t>序号</w:t>
            </w:r>
          </w:p>
        </w:tc>
        <w:tc>
          <w:tcPr>
            <w:tcW w:w="3254" w:type="dxa"/>
            <w:noWrap w:val="0"/>
            <w:vAlign w:val="top"/>
          </w:tcPr>
          <w:p w14:paraId="54F84063">
            <w:pPr>
              <w:pStyle w:val="8"/>
              <w:pageBreakBefore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kern w:val="2"/>
                <w:sz w:val="24"/>
                <w:szCs w:val="24"/>
                <w:highlight w:val="none"/>
                <w:lang w:val="en-US" w:eastAsia="zh-CN" w:bidi="ar-SA"/>
              </w:rPr>
              <w:t>岗位</w:t>
            </w:r>
          </w:p>
        </w:tc>
        <w:tc>
          <w:tcPr>
            <w:tcW w:w="766" w:type="dxa"/>
            <w:noWrap w:val="0"/>
            <w:vAlign w:val="top"/>
          </w:tcPr>
          <w:p w14:paraId="0C88D69C">
            <w:pPr>
              <w:pStyle w:val="8"/>
              <w:pageBreakBefore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kern w:val="2"/>
                <w:sz w:val="24"/>
                <w:szCs w:val="24"/>
                <w:highlight w:val="none"/>
                <w:lang w:val="en-US" w:eastAsia="zh-CN" w:bidi="ar-SA"/>
              </w:rPr>
              <w:t>数量</w:t>
            </w:r>
          </w:p>
        </w:tc>
        <w:tc>
          <w:tcPr>
            <w:tcW w:w="4245" w:type="dxa"/>
            <w:noWrap w:val="0"/>
            <w:vAlign w:val="top"/>
          </w:tcPr>
          <w:p w14:paraId="48ED088B">
            <w:pPr>
              <w:pStyle w:val="8"/>
              <w:pageBreakBefore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kern w:val="2"/>
                <w:sz w:val="24"/>
                <w:szCs w:val="24"/>
                <w:highlight w:val="none"/>
                <w:lang w:val="en-US" w:eastAsia="zh-CN" w:bidi="ar-SA"/>
              </w:rPr>
              <w:t>人员主要职责</w:t>
            </w:r>
          </w:p>
        </w:tc>
      </w:tr>
      <w:tr w14:paraId="0440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80" w:type="dxa"/>
            <w:noWrap w:val="0"/>
            <w:vAlign w:val="center"/>
          </w:tcPr>
          <w:p w14:paraId="0A1C2561">
            <w:pPr>
              <w:pStyle w:val="8"/>
              <w:pageBreakBefore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kern w:val="2"/>
                <w:sz w:val="24"/>
                <w:szCs w:val="24"/>
                <w:highlight w:val="none"/>
                <w:lang w:val="en-US" w:eastAsia="zh-CN" w:bidi="ar-SA"/>
              </w:rPr>
              <w:t>1</w:t>
            </w:r>
          </w:p>
        </w:tc>
        <w:tc>
          <w:tcPr>
            <w:tcW w:w="3254" w:type="dxa"/>
            <w:noWrap w:val="0"/>
            <w:vAlign w:val="center"/>
          </w:tcPr>
          <w:p w14:paraId="5A149C3B">
            <w:pPr>
              <w:pStyle w:val="8"/>
              <w:pageBreakBefore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交通事故痕迹物证和车辆技术性能检验、鉴定执证人员</w:t>
            </w:r>
          </w:p>
        </w:tc>
        <w:tc>
          <w:tcPr>
            <w:tcW w:w="766" w:type="dxa"/>
            <w:noWrap w:val="0"/>
            <w:vAlign w:val="center"/>
          </w:tcPr>
          <w:p w14:paraId="37C5E544">
            <w:pPr>
              <w:pStyle w:val="8"/>
              <w:pageBreakBefore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kern w:val="2"/>
                <w:sz w:val="24"/>
                <w:szCs w:val="24"/>
                <w:highlight w:val="none"/>
                <w:lang w:val="en-US" w:eastAsia="zh-CN" w:bidi="ar-SA"/>
              </w:rPr>
              <w:t>4</w:t>
            </w:r>
            <w:r>
              <w:rPr>
                <w:rFonts w:hint="eastAsia" w:asciiTheme="minorEastAsia" w:hAnsiTheme="minorEastAsia" w:eastAsiaTheme="minorEastAsia" w:cstheme="minorEastAsia"/>
                <w:bCs/>
                <w:sz w:val="24"/>
                <w:szCs w:val="24"/>
                <w:highlight w:val="none"/>
              </w:rPr>
              <w:t>人</w:t>
            </w:r>
          </w:p>
        </w:tc>
        <w:tc>
          <w:tcPr>
            <w:tcW w:w="4245" w:type="dxa"/>
            <w:noWrap w:val="0"/>
            <w:vAlign w:val="center"/>
          </w:tcPr>
          <w:p w14:paraId="5DF32D87">
            <w:pPr>
              <w:pStyle w:val="8"/>
              <w:pageBreakBefore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 w:val="0"/>
                <w:bCs/>
                <w:i w:val="0"/>
                <w:caps w:val="0"/>
                <w:spacing w:val="0"/>
                <w:w w:val="100"/>
                <w:sz w:val="24"/>
                <w:szCs w:val="24"/>
                <w:highlight w:val="none"/>
              </w:rPr>
              <w:t>其中具有高级技术职称的人数不得少于1人并直接参与检验、鉴定工作</w:t>
            </w:r>
            <w:r>
              <w:rPr>
                <w:rFonts w:hint="eastAsia" w:asciiTheme="minorEastAsia" w:hAnsiTheme="minorEastAsia" w:eastAsiaTheme="minorEastAsia" w:cstheme="minorEastAsia"/>
                <w:b w:val="0"/>
                <w:bCs/>
                <w:i w:val="0"/>
                <w:caps w:val="0"/>
                <w:spacing w:val="0"/>
                <w:w w:val="100"/>
                <w:sz w:val="24"/>
                <w:szCs w:val="24"/>
                <w:highlight w:val="none"/>
                <w:lang w:eastAsia="zh-CN"/>
              </w:rPr>
              <w:t>。</w:t>
            </w:r>
          </w:p>
        </w:tc>
      </w:tr>
      <w:tr w14:paraId="66F5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80" w:type="dxa"/>
            <w:noWrap w:val="0"/>
            <w:vAlign w:val="center"/>
          </w:tcPr>
          <w:p w14:paraId="4D805A30">
            <w:pPr>
              <w:pStyle w:val="8"/>
              <w:pageBreakBefore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kern w:val="2"/>
                <w:sz w:val="24"/>
                <w:szCs w:val="24"/>
                <w:highlight w:val="none"/>
                <w:lang w:val="en-US" w:eastAsia="zh-CN" w:bidi="ar-SA"/>
              </w:rPr>
              <w:t>2</w:t>
            </w:r>
          </w:p>
        </w:tc>
        <w:tc>
          <w:tcPr>
            <w:tcW w:w="3254" w:type="dxa"/>
            <w:noWrap w:val="0"/>
            <w:vAlign w:val="center"/>
          </w:tcPr>
          <w:p w14:paraId="6DF75948">
            <w:pPr>
              <w:pStyle w:val="8"/>
              <w:pageBreakBefore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法医类临床、病理检验、鉴定执证人员</w:t>
            </w:r>
          </w:p>
        </w:tc>
        <w:tc>
          <w:tcPr>
            <w:tcW w:w="766" w:type="dxa"/>
            <w:noWrap w:val="0"/>
            <w:vAlign w:val="center"/>
          </w:tcPr>
          <w:p w14:paraId="4DC50AEE">
            <w:pPr>
              <w:pStyle w:val="8"/>
              <w:pageBreakBefore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kern w:val="2"/>
                <w:sz w:val="24"/>
                <w:szCs w:val="24"/>
                <w:highlight w:val="none"/>
                <w:lang w:val="en-US" w:eastAsia="zh-CN" w:bidi="ar-SA"/>
              </w:rPr>
              <w:t>2人</w:t>
            </w:r>
          </w:p>
        </w:tc>
        <w:tc>
          <w:tcPr>
            <w:tcW w:w="4245" w:type="dxa"/>
            <w:noWrap w:val="0"/>
            <w:vAlign w:val="center"/>
          </w:tcPr>
          <w:p w14:paraId="036CBD31">
            <w:pPr>
              <w:pStyle w:val="8"/>
              <w:pageBreakBefore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rPr>
              <w:t>法医类临床、病理</w:t>
            </w:r>
            <w:r>
              <w:rPr>
                <w:rFonts w:hint="eastAsia" w:asciiTheme="minorEastAsia" w:hAnsiTheme="minorEastAsia" w:eastAsiaTheme="minorEastAsia" w:cstheme="minorEastAsia"/>
                <w:bCs/>
                <w:sz w:val="24"/>
                <w:szCs w:val="24"/>
                <w:highlight w:val="none"/>
                <w:lang w:val="en-US" w:eastAsia="zh-CN"/>
              </w:rPr>
              <w:t>检验、鉴定工作。</w:t>
            </w:r>
          </w:p>
        </w:tc>
      </w:tr>
      <w:tr w14:paraId="5396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134" w:type="dxa"/>
            <w:gridSpan w:val="2"/>
            <w:noWrap w:val="0"/>
            <w:vAlign w:val="center"/>
          </w:tcPr>
          <w:p w14:paraId="4D86EF84">
            <w:pPr>
              <w:pStyle w:val="8"/>
              <w:pageBreakBefore w:val="0"/>
              <w:overflowPunct/>
              <w:topLinePunct w:val="0"/>
              <w:bidi w:val="0"/>
              <w:spacing w:line="360" w:lineRule="auto"/>
              <w:ind w:left="0" w:right="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kern w:val="2"/>
                <w:sz w:val="24"/>
                <w:szCs w:val="24"/>
                <w:highlight w:val="none"/>
                <w:lang w:val="en-US" w:eastAsia="zh-CN" w:bidi="ar-SA"/>
              </w:rPr>
              <w:t>合计</w:t>
            </w:r>
          </w:p>
        </w:tc>
        <w:tc>
          <w:tcPr>
            <w:tcW w:w="5011" w:type="dxa"/>
            <w:gridSpan w:val="2"/>
            <w:noWrap w:val="0"/>
            <w:vAlign w:val="center"/>
          </w:tcPr>
          <w:p w14:paraId="496C4A72">
            <w:pPr>
              <w:pStyle w:val="8"/>
              <w:pageBreakBefore w:val="0"/>
              <w:overflowPunct/>
              <w:topLinePunct w:val="0"/>
              <w:bidi w:val="0"/>
              <w:spacing w:line="360" w:lineRule="auto"/>
              <w:ind w:left="0" w:leftChars="0" w:right="0" w:firstLine="0" w:firstLineChars="0"/>
              <w:jc w:val="center"/>
              <w:rPr>
                <w:rFonts w:hint="eastAsia" w:asciiTheme="minorEastAsia" w:hAnsiTheme="minorEastAsia" w:eastAsiaTheme="minorEastAsia" w:cstheme="minorEastAsia"/>
                <w:bCs/>
                <w:kern w:val="2"/>
                <w:sz w:val="24"/>
                <w:szCs w:val="24"/>
                <w:highlight w:val="none"/>
                <w:lang w:val="en-US" w:eastAsia="zh-CN" w:bidi="ar-SA"/>
              </w:rPr>
            </w:pPr>
            <w:r>
              <w:rPr>
                <w:rFonts w:hint="eastAsia" w:asciiTheme="minorEastAsia" w:hAnsiTheme="minorEastAsia" w:eastAsiaTheme="minorEastAsia" w:cstheme="minorEastAsia"/>
                <w:bCs/>
                <w:kern w:val="2"/>
                <w:sz w:val="24"/>
                <w:szCs w:val="24"/>
                <w:highlight w:val="none"/>
                <w:lang w:val="en-US" w:eastAsia="zh-CN" w:bidi="ar-SA"/>
              </w:rPr>
              <w:t>6人</w:t>
            </w:r>
          </w:p>
        </w:tc>
      </w:tr>
      <w:tr w14:paraId="5236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145" w:type="dxa"/>
            <w:gridSpan w:val="4"/>
            <w:noWrap w:val="0"/>
            <w:vAlign w:val="center"/>
          </w:tcPr>
          <w:p w14:paraId="1583C404">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43"/>
              <w:jc w:val="left"/>
              <w:textAlignment w:val="baseline"/>
              <w:rPr>
                <w:rFonts w:hint="eastAsia" w:asciiTheme="minorEastAsia" w:hAnsiTheme="minorEastAsia" w:eastAsiaTheme="minorEastAsia" w:cstheme="minorEastAsia"/>
                <w:b/>
                <w:bCs/>
                <w:snapToGrid w:val="0"/>
                <w:color w:val="auto"/>
                <w:kern w:val="0"/>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注：</w:t>
            </w:r>
          </w:p>
          <w:p w14:paraId="0F47E8B1">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0" w:leftChars="0" w:right="0" w:firstLine="444" w:firstLineChars="0"/>
              <w:jc w:val="left"/>
              <w:textAlignment w:val="baseline"/>
              <w:rPr>
                <w:rFonts w:hint="eastAsia" w:asciiTheme="minorEastAsia" w:hAnsiTheme="minorEastAsia" w:eastAsiaTheme="minorEastAsia" w:cstheme="minorEastAsia"/>
                <w:b/>
                <w:bCs/>
                <w:kern w:val="0"/>
                <w:sz w:val="24"/>
                <w:szCs w:val="24"/>
                <w:highlight w:val="none"/>
                <w:lang w:bidi="zh-CN"/>
              </w:rPr>
            </w:pPr>
            <w:r>
              <w:rPr>
                <w:rFonts w:hint="eastAsia" w:asciiTheme="minorEastAsia" w:hAnsiTheme="minorEastAsia" w:eastAsiaTheme="minorEastAsia" w:cstheme="minorEastAsia"/>
                <w:b/>
                <w:bCs/>
                <w:kern w:val="0"/>
                <w:sz w:val="24"/>
                <w:szCs w:val="24"/>
                <w:highlight w:val="none"/>
                <w:lang w:val="en-US" w:eastAsia="zh-CN" w:bidi="zh-CN"/>
              </w:rPr>
              <w:t>（1）</w:t>
            </w:r>
            <w:r>
              <w:rPr>
                <w:rFonts w:hint="eastAsia" w:asciiTheme="minorEastAsia" w:hAnsiTheme="minorEastAsia" w:eastAsiaTheme="minorEastAsia" w:cstheme="minorEastAsia"/>
                <w:b/>
                <w:bCs/>
                <w:kern w:val="0"/>
                <w:sz w:val="24"/>
                <w:szCs w:val="24"/>
                <w:highlight w:val="none"/>
                <w:lang w:bidi="zh-CN"/>
              </w:rPr>
              <w:t>响应文件中无需提供</w:t>
            </w:r>
            <w:r>
              <w:rPr>
                <w:rFonts w:hint="eastAsia" w:asciiTheme="minorEastAsia" w:hAnsiTheme="minorEastAsia" w:eastAsiaTheme="minorEastAsia" w:cstheme="minorEastAsia"/>
                <w:b/>
                <w:bCs/>
                <w:kern w:val="0"/>
                <w:sz w:val="24"/>
                <w:szCs w:val="24"/>
                <w:highlight w:val="none"/>
                <w:lang w:val="en-US" w:bidi="zh-CN"/>
              </w:rPr>
              <w:t>人员</w:t>
            </w:r>
            <w:r>
              <w:rPr>
                <w:rFonts w:hint="eastAsia" w:asciiTheme="minorEastAsia" w:hAnsiTheme="minorEastAsia" w:eastAsiaTheme="minorEastAsia" w:cstheme="minorEastAsia"/>
                <w:b/>
                <w:bCs/>
                <w:kern w:val="0"/>
                <w:sz w:val="24"/>
                <w:szCs w:val="24"/>
                <w:highlight w:val="none"/>
                <w:lang w:bidi="zh-CN"/>
              </w:rPr>
              <w:t>证明材料。</w:t>
            </w:r>
            <w:r>
              <w:rPr>
                <w:rFonts w:hint="eastAsia" w:asciiTheme="minorEastAsia" w:hAnsiTheme="minorEastAsia" w:eastAsiaTheme="minorEastAsia" w:cstheme="minorEastAsia"/>
                <w:b/>
                <w:bCs/>
                <w:kern w:val="0"/>
                <w:sz w:val="24"/>
                <w:szCs w:val="24"/>
                <w:highlight w:val="none"/>
                <w:lang w:val="en-US" w:bidi="zh-CN"/>
              </w:rPr>
              <w:t>框架协议签订后</w:t>
            </w:r>
            <w:r>
              <w:rPr>
                <w:rFonts w:hint="eastAsia" w:asciiTheme="minorEastAsia" w:hAnsiTheme="minorEastAsia" w:eastAsiaTheme="minorEastAsia" w:cstheme="minorEastAsia"/>
                <w:b/>
                <w:bCs/>
                <w:kern w:val="0"/>
                <w:sz w:val="24"/>
                <w:szCs w:val="24"/>
                <w:highlight w:val="none"/>
                <w:lang w:bidi="zh-CN"/>
              </w:rPr>
              <w:t>由征集人进行核查。</w:t>
            </w:r>
            <w:r>
              <w:rPr>
                <w:rFonts w:hint="eastAsia" w:asciiTheme="minorEastAsia" w:hAnsiTheme="minorEastAsia" w:eastAsiaTheme="minorEastAsia" w:cstheme="minorEastAsia"/>
                <w:b/>
                <w:bCs/>
                <w:kern w:val="0"/>
                <w:sz w:val="24"/>
                <w:szCs w:val="24"/>
                <w:highlight w:val="none"/>
                <w:lang w:val="en-US" w:bidi="zh-CN"/>
              </w:rPr>
              <w:t>入围</w:t>
            </w:r>
            <w:r>
              <w:rPr>
                <w:rFonts w:hint="eastAsia" w:asciiTheme="minorEastAsia" w:hAnsiTheme="minorEastAsia" w:eastAsiaTheme="minorEastAsia" w:cstheme="minorEastAsia"/>
                <w:b/>
                <w:bCs/>
                <w:kern w:val="0"/>
                <w:sz w:val="24"/>
                <w:szCs w:val="24"/>
                <w:highlight w:val="none"/>
                <w:lang w:bidi="zh-CN"/>
              </w:rPr>
              <w:t>供应商须在</w:t>
            </w:r>
            <w:r>
              <w:rPr>
                <w:rFonts w:hint="eastAsia" w:asciiTheme="minorEastAsia" w:hAnsiTheme="minorEastAsia" w:eastAsiaTheme="minorEastAsia" w:cstheme="minorEastAsia"/>
                <w:b/>
                <w:bCs/>
                <w:kern w:val="0"/>
                <w:sz w:val="24"/>
                <w:szCs w:val="24"/>
                <w:highlight w:val="none"/>
                <w:lang w:val="en-US" w:bidi="zh-CN"/>
              </w:rPr>
              <w:t>框架协议</w:t>
            </w:r>
            <w:r>
              <w:rPr>
                <w:rFonts w:hint="eastAsia" w:asciiTheme="minorEastAsia" w:hAnsiTheme="minorEastAsia" w:eastAsiaTheme="minorEastAsia" w:cstheme="minorEastAsia"/>
                <w:b/>
                <w:bCs/>
                <w:kern w:val="0"/>
                <w:sz w:val="24"/>
                <w:szCs w:val="24"/>
                <w:highlight w:val="none"/>
                <w:lang w:bidi="zh-CN"/>
              </w:rPr>
              <w:t>签订后3日内将</w:t>
            </w:r>
            <w:r>
              <w:rPr>
                <w:rFonts w:hint="eastAsia" w:asciiTheme="minorEastAsia" w:hAnsiTheme="minorEastAsia" w:eastAsiaTheme="minorEastAsia" w:cstheme="minorEastAsia"/>
                <w:b/>
                <w:bCs/>
                <w:kern w:val="0"/>
                <w:sz w:val="24"/>
                <w:szCs w:val="24"/>
                <w:highlight w:val="none"/>
                <w:lang w:val="en-US" w:bidi="zh-CN"/>
              </w:rPr>
              <w:t>征集</w:t>
            </w:r>
            <w:r>
              <w:rPr>
                <w:rFonts w:hint="eastAsia" w:asciiTheme="minorEastAsia" w:hAnsiTheme="minorEastAsia" w:eastAsiaTheme="minorEastAsia" w:cstheme="minorEastAsia"/>
                <w:b/>
                <w:bCs/>
                <w:kern w:val="0"/>
                <w:sz w:val="24"/>
                <w:szCs w:val="24"/>
                <w:highlight w:val="none"/>
                <w:lang w:bidi="zh-CN"/>
              </w:rPr>
              <w:t>文件要求的人员配备到位；</w:t>
            </w:r>
          </w:p>
          <w:p w14:paraId="6B1D47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firstLine="444" w:firstLineChars="0"/>
              <w:jc w:val="left"/>
              <w:textAlignment w:val="baseline"/>
              <w:rPr>
                <w:rFonts w:hint="eastAsia" w:asciiTheme="minorEastAsia" w:hAnsiTheme="minorEastAsia" w:eastAsiaTheme="minorEastAsia" w:cstheme="minorEastAsia"/>
                <w:b/>
                <w:bCs/>
                <w:kern w:val="0"/>
                <w:sz w:val="24"/>
                <w:szCs w:val="24"/>
                <w:highlight w:val="none"/>
                <w:lang w:val="en-US" w:eastAsia="zh-CN" w:bidi="zh-CN"/>
              </w:rPr>
            </w:pPr>
            <w:r>
              <w:rPr>
                <w:rFonts w:hint="eastAsia" w:asciiTheme="minorEastAsia" w:hAnsiTheme="minorEastAsia" w:eastAsiaTheme="minorEastAsia" w:cstheme="minorEastAsia"/>
                <w:b/>
                <w:bCs/>
                <w:kern w:val="0"/>
                <w:sz w:val="24"/>
                <w:szCs w:val="24"/>
                <w:highlight w:val="none"/>
                <w:lang w:val="en-US" w:eastAsia="zh-CN" w:bidi="zh-CN"/>
              </w:rPr>
              <w:t>（2）</w:t>
            </w:r>
            <w:r>
              <w:rPr>
                <w:rFonts w:hint="eastAsia" w:asciiTheme="minorEastAsia" w:hAnsiTheme="minorEastAsia" w:eastAsiaTheme="minorEastAsia" w:cstheme="minorEastAsia"/>
                <w:b/>
                <w:bCs/>
                <w:snapToGrid w:val="0"/>
                <w:color w:val="auto"/>
                <w:spacing w:val="-1"/>
                <w:kern w:val="0"/>
                <w:sz w:val="24"/>
                <w:szCs w:val="24"/>
                <w:highlight w:val="none"/>
                <w:lang w:eastAsia="zh-CN"/>
              </w:rPr>
              <w:t>征集人</w:t>
            </w:r>
            <w:r>
              <w:rPr>
                <w:rFonts w:hint="eastAsia" w:asciiTheme="minorEastAsia" w:hAnsiTheme="minorEastAsia" w:eastAsiaTheme="minorEastAsia" w:cstheme="minorEastAsia"/>
                <w:b/>
                <w:bCs/>
                <w:snapToGrid w:val="0"/>
                <w:color w:val="auto"/>
                <w:spacing w:val="-1"/>
                <w:kern w:val="0"/>
                <w:sz w:val="24"/>
                <w:szCs w:val="24"/>
                <w:highlight w:val="none"/>
              </w:rPr>
              <w:t>将对</w:t>
            </w:r>
            <w:r>
              <w:rPr>
                <w:rFonts w:hint="eastAsia" w:asciiTheme="minorEastAsia" w:hAnsiTheme="minorEastAsia" w:eastAsiaTheme="minorEastAsia" w:cstheme="minorEastAsia"/>
                <w:b/>
                <w:bCs/>
                <w:snapToGrid w:val="0"/>
                <w:color w:val="auto"/>
                <w:spacing w:val="-1"/>
                <w:kern w:val="0"/>
                <w:sz w:val="24"/>
                <w:szCs w:val="24"/>
                <w:highlight w:val="none"/>
                <w:lang w:eastAsia="zh-CN"/>
              </w:rPr>
              <w:t>成交供应商</w:t>
            </w:r>
            <w:r>
              <w:rPr>
                <w:rFonts w:hint="eastAsia" w:asciiTheme="minorEastAsia" w:hAnsiTheme="minorEastAsia" w:eastAsiaTheme="minorEastAsia" w:cstheme="minorEastAsia"/>
                <w:b/>
                <w:bCs/>
                <w:snapToGrid w:val="0"/>
                <w:color w:val="auto"/>
                <w:spacing w:val="-1"/>
                <w:kern w:val="0"/>
                <w:sz w:val="24"/>
                <w:szCs w:val="24"/>
                <w:highlight w:val="none"/>
              </w:rPr>
              <w:t>所配备人员进行考察，如发现不</w:t>
            </w:r>
            <w:r>
              <w:rPr>
                <w:rFonts w:hint="eastAsia" w:asciiTheme="minorEastAsia" w:hAnsiTheme="minorEastAsia" w:eastAsiaTheme="minorEastAsia" w:cstheme="minorEastAsia"/>
                <w:b/>
                <w:bCs/>
                <w:snapToGrid w:val="0"/>
                <w:color w:val="auto"/>
                <w:spacing w:val="1"/>
                <w:kern w:val="0"/>
                <w:sz w:val="24"/>
                <w:szCs w:val="24"/>
                <w:highlight w:val="none"/>
              </w:rPr>
              <w:t>满足项目要求，有权要求</w:t>
            </w:r>
            <w:r>
              <w:rPr>
                <w:rFonts w:hint="eastAsia" w:asciiTheme="minorEastAsia" w:hAnsiTheme="minorEastAsia" w:eastAsiaTheme="minorEastAsia" w:cstheme="minorEastAsia"/>
                <w:b/>
                <w:bCs/>
                <w:snapToGrid w:val="0"/>
                <w:color w:val="auto"/>
                <w:spacing w:val="1"/>
                <w:kern w:val="0"/>
                <w:sz w:val="24"/>
                <w:szCs w:val="24"/>
                <w:highlight w:val="none"/>
                <w:lang w:val="en-US" w:eastAsia="zh-CN"/>
              </w:rPr>
              <w:t>入围</w:t>
            </w:r>
            <w:r>
              <w:rPr>
                <w:rFonts w:hint="eastAsia" w:asciiTheme="minorEastAsia" w:hAnsiTheme="minorEastAsia" w:eastAsiaTheme="minorEastAsia" w:cstheme="minorEastAsia"/>
                <w:b/>
                <w:bCs/>
                <w:snapToGrid w:val="0"/>
                <w:color w:val="auto"/>
                <w:spacing w:val="1"/>
                <w:kern w:val="0"/>
                <w:sz w:val="24"/>
                <w:szCs w:val="24"/>
                <w:highlight w:val="none"/>
                <w:lang w:eastAsia="zh-CN"/>
              </w:rPr>
              <w:t>供应商</w:t>
            </w:r>
            <w:r>
              <w:rPr>
                <w:rFonts w:hint="eastAsia" w:asciiTheme="minorEastAsia" w:hAnsiTheme="minorEastAsia" w:eastAsiaTheme="minorEastAsia" w:cstheme="minorEastAsia"/>
                <w:b/>
                <w:bCs/>
                <w:snapToGrid w:val="0"/>
                <w:color w:val="auto"/>
                <w:spacing w:val="1"/>
                <w:kern w:val="0"/>
                <w:sz w:val="24"/>
                <w:szCs w:val="24"/>
                <w:highlight w:val="none"/>
              </w:rPr>
              <w:t>调整更换</w:t>
            </w:r>
            <w:r>
              <w:rPr>
                <w:rFonts w:hint="eastAsia" w:asciiTheme="minorEastAsia" w:hAnsiTheme="minorEastAsia" w:eastAsiaTheme="minorEastAsia" w:cstheme="minorEastAsia"/>
                <w:b/>
                <w:bCs/>
                <w:snapToGrid w:val="0"/>
                <w:color w:val="auto"/>
                <w:spacing w:val="1"/>
                <w:kern w:val="0"/>
                <w:sz w:val="24"/>
                <w:szCs w:val="24"/>
                <w:highlight w:val="none"/>
                <w:lang w:eastAsia="zh-CN"/>
              </w:rPr>
              <w:t>。</w:t>
            </w:r>
          </w:p>
        </w:tc>
      </w:tr>
    </w:tbl>
    <w:p w14:paraId="0BE21FCF">
      <w:pPr>
        <w:pStyle w:val="4"/>
        <w:keepNext w:val="0"/>
        <w:keepLines w:val="0"/>
        <w:pageBreakBefore w:val="0"/>
        <w:widowControl w:val="0"/>
        <w:kinsoku/>
        <w:wordWrap/>
        <w:overflowPunct/>
        <w:topLinePunct w:val="0"/>
        <w:autoSpaceDE/>
        <w:autoSpaceDN/>
        <w:bidi w:val="0"/>
        <w:adjustRightInd/>
        <w:snapToGrid/>
        <w:spacing w:after="0" w:line="360" w:lineRule="auto"/>
        <w:ind w:left="0" w:right="0"/>
        <w:textAlignment w:val="auto"/>
        <w:rPr>
          <w:rFonts w:hint="eastAsia" w:asciiTheme="minorEastAsia" w:hAnsiTheme="minorEastAsia" w:eastAsiaTheme="minorEastAsia" w:cstheme="minorEastAsia"/>
          <w:b/>
          <w:bCs/>
          <w:sz w:val="24"/>
          <w:szCs w:val="24"/>
        </w:rPr>
      </w:pPr>
      <w:bookmarkStart w:id="3" w:name="bookmark145"/>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w:t>
      </w:r>
      <w:bookmarkEnd w:id="3"/>
      <w:r>
        <w:rPr>
          <w:rFonts w:hint="eastAsia" w:asciiTheme="minorEastAsia" w:hAnsiTheme="minorEastAsia" w:eastAsiaTheme="minorEastAsia" w:cstheme="minorEastAsia"/>
          <w:b/>
          <w:color w:val="auto"/>
          <w:sz w:val="24"/>
          <w:szCs w:val="24"/>
          <w:highlight w:val="none"/>
        </w:rPr>
        <w:t>报价要求</w:t>
      </w:r>
    </w:p>
    <w:p w14:paraId="13F12515">
      <w:pPr>
        <w:pStyle w:val="4"/>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1、参照《安徽省发展改革委安徽省司法厅关于进一步规范我省司法鉴定服务收费有关问题的通知》（皖发改价费【2025】498号）文件收取</w:t>
      </w:r>
      <w:r>
        <w:rPr>
          <w:rFonts w:hint="eastAsia" w:asciiTheme="minorEastAsia" w:hAnsiTheme="minorEastAsia" w:eastAsiaTheme="minorEastAsia" w:cstheme="minorEastAsia"/>
          <w:b/>
          <w:bCs/>
          <w:color w:val="auto"/>
          <w:sz w:val="24"/>
          <w:szCs w:val="24"/>
          <w:highlight w:val="none"/>
          <w:lang w:val="en-US" w:eastAsia="zh-CN"/>
        </w:rPr>
        <w:t>（详见本项目附件，供应商自行下载），</w:t>
      </w:r>
      <w:r>
        <w:rPr>
          <w:rFonts w:hint="eastAsia" w:ascii="宋体" w:hAnsi="宋体" w:eastAsia="宋体" w:cs="宋体"/>
          <w:b w:val="0"/>
          <w:bCs w:val="0"/>
          <w:color w:val="000000"/>
          <w:kern w:val="0"/>
          <w:sz w:val="24"/>
          <w:szCs w:val="24"/>
          <w:highlight w:val="none"/>
          <w:lang w:val="en-US" w:eastAsia="zh-CN" w:bidi="ar"/>
        </w:rPr>
        <w:t>若有最新文件，</w:t>
      </w:r>
      <w:r>
        <w:rPr>
          <w:rFonts w:hint="eastAsia" w:asciiTheme="minorEastAsia" w:hAnsiTheme="minorEastAsia" w:eastAsiaTheme="minorEastAsia" w:cstheme="minorEastAsia"/>
          <w:b w:val="0"/>
          <w:bCs w:val="0"/>
          <w:color w:val="auto"/>
          <w:sz w:val="24"/>
          <w:szCs w:val="24"/>
          <w:highlight w:val="none"/>
          <w:lang w:val="en-US" w:eastAsia="zh-CN"/>
        </w:rPr>
        <w:t>参照</w:t>
      </w:r>
      <w:r>
        <w:rPr>
          <w:rFonts w:hint="eastAsia" w:ascii="宋体" w:hAnsi="宋体" w:eastAsia="宋体" w:cs="宋体"/>
          <w:b w:val="0"/>
          <w:bCs w:val="0"/>
          <w:color w:val="000000"/>
          <w:kern w:val="0"/>
          <w:sz w:val="24"/>
          <w:szCs w:val="24"/>
          <w:highlight w:val="none"/>
          <w:lang w:val="en-US" w:eastAsia="zh-CN" w:bidi="ar"/>
        </w:rPr>
        <w:t>最新文件</w:t>
      </w:r>
      <w:r>
        <w:rPr>
          <w:rFonts w:hint="eastAsia" w:asciiTheme="minorEastAsia" w:hAnsiTheme="minorEastAsia" w:eastAsiaTheme="minorEastAsia" w:cstheme="minorEastAsia"/>
          <w:b w:val="0"/>
          <w:bCs w:val="0"/>
          <w:color w:val="auto"/>
          <w:sz w:val="24"/>
          <w:szCs w:val="24"/>
          <w:highlight w:val="none"/>
          <w:lang w:val="en-US" w:eastAsia="zh-CN"/>
        </w:rPr>
        <w:t>收取。</w:t>
      </w:r>
    </w:p>
    <w:p w14:paraId="4CD6C085">
      <w:pPr>
        <w:pStyle w:val="4"/>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default"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sz w:val="24"/>
          <w:szCs w:val="24"/>
        </w:rPr>
        <w:t>交通事故痕迹物证鉴定</w:t>
      </w:r>
      <w:r>
        <w:rPr>
          <w:rFonts w:hint="eastAsia" w:asciiTheme="minorEastAsia" w:hAnsiTheme="minorEastAsia" w:eastAsiaTheme="minorEastAsia" w:cstheme="minorEastAsia"/>
          <w:b w:val="0"/>
          <w:bCs w:val="0"/>
          <w:color w:val="auto"/>
          <w:sz w:val="24"/>
          <w:szCs w:val="24"/>
          <w:highlight w:val="none"/>
          <w:lang w:val="en-US" w:eastAsia="zh-CN"/>
        </w:rPr>
        <w:t>”参照下表收取：</w:t>
      </w:r>
    </w:p>
    <w:tbl>
      <w:tblPr>
        <w:tblStyle w:val="9"/>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542"/>
        <w:gridCol w:w="1287"/>
        <w:gridCol w:w="1488"/>
        <w:gridCol w:w="3275"/>
        <w:gridCol w:w="815"/>
      </w:tblGrid>
      <w:tr w14:paraId="20B3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51" w:type="dxa"/>
            <w:noWrap w:val="0"/>
            <w:vAlign w:val="center"/>
          </w:tcPr>
          <w:p w14:paraId="3E47B67D">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42" w:type="dxa"/>
            <w:noWrap w:val="0"/>
            <w:vAlign w:val="center"/>
          </w:tcPr>
          <w:p w14:paraId="4C6CF848">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lang w:val="en-US" w:eastAsia="zh-CN"/>
              </w:rPr>
              <w:t>类型</w:t>
            </w:r>
          </w:p>
        </w:tc>
        <w:tc>
          <w:tcPr>
            <w:tcW w:w="1287" w:type="dxa"/>
            <w:noWrap w:val="0"/>
            <w:vAlign w:val="center"/>
          </w:tcPr>
          <w:p w14:paraId="592A43D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暂定数量（起/年）</w:t>
            </w:r>
          </w:p>
        </w:tc>
        <w:tc>
          <w:tcPr>
            <w:tcW w:w="1488" w:type="dxa"/>
            <w:noWrap w:val="0"/>
            <w:vAlign w:val="center"/>
          </w:tcPr>
          <w:p w14:paraId="3CE19525">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基准价格</w:t>
            </w:r>
            <w:r>
              <w:rPr>
                <w:rFonts w:hint="eastAsia" w:asciiTheme="minorEastAsia" w:hAnsiTheme="minorEastAsia" w:eastAsiaTheme="minorEastAsia" w:cstheme="minorEastAsia"/>
                <w:sz w:val="24"/>
                <w:szCs w:val="24"/>
              </w:rPr>
              <w:t>（元/起）</w:t>
            </w:r>
          </w:p>
        </w:tc>
        <w:tc>
          <w:tcPr>
            <w:tcW w:w="3275" w:type="dxa"/>
            <w:noWrap w:val="0"/>
            <w:vAlign w:val="center"/>
          </w:tcPr>
          <w:p w14:paraId="41E94576">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鉴定内容</w:t>
            </w:r>
          </w:p>
        </w:tc>
        <w:tc>
          <w:tcPr>
            <w:tcW w:w="815" w:type="dxa"/>
            <w:noWrap w:val="0"/>
            <w:vAlign w:val="center"/>
          </w:tcPr>
          <w:p w14:paraId="191E919A">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6382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751" w:type="dxa"/>
            <w:noWrap w:val="0"/>
            <w:vAlign w:val="center"/>
          </w:tcPr>
          <w:p w14:paraId="6077E35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542" w:type="dxa"/>
            <w:noWrap w:val="0"/>
            <w:vAlign w:val="center"/>
          </w:tcPr>
          <w:p w14:paraId="2E65CE0D">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交通事故痕迹物证鉴定</w:t>
            </w:r>
          </w:p>
        </w:tc>
        <w:tc>
          <w:tcPr>
            <w:tcW w:w="1287" w:type="dxa"/>
            <w:noWrap w:val="0"/>
            <w:vAlign w:val="center"/>
          </w:tcPr>
          <w:p w14:paraId="294549CF">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900</w:t>
            </w:r>
          </w:p>
        </w:tc>
        <w:tc>
          <w:tcPr>
            <w:tcW w:w="1488" w:type="dxa"/>
            <w:noWrap w:val="0"/>
            <w:vAlign w:val="center"/>
          </w:tcPr>
          <w:p w14:paraId="5CD8BF07">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1200</w:t>
            </w:r>
          </w:p>
        </w:tc>
        <w:tc>
          <w:tcPr>
            <w:tcW w:w="3275" w:type="dxa"/>
            <w:noWrap w:val="0"/>
            <w:vAlign w:val="top"/>
          </w:tcPr>
          <w:p w14:paraId="23FF9E05">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车辆碰撞痕迹、车辆碰撞形态、事故形态、车辆行驶速度、安全性能（制动、转向、灯光等）、车辆属性、交通行为方式（驾驶、乘坐、骑行、推行，在道路上直立、蹲踞、倒卧等）、车辆行驶方向、事故成因、爆胎原因（事故前爆胎、事故后爆胎）、车架钢印号或发动机钢印号真伪鉴定、事故车辆起火原因、事发时路面接触点（碰撞点）、改装车、拼装车等</w:t>
            </w:r>
            <w:r>
              <w:rPr>
                <w:rFonts w:hint="eastAsia" w:asciiTheme="minorEastAsia" w:hAnsiTheme="minorEastAsia" w:eastAsiaTheme="minorEastAsia" w:cstheme="minorEastAsia"/>
                <w:sz w:val="24"/>
                <w:szCs w:val="24"/>
                <w:lang w:eastAsia="zh-CN"/>
              </w:rPr>
              <w:t>。</w:t>
            </w:r>
          </w:p>
        </w:tc>
        <w:tc>
          <w:tcPr>
            <w:tcW w:w="815" w:type="dxa"/>
            <w:noWrap w:val="0"/>
            <w:vAlign w:val="top"/>
          </w:tcPr>
          <w:p w14:paraId="33D86396">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sz w:val="24"/>
                <w:szCs w:val="24"/>
              </w:rPr>
            </w:pPr>
          </w:p>
        </w:tc>
      </w:tr>
    </w:tbl>
    <w:p w14:paraId="05BD87BB">
      <w:pPr>
        <w:pStyle w:val="3"/>
        <w:keepNext w:val="0"/>
        <w:keepLines w:val="0"/>
        <w:pageBreakBefore w:val="0"/>
        <w:widowControl w:val="0"/>
        <w:kinsoku/>
        <w:wordWrap/>
        <w:overflowPunct/>
        <w:topLinePunct w:val="0"/>
        <w:autoSpaceDE/>
        <w:autoSpaceDN/>
        <w:bidi w:val="0"/>
        <w:spacing w:after="0" w:line="360" w:lineRule="auto"/>
        <w:ind w:right="0"/>
        <w:textAlignment w:val="auto"/>
        <w:rPr>
          <w:rFonts w:hint="eastAsia" w:asciiTheme="minorEastAsia" w:hAnsiTheme="minorEastAsia" w:eastAsiaTheme="minorEastAsia" w:cstheme="minorEastAsia"/>
          <w:sz w:val="24"/>
          <w:szCs w:val="24"/>
        </w:rPr>
      </w:pPr>
    </w:p>
    <w:p w14:paraId="147895F0">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本项目</w:t>
      </w:r>
      <w:r>
        <w:rPr>
          <w:rFonts w:hint="eastAsia" w:asciiTheme="minorEastAsia" w:hAnsiTheme="minorEastAsia" w:eastAsiaTheme="minorEastAsia" w:cstheme="minorEastAsia"/>
          <w:b w:val="0"/>
          <w:bCs w:val="0"/>
          <w:color w:val="auto"/>
          <w:sz w:val="24"/>
          <w:szCs w:val="24"/>
          <w:highlight w:val="none"/>
          <w:lang w:val="en-US" w:eastAsia="zh-CN"/>
        </w:rPr>
        <w:t>采用综合</w:t>
      </w:r>
      <w:r>
        <w:rPr>
          <w:rFonts w:hint="eastAsia" w:asciiTheme="minorEastAsia" w:hAnsiTheme="minorEastAsia" w:eastAsiaTheme="minorEastAsia" w:cstheme="minorEastAsia"/>
          <w:b w:val="0"/>
          <w:bCs w:val="0"/>
          <w:color w:val="auto"/>
          <w:sz w:val="24"/>
          <w:szCs w:val="24"/>
          <w:highlight w:val="none"/>
          <w:lang w:eastAsia="zh-CN"/>
        </w:rPr>
        <w:t>费率</w:t>
      </w:r>
      <w:r>
        <w:rPr>
          <w:rFonts w:hint="eastAsia" w:asciiTheme="minorEastAsia" w:hAnsiTheme="minorEastAsia" w:eastAsiaTheme="minorEastAsia" w:cstheme="minorEastAsia"/>
          <w:b w:val="0"/>
          <w:bCs w:val="0"/>
          <w:color w:val="auto"/>
          <w:sz w:val="24"/>
          <w:szCs w:val="24"/>
          <w:highlight w:val="none"/>
          <w:lang w:val="en-US" w:eastAsia="zh-CN"/>
        </w:rPr>
        <w:t>报价</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所报</w:t>
      </w:r>
      <w:r>
        <w:rPr>
          <w:rFonts w:hint="eastAsia" w:asciiTheme="minorEastAsia" w:hAnsiTheme="minorEastAsia" w:eastAsiaTheme="minorEastAsia" w:cstheme="minorEastAsia"/>
          <w:b w:val="0"/>
          <w:bCs w:val="0"/>
          <w:color w:val="auto"/>
          <w:sz w:val="24"/>
          <w:szCs w:val="24"/>
          <w:highlight w:val="none"/>
        </w:rPr>
        <w:t>费率不得超过</w:t>
      </w:r>
      <w:r>
        <w:rPr>
          <w:rFonts w:hint="eastAsia" w:asciiTheme="minorEastAsia" w:hAnsiTheme="minorEastAsia" w:eastAsiaTheme="minorEastAsia" w:cstheme="minorEastAsia"/>
          <w:b w:val="0"/>
          <w:bCs w:val="0"/>
          <w:color w:val="auto"/>
          <w:sz w:val="24"/>
          <w:szCs w:val="24"/>
          <w:highlight w:val="none"/>
          <w:lang w:val="en-US" w:eastAsia="zh-CN"/>
        </w:rPr>
        <w:t>100</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eastAsia="zh-CN"/>
        </w:rPr>
        <w:t>报价不得为0</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val="en-US" w:eastAsia="zh-CN"/>
        </w:rPr>
        <w:t>否则按</w:t>
      </w:r>
      <w:r>
        <w:rPr>
          <w:rFonts w:hint="eastAsia" w:asciiTheme="minorEastAsia" w:hAnsiTheme="minorEastAsia" w:eastAsiaTheme="minorEastAsia" w:cstheme="minorEastAsia"/>
          <w:b/>
          <w:bCs/>
          <w:color w:val="auto"/>
          <w:sz w:val="24"/>
          <w:szCs w:val="24"/>
          <w:highlight w:val="none"/>
        </w:rPr>
        <w:t>无效</w:t>
      </w:r>
      <w:r>
        <w:rPr>
          <w:rFonts w:hint="eastAsia" w:asciiTheme="minorEastAsia" w:hAnsiTheme="minorEastAsia" w:eastAsiaTheme="minorEastAsia" w:cstheme="minorEastAsia"/>
          <w:b/>
          <w:bCs/>
          <w:color w:val="auto"/>
          <w:sz w:val="24"/>
          <w:szCs w:val="24"/>
          <w:highlight w:val="none"/>
          <w:lang w:val="en-US" w:eastAsia="zh-CN"/>
        </w:rPr>
        <w:t>响应处理</w:t>
      </w:r>
      <w:r>
        <w:rPr>
          <w:rFonts w:hint="eastAsia" w:asciiTheme="minorEastAsia" w:hAnsiTheme="minorEastAsia" w:eastAsiaTheme="minorEastAsia" w:cstheme="minorEastAsia"/>
          <w:b w:val="0"/>
          <w:bCs w:val="0"/>
          <w:color w:val="auto"/>
          <w:sz w:val="24"/>
          <w:szCs w:val="24"/>
          <w:highlight w:val="none"/>
        </w:rPr>
        <w:t>。</w:t>
      </w:r>
      <w:r>
        <w:rPr>
          <w:rFonts w:hint="eastAsia" w:ascii="宋体" w:hAnsi="宋体" w:eastAsia="宋体" w:cs="宋体"/>
          <w:sz w:val="24"/>
          <w:szCs w:val="24"/>
          <w:lang w:eastAsia="zh-CN"/>
        </w:rPr>
        <w:t>各供应商所报费率保留小数</w:t>
      </w:r>
      <w:r>
        <w:rPr>
          <w:rFonts w:hint="eastAsia" w:ascii="宋体" w:hAnsi="宋体" w:eastAsia="宋体" w:cs="宋体"/>
          <w:sz w:val="24"/>
          <w:szCs w:val="24"/>
          <w:lang w:val="en-US" w:eastAsia="zh-CN"/>
        </w:rPr>
        <w:t>点后2位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超过小数点后2位的按四舍五入原则保留2位小数</w:t>
      </w:r>
      <w:r>
        <w:rPr>
          <w:rFonts w:hint="eastAsia" w:ascii="宋体" w:hAnsi="宋体" w:eastAsia="宋体" w:cs="宋体"/>
          <w:sz w:val="24"/>
          <w:szCs w:val="24"/>
          <w:lang w:eastAsia="zh-CN"/>
        </w:rPr>
        <w:t>。例如：（</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某供应商所报综合</w:t>
      </w:r>
      <w:r>
        <w:rPr>
          <w:rFonts w:hint="eastAsia" w:ascii="宋体" w:hAnsi="宋体" w:eastAsia="宋体" w:cs="宋体"/>
          <w:sz w:val="24"/>
          <w:szCs w:val="24"/>
          <w:lang w:eastAsia="zh-CN"/>
        </w:rPr>
        <w:t>费率</w:t>
      </w:r>
      <w:r>
        <w:rPr>
          <w:rFonts w:hint="eastAsia" w:ascii="宋体" w:hAnsi="宋体" w:eastAsia="宋体" w:cs="宋体"/>
          <w:sz w:val="24"/>
          <w:szCs w:val="24"/>
          <w:lang w:val="en-US" w:eastAsia="zh-CN"/>
        </w:rPr>
        <w:t>为</w:t>
      </w:r>
      <w:r>
        <w:rPr>
          <w:rFonts w:hint="eastAsia" w:ascii="宋体" w:hAnsi="宋体" w:eastAsia="宋体" w:cs="宋体"/>
          <w:sz w:val="24"/>
          <w:szCs w:val="24"/>
          <w:lang w:eastAsia="zh-CN"/>
        </w:rPr>
        <w:t>70.6</w:t>
      </w:r>
      <w:r>
        <w:rPr>
          <w:rFonts w:hint="eastAsia" w:ascii="宋体" w:hAnsi="宋体" w:eastAsia="宋体" w:cs="宋体"/>
          <w:sz w:val="24"/>
          <w:szCs w:val="24"/>
          <w:lang w:val="en-US" w:eastAsia="zh-CN"/>
        </w:rPr>
        <w:t>32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则其评审价及结算价均按照70.63%执行；（2）某供应商所报综合</w:t>
      </w:r>
      <w:r>
        <w:rPr>
          <w:rFonts w:hint="eastAsia" w:ascii="宋体" w:hAnsi="宋体" w:eastAsia="宋体" w:cs="宋体"/>
          <w:sz w:val="24"/>
          <w:szCs w:val="24"/>
          <w:lang w:eastAsia="zh-CN"/>
        </w:rPr>
        <w:t>费率</w:t>
      </w:r>
      <w:r>
        <w:rPr>
          <w:rFonts w:hint="eastAsia" w:ascii="宋体" w:hAnsi="宋体" w:eastAsia="宋体" w:cs="宋体"/>
          <w:sz w:val="24"/>
          <w:szCs w:val="24"/>
          <w:lang w:val="en-US" w:eastAsia="zh-CN"/>
        </w:rPr>
        <w:t>为</w:t>
      </w:r>
      <w:r>
        <w:rPr>
          <w:rFonts w:hint="eastAsia" w:ascii="宋体" w:hAnsi="宋体" w:eastAsia="宋体" w:cs="宋体"/>
          <w:sz w:val="24"/>
          <w:szCs w:val="24"/>
          <w:lang w:eastAsia="zh-CN"/>
        </w:rPr>
        <w:t>70.6</w:t>
      </w:r>
      <w:r>
        <w:rPr>
          <w:rFonts w:hint="eastAsia" w:ascii="宋体" w:hAnsi="宋体" w:eastAsia="宋体" w:cs="宋体"/>
          <w:sz w:val="24"/>
          <w:szCs w:val="24"/>
          <w:lang w:val="en-US" w:eastAsia="zh-CN"/>
        </w:rPr>
        <w:t>35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则其评审价及结算价均按照70.64%执行</w:t>
      </w:r>
      <w:r>
        <w:rPr>
          <w:rFonts w:hint="eastAsia" w:ascii="宋体" w:hAnsi="宋体" w:eastAsia="宋体" w:cs="宋体"/>
          <w:sz w:val="24"/>
          <w:szCs w:val="24"/>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供应商所报费率</w:t>
      </w:r>
      <w:r>
        <w:rPr>
          <w:rFonts w:hint="eastAsia" w:asciiTheme="minorEastAsia" w:hAnsiTheme="minorEastAsia" w:eastAsiaTheme="minorEastAsia" w:cstheme="minorEastAsia"/>
          <w:b w:val="0"/>
          <w:bCs w:val="0"/>
          <w:color w:val="auto"/>
          <w:sz w:val="24"/>
          <w:szCs w:val="24"/>
          <w:highlight w:val="none"/>
        </w:rPr>
        <w:t>包含</w:t>
      </w:r>
      <w:r>
        <w:rPr>
          <w:rFonts w:hint="eastAsia" w:asciiTheme="minorEastAsia" w:hAnsiTheme="minorEastAsia" w:eastAsiaTheme="minorEastAsia" w:cstheme="minorEastAsia"/>
          <w:bCs/>
          <w:sz w:val="24"/>
          <w:szCs w:val="24"/>
          <w:highlight w:val="none"/>
        </w:rPr>
        <w:t>开展道路交通事故检验鉴定服务所涉及的一切相关事宜所发生的费用</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Cs/>
          <w:sz w:val="24"/>
          <w:szCs w:val="24"/>
          <w:highlight w:val="none"/>
          <w:lang w:eastAsia="zh-CN"/>
        </w:rPr>
        <w:t>供应商</w:t>
      </w:r>
      <w:r>
        <w:rPr>
          <w:rFonts w:hint="eastAsia" w:asciiTheme="minorEastAsia" w:hAnsiTheme="minorEastAsia" w:eastAsiaTheme="minorEastAsia" w:cstheme="minorEastAsia"/>
          <w:bCs/>
          <w:sz w:val="24"/>
          <w:szCs w:val="24"/>
          <w:highlight w:val="none"/>
        </w:rPr>
        <w:t>应综合考虑并承担一切风险，如有需要请自行勘察现场，</w:t>
      </w:r>
      <w:r>
        <w:rPr>
          <w:rFonts w:hint="eastAsia" w:asciiTheme="minorEastAsia" w:hAnsiTheme="minorEastAsia" w:eastAsiaTheme="minorEastAsia" w:cstheme="minorEastAsia"/>
          <w:bCs/>
          <w:sz w:val="24"/>
          <w:szCs w:val="24"/>
          <w:highlight w:val="none"/>
          <w:lang w:val="en-US" w:eastAsia="zh-CN"/>
        </w:rPr>
        <w:t>入围</w:t>
      </w:r>
      <w:r>
        <w:rPr>
          <w:rFonts w:hint="eastAsia" w:asciiTheme="minorEastAsia" w:hAnsiTheme="minorEastAsia" w:eastAsiaTheme="minorEastAsia" w:cstheme="minorEastAsia"/>
          <w:bCs/>
          <w:sz w:val="24"/>
          <w:szCs w:val="24"/>
          <w:highlight w:val="none"/>
        </w:rPr>
        <w:t>后不得以任何理由提出变更等理由调整价格。</w:t>
      </w:r>
    </w:p>
    <w:p w14:paraId="46A0FC24">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2、如：某供应商入围费率为80%，完成</w:t>
      </w:r>
      <w:r>
        <w:rPr>
          <w:rFonts w:hint="eastAsia" w:asciiTheme="minorEastAsia" w:hAnsiTheme="minorEastAsia" w:eastAsiaTheme="minorEastAsia" w:cstheme="minorEastAsia"/>
          <w:sz w:val="24"/>
          <w:szCs w:val="24"/>
        </w:rPr>
        <w:t>交通事故痕迹物证鉴定</w:t>
      </w:r>
      <w:r>
        <w:rPr>
          <w:rFonts w:hint="eastAsia" w:asciiTheme="minorEastAsia" w:hAnsiTheme="minorEastAsia" w:eastAsiaTheme="minorEastAsia" w:cstheme="minorEastAsia"/>
          <w:sz w:val="24"/>
          <w:szCs w:val="24"/>
          <w:lang w:val="en-US" w:eastAsia="zh-CN"/>
        </w:rPr>
        <w:t>10起</w:t>
      </w:r>
      <w:r>
        <w:rPr>
          <w:rFonts w:hint="eastAsia" w:asciiTheme="minorEastAsia" w:hAnsiTheme="minorEastAsia" w:eastAsiaTheme="minorEastAsia" w:cstheme="minorEastAsia"/>
          <w:b w:val="0"/>
          <w:bCs w:val="0"/>
          <w:color w:val="auto"/>
          <w:sz w:val="24"/>
          <w:szCs w:val="24"/>
          <w:highlight w:val="none"/>
          <w:lang w:val="en-US" w:eastAsia="zh-CN"/>
        </w:rPr>
        <w:t>，完成早期尸体解剖10具。则：</w:t>
      </w:r>
      <w:r>
        <w:rPr>
          <w:rFonts w:hint="eastAsia" w:asciiTheme="minorEastAsia" w:hAnsiTheme="minorEastAsia" w:eastAsiaTheme="minorEastAsia" w:cstheme="minorEastAsia"/>
          <w:sz w:val="24"/>
          <w:szCs w:val="24"/>
        </w:rPr>
        <w:t>交通事故痕迹物证鉴定</w:t>
      </w:r>
      <w:r>
        <w:rPr>
          <w:rFonts w:hint="eastAsia" w:asciiTheme="minorEastAsia" w:hAnsiTheme="minorEastAsia" w:eastAsiaTheme="minorEastAsia" w:cstheme="minorEastAsia"/>
          <w:b w:val="0"/>
          <w:bCs w:val="0"/>
          <w:color w:val="auto"/>
          <w:sz w:val="24"/>
          <w:szCs w:val="24"/>
          <w:highlight w:val="none"/>
          <w:lang w:val="en-US" w:eastAsia="zh-CN"/>
        </w:rPr>
        <w:t>的结算价为：</w:t>
      </w:r>
      <w:r>
        <w:rPr>
          <w:rFonts w:hint="eastAsia" w:asciiTheme="minorEastAsia" w:hAnsiTheme="minorEastAsia" w:eastAsiaTheme="minorEastAsia" w:cstheme="minorEastAsia"/>
          <w:sz w:val="24"/>
          <w:szCs w:val="24"/>
          <w:lang w:val="en-US" w:eastAsia="zh-CN"/>
        </w:rPr>
        <w:t>1200元/起</w:t>
      </w:r>
      <w:r>
        <w:rPr>
          <w:rFonts w:hint="eastAsia" w:asciiTheme="minorEastAsia" w:hAnsiTheme="minorEastAsia" w:eastAsiaTheme="minorEastAsia" w:cstheme="minorEastAsia"/>
          <w:b w:val="0"/>
          <w:bCs w:val="0"/>
          <w:color w:val="auto"/>
          <w:sz w:val="24"/>
          <w:szCs w:val="24"/>
          <w:highlight w:val="none"/>
          <w:lang w:val="en-US" w:eastAsia="zh-CN"/>
        </w:rPr>
        <w:t>×10起×80%=9600元。早期尸体解剖的结算价为：2500元/具×10具×80%=20000元。其它项目类型结算价以此类推。</w:t>
      </w:r>
    </w:p>
    <w:p w14:paraId="01A43D55">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right="0"/>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000000"/>
          <w:sz w:val="24"/>
          <w:szCs w:val="24"/>
          <w:highlight w:val="none"/>
          <w:lang w:val="en-US" w:eastAsia="zh-CN"/>
        </w:rPr>
        <w:t>五、确定第二阶段成交供应商的方式</w:t>
      </w:r>
    </w:p>
    <w:p w14:paraId="7053547A">
      <w:pPr>
        <w:pStyle w:val="4"/>
        <w:keepNext w:val="0"/>
        <w:keepLines w:val="0"/>
        <w:pageBreakBefore w:val="0"/>
        <w:widowControl w:val="0"/>
        <w:kinsoku/>
        <w:wordWrap/>
        <w:overflowPunct/>
        <w:topLinePunct w:val="0"/>
        <w:autoSpaceDE/>
        <w:autoSpaceDN/>
        <w:bidi w:val="0"/>
        <w:spacing w:after="0" w:line="360" w:lineRule="auto"/>
        <w:ind w:left="0" w:right="0"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本项目采用封闭式框架协议采购方式进行采购。本次采购为第一阶段入围供应商征集；第二阶段成交供应商的确定采用直接选定的方式，由征集人依据入围产品价格、质量以及服务便利性、用户评价等因素，从第一阶段入围供应商中直接选定。</w:t>
      </w:r>
    </w:p>
    <w:p w14:paraId="5A4BA427">
      <w:pPr>
        <w:pStyle w:val="14"/>
        <w:keepNext/>
        <w:keepLines/>
        <w:pageBreakBefore w:val="0"/>
        <w:widowControl w:val="0"/>
        <w:numPr>
          <w:ilvl w:val="0"/>
          <w:numId w:val="0"/>
        </w:numPr>
        <w:kinsoku/>
        <w:overflowPunct/>
        <w:topLinePunct w:val="0"/>
        <w:autoSpaceDE/>
        <w:autoSpaceDN/>
        <w:bidi w:val="0"/>
        <w:adjustRightInd/>
        <w:snapToGrid/>
        <w:spacing w:line="360" w:lineRule="auto"/>
        <w:ind w:left="0" w:leftChars="0" w:right="0"/>
        <w:jc w:val="both"/>
        <w:textAlignment w:val="auto"/>
        <w:rPr>
          <w:rFonts w:hint="eastAsia" w:asciiTheme="minorEastAsia" w:hAnsiTheme="minorEastAsia" w:eastAsiaTheme="minorEastAsia" w:cstheme="minorEastAsia"/>
          <w:b/>
          <w:bCs/>
          <w:sz w:val="24"/>
          <w:szCs w:val="24"/>
        </w:rPr>
      </w:pPr>
      <w:bookmarkStart w:id="4" w:name="bookmark152"/>
      <w:r>
        <w:rPr>
          <w:rFonts w:hint="eastAsia" w:asciiTheme="minorEastAsia" w:hAnsiTheme="minorEastAsia" w:eastAsia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入围供应商清退的情形</w:t>
      </w:r>
      <w:bookmarkEnd w:id="4"/>
    </w:p>
    <w:p w14:paraId="7F5EE17A">
      <w:pPr>
        <w:pageBreakBefore w:val="0"/>
        <w:widowControl/>
        <w:overflowPunct/>
        <w:topLinePunct w:val="0"/>
        <w:bidi w:val="0"/>
        <w:spacing w:line="360" w:lineRule="auto"/>
        <w:ind w:left="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入围供应商有下列情形之一的，属于入围供应商清退</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其他情形：</w:t>
      </w:r>
    </w:p>
    <w:p w14:paraId="5E895D11">
      <w:pPr>
        <w:pageBreakBefore w:val="0"/>
        <w:widowControl/>
        <w:overflowPunct/>
        <w:topLinePunct w:val="0"/>
        <w:bidi w:val="0"/>
        <w:spacing w:line="360" w:lineRule="auto"/>
        <w:ind w:left="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（1）累计两次验收考核不合格；</w:t>
      </w:r>
    </w:p>
    <w:p w14:paraId="0E3D8410">
      <w:pPr>
        <w:pageBreakBefore w:val="0"/>
        <w:widowControl/>
        <w:overflowPunct/>
        <w:topLinePunct w:val="0"/>
        <w:bidi w:val="0"/>
        <w:spacing w:line="360" w:lineRule="auto"/>
        <w:ind w:left="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（2）拒绝实施委托项目且非采购人原因所致；</w:t>
      </w:r>
    </w:p>
    <w:p w14:paraId="7F7508FE">
      <w:pPr>
        <w:pageBreakBefore w:val="0"/>
        <w:widowControl/>
        <w:overflowPunct/>
        <w:topLinePunct w:val="0"/>
        <w:bidi w:val="0"/>
        <w:spacing w:line="360" w:lineRule="auto"/>
        <w:ind w:left="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（3）因自身原因造成委托项目超时且产生严重影响；</w:t>
      </w:r>
    </w:p>
    <w:p w14:paraId="56044CCF">
      <w:pPr>
        <w:pageBreakBefore w:val="0"/>
        <w:widowControl/>
        <w:overflowPunct/>
        <w:topLinePunct w:val="0"/>
        <w:bidi w:val="0"/>
        <w:spacing w:line="360" w:lineRule="auto"/>
        <w:ind w:left="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（4）因自身原因造成重大质量问题；</w:t>
      </w:r>
    </w:p>
    <w:p w14:paraId="0C3F0255">
      <w:pPr>
        <w:pageBreakBefore w:val="0"/>
        <w:widowControl/>
        <w:overflowPunct/>
        <w:topLinePunct w:val="0"/>
        <w:bidi w:val="0"/>
        <w:spacing w:line="360" w:lineRule="auto"/>
        <w:ind w:left="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（5）与项目单位产生利益关系而出具虚假报告；</w:t>
      </w:r>
    </w:p>
    <w:p w14:paraId="67EBECA3">
      <w:pPr>
        <w:pageBreakBefore w:val="0"/>
        <w:widowControl/>
        <w:overflowPunct/>
        <w:topLinePunct w:val="0"/>
        <w:bidi w:val="0"/>
        <w:spacing w:line="360" w:lineRule="auto"/>
        <w:ind w:left="0" w:righ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（6）因自身原因引起法律诉讼并败诉；</w:t>
      </w:r>
    </w:p>
    <w:p w14:paraId="7A34B244">
      <w:pPr>
        <w:pageBreakBefore w:val="0"/>
        <w:widowControl/>
        <w:overflowPunct/>
        <w:topLinePunct w:val="0"/>
        <w:bidi w:val="0"/>
        <w:spacing w:line="360" w:lineRule="auto"/>
        <w:ind w:left="0" w:right="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框架协议</w:t>
      </w:r>
      <w:r>
        <w:rPr>
          <w:rFonts w:hint="eastAsia" w:asciiTheme="minorEastAsia" w:hAnsiTheme="minorEastAsia" w:eastAsiaTheme="minorEastAsia" w:cstheme="minorEastAsia"/>
          <w:color w:val="auto"/>
          <w:sz w:val="24"/>
          <w:szCs w:val="24"/>
          <w:highlight w:val="none"/>
          <w:lang w:eastAsia="zh-CN"/>
        </w:rPr>
        <w:t>签订后，将对</w:t>
      </w:r>
      <w:r>
        <w:rPr>
          <w:rFonts w:hint="eastAsia" w:asciiTheme="minorEastAsia" w:hAnsiTheme="minorEastAsia" w:eastAsiaTheme="minorEastAsia" w:cstheme="minorEastAsia"/>
          <w:color w:val="auto"/>
          <w:sz w:val="24"/>
          <w:szCs w:val="24"/>
          <w:highlight w:val="none"/>
          <w:lang w:val="en-US" w:eastAsia="zh-CN"/>
        </w:rPr>
        <w:t>入围</w:t>
      </w:r>
      <w:r>
        <w:rPr>
          <w:rFonts w:hint="eastAsia" w:asciiTheme="minorEastAsia" w:hAnsiTheme="minorEastAsia" w:eastAsiaTheme="minorEastAsia" w:cstheme="minorEastAsia"/>
          <w:color w:val="auto"/>
          <w:sz w:val="24"/>
          <w:szCs w:val="24"/>
          <w:highlight w:val="none"/>
          <w:lang w:eastAsia="zh-CN"/>
        </w:rPr>
        <w:t>鉴定机构的鉴定质量及服务态度、收费标准等事项进行调查回访，对有群众有效投诉的检验鉴定机构，有权要求鉴定机构限期整改；对鉴定机构拒绝整改的，将根据情况，采取减少委托检验鉴定项目、数量的措施予以督促整改，直至停止委托，停止委托一个月内依然不予整改的，或造成严重影响和后果的，有权解除</w:t>
      </w:r>
      <w:r>
        <w:rPr>
          <w:rFonts w:hint="eastAsia" w:asciiTheme="minorEastAsia" w:hAnsiTheme="minorEastAsia" w:eastAsiaTheme="minorEastAsia" w:cstheme="minorEastAsia"/>
          <w:color w:val="auto"/>
          <w:sz w:val="24"/>
          <w:szCs w:val="24"/>
          <w:highlight w:val="none"/>
          <w:lang w:val="en-US" w:eastAsia="zh-CN"/>
        </w:rPr>
        <w:t>框架协议</w:t>
      </w:r>
      <w:r>
        <w:rPr>
          <w:rFonts w:hint="eastAsia" w:asciiTheme="minorEastAsia" w:hAnsiTheme="minorEastAsia" w:eastAsiaTheme="minorEastAsia" w:cstheme="minorEastAsia"/>
          <w:color w:val="auto"/>
          <w:sz w:val="24"/>
          <w:szCs w:val="24"/>
          <w:highlight w:val="none"/>
          <w:lang w:eastAsia="zh-CN"/>
        </w:rPr>
        <w:t>。</w:t>
      </w:r>
    </w:p>
    <w:p w14:paraId="4B8025C8">
      <w:pPr>
        <w:pageBreakBefore w:val="0"/>
        <w:widowControl/>
        <w:overflowPunct/>
        <w:topLinePunct w:val="0"/>
        <w:bidi w:val="0"/>
        <w:spacing w:line="360" w:lineRule="auto"/>
        <w:ind w:left="0" w:right="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8）鉴定机构做出的检验鉴定结论有明显错误并在重新鉴定或诉讼过程中被改变的，视为鉴定机构违约，将根据情况，采取减少委托检验鉴定项目、数量，造成严重影响和后果的，有权解除框架协议，同时有权要求按照合同金额的3倍进行赔偿。</w:t>
      </w:r>
    </w:p>
    <w:p w14:paraId="55E27DD1">
      <w:pPr>
        <w:pageBreakBefore w:val="0"/>
        <w:widowControl w:val="0"/>
        <w:kinsoku/>
        <w:overflowPunct/>
        <w:topLinePunct w:val="0"/>
        <w:autoSpaceDE/>
        <w:autoSpaceDN/>
        <w:bidi w:val="0"/>
        <w:adjustRightInd/>
        <w:snapToGrid/>
        <w:spacing w:line="360" w:lineRule="auto"/>
        <w:ind w:left="0" w:right="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rPr>
        <w:t>确定入围供应商数量及方式：</w:t>
      </w:r>
    </w:p>
    <w:p w14:paraId="27A7BFAF">
      <w:pPr>
        <w:pageBreakBefore w:val="0"/>
        <w:widowControl w:val="0"/>
        <w:kinsoku/>
        <w:overflowPunct/>
        <w:topLinePunct w:val="0"/>
        <w:autoSpaceDE/>
        <w:autoSpaceDN/>
        <w:bidi w:val="0"/>
        <w:adjustRightInd/>
        <w:snapToGrid/>
        <w:spacing w:line="360" w:lineRule="auto"/>
        <w:ind w:left="0" w:right="0" w:firstLine="470" w:firstLineChars="196"/>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按照</w:t>
      </w:r>
      <w:r>
        <w:rPr>
          <w:rFonts w:hint="eastAsia" w:asciiTheme="minorEastAsia" w:hAnsiTheme="minorEastAsia" w:eastAsiaTheme="minorEastAsia" w:cstheme="minorEastAsia"/>
          <w:b w:val="0"/>
          <w:bCs w:val="0"/>
          <w:color w:val="auto"/>
          <w:sz w:val="24"/>
          <w:szCs w:val="24"/>
          <w:highlight w:val="none"/>
          <w:lang w:val="en-US" w:eastAsia="zh-CN"/>
        </w:rPr>
        <w:t>供应商所报费率由</w:t>
      </w:r>
      <w:r>
        <w:rPr>
          <w:rFonts w:hint="eastAsia" w:asciiTheme="minorEastAsia" w:hAnsiTheme="minorEastAsia" w:eastAsiaTheme="minorEastAsia" w:cstheme="minorEastAsia"/>
          <w:b w:val="0"/>
          <w:bCs w:val="0"/>
          <w:color w:val="auto"/>
          <w:sz w:val="24"/>
          <w:szCs w:val="24"/>
          <w:highlight w:val="none"/>
        </w:rPr>
        <w:t>低</w:t>
      </w:r>
      <w:r>
        <w:rPr>
          <w:rFonts w:hint="eastAsia" w:asciiTheme="minorEastAsia" w:hAnsiTheme="minorEastAsia" w:eastAsiaTheme="minorEastAsia" w:cstheme="minorEastAsia"/>
          <w:b w:val="0"/>
          <w:bCs w:val="0"/>
          <w:color w:val="auto"/>
          <w:sz w:val="24"/>
          <w:szCs w:val="24"/>
          <w:highlight w:val="none"/>
          <w:lang w:val="en-US" w:eastAsia="zh-CN"/>
        </w:rPr>
        <w:t>到高</w:t>
      </w:r>
      <w:r>
        <w:rPr>
          <w:rFonts w:hint="eastAsia" w:asciiTheme="minorEastAsia" w:hAnsiTheme="minorEastAsia" w:eastAsiaTheme="minorEastAsia" w:cstheme="minorEastAsia"/>
          <w:b w:val="0"/>
          <w:bCs w:val="0"/>
          <w:color w:val="auto"/>
          <w:sz w:val="24"/>
          <w:szCs w:val="24"/>
          <w:highlight w:val="none"/>
        </w:rPr>
        <w:t>进行排序确定入围供应商</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规则如下：</w:t>
      </w:r>
    </w:p>
    <w:tbl>
      <w:tblPr>
        <w:tblStyle w:val="9"/>
        <w:tblW w:w="6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2"/>
        <w:gridCol w:w="3388"/>
      </w:tblGrid>
      <w:tr w14:paraId="04EF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32" w:type="dxa"/>
            <w:tcBorders>
              <w:top w:val="single" w:color="auto" w:sz="4" w:space="0"/>
              <w:left w:val="single" w:color="auto" w:sz="4" w:space="0"/>
              <w:bottom w:val="single" w:color="auto" w:sz="4" w:space="0"/>
              <w:right w:val="single" w:color="auto" w:sz="4" w:space="0"/>
            </w:tcBorders>
            <w:noWrap w:val="0"/>
            <w:vAlign w:val="center"/>
          </w:tcPr>
          <w:p w14:paraId="4B9B3EAC">
            <w:pPr>
              <w:pageBreakBefore w:val="0"/>
              <w:widowControl w:val="0"/>
              <w:kinsoku/>
              <w:overflowPunct/>
              <w:topLinePunct w:val="0"/>
              <w:autoSpaceDE/>
              <w:autoSpaceDN/>
              <w:bidi w:val="0"/>
              <w:adjustRightInd/>
              <w:snapToGrid/>
              <w:spacing w:line="360" w:lineRule="auto"/>
              <w:ind w:left="0" w:right="0" w:firstLine="20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有效供应商数量(X)</w:t>
            </w:r>
          </w:p>
        </w:tc>
        <w:tc>
          <w:tcPr>
            <w:tcW w:w="3388" w:type="dxa"/>
            <w:tcBorders>
              <w:top w:val="single" w:color="auto" w:sz="4" w:space="0"/>
              <w:left w:val="single" w:color="auto" w:sz="4" w:space="0"/>
              <w:bottom w:val="single" w:color="auto" w:sz="4" w:space="0"/>
              <w:right w:val="single" w:color="auto" w:sz="4" w:space="0"/>
            </w:tcBorders>
            <w:noWrap w:val="0"/>
            <w:vAlign w:val="center"/>
          </w:tcPr>
          <w:p w14:paraId="4C1919C2">
            <w:pPr>
              <w:pageBreakBefore w:val="0"/>
              <w:widowControl w:val="0"/>
              <w:kinsoku/>
              <w:overflowPunct/>
              <w:topLinePunct w:val="0"/>
              <w:autoSpaceDE/>
              <w:autoSpaceDN/>
              <w:bidi w:val="0"/>
              <w:adjustRightInd/>
              <w:snapToGrid/>
              <w:spacing w:line="360" w:lineRule="auto"/>
              <w:ind w:left="0" w:right="0" w:firstLine="20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入围供应商数量</w:t>
            </w:r>
          </w:p>
        </w:tc>
      </w:tr>
      <w:tr w14:paraId="3C01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332" w:type="dxa"/>
            <w:tcBorders>
              <w:top w:val="single" w:color="auto" w:sz="4" w:space="0"/>
              <w:left w:val="single" w:color="auto" w:sz="4" w:space="0"/>
              <w:bottom w:val="single" w:color="auto" w:sz="4" w:space="0"/>
              <w:right w:val="single" w:color="auto" w:sz="4" w:space="0"/>
            </w:tcBorders>
            <w:noWrap w:val="0"/>
            <w:vAlign w:val="center"/>
          </w:tcPr>
          <w:p w14:paraId="544BB9D0">
            <w:pPr>
              <w:pageBreakBefore w:val="0"/>
              <w:widowControl w:val="0"/>
              <w:kinsoku/>
              <w:overflowPunct/>
              <w:topLinePunct w:val="0"/>
              <w:autoSpaceDE/>
              <w:autoSpaceDN/>
              <w:bidi w:val="0"/>
              <w:adjustRightInd/>
              <w:snapToGrid/>
              <w:spacing w:line="360" w:lineRule="auto"/>
              <w:ind w:left="0" w:right="0" w:firstLine="200" w:firstLineChars="0"/>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X</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4</w:t>
            </w:r>
          </w:p>
        </w:tc>
        <w:tc>
          <w:tcPr>
            <w:tcW w:w="3388" w:type="dxa"/>
            <w:tcBorders>
              <w:top w:val="single" w:color="auto" w:sz="4" w:space="0"/>
              <w:left w:val="single" w:color="auto" w:sz="4" w:space="0"/>
              <w:bottom w:val="single" w:color="auto" w:sz="4" w:space="0"/>
              <w:right w:val="single" w:color="auto" w:sz="4" w:space="0"/>
            </w:tcBorders>
            <w:noWrap w:val="0"/>
            <w:vAlign w:val="center"/>
          </w:tcPr>
          <w:p w14:paraId="098F47A8">
            <w:pPr>
              <w:pageBreakBefore w:val="0"/>
              <w:widowControl w:val="0"/>
              <w:kinsoku/>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家</w:t>
            </w:r>
          </w:p>
        </w:tc>
      </w:tr>
      <w:tr w14:paraId="2E53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332" w:type="dxa"/>
            <w:tcBorders>
              <w:top w:val="single" w:color="auto" w:sz="4" w:space="0"/>
              <w:left w:val="single" w:color="auto" w:sz="4" w:space="0"/>
              <w:bottom w:val="single" w:color="auto" w:sz="4" w:space="0"/>
              <w:right w:val="single" w:color="auto" w:sz="4" w:space="0"/>
            </w:tcBorders>
            <w:noWrap w:val="0"/>
            <w:vAlign w:val="center"/>
          </w:tcPr>
          <w:p w14:paraId="5D1D5CBF">
            <w:pPr>
              <w:pageBreakBefore w:val="0"/>
              <w:widowControl w:val="0"/>
              <w:kinsoku/>
              <w:overflowPunct/>
              <w:topLinePunct w:val="0"/>
              <w:autoSpaceDE/>
              <w:autoSpaceDN/>
              <w:bidi w:val="0"/>
              <w:adjustRightInd/>
              <w:snapToGrid/>
              <w:spacing w:line="360" w:lineRule="auto"/>
              <w:ind w:left="0" w:right="0" w:firstLine="200" w:firstLineChars="0"/>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X=3</w:t>
            </w:r>
          </w:p>
        </w:tc>
        <w:tc>
          <w:tcPr>
            <w:tcW w:w="3388" w:type="dxa"/>
            <w:tcBorders>
              <w:top w:val="single" w:color="auto" w:sz="4" w:space="0"/>
              <w:left w:val="single" w:color="auto" w:sz="4" w:space="0"/>
              <w:bottom w:val="single" w:color="auto" w:sz="4" w:space="0"/>
              <w:right w:val="single" w:color="auto" w:sz="4" w:space="0"/>
            </w:tcBorders>
            <w:noWrap w:val="0"/>
            <w:vAlign w:val="center"/>
          </w:tcPr>
          <w:p w14:paraId="64B2C3AE">
            <w:pPr>
              <w:pageBreakBefore w:val="0"/>
              <w:widowControl w:val="0"/>
              <w:kinsoku/>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家</w:t>
            </w:r>
          </w:p>
        </w:tc>
      </w:tr>
      <w:tr w14:paraId="0289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3332" w:type="dxa"/>
            <w:tcBorders>
              <w:top w:val="single" w:color="auto" w:sz="4" w:space="0"/>
              <w:left w:val="single" w:color="auto" w:sz="4" w:space="0"/>
              <w:bottom w:val="single" w:color="auto" w:sz="4" w:space="0"/>
              <w:right w:val="single" w:color="auto" w:sz="4" w:space="0"/>
            </w:tcBorders>
            <w:noWrap w:val="0"/>
            <w:vAlign w:val="center"/>
          </w:tcPr>
          <w:p w14:paraId="6615BB37">
            <w:pPr>
              <w:pageBreakBefore w:val="0"/>
              <w:widowControl w:val="0"/>
              <w:kinsoku/>
              <w:overflowPunct/>
              <w:topLinePunct w:val="0"/>
              <w:autoSpaceDE/>
              <w:autoSpaceDN/>
              <w:bidi w:val="0"/>
              <w:adjustRightInd/>
              <w:snapToGrid/>
              <w:spacing w:line="360" w:lineRule="auto"/>
              <w:ind w:left="0" w:right="0" w:firstLine="200" w:firstLineChars="0"/>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X≤2</w:t>
            </w:r>
          </w:p>
        </w:tc>
        <w:tc>
          <w:tcPr>
            <w:tcW w:w="3388" w:type="dxa"/>
            <w:tcBorders>
              <w:top w:val="single" w:color="auto" w:sz="4" w:space="0"/>
              <w:left w:val="single" w:color="auto" w:sz="4" w:space="0"/>
              <w:bottom w:val="single" w:color="auto" w:sz="4" w:space="0"/>
              <w:right w:val="single" w:color="auto" w:sz="4" w:space="0"/>
            </w:tcBorders>
            <w:noWrap w:val="0"/>
            <w:vAlign w:val="center"/>
          </w:tcPr>
          <w:p w14:paraId="41C912A4">
            <w:pPr>
              <w:pageBreakBefore w:val="0"/>
              <w:widowControl w:val="0"/>
              <w:kinsoku/>
              <w:overflowPunct/>
              <w:topLinePunct w:val="0"/>
              <w:autoSpaceDE/>
              <w:autoSpaceDN/>
              <w:bidi w:val="0"/>
              <w:adjustRightInd/>
              <w:snapToGrid/>
              <w:spacing w:line="360" w:lineRule="auto"/>
              <w:ind w:left="0" w:right="0"/>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废标</w:t>
            </w:r>
          </w:p>
        </w:tc>
      </w:tr>
    </w:tbl>
    <w:p w14:paraId="62729466">
      <w:pPr>
        <w:keepNext w:val="0"/>
        <w:keepLines w:val="0"/>
        <w:pageBreakBefore w:val="0"/>
        <w:widowControl w:val="0"/>
        <w:kinsoku/>
        <w:wordWrap w:val="0"/>
        <w:overflowPunct/>
        <w:topLinePunct w:val="0"/>
        <w:autoSpaceDE/>
        <w:autoSpaceDN/>
        <w:bidi w:val="0"/>
        <w:adjustRightInd/>
        <w:snapToGrid/>
        <w:spacing w:line="360" w:lineRule="auto"/>
        <w:ind w:left="0" w:right="0"/>
        <w:textAlignment w:val="auto"/>
        <w:outlineLvl w:val="1"/>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八、验收要求</w:t>
      </w:r>
    </w:p>
    <w:p w14:paraId="4A2E908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验收时，由</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组成验收小组，验收小组应严格依照采购文件、采购合同及相关验收规范进行核对、验收，形成验收结论，并出具书面验收报告。</w:t>
      </w:r>
    </w:p>
    <w:p w14:paraId="4D33F81F">
      <w:pPr>
        <w:pStyle w:val="8"/>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政府向社会公众提供的公共服务项目，采购文件应写明验收时邀请服务对象参与并出具意见、验收结果应该向社会公告。</w:t>
      </w:r>
    </w:p>
    <w:p w14:paraId="2D0472ED">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284F2"/>
    <w:multiLevelType w:val="singleLevel"/>
    <w:tmpl w:val="A2B284F2"/>
    <w:lvl w:ilvl="0" w:tentative="0">
      <w:start w:val="1"/>
      <w:numFmt w:val="decimal"/>
      <w:suff w:val="nothing"/>
      <w:lvlText w:val="%1"/>
      <w:lvlJc w:val="left"/>
      <w:pPr>
        <w:ind w:left="425" w:leftChars="0" w:hanging="425" w:firstLineChars="0"/>
      </w:pPr>
      <w:rPr>
        <w:rFonts w:hint="default"/>
      </w:rPr>
    </w:lvl>
  </w:abstractNum>
  <w:abstractNum w:abstractNumId="1">
    <w:nsid w:val="05BAA9E9"/>
    <w:multiLevelType w:val="singleLevel"/>
    <w:tmpl w:val="05BAA9E9"/>
    <w:lvl w:ilvl="0" w:tentative="0">
      <w:start w:val="1"/>
      <w:numFmt w:val="decimal"/>
      <w:suff w:val="nothing"/>
      <w:lvlText w:val="%1"/>
      <w:lvlJc w:val="left"/>
      <w:pPr>
        <w:ind w:left="425" w:leftChars="0" w:hanging="425" w:firstLineChars="0"/>
      </w:pPr>
      <w:rPr>
        <w:rFonts w:hint="default"/>
      </w:rPr>
    </w:lvl>
  </w:abstractNum>
  <w:abstractNum w:abstractNumId="2">
    <w:nsid w:val="13E770EB"/>
    <w:multiLevelType w:val="singleLevel"/>
    <w:tmpl w:val="13E770EB"/>
    <w:lvl w:ilvl="0" w:tentative="0">
      <w:start w:val="1"/>
      <w:numFmt w:val="decimal"/>
      <w:suff w:val="nothing"/>
      <w:lvlText w:val="%1"/>
      <w:lvlJc w:val="left"/>
      <w:pPr>
        <w:ind w:left="425" w:leftChars="0" w:hanging="425" w:firstLineChars="0"/>
      </w:pPr>
      <w:rPr>
        <w:rFonts w:hint="default"/>
      </w:rPr>
    </w:lvl>
  </w:abstractNum>
  <w:abstractNum w:abstractNumId="3">
    <w:nsid w:val="4602F850"/>
    <w:multiLevelType w:val="singleLevel"/>
    <w:tmpl w:val="4602F850"/>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D3367B"/>
    <w:rsid w:val="72110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oc 7"/>
    <w:basedOn w:val="1"/>
    <w:next w:val="1"/>
    <w:qFormat/>
    <w:uiPriority w:val="0"/>
    <w:pPr>
      <w:ind w:left="1260"/>
      <w:jc w:val="left"/>
    </w:pPr>
    <w:rPr>
      <w:rFonts w:ascii="@仿宋_GB2312" w:hAnsi="@仿宋_GB2312" w:eastAsia="@仿宋_GB2312" w:cs="@仿宋_GB2312"/>
      <w:szCs w:val="21"/>
    </w:rPr>
  </w:style>
  <w:style w:type="paragraph" w:styleId="3">
    <w:name w:val="Body Text 3"/>
    <w:basedOn w:val="1"/>
    <w:next w:val="1"/>
    <w:unhideWhenUsed/>
    <w:qFormat/>
    <w:uiPriority w:val="99"/>
    <w:pPr>
      <w:spacing w:after="120"/>
    </w:pPr>
    <w:rPr>
      <w:sz w:val="16"/>
      <w:szCs w:val="16"/>
    </w:rPr>
  </w:style>
  <w:style w:type="paragraph" w:styleId="4">
    <w:name w:val="Body Text"/>
    <w:basedOn w:val="1"/>
    <w:qFormat/>
    <w:uiPriority w:val="0"/>
    <w:pPr>
      <w:spacing w:after="120"/>
    </w:pPr>
    <w:rPr>
      <w:rFonts w:ascii="Times New Roman" w:hAnsi="Times New Roman"/>
      <w:kern w:val="0"/>
      <w:sz w:val="20"/>
      <w:szCs w:val="24"/>
    </w:rPr>
  </w:style>
  <w:style w:type="paragraph" w:styleId="5">
    <w:name w:val="Body Text Indent"/>
    <w:basedOn w:val="1"/>
    <w:next w:val="6"/>
    <w:qFormat/>
    <w:uiPriority w:val="0"/>
    <w:pPr>
      <w:ind w:firstLine="660"/>
    </w:pPr>
    <w:rPr>
      <w:rFonts w:ascii="宋体" w:hAnsi="宋体"/>
      <w:color w:val="000000"/>
      <w:sz w:val="24"/>
    </w:rPr>
  </w:style>
  <w:style w:type="paragraph" w:styleId="6">
    <w:name w:val="envelope return"/>
    <w:basedOn w:val="1"/>
    <w:next w:val="2"/>
    <w:qFormat/>
    <w:uiPriority w:val="0"/>
    <w:pPr>
      <w:snapToGrid w:val="0"/>
    </w:pPr>
    <w:rPr>
      <w:rFonts w:ascii="Arial" w:hAnsi="Arial"/>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qFormat/>
    <w:uiPriority w:val="0"/>
    <w:pPr>
      <w:ind w:left="420" w:firstLine="420" w:firstLineChars="200"/>
    </w:pPr>
  </w:style>
  <w:style w:type="table" w:styleId="10">
    <w:name w:val="Table Grid"/>
    <w:basedOn w:val="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amp;L"/>
    <w:basedOn w:val="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4">
    <w:name w:val="标题 #2"/>
    <w:basedOn w:val="1"/>
    <w:autoRedefine/>
    <w:qFormat/>
    <w:uiPriority w:val="0"/>
    <w:pPr>
      <w:spacing w:line="468" w:lineRule="exact"/>
      <w:ind w:firstLine="500"/>
      <w:outlineLvl w:val="1"/>
    </w:pPr>
    <w:rPr>
      <w:rFonts w:ascii="宋体" w:hAnsi="宋体" w:eastAsia="宋体" w:cs="宋体"/>
      <w:lang w:val="zh-CN" w:eastAsia="zh-CN" w:bidi="zh-CN"/>
    </w:rPr>
  </w:style>
  <w:style w:type="paragraph" w:customStyle="1" w:styleId="15">
    <w:name w:val="列出段落1"/>
    <w:basedOn w:val="1"/>
    <w:qFormat/>
    <w:uiPriority w:val="0"/>
    <w:pPr>
      <w:autoSpaceDE w:val="0"/>
      <w:autoSpaceDN w:val="0"/>
      <w:ind w:left="608" w:firstLine="48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1995</Words>
  <Characters>2024</Characters>
  <Lines>0</Lines>
  <Paragraphs>0</Paragraphs>
  <TotalTime>0</TotalTime>
  <ScaleCrop>false</ScaleCrop>
  <LinksUpToDate>false</LinksUpToDate>
  <CharactersWithSpaces>2027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2026-01-05T06:49:00Z</dcterms:created>
  <dc:creator>liul</dc:creator>
  <cp:lastModifiedBy>NTKO</cp:lastModifiedBy>
  <dcterms:modified xsi:type="dcterms:W3CDTF">2026-01-05T09:25:37Z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eyJoZGlkIjoiODA0NzM3Y2VhOTA1ZjhmZjAzZjIzZDdhYjlhNzAzMjciLCJ1c2VySWQiOiIxNTc0MjM4MjMzIn0=</vt:lpwstr>
  </property>
  <property fmtid="{D5CDD505-2E9C-101B-9397-08002B2CF9AE}" pid="4" name="ICV">
    <vt:lpwstr>EB5D278D4A464C159E7C081D88754C03_12</vt:lpwstr>
  </property>
</Properties>
</file>