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46500">
      <w:pPr>
        <w:tabs>
          <w:tab w:val="left" w:pos="2321"/>
        </w:tabs>
        <w:spacing w:before="101" w:line="226" w:lineRule="auto"/>
        <w:jc w:val="center"/>
        <w:outlineLvl w:val="9"/>
        <w:rPr>
          <w:rFonts w:hint="eastAsia" w:ascii="宋体" w:hAnsi="宋体" w:eastAsia="宋体" w:cs="宋体"/>
          <w:b/>
          <w:bCs/>
          <w:color w:val="auto"/>
          <w:spacing w:val="-12"/>
          <w:sz w:val="44"/>
          <w:szCs w:val="44"/>
          <w:highlight w:val="none"/>
          <w:lang w:val="en-US" w:eastAsia="zh-CN"/>
        </w:rPr>
      </w:pPr>
    </w:p>
    <w:p w14:paraId="6CAD0BA6">
      <w:pPr>
        <w:tabs>
          <w:tab w:val="left" w:pos="2321"/>
        </w:tabs>
        <w:spacing w:before="101" w:line="226" w:lineRule="auto"/>
        <w:jc w:val="center"/>
        <w:outlineLvl w:val="9"/>
        <w:rPr>
          <w:rFonts w:hint="eastAsia" w:ascii="宋体" w:hAnsi="宋体" w:eastAsia="宋体" w:cs="宋体"/>
          <w:b/>
          <w:bCs/>
          <w:color w:val="auto"/>
          <w:spacing w:val="-12"/>
          <w:sz w:val="44"/>
          <w:szCs w:val="44"/>
          <w:highlight w:val="none"/>
          <w:lang w:val="en-US" w:eastAsia="zh-CN"/>
        </w:rPr>
      </w:pPr>
      <w:r>
        <w:rPr>
          <w:rFonts w:hint="eastAsia" w:ascii="宋体" w:hAnsi="宋体" w:eastAsia="宋体" w:cs="宋体"/>
          <w:b/>
          <w:bCs/>
          <w:color w:val="auto"/>
          <w:spacing w:val="-12"/>
          <w:sz w:val="44"/>
          <w:szCs w:val="44"/>
          <w:highlight w:val="none"/>
          <w:lang w:val="en-US" w:eastAsia="zh-CN"/>
        </w:rPr>
        <w:t>2025年肥东县桥头集镇高标准农田建设项目</w:t>
      </w:r>
    </w:p>
    <w:p w14:paraId="4F075C01">
      <w:pPr>
        <w:spacing w:before="100" w:line="225" w:lineRule="auto"/>
        <w:jc w:val="both"/>
        <w:outlineLvl w:val="9"/>
        <w:rPr>
          <w:rFonts w:ascii="宋体" w:hAnsi="宋体" w:eastAsia="宋体" w:cs="宋体"/>
          <w:b/>
          <w:bCs/>
          <w:color w:val="auto"/>
          <w:spacing w:val="-10"/>
          <w:sz w:val="44"/>
          <w:szCs w:val="44"/>
          <w:highlight w:val="none"/>
        </w:rPr>
      </w:pPr>
      <w:bookmarkStart w:id="0" w:name="_Toc28207"/>
      <w:bookmarkStart w:id="1" w:name="_Toc29407"/>
    </w:p>
    <w:p w14:paraId="21376202">
      <w:pPr>
        <w:spacing w:before="100" w:line="225" w:lineRule="auto"/>
        <w:jc w:val="center"/>
        <w:outlineLvl w:val="9"/>
        <w:rPr>
          <w:rFonts w:ascii="宋体" w:hAnsi="宋体" w:eastAsia="宋体" w:cs="宋体"/>
          <w:color w:val="auto"/>
          <w:sz w:val="44"/>
          <w:szCs w:val="44"/>
          <w:highlight w:val="none"/>
        </w:rPr>
      </w:pPr>
      <w:r>
        <w:rPr>
          <w:rFonts w:ascii="宋体" w:hAnsi="宋体" w:eastAsia="宋体" w:cs="宋体"/>
          <w:b/>
          <w:bCs/>
          <w:color w:val="auto"/>
          <w:spacing w:val="-10"/>
          <w:sz w:val="44"/>
          <w:szCs w:val="44"/>
          <w:highlight w:val="none"/>
        </w:rPr>
        <w:t>（招标项目编号：</w:t>
      </w:r>
      <w:r>
        <w:rPr>
          <w:rFonts w:hint="eastAsia" w:ascii="宋体" w:hAnsi="宋体" w:eastAsia="宋体" w:cs="宋体"/>
          <w:b/>
          <w:bCs/>
          <w:color w:val="auto"/>
          <w:spacing w:val="-10"/>
          <w:sz w:val="44"/>
          <w:szCs w:val="44"/>
          <w:highlight w:val="none"/>
          <w:lang w:val="en-US" w:eastAsia="zh-CN"/>
        </w:rPr>
        <w:t>2025ADDGZ500xx</w:t>
      </w:r>
      <w:r>
        <w:rPr>
          <w:rFonts w:ascii="宋体" w:hAnsi="宋体" w:eastAsia="宋体" w:cs="宋体"/>
          <w:b/>
          <w:bCs/>
          <w:color w:val="auto"/>
          <w:spacing w:val="-10"/>
          <w:sz w:val="44"/>
          <w:szCs w:val="44"/>
          <w:highlight w:val="none"/>
        </w:rPr>
        <w:t>）</w:t>
      </w:r>
      <w:bookmarkEnd w:id="0"/>
      <w:bookmarkEnd w:id="1"/>
    </w:p>
    <w:p w14:paraId="2D3D5DA0">
      <w:pPr>
        <w:spacing w:line="247" w:lineRule="auto"/>
        <w:outlineLvl w:val="9"/>
        <w:rPr>
          <w:rFonts w:ascii="Arial"/>
          <w:color w:val="auto"/>
          <w:sz w:val="21"/>
          <w:highlight w:val="none"/>
        </w:rPr>
      </w:pPr>
    </w:p>
    <w:p w14:paraId="77BD07B0">
      <w:pPr>
        <w:spacing w:line="247" w:lineRule="auto"/>
        <w:outlineLvl w:val="9"/>
        <w:rPr>
          <w:rFonts w:ascii="Arial"/>
          <w:color w:val="auto"/>
          <w:sz w:val="21"/>
          <w:highlight w:val="none"/>
        </w:rPr>
      </w:pPr>
    </w:p>
    <w:p w14:paraId="35BEAC52">
      <w:pPr>
        <w:spacing w:line="247" w:lineRule="auto"/>
        <w:outlineLvl w:val="9"/>
        <w:rPr>
          <w:rFonts w:ascii="Arial"/>
          <w:color w:val="auto"/>
          <w:sz w:val="21"/>
          <w:highlight w:val="none"/>
        </w:rPr>
      </w:pPr>
    </w:p>
    <w:p w14:paraId="5DEB4262">
      <w:pPr>
        <w:spacing w:line="247" w:lineRule="auto"/>
        <w:outlineLvl w:val="9"/>
        <w:rPr>
          <w:rFonts w:ascii="Arial"/>
          <w:color w:val="auto"/>
          <w:sz w:val="21"/>
          <w:highlight w:val="none"/>
        </w:rPr>
      </w:pPr>
    </w:p>
    <w:p w14:paraId="121F2283">
      <w:pPr>
        <w:spacing w:line="247" w:lineRule="auto"/>
        <w:outlineLvl w:val="9"/>
        <w:rPr>
          <w:rFonts w:ascii="Arial"/>
          <w:color w:val="auto"/>
          <w:sz w:val="21"/>
          <w:highlight w:val="none"/>
        </w:rPr>
      </w:pPr>
    </w:p>
    <w:p w14:paraId="2C0CC141">
      <w:pPr>
        <w:spacing w:line="247" w:lineRule="auto"/>
        <w:outlineLvl w:val="9"/>
        <w:rPr>
          <w:rFonts w:ascii="Arial"/>
          <w:color w:val="auto"/>
          <w:sz w:val="21"/>
          <w:highlight w:val="none"/>
        </w:rPr>
      </w:pPr>
      <w:bookmarkStart w:id="444" w:name="_GoBack"/>
      <w:bookmarkEnd w:id="444"/>
    </w:p>
    <w:p w14:paraId="77EDEE37">
      <w:pPr>
        <w:spacing w:line="247" w:lineRule="auto"/>
        <w:outlineLvl w:val="9"/>
        <w:rPr>
          <w:rFonts w:ascii="Arial"/>
          <w:color w:val="auto"/>
          <w:sz w:val="21"/>
          <w:highlight w:val="none"/>
        </w:rPr>
      </w:pPr>
    </w:p>
    <w:p w14:paraId="7F40F69C">
      <w:pPr>
        <w:spacing w:line="247" w:lineRule="auto"/>
        <w:outlineLvl w:val="9"/>
        <w:rPr>
          <w:rFonts w:ascii="Arial"/>
          <w:color w:val="auto"/>
          <w:sz w:val="21"/>
          <w:highlight w:val="none"/>
        </w:rPr>
      </w:pPr>
    </w:p>
    <w:p w14:paraId="428548D4">
      <w:pPr>
        <w:spacing w:line="247" w:lineRule="auto"/>
        <w:outlineLvl w:val="9"/>
        <w:rPr>
          <w:rFonts w:ascii="Arial"/>
          <w:color w:val="auto"/>
          <w:sz w:val="21"/>
          <w:highlight w:val="none"/>
        </w:rPr>
      </w:pPr>
    </w:p>
    <w:p w14:paraId="0A2A6165">
      <w:pPr>
        <w:spacing w:line="247" w:lineRule="auto"/>
        <w:outlineLvl w:val="9"/>
        <w:rPr>
          <w:rFonts w:ascii="Arial"/>
          <w:color w:val="auto"/>
          <w:sz w:val="21"/>
          <w:highlight w:val="none"/>
        </w:rPr>
      </w:pPr>
    </w:p>
    <w:p w14:paraId="56B49F96">
      <w:pPr>
        <w:spacing w:line="247" w:lineRule="auto"/>
        <w:outlineLvl w:val="9"/>
        <w:rPr>
          <w:rFonts w:ascii="Arial"/>
          <w:color w:val="auto"/>
          <w:sz w:val="21"/>
          <w:highlight w:val="none"/>
        </w:rPr>
      </w:pPr>
    </w:p>
    <w:p w14:paraId="16C3096D">
      <w:pPr>
        <w:spacing w:line="247" w:lineRule="auto"/>
        <w:outlineLvl w:val="9"/>
        <w:rPr>
          <w:rFonts w:ascii="Arial"/>
          <w:color w:val="auto"/>
          <w:sz w:val="21"/>
          <w:highlight w:val="none"/>
        </w:rPr>
      </w:pPr>
    </w:p>
    <w:p w14:paraId="25E44887">
      <w:pPr>
        <w:spacing w:line="247" w:lineRule="auto"/>
        <w:outlineLvl w:val="9"/>
        <w:rPr>
          <w:rFonts w:ascii="Arial"/>
          <w:color w:val="auto"/>
          <w:sz w:val="21"/>
          <w:highlight w:val="none"/>
        </w:rPr>
      </w:pPr>
    </w:p>
    <w:p w14:paraId="5584BCDC">
      <w:pPr>
        <w:spacing w:line="247" w:lineRule="auto"/>
        <w:outlineLvl w:val="9"/>
        <w:rPr>
          <w:rFonts w:ascii="Arial"/>
          <w:color w:val="auto"/>
          <w:sz w:val="21"/>
          <w:highlight w:val="none"/>
        </w:rPr>
      </w:pPr>
    </w:p>
    <w:p w14:paraId="0679BD2E">
      <w:pPr>
        <w:spacing w:line="247" w:lineRule="auto"/>
        <w:outlineLvl w:val="9"/>
        <w:rPr>
          <w:rFonts w:ascii="Arial"/>
          <w:color w:val="auto"/>
          <w:sz w:val="21"/>
          <w:highlight w:val="none"/>
        </w:rPr>
      </w:pPr>
    </w:p>
    <w:p w14:paraId="6E5425AD">
      <w:pPr>
        <w:spacing w:line="247" w:lineRule="auto"/>
        <w:outlineLvl w:val="9"/>
        <w:rPr>
          <w:rFonts w:ascii="Arial"/>
          <w:color w:val="auto"/>
          <w:sz w:val="21"/>
          <w:highlight w:val="none"/>
        </w:rPr>
      </w:pPr>
    </w:p>
    <w:p w14:paraId="215028B8">
      <w:pPr>
        <w:spacing w:line="247" w:lineRule="auto"/>
        <w:outlineLvl w:val="9"/>
        <w:rPr>
          <w:rFonts w:ascii="Arial"/>
          <w:color w:val="auto"/>
          <w:sz w:val="21"/>
          <w:highlight w:val="none"/>
        </w:rPr>
      </w:pPr>
    </w:p>
    <w:p w14:paraId="5E160B2E">
      <w:pPr>
        <w:spacing w:line="248" w:lineRule="auto"/>
        <w:outlineLvl w:val="9"/>
        <w:rPr>
          <w:rFonts w:ascii="Arial"/>
          <w:color w:val="auto"/>
          <w:sz w:val="21"/>
          <w:highlight w:val="none"/>
        </w:rPr>
      </w:pPr>
    </w:p>
    <w:p w14:paraId="6E6C7D5B">
      <w:pPr>
        <w:spacing w:line="248" w:lineRule="auto"/>
        <w:outlineLvl w:val="9"/>
        <w:rPr>
          <w:rFonts w:ascii="Arial"/>
          <w:color w:val="auto"/>
          <w:sz w:val="21"/>
          <w:highlight w:val="none"/>
        </w:rPr>
      </w:pPr>
    </w:p>
    <w:p w14:paraId="7E7475C0">
      <w:pPr>
        <w:spacing w:line="248" w:lineRule="auto"/>
        <w:outlineLvl w:val="9"/>
        <w:rPr>
          <w:rFonts w:ascii="Arial"/>
          <w:color w:val="auto"/>
          <w:sz w:val="21"/>
          <w:highlight w:val="none"/>
        </w:rPr>
      </w:pPr>
    </w:p>
    <w:p w14:paraId="65BA13DD">
      <w:pPr>
        <w:spacing w:line="248" w:lineRule="auto"/>
        <w:outlineLvl w:val="9"/>
        <w:rPr>
          <w:rFonts w:ascii="Arial"/>
          <w:color w:val="auto"/>
          <w:sz w:val="21"/>
          <w:highlight w:val="none"/>
        </w:rPr>
      </w:pPr>
    </w:p>
    <w:p w14:paraId="78B54348">
      <w:pPr>
        <w:spacing w:line="248" w:lineRule="auto"/>
        <w:outlineLvl w:val="9"/>
        <w:rPr>
          <w:rFonts w:ascii="Arial"/>
          <w:color w:val="auto"/>
          <w:sz w:val="21"/>
          <w:highlight w:val="none"/>
        </w:rPr>
      </w:pPr>
    </w:p>
    <w:p w14:paraId="31732084">
      <w:pPr>
        <w:spacing w:line="248" w:lineRule="auto"/>
        <w:outlineLvl w:val="9"/>
        <w:rPr>
          <w:rFonts w:ascii="Arial"/>
          <w:color w:val="auto"/>
          <w:sz w:val="21"/>
          <w:highlight w:val="none"/>
        </w:rPr>
      </w:pPr>
    </w:p>
    <w:p w14:paraId="64F7582F">
      <w:pPr>
        <w:spacing w:before="100" w:line="224" w:lineRule="auto"/>
        <w:ind w:firstLine="643" w:firstLineChars="200"/>
        <w:jc w:val="left"/>
        <w:outlineLvl w:val="9"/>
        <w:rPr>
          <w:rFonts w:hint="eastAsia" w:ascii="黑体" w:hAnsi="黑体" w:eastAsia="黑体" w:cs="黑体"/>
          <w:b/>
          <w:bCs/>
          <w:color w:val="auto"/>
          <w:sz w:val="32"/>
          <w:szCs w:val="32"/>
          <w:highlight w:val="none"/>
        </w:rPr>
      </w:pPr>
    </w:p>
    <w:p w14:paraId="5D99529E">
      <w:pPr>
        <w:spacing w:before="100" w:line="224" w:lineRule="auto"/>
        <w:jc w:val="center"/>
        <w:outlineLvl w:val="9"/>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招</w:t>
      </w:r>
      <w:r>
        <w:rPr>
          <w:rFonts w:hint="eastAsia" w:ascii="黑体" w:hAnsi="黑体" w:eastAsia="黑体" w:cs="黑体"/>
          <w:b/>
          <w:bCs/>
          <w:color w:val="auto"/>
          <w:sz w:val="32"/>
          <w:szCs w:val="32"/>
          <w:highlight w:val="none"/>
          <w:lang w:val="en-US" w:eastAsia="zh-CN"/>
        </w:rPr>
        <w:t xml:space="preserve">   </w:t>
      </w:r>
      <w:r>
        <w:rPr>
          <w:rFonts w:hint="eastAsia" w:ascii="黑体" w:hAnsi="黑体" w:eastAsia="黑体" w:cs="黑体"/>
          <w:b/>
          <w:bCs/>
          <w:color w:val="auto"/>
          <w:sz w:val="32"/>
          <w:szCs w:val="32"/>
          <w:highlight w:val="none"/>
        </w:rPr>
        <w:t>标</w:t>
      </w:r>
      <w:r>
        <w:rPr>
          <w:rFonts w:hint="eastAsia" w:ascii="黑体" w:hAnsi="黑体" w:eastAsia="黑体" w:cs="黑体"/>
          <w:b/>
          <w:bCs/>
          <w:color w:val="auto"/>
          <w:sz w:val="32"/>
          <w:szCs w:val="32"/>
          <w:highlight w:val="none"/>
          <w:lang w:val="en-US" w:eastAsia="zh-CN"/>
        </w:rPr>
        <w:t xml:space="preserve">   </w:t>
      </w:r>
      <w:r>
        <w:rPr>
          <w:rFonts w:hint="eastAsia" w:ascii="黑体" w:hAnsi="黑体" w:eastAsia="黑体" w:cs="黑体"/>
          <w:b/>
          <w:bCs/>
          <w:color w:val="auto"/>
          <w:sz w:val="32"/>
          <w:szCs w:val="32"/>
          <w:highlight w:val="none"/>
        </w:rPr>
        <w:t>人：</w:t>
      </w:r>
      <w:r>
        <w:rPr>
          <w:rFonts w:hint="eastAsia" w:ascii="黑体" w:hAnsi="黑体" w:eastAsia="黑体" w:cs="黑体"/>
          <w:b/>
          <w:bCs/>
          <w:color w:val="auto"/>
          <w:sz w:val="32"/>
          <w:szCs w:val="32"/>
          <w:highlight w:val="none"/>
          <w:lang w:eastAsia="zh-CN"/>
        </w:rPr>
        <w:t>肥东县桥头集镇人民政府</w:t>
      </w:r>
    </w:p>
    <w:p w14:paraId="0355BF1C">
      <w:pPr>
        <w:spacing w:before="100" w:line="224" w:lineRule="auto"/>
        <w:ind w:firstLine="643" w:firstLineChars="200"/>
        <w:jc w:val="left"/>
        <w:outlineLvl w:val="9"/>
        <w:rPr>
          <w:rFonts w:hint="eastAsia" w:ascii="黑体" w:hAnsi="黑体" w:eastAsia="黑体" w:cs="黑体"/>
          <w:b/>
          <w:bCs/>
          <w:color w:val="auto"/>
          <w:sz w:val="32"/>
          <w:szCs w:val="32"/>
          <w:highlight w:val="none"/>
        </w:rPr>
      </w:pPr>
    </w:p>
    <w:p w14:paraId="284B7884">
      <w:pPr>
        <w:spacing w:before="100" w:line="224" w:lineRule="auto"/>
        <w:jc w:val="center"/>
        <w:outlineLvl w:val="9"/>
        <w:rPr>
          <w:rFonts w:hint="eastAsia" w:ascii="黑体" w:hAnsi="黑体" w:eastAsia="黑体" w:cs="黑体"/>
          <w:color w:val="auto"/>
          <w:sz w:val="32"/>
          <w:szCs w:val="32"/>
          <w:highlight w:val="none"/>
          <w:u w:val="single" w:color="auto"/>
        </w:rPr>
      </w:pPr>
      <w:r>
        <w:rPr>
          <w:rFonts w:hint="eastAsia" w:ascii="黑体" w:hAnsi="黑体" w:eastAsia="黑体" w:cs="黑体"/>
          <w:b/>
          <w:bCs/>
          <w:color w:val="auto"/>
          <w:spacing w:val="2"/>
          <w:sz w:val="32"/>
          <w:szCs w:val="32"/>
          <w:highlight w:val="none"/>
        </w:rPr>
        <w:t>招标代理机构：</w:t>
      </w:r>
      <w:r>
        <w:rPr>
          <w:rFonts w:hint="eastAsia" w:ascii="黑体" w:hAnsi="黑体" w:eastAsia="黑体" w:cs="黑体"/>
          <w:b/>
          <w:bCs/>
          <w:color w:val="auto"/>
          <w:spacing w:val="2"/>
          <w:sz w:val="32"/>
          <w:szCs w:val="32"/>
          <w:highlight w:val="none"/>
          <w:lang w:val="en-US" w:eastAsia="zh-CN"/>
        </w:rPr>
        <w:t>肥东县公共资源交易有限公司</w:t>
      </w:r>
    </w:p>
    <w:p w14:paraId="61646343">
      <w:pPr>
        <w:spacing w:before="100" w:line="224" w:lineRule="auto"/>
        <w:jc w:val="center"/>
        <w:outlineLvl w:val="9"/>
        <w:rPr>
          <w:rFonts w:hint="eastAsia" w:ascii="黑体" w:hAnsi="黑体" w:eastAsia="黑体" w:cs="黑体"/>
          <w:b/>
          <w:bCs/>
          <w:color w:val="auto"/>
          <w:spacing w:val="2"/>
          <w:sz w:val="32"/>
          <w:szCs w:val="32"/>
          <w:highlight w:val="none"/>
          <w:lang w:val="en-US" w:eastAsia="zh-CN"/>
        </w:rPr>
      </w:pPr>
      <w:r>
        <w:rPr>
          <w:rFonts w:hint="eastAsia" w:ascii="黑体" w:hAnsi="黑体" w:eastAsia="黑体" w:cs="黑体"/>
          <w:b/>
          <w:bCs/>
          <w:color w:val="auto"/>
          <w:spacing w:val="2"/>
          <w:sz w:val="32"/>
          <w:szCs w:val="32"/>
          <w:highlight w:val="none"/>
          <w:lang w:val="en-US" w:eastAsia="zh-CN"/>
        </w:rPr>
        <w:t xml:space="preserve">    </w:t>
      </w:r>
    </w:p>
    <w:p w14:paraId="4F864ABA">
      <w:pPr>
        <w:spacing w:before="100" w:line="224" w:lineRule="auto"/>
        <w:jc w:val="center"/>
        <w:outlineLvl w:val="9"/>
        <w:rPr>
          <w:rFonts w:hint="default" w:ascii="黑体" w:hAnsi="黑体" w:eastAsia="黑体" w:cs="黑体"/>
          <w:b/>
          <w:bCs/>
          <w:color w:val="auto"/>
          <w:spacing w:val="2"/>
          <w:sz w:val="32"/>
          <w:szCs w:val="32"/>
          <w:highlight w:val="none"/>
          <w:lang w:val="en-US" w:eastAsia="zh-CN"/>
        </w:rPr>
      </w:pPr>
      <w:r>
        <w:rPr>
          <w:rFonts w:hint="eastAsia" w:ascii="黑体" w:hAnsi="黑体" w:eastAsia="黑体" w:cs="黑体"/>
          <w:b/>
          <w:bCs/>
          <w:color w:val="auto"/>
          <w:spacing w:val="2"/>
          <w:sz w:val="32"/>
          <w:szCs w:val="32"/>
          <w:highlight w:val="none"/>
          <w:lang w:val="en-US" w:eastAsia="zh-CN"/>
        </w:rPr>
        <w:t>2025年10月xx日</w:t>
      </w:r>
    </w:p>
    <w:sdt>
      <w:sdtPr>
        <w:rPr>
          <w:rFonts w:ascii="宋体" w:hAnsi="宋体" w:eastAsia="宋体" w:cs="Arial"/>
          <w:snapToGrid w:val="0"/>
          <w:color w:val="auto"/>
          <w:kern w:val="0"/>
          <w:sz w:val="21"/>
          <w:szCs w:val="21"/>
          <w:highlight w:val="none"/>
          <w:lang w:val="en-US" w:eastAsia="en-US" w:bidi="ar-SA"/>
        </w:rPr>
        <w:id w:val="147465405"/>
        <w15:color w:val="DBDBDB"/>
        <w:docPartObj>
          <w:docPartGallery w:val="Table of Contents"/>
          <w:docPartUnique/>
        </w:docPartObj>
      </w:sdtPr>
      <w:sdtEndPr>
        <w:rPr>
          <w:rFonts w:ascii="Arial" w:hAnsi="Arial" w:eastAsia="Arial" w:cs="Arial"/>
          <w:snapToGrid w:val="0"/>
          <w:color w:val="auto"/>
          <w:kern w:val="0"/>
          <w:sz w:val="21"/>
          <w:szCs w:val="21"/>
          <w:highlight w:val="none"/>
          <w:lang w:val="en-US" w:eastAsia="en-US" w:bidi="ar-SA"/>
        </w:rPr>
      </w:sdtEndPr>
      <w:sdtContent>
        <w:p w14:paraId="46FEABDB">
          <w:pPr>
            <w:spacing w:before="0" w:beforeLines="0" w:after="0" w:afterLines="0" w:line="240" w:lineRule="auto"/>
            <w:ind w:left="0" w:leftChars="0" w:right="0" w:rightChars="0" w:firstLine="0" w:firstLineChars="0"/>
            <w:jc w:val="center"/>
            <w:outlineLvl w:val="9"/>
            <w:rPr>
              <w:rFonts w:ascii="宋体" w:hAnsi="宋体" w:eastAsia="宋体" w:cs="Arial"/>
              <w:snapToGrid w:val="0"/>
              <w:color w:val="auto"/>
              <w:kern w:val="0"/>
              <w:sz w:val="21"/>
              <w:szCs w:val="21"/>
              <w:highlight w:val="none"/>
              <w:lang w:val="en-US" w:eastAsia="en-US" w:bidi="ar-SA"/>
            </w:rPr>
          </w:pPr>
        </w:p>
        <w:p w14:paraId="2F14B7B3">
          <w:pPr>
            <w:outlineLvl w:val="9"/>
            <w:rPr>
              <w:rFonts w:ascii="宋体" w:hAnsi="宋体" w:eastAsia="宋体" w:cs="Arial"/>
              <w:snapToGrid w:val="0"/>
              <w:color w:val="auto"/>
              <w:kern w:val="0"/>
              <w:sz w:val="21"/>
              <w:szCs w:val="21"/>
              <w:highlight w:val="none"/>
              <w:lang w:val="en-US" w:eastAsia="en-US" w:bidi="ar-SA"/>
            </w:rPr>
          </w:pPr>
          <w:r>
            <w:rPr>
              <w:rFonts w:ascii="宋体" w:hAnsi="宋体" w:eastAsia="宋体" w:cs="Arial"/>
              <w:snapToGrid w:val="0"/>
              <w:color w:val="auto"/>
              <w:kern w:val="0"/>
              <w:sz w:val="21"/>
              <w:szCs w:val="21"/>
              <w:highlight w:val="none"/>
              <w:lang w:val="en-US" w:eastAsia="en-US" w:bidi="ar-SA"/>
            </w:rPr>
            <w:br w:type="page"/>
          </w:r>
        </w:p>
        <w:p w14:paraId="5D281A0A">
          <w:pPr>
            <w:spacing w:before="0" w:beforeLines="0" w:after="0" w:afterLines="0" w:line="240" w:lineRule="auto"/>
            <w:ind w:left="0" w:leftChars="0" w:right="0" w:rightChars="0" w:firstLine="0" w:firstLineChars="0"/>
            <w:jc w:val="center"/>
            <w:outlineLvl w:val="9"/>
            <w:rPr>
              <w:color w:val="auto"/>
              <w:highlight w:val="none"/>
            </w:rPr>
          </w:pPr>
          <w:r>
            <w:rPr>
              <w:rFonts w:ascii="宋体" w:hAnsi="宋体" w:eastAsia="宋体"/>
              <w:color w:val="auto"/>
              <w:sz w:val="21"/>
              <w:highlight w:val="none"/>
            </w:rPr>
            <w:t>目录</w:t>
          </w:r>
        </w:p>
        <w:p w14:paraId="114241D8">
          <w:pPr>
            <w:pStyle w:val="9"/>
            <w:tabs>
              <w:tab w:val="right" w:leader="dot" w:pos="9193"/>
            </w:tabs>
            <w:rPr>
              <w:color w:val="auto"/>
              <w:highlight w:val="none"/>
            </w:rPr>
          </w:pPr>
          <w:r>
            <w:rPr>
              <w:rFonts w:hint="eastAsia" w:ascii="宋体" w:hAnsi="宋体" w:eastAsia="宋体" w:cs="宋体"/>
              <w:snapToGrid w:val="0"/>
              <w:color w:val="auto"/>
              <w:kern w:val="0"/>
              <w:sz w:val="21"/>
              <w:szCs w:val="21"/>
              <w:highlight w:val="none"/>
              <w:lang w:val="en-US" w:eastAsia="en-US" w:bidi="ar-SA"/>
            </w:rPr>
            <w:fldChar w:fldCharType="begin"/>
          </w:r>
          <w:r>
            <w:rPr>
              <w:rFonts w:hint="eastAsia" w:ascii="宋体" w:hAnsi="宋体" w:eastAsia="宋体" w:cs="宋体"/>
              <w:snapToGrid w:val="0"/>
              <w:color w:val="auto"/>
              <w:kern w:val="0"/>
              <w:sz w:val="21"/>
              <w:szCs w:val="21"/>
              <w:highlight w:val="none"/>
              <w:lang w:val="en-US" w:eastAsia="en-US" w:bidi="ar-SA"/>
            </w:rPr>
            <w:instrText xml:space="preserve">TOC \o "1-3" \h \u </w:instrText>
          </w:r>
          <w:r>
            <w:rPr>
              <w:rFonts w:hint="eastAsia" w:ascii="宋体" w:hAnsi="宋体" w:eastAsia="宋体" w:cs="宋体"/>
              <w:snapToGrid w:val="0"/>
              <w:color w:val="auto"/>
              <w:kern w:val="0"/>
              <w:sz w:val="21"/>
              <w:szCs w:val="21"/>
              <w:highlight w:val="none"/>
              <w:lang w:val="en-US" w:eastAsia="en-US" w:bidi="ar-SA"/>
            </w:rPr>
            <w:fldChar w:fldCharType="separate"/>
          </w: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color w:val="auto"/>
              <w:kern w:val="0"/>
              <w:szCs w:val="21"/>
              <w:highlight w:val="none"/>
              <w:lang w:val="en-US" w:eastAsia="en-US" w:bidi="ar-SA"/>
            </w:rPr>
            <w:instrText xml:space="preserve"> HYPERLINK \l _Toc6517 </w:instrText>
          </w:r>
          <w:r>
            <w:rPr>
              <w:rFonts w:hint="eastAsia" w:ascii="宋体" w:hAnsi="宋体" w:eastAsia="宋体" w:cs="宋体"/>
              <w:snapToGrid w:val="0"/>
              <w:color w:val="auto"/>
              <w:kern w:val="0"/>
              <w:szCs w:val="21"/>
              <w:highlight w:val="none"/>
              <w:lang w:val="en-US" w:eastAsia="en-US" w:bidi="ar-SA"/>
            </w:rPr>
            <w:fldChar w:fldCharType="separate"/>
          </w:r>
          <w:r>
            <w:rPr>
              <w:rFonts w:ascii="宋体" w:hAnsi="宋体" w:eastAsia="宋体" w:cs="宋体"/>
              <w:bCs/>
              <w:color w:val="auto"/>
              <w:spacing w:val="4"/>
              <w:szCs w:val="44"/>
              <w:highlight w:val="none"/>
            </w:rPr>
            <w:t>第一章</w:t>
          </w:r>
          <w:r>
            <w:rPr>
              <w:rFonts w:ascii="宋体" w:hAnsi="宋体" w:eastAsia="宋体" w:cs="宋体"/>
              <w:color w:val="auto"/>
              <w:spacing w:val="4"/>
              <w:szCs w:val="44"/>
              <w:highlight w:val="none"/>
            </w:rPr>
            <w:t xml:space="preserve"> </w:t>
          </w:r>
          <w:r>
            <w:rPr>
              <w:rFonts w:ascii="宋体" w:hAnsi="宋体" w:eastAsia="宋体" w:cs="宋体"/>
              <w:bCs/>
              <w:color w:val="auto"/>
              <w:spacing w:val="4"/>
              <w:szCs w:val="44"/>
              <w:highlight w:val="none"/>
            </w:rPr>
            <w:t>招标公告</w:t>
          </w:r>
          <w:r>
            <w:rPr>
              <w:color w:val="auto"/>
              <w:highlight w:val="none"/>
            </w:rPr>
            <w:tab/>
          </w:r>
          <w:r>
            <w:rPr>
              <w:color w:val="auto"/>
              <w:highlight w:val="none"/>
            </w:rPr>
            <w:fldChar w:fldCharType="begin"/>
          </w:r>
          <w:r>
            <w:rPr>
              <w:color w:val="auto"/>
              <w:highlight w:val="none"/>
            </w:rPr>
            <w:instrText xml:space="preserve"> PAGEREF _Toc6517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322FF0C6">
          <w:pPr>
            <w:pStyle w:val="9"/>
            <w:tabs>
              <w:tab w:val="right" w:leader="dot" w:pos="9193"/>
            </w:tabs>
            <w:rPr>
              <w:color w:val="auto"/>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color w:val="auto"/>
              <w:kern w:val="0"/>
              <w:szCs w:val="21"/>
              <w:highlight w:val="none"/>
              <w:lang w:val="en-US" w:eastAsia="en-US" w:bidi="ar-SA"/>
            </w:rPr>
            <w:instrText xml:space="preserve"> HYPERLINK \l _Toc17956 </w:instrText>
          </w:r>
          <w:r>
            <w:rPr>
              <w:rFonts w:hint="eastAsia" w:ascii="宋体" w:hAnsi="宋体" w:eastAsia="宋体" w:cs="宋体"/>
              <w:snapToGrid w:val="0"/>
              <w:color w:val="auto"/>
              <w:kern w:val="0"/>
              <w:szCs w:val="21"/>
              <w:highlight w:val="none"/>
              <w:lang w:val="en-US" w:eastAsia="en-US" w:bidi="ar-SA"/>
            </w:rPr>
            <w:fldChar w:fldCharType="separate"/>
          </w:r>
          <w:r>
            <w:rPr>
              <w:rFonts w:ascii="宋体" w:hAnsi="宋体" w:eastAsia="宋体" w:cs="宋体"/>
              <w:bCs/>
              <w:color w:val="auto"/>
              <w:spacing w:val="4"/>
              <w:szCs w:val="43"/>
              <w:highlight w:val="none"/>
            </w:rPr>
            <w:t>第二章</w:t>
          </w:r>
          <w:r>
            <w:rPr>
              <w:rFonts w:ascii="宋体" w:hAnsi="宋体" w:eastAsia="宋体" w:cs="宋体"/>
              <w:color w:val="auto"/>
              <w:spacing w:val="4"/>
              <w:szCs w:val="43"/>
              <w:highlight w:val="none"/>
            </w:rPr>
            <w:t xml:space="preserve"> </w:t>
          </w:r>
          <w:r>
            <w:rPr>
              <w:rFonts w:ascii="宋体" w:hAnsi="宋体" w:eastAsia="宋体" w:cs="宋体"/>
              <w:bCs/>
              <w:color w:val="auto"/>
              <w:spacing w:val="4"/>
              <w:szCs w:val="43"/>
              <w:highlight w:val="none"/>
            </w:rPr>
            <w:t>投标人须知</w:t>
          </w:r>
          <w:r>
            <w:rPr>
              <w:color w:val="auto"/>
              <w:highlight w:val="none"/>
            </w:rPr>
            <w:tab/>
          </w:r>
          <w:r>
            <w:rPr>
              <w:color w:val="auto"/>
              <w:highlight w:val="none"/>
            </w:rPr>
            <w:fldChar w:fldCharType="begin"/>
          </w:r>
          <w:r>
            <w:rPr>
              <w:color w:val="auto"/>
              <w:highlight w:val="none"/>
            </w:rPr>
            <w:instrText xml:space="preserve"> PAGEREF _Toc17956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5E07F4A0">
          <w:pPr>
            <w:pStyle w:val="9"/>
            <w:tabs>
              <w:tab w:val="right" w:leader="dot" w:pos="9193"/>
            </w:tabs>
            <w:rPr>
              <w:color w:val="auto"/>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color w:val="auto"/>
              <w:kern w:val="0"/>
              <w:szCs w:val="21"/>
              <w:highlight w:val="none"/>
              <w:lang w:val="en-US" w:eastAsia="en-US" w:bidi="ar-SA"/>
            </w:rPr>
            <w:instrText xml:space="preserve"> HYPERLINK \l _Toc13366 </w:instrText>
          </w:r>
          <w:r>
            <w:rPr>
              <w:rFonts w:hint="eastAsia" w:ascii="宋体" w:hAnsi="宋体" w:eastAsia="宋体" w:cs="宋体"/>
              <w:snapToGrid w:val="0"/>
              <w:color w:val="auto"/>
              <w:kern w:val="0"/>
              <w:szCs w:val="21"/>
              <w:highlight w:val="none"/>
              <w:lang w:val="en-US" w:eastAsia="en-US" w:bidi="ar-SA"/>
            </w:rPr>
            <w:fldChar w:fldCharType="separate"/>
          </w:r>
          <w:r>
            <w:rPr>
              <w:rFonts w:ascii="宋体" w:hAnsi="宋体" w:eastAsia="宋体" w:cs="宋体"/>
              <w:bCs/>
              <w:color w:val="auto"/>
              <w:spacing w:val="-6"/>
              <w:szCs w:val="43"/>
              <w:highlight w:val="none"/>
            </w:rPr>
            <w:t>第三章</w:t>
          </w:r>
          <w:r>
            <w:rPr>
              <w:rFonts w:ascii="宋体" w:hAnsi="宋体" w:eastAsia="宋体" w:cs="宋体"/>
              <w:color w:val="auto"/>
              <w:spacing w:val="-6"/>
              <w:szCs w:val="43"/>
              <w:highlight w:val="none"/>
            </w:rPr>
            <w:t xml:space="preserve">  </w:t>
          </w:r>
          <w:r>
            <w:rPr>
              <w:rFonts w:ascii="宋体" w:hAnsi="宋体" w:eastAsia="宋体" w:cs="宋体"/>
              <w:bCs/>
              <w:color w:val="auto"/>
              <w:spacing w:val="-6"/>
              <w:szCs w:val="43"/>
              <w:highlight w:val="none"/>
            </w:rPr>
            <w:t>评标办法（综合评估法（合理低价</w:t>
          </w:r>
          <w:r>
            <w:rPr>
              <w:rFonts w:ascii="宋体" w:hAnsi="宋体" w:eastAsia="宋体" w:cs="宋体"/>
              <w:bCs/>
              <w:color w:val="auto"/>
              <w:spacing w:val="-1"/>
              <w:szCs w:val="43"/>
              <w:highlight w:val="none"/>
            </w:rPr>
            <w:t>））</w:t>
          </w:r>
          <w:r>
            <w:rPr>
              <w:color w:val="auto"/>
              <w:highlight w:val="none"/>
            </w:rPr>
            <w:tab/>
          </w:r>
          <w:r>
            <w:rPr>
              <w:color w:val="auto"/>
              <w:highlight w:val="none"/>
            </w:rPr>
            <w:fldChar w:fldCharType="begin"/>
          </w:r>
          <w:r>
            <w:rPr>
              <w:color w:val="auto"/>
              <w:highlight w:val="none"/>
            </w:rPr>
            <w:instrText xml:space="preserve"> PAGEREF _Toc13366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18A4B532">
          <w:pPr>
            <w:pStyle w:val="10"/>
            <w:tabs>
              <w:tab w:val="right" w:leader="dot" w:pos="9193"/>
            </w:tabs>
            <w:rPr>
              <w:color w:val="auto"/>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color w:val="auto"/>
              <w:kern w:val="0"/>
              <w:szCs w:val="21"/>
              <w:highlight w:val="none"/>
              <w:lang w:val="en-US" w:eastAsia="en-US" w:bidi="ar-SA"/>
            </w:rPr>
            <w:instrText xml:space="preserve"> HYPERLINK \l _Toc31569 </w:instrText>
          </w:r>
          <w:r>
            <w:rPr>
              <w:rFonts w:hint="eastAsia" w:ascii="宋体" w:hAnsi="宋体" w:eastAsia="宋体" w:cs="宋体"/>
              <w:snapToGrid w:val="0"/>
              <w:color w:val="auto"/>
              <w:kern w:val="0"/>
              <w:szCs w:val="21"/>
              <w:highlight w:val="none"/>
              <w:lang w:val="en-US" w:eastAsia="en-US" w:bidi="ar-SA"/>
            </w:rPr>
            <w:fldChar w:fldCharType="separate"/>
          </w:r>
          <w:r>
            <w:rPr>
              <w:rFonts w:hint="eastAsia" w:ascii="Times New Roman" w:hAnsi="Times New Roman" w:cs="宋体"/>
              <w:bCs w:val="0"/>
              <w:snapToGrid/>
              <w:color w:val="auto"/>
              <w:highlight w:val="none"/>
              <w:lang w:eastAsia="zh-CN" w:bidi="ar-SA"/>
            </w:rPr>
            <w:t>1. 评标方法</w:t>
          </w:r>
          <w:r>
            <w:rPr>
              <w:color w:val="auto"/>
              <w:highlight w:val="none"/>
            </w:rPr>
            <w:tab/>
          </w:r>
          <w:r>
            <w:rPr>
              <w:color w:val="auto"/>
              <w:highlight w:val="none"/>
            </w:rPr>
            <w:fldChar w:fldCharType="begin"/>
          </w:r>
          <w:r>
            <w:rPr>
              <w:color w:val="auto"/>
              <w:highlight w:val="none"/>
            </w:rPr>
            <w:instrText xml:space="preserve"> PAGEREF _Toc31569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33D9E42A">
          <w:pPr>
            <w:pStyle w:val="10"/>
            <w:tabs>
              <w:tab w:val="right" w:leader="dot" w:pos="9193"/>
            </w:tabs>
            <w:rPr>
              <w:color w:val="auto"/>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color w:val="auto"/>
              <w:kern w:val="0"/>
              <w:szCs w:val="21"/>
              <w:highlight w:val="none"/>
              <w:lang w:val="en-US" w:eastAsia="en-US" w:bidi="ar-SA"/>
            </w:rPr>
            <w:instrText xml:space="preserve"> HYPERLINK \l _Toc26875 </w:instrText>
          </w:r>
          <w:r>
            <w:rPr>
              <w:rFonts w:hint="eastAsia" w:ascii="宋体" w:hAnsi="宋体" w:eastAsia="宋体" w:cs="宋体"/>
              <w:snapToGrid w:val="0"/>
              <w:color w:val="auto"/>
              <w:kern w:val="0"/>
              <w:szCs w:val="21"/>
              <w:highlight w:val="none"/>
              <w:lang w:val="en-US" w:eastAsia="en-US" w:bidi="ar-SA"/>
            </w:rPr>
            <w:fldChar w:fldCharType="separate"/>
          </w:r>
          <w:r>
            <w:rPr>
              <w:rFonts w:hint="eastAsia" w:ascii="Times New Roman" w:hAnsi="Times New Roman" w:cs="宋体"/>
              <w:bCs w:val="0"/>
              <w:snapToGrid/>
              <w:color w:val="auto"/>
              <w:highlight w:val="none"/>
              <w:lang w:eastAsia="zh-CN" w:bidi="ar-SA"/>
            </w:rPr>
            <w:t>2. 评审标准</w:t>
          </w:r>
          <w:r>
            <w:rPr>
              <w:color w:val="auto"/>
              <w:highlight w:val="none"/>
            </w:rPr>
            <w:tab/>
          </w:r>
          <w:r>
            <w:rPr>
              <w:color w:val="auto"/>
              <w:highlight w:val="none"/>
            </w:rPr>
            <w:fldChar w:fldCharType="begin"/>
          </w:r>
          <w:r>
            <w:rPr>
              <w:color w:val="auto"/>
              <w:highlight w:val="none"/>
            </w:rPr>
            <w:instrText xml:space="preserve"> PAGEREF _Toc26875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0ACF70F7">
          <w:pPr>
            <w:pStyle w:val="10"/>
            <w:tabs>
              <w:tab w:val="right" w:leader="dot" w:pos="9193"/>
            </w:tabs>
            <w:rPr>
              <w:color w:val="auto"/>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color w:val="auto"/>
              <w:kern w:val="0"/>
              <w:szCs w:val="21"/>
              <w:highlight w:val="none"/>
              <w:lang w:val="en-US" w:eastAsia="en-US" w:bidi="ar-SA"/>
            </w:rPr>
            <w:instrText xml:space="preserve"> HYPERLINK \l _Toc12854 </w:instrText>
          </w:r>
          <w:r>
            <w:rPr>
              <w:rFonts w:hint="eastAsia" w:ascii="宋体" w:hAnsi="宋体" w:eastAsia="宋体" w:cs="宋体"/>
              <w:snapToGrid w:val="0"/>
              <w:color w:val="auto"/>
              <w:kern w:val="0"/>
              <w:szCs w:val="21"/>
              <w:highlight w:val="none"/>
              <w:lang w:val="en-US" w:eastAsia="en-US" w:bidi="ar-SA"/>
            </w:rPr>
            <w:fldChar w:fldCharType="separate"/>
          </w:r>
          <w:r>
            <w:rPr>
              <w:rFonts w:hint="eastAsia" w:ascii="Times New Roman" w:hAnsi="Times New Roman" w:cs="宋体"/>
              <w:bCs w:val="0"/>
              <w:snapToGrid/>
              <w:color w:val="auto"/>
              <w:highlight w:val="none"/>
              <w:lang w:eastAsia="zh-CN" w:bidi="ar-SA"/>
            </w:rPr>
            <w:t>3. 评标程序</w:t>
          </w:r>
          <w:r>
            <w:rPr>
              <w:color w:val="auto"/>
              <w:highlight w:val="none"/>
            </w:rPr>
            <w:tab/>
          </w:r>
          <w:r>
            <w:rPr>
              <w:color w:val="auto"/>
              <w:highlight w:val="none"/>
            </w:rPr>
            <w:fldChar w:fldCharType="begin"/>
          </w:r>
          <w:r>
            <w:rPr>
              <w:color w:val="auto"/>
              <w:highlight w:val="none"/>
            </w:rPr>
            <w:instrText xml:space="preserve"> PAGEREF _Toc12854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32BD8F30">
          <w:pPr>
            <w:pStyle w:val="10"/>
            <w:tabs>
              <w:tab w:val="right" w:leader="dot" w:pos="9193"/>
            </w:tabs>
            <w:rPr>
              <w:color w:val="auto"/>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color w:val="auto"/>
              <w:kern w:val="0"/>
              <w:szCs w:val="21"/>
              <w:highlight w:val="none"/>
              <w:lang w:val="en-US" w:eastAsia="en-US" w:bidi="ar-SA"/>
            </w:rPr>
            <w:instrText xml:space="preserve"> HYPERLINK \l _Toc20044 </w:instrText>
          </w:r>
          <w:r>
            <w:rPr>
              <w:rFonts w:hint="eastAsia" w:ascii="宋体" w:hAnsi="宋体" w:eastAsia="宋体" w:cs="宋体"/>
              <w:snapToGrid w:val="0"/>
              <w:color w:val="auto"/>
              <w:kern w:val="0"/>
              <w:szCs w:val="21"/>
              <w:highlight w:val="none"/>
              <w:lang w:val="en-US" w:eastAsia="en-US" w:bidi="ar-SA"/>
            </w:rPr>
            <w:fldChar w:fldCharType="separate"/>
          </w:r>
          <w:r>
            <w:rPr>
              <w:rFonts w:hint="eastAsia" w:ascii="Times New Roman" w:hAnsi="Times New Roman" w:cs="宋体"/>
              <w:bCs w:val="0"/>
              <w:snapToGrid/>
              <w:color w:val="auto"/>
              <w:highlight w:val="none"/>
              <w:lang w:eastAsia="zh-CN" w:bidi="ar-SA"/>
            </w:rPr>
            <w:t>4. 特殊情况的处置</w:t>
          </w:r>
          <w:r>
            <w:rPr>
              <w:color w:val="auto"/>
              <w:highlight w:val="none"/>
            </w:rPr>
            <w:tab/>
          </w:r>
          <w:r>
            <w:rPr>
              <w:color w:val="auto"/>
              <w:highlight w:val="none"/>
            </w:rPr>
            <w:fldChar w:fldCharType="begin"/>
          </w:r>
          <w:r>
            <w:rPr>
              <w:color w:val="auto"/>
              <w:highlight w:val="none"/>
            </w:rPr>
            <w:instrText xml:space="preserve"> PAGEREF _Toc20044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03B24118">
          <w:pPr>
            <w:pStyle w:val="9"/>
            <w:tabs>
              <w:tab w:val="right" w:leader="dot" w:pos="9193"/>
            </w:tabs>
            <w:rPr>
              <w:color w:val="auto"/>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color w:val="auto"/>
              <w:kern w:val="0"/>
              <w:szCs w:val="21"/>
              <w:highlight w:val="none"/>
              <w:lang w:val="en-US" w:eastAsia="en-US" w:bidi="ar-SA"/>
            </w:rPr>
            <w:instrText xml:space="preserve"> HYPERLINK \l _Toc18282 </w:instrText>
          </w:r>
          <w:r>
            <w:rPr>
              <w:rFonts w:hint="eastAsia" w:ascii="宋体" w:hAnsi="宋体" w:eastAsia="宋体" w:cs="宋体"/>
              <w:snapToGrid w:val="0"/>
              <w:color w:val="auto"/>
              <w:kern w:val="0"/>
              <w:szCs w:val="21"/>
              <w:highlight w:val="none"/>
              <w:lang w:val="en-US" w:eastAsia="en-US" w:bidi="ar-SA"/>
            </w:rPr>
            <w:fldChar w:fldCharType="separate"/>
          </w:r>
          <w:r>
            <w:rPr>
              <w:rFonts w:ascii="宋体" w:hAnsi="宋体" w:eastAsia="宋体" w:cs="宋体"/>
              <w:bCs/>
              <w:color w:val="auto"/>
              <w:spacing w:val="4"/>
              <w:szCs w:val="43"/>
              <w:highlight w:val="none"/>
            </w:rPr>
            <w:t>第四章</w:t>
          </w:r>
          <w:r>
            <w:rPr>
              <w:rFonts w:ascii="宋体" w:hAnsi="宋体" w:eastAsia="宋体" w:cs="宋体"/>
              <w:color w:val="auto"/>
              <w:spacing w:val="4"/>
              <w:szCs w:val="43"/>
              <w:highlight w:val="none"/>
            </w:rPr>
            <w:t xml:space="preserve"> </w:t>
          </w:r>
          <w:r>
            <w:rPr>
              <w:rFonts w:ascii="宋体" w:hAnsi="宋体" w:eastAsia="宋体" w:cs="宋体"/>
              <w:bCs/>
              <w:color w:val="auto"/>
              <w:spacing w:val="4"/>
              <w:szCs w:val="43"/>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_Toc18282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7E379D9A">
          <w:pPr>
            <w:pStyle w:val="9"/>
            <w:tabs>
              <w:tab w:val="right" w:leader="dot" w:pos="9193"/>
            </w:tabs>
            <w:rPr>
              <w:color w:val="auto"/>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color w:val="auto"/>
              <w:kern w:val="0"/>
              <w:szCs w:val="21"/>
              <w:highlight w:val="none"/>
              <w:lang w:val="en-US" w:eastAsia="en-US" w:bidi="ar-SA"/>
            </w:rPr>
            <w:instrText xml:space="preserve"> HYPERLINK \l _Toc5601 </w:instrText>
          </w:r>
          <w:r>
            <w:rPr>
              <w:rFonts w:hint="eastAsia" w:ascii="宋体" w:hAnsi="宋体" w:eastAsia="宋体" w:cs="宋体"/>
              <w:snapToGrid w:val="0"/>
              <w:color w:val="auto"/>
              <w:kern w:val="0"/>
              <w:szCs w:val="21"/>
              <w:highlight w:val="none"/>
              <w:lang w:val="en-US" w:eastAsia="en-US" w:bidi="ar-SA"/>
            </w:rPr>
            <w:fldChar w:fldCharType="separate"/>
          </w:r>
          <w:r>
            <w:rPr>
              <w:rFonts w:ascii="宋体" w:hAnsi="宋体" w:eastAsia="宋体" w:cs="宋体"/>
              <w:bCs/>
              <w:color w:val="auto"/>
              <w:spacing w:val="4"/>
              <w:szCs w:val="43"/>
              <w:highlight w:val="none"/>
            </w:rPr>
            <w:t>第五章</w:t>
          </w:r>
          <w:r>
            <w:rPr>
              <w:rFonts w:ascii="宋体" w:hAnsi="宋体" w:eastAsia="宋体" w:cs="宋体"/>
              <w:color w:val="auto"/>
              <w:spacing w:val="4"/>
              <w:szCs w:val="43"/>
              <w:highlight w:val="none"/>
            </w:rPr>
            <w:t xml:space="preserve"> </w:t>
          </w:r>
          <w:r>
            <w:rPr>
              <w:rFonts w:ascii="宋体" w:hAnsi="宋体" w:eastAsia="宋体" w:cs="宋体"/>
              <w:bCs/>
              <w:color w:val="auto"/>
              <w:spacing w:val="4"/>
              <w:szCs w:val="43"/>
              <w:highlight w:val="none"/>
            </w:rPr>
            <w:t>工程量清单</w:t>
          </w:r>
          <w:r>
            <w:rPr>
              <w:color w:val="auto"/>
              <w:highlight w:val="none"/>
            </w:rPr>
            <w:tab/>
          </w:r>
          <w:r>
            <w:rPr>
              <w:color w:val="auto"/>
              <w:highlight w:val="none"/>
            </w:rPr>
            <w:fldChar w:fldCharType="begin"/>
          </w:r>
          <w:r>
            <w:rPr>
              <w:color w:val="auto"/>
              <w:highlight w:val="none"/>
            </w:rPr>
            <w:instrText xml:space="preserve"> PAGEREF _Toc5601 \h </w:instrText>
          </w:r>
          <w:r>
            <w:rPr>
              <w:color w:val="auto"/>
              <w:highlight w:val="none"/>
            </w:rPr>
            <w:fldChar w:fldCharType="separate"/>
          </w:r>
          <w:r>
            <w:rPr>
              <w:color w:val="auto"/>
              <w:highlight w:val="none"/>
            </w:rPr>
            <w:t>120</w:t>
          </w:r>
          <w:r>
            <w:rPr>
              <w:color w:val="auto"/>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5A85BBCD">
          <w:pPr>
            <w:pStyle w:val="9"/>
            <w:tabs>
              <w:tab w:val="right" w:leader="dot" w:pos="9193"/>
            </w:tabs>
            <w:rPr>
              <w:color w:val="auto"/>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color w:val="auto"/>
              <w:kern w:val="0"/>
              <w:szCs w:val="21"/>
              <w:highlight w:val="none"/>
              <w:lang w:val="en-US" w:eastAsia="en-US" w:bidi="ar-SA"/>
            </w:rPr>
            <w:instrText xml:space="preserve"> HYPERLINK \l _Toc22328 </w:instrText>
          </w:r>
          <w:r>
            <w:rPr>
              <w:rFonts w:hint="eastAsia" w:ascii="宋体" w:hAnsi="宋体" w:eastAsia="宋体" w:cs="宋体"/>
              <w:snapToGrid w:val="0"/>
              <w:color w:val="auto"/>
              <w:kern w:val="0"/>
              <w:szCs w:val="21"/>
              <w:highlight w:val="none"/>
              <w:lang w:val="en-US" w:eastAsia="en-US" w:bidi="ar-SA"/>
            </w:rPr>
            <w:fldChar w:fldCharType="separate"/>
          </w:r>
          <w:r>
            <w:rPr>
              <w:rFonts w:ascii="宋体" w:hAnsi="宋体" w:eastAsia="宋体" w:cs="宋体"/>
              <w:bCs/>
              <w:color w:val="auto"/>
              <w:spacing w:val="-2"/>
              <w:szCs w:val="43"/>
              <w:highlight w:val="none"/>
            </w:rPr>
            <w:t>第六章</w:t>
          </w:r>
          <w:r>
            <w:rPr>
              <w:rFonts w:ascii="宋体" w:hAnsi="宋体" w:eastAsia="宋体" w:cs="宋体"/>
              <w:color w:val="auto"/>
              <w:spacing w:val="70"/>
              <w:szCs w:val="43"/>
              <w:highlight w:val="none"/>
            </w:rPr>
            <w:t xml:space="preserve"> </w:t>
          </w:r>
          <w:r>
            <w:rPr>
              <w:rFonts w:ascii="宋体" w:hAnsi="宋体" w:eastAsia="宋体" w:cs="宋体"/>
              <w:bCs/>
              <w:color w:val="auto"/>
              <w:spacing w:val="-2"/>
              <w:szCs w:val="43"/>
              <w:highlight w:val="none"/>
            </w:rPr>
            <w:t>图纸（招标图纸）</w:t>
          </w:r>
          <w:r>
            <w:rPr>
              <w:color w:val="auto"/>
              <w:highlight w:val="none"/>
            </w:rPr>
            <w:tab/>
          </w:r>
          <w:r>
            <w:rPr>
              <w:color w:val="auto"/>
              <w:highlight w:val="none"/>
            </w:rPr>
            <w:fldChar w:fldCharType="begin"/>
          </w:r>
          <w:r>
            <w:rPr>
              <w:color w:val="auto"/>
              <w:highlight w:val="none"/>
            </w:rPr>
            <w:instrText xml:space="preserve"> PAGEREF _Toc22328 \h </w:instrText>
          </w:r>
          <w:r>
            <w:rPr>
              <w:color w:val="auto"/>
              <w:highlight w:val="none"/>
            </w:rPr>
            <w:fldChar w:fldCharType="separate"/>
          </w:r>
          <w:r>
            <w:rPr>
              <w:color w:val="auto"/>
              <w:highlight w:val="none"/>
            </w:rPr>
            <w:t>121</w:t>
          </w:r>
          <w:r>
            <w:rPr>
              <w:color w:val="auto"/>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2C1DCEFB">
          <w:pPr>
            <w:pStyle w:val="9"/>
            <w:tabs>
              <w:tab w:val="right" w:leader="dot" w:pos="9193"/>
            </w:tabs>
            <w:rPr>
              <w:color w:val="auto"/>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color w:val="auto"/>
              <w:kern w:val="0"/>
              <w:szCs w:val="21"/>
              <w:highlight w:val="none"/>
              <w:lang w:val="en-US" w:eastAsia="en-US" w:bidi="ar-SA"/>
            </w:rPr>
            <w:instrText xml:space="preserve"> HYPERLINK \l _Toc15978 </w:instrText>
          </w:r>
          <w:r>
            <w:rPr>
              <w:rFonts w:hint="eastAsia" w:ascii="宋体" w:hAnsi="宋体" w:eastAsia="宋体" w:cs="宋体"/>
              <w:snapToGrid w:val="0"/>
              <w:color w:val="auto"/>
              <w:kern w:val="0"/>
              <w:szCs w:val="21"/>
              <w:highlight w:val="none"/>
              <w:lang w:val="en-US" w:eastAsia="en-US" w:bidi="ar-SA"/>
            </w:rPr>
            <w:fldChar w:fldCharType="separate"/>
          </w:r>
          <w:r>
            <w:rPr>
              <w:rFonts w:ascii="宋体" w:hAnsi="宋体" w:eastAsia="宋体" w:cs="宋体"/>
              <w:bCs/>
              <w:color w:val="auto"/>
              <w:spacing w:val="4"/>
              <w:szCs w:val="43"/>
              <w:highlight w:val="none"/>
            </w:rPr>
            <w:t>第七章</w:t>
          </w:r>
          <w:r>
            <w:rPr>
              <w:rFonts w:ascii="宋体" w:hAnsi="宋体" w:eastAsia="宋体" w:cs="宋体"/>
              <w:color w:val="auto"/>
              <w:spacing w:val="4"/>
              <w:szCs w:val="43"/>
              <w:highlight w:val="none"/>
            </w:rPr>
            <w:t xml:space="preserve"> </w:t>
          </w:r>
          <w:r>
            <w:rPr>
              <w:rFonts w:ascii="宋体" w:hAnsi="宋体" w:eastAsia="宋体" w:cs="宋体"/>
              <w:bCs/>
              <w:color w:val="auto"/>
              <w:spacing w:val="4"/>
              <w:szCs w:val="43"/>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_Toc15978 \h </w:instrText>
          </w:r>
          <w:r>
            <w:rPr>
              <w:color w:val="auto"/>
              <w:highlight w:val="none"/>
            </w:rPr>
            <w:fldChar w:fldCharType="separate"/>
          </w:r>
          <w:r>
            <w:rPr>
              <w:color w:val="auto"/>
              <w:highlight w:val="none"/>
            </w:rPr>
            <w:t>123</w:t>
          </w:r>
          <w:r>
            <w:rPr>
              <w:color w:val="auto"/>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5EFE5DAD">
          <w:pPr>
            <w:pStyle w:val="9"/>
            <w:tabs>
              <w:tab w:val="right" w:leader="dot" w:pos="9193"/>
            </w:tabs>
            <w:rPr>
              <w:color w:val="auto"/>
              <w:highlight w:val="none"/>
            </w:rPr>
          </w:pPr>
          <w:r>
            <w:rPr>
              <w:rFonts w:hint="eastAsia" w:ascii="宋体" w:hAnsi="宋体" w:eastAsia="宋体" w:cs="宋体"/>
              <w:snapToGrid w:val="0"/>
              <w:color w:val="auto"/>
              <w:kern w:val="0"/>
              <w:szCs w:val="21"/>
              <w:highlight w:val="none"/>
              <w:lang w:val="en-US" w:eastAsia="en-US" w:bidi="ar-SA"/>
            </w:rPr>
            <w:fldChar w:fldCharType="begin"/>
          </w:r>
          <w:r>
            <w:rPr>
              <w:rFonts w:hint="eastAsia" w:ascii="宋体" w:hAnsi="宋体" w:eastAsia="宋体" w:cs="宋体"/>
              <w:snapToGrid w:val="0"/>
              <w:color w:val="auto"/>
              <w:kern w:val="0"/>
              <w:szCs w:val="21"/>
              <w:highlight w:val="none"/>
              <w:lang w:val="en-US" w:eastAsia="en-US" w:bidi="ar-SA"/>
            </w:rPr>
            <w:instrText xml:space="preserve"> HYPERLINK \l _Toc13024 </w:instrText>
          </w:r>
          <w:r>
            <w:rPr>
              <w:rFonts w:hint="eastAsia" w:ascii="宋体" w:hAnsi="宋体" w:eastAsia="宋体" w:cs="宋体"/>
              <w:snapToGrid w:val="0"/>
              <w:color w:val="auto"/>
              <w:kern w:val="0"/>
              <w:szCs w:val="21"/>
              <w:highlight w:val="none"/>
              <w:lang w:val="en-US" w:eastAsia="en-US" w:bidi="ar-SA"/>
            </w:rPr>
            <w:fldChar w:fldCharType="separate"/>
          </w:r>
          <w:r>
            <w:rPr>
              <w:rFonts w:ascii="宋体" w:hAnsi="宋体" w:eastAsia="宋体" w:cs="宋体"/>
              <w:bCs/>
              <w:color w:val="auto"/>
              <w:spacing w:val="4"/>
              <w:szCs w:val="43"/>
              <w:highlight w:val="none"/>
            </w:rPr>
            <w:t>第八章</w:t>
          </w:r>
          <w:r>
            <w:rPr>
              <w:rFonts w:ascii="宋体" w:hAnsi="宋体" w:eastAsia="宋体" w:cs="宋体"/>
              <w:color w:val="auto"/>
              <w:spacing w:val="4"/>
              <w:szCs w:val="43"/>
              <w:highlight w:val="none"/>
            </w:rPr>
            <w:t xml:space="preserve"> </w:t>
          </w:r>
          <w:r>
            <w:rPr>
              <w:rFonts w:ascii="宋体" w:hAnsi="宋体" w:eastAsia="宋体" w:cs="宋体"/>
              <w:bCs/>
              <w:color w:val="auto"/>
              <w:spacing w:val="4"/>
              <w:szCs w:val="43"/>
              <w:highlight w:val="none"/>
            </w:rPr>
            <w:t>投标文件格式</w:t>
          </w:r>
          <w:r>
            <w:rPr>
              <w:color w:val="auto"/>
              <w:highlight w:val="none"/>
            </w:rPr>
            <w:tab/>
          </w:r>
          <w:r>
            <w:rPr>
              <w:color w:val="auto"/>
              <w:highlight w:val="none"/>
            </w:rPr>
            <w:fldChar w:fldCharType="begin"/>
          </w:r>
          <w:r>
            <w:rPr>
              <w:color w:val="auto"/>
              <w:highlight w:val="none"/>
            </w:rPr>
            <w:instrText xml:space="preserve"> PAGEREF _Toc13024 \h </w:instrText>
          </w:r>
          <w:r>
            <w:rPr>
              <w:color w:val="auto"/>
              <w:highlight w:val="none"/>
            </w:rPr>
            <w:fldChar w:fldCharType="separate"/>
          </w:r>
          <w:r>
            <w:rPr>
              <w:color w:val="auto"/>
              <w:highlight w:val="none"/>
            </w:rPr>
            <w:t>125</w:t>
          </w:r>
          <w:r>
            <w:rPr>
              <w:color w:val="auto"/>
              <w:highlight w:val="none"/>
            </w:rPr>
            <w:fldChar w:fldCharType="end"/>
          </w:r>
          <w:r>
            <w:rPr>
              <w:rFonts w:hint="eastAsia" w:ascii="宋体" w:hAnsi="宋体" w:eastAsia="宋体" w:cs="宋体"/>
              <w:snapToGrid w:val="0"/>
              <w:color w:val="auto"/>
              <w:kern w:val="0"/>
              <w:szCs w:val="21"/>
              <w:highlight w:val="none"/>
              <w:lang w:val="en-US" w:eastAsia="en-US" w:bidi="ar-SA"/>
            </w:rPr>
            <w:fldChar w:fldCharType="end"/>
          </w:r>
        </w:p>
        <w:p w14:paraId="060FBEF3">
          <w:pPr>
            <w:outlineLvl w:val="9"/>
            <w:rPr>
              <w:rFonts w:ascii="Arial" w:hAnsi="Arial" w:eastAsia="Arial" w:cs="Arial"/>
              <w:snapToGrid w:val="0"/>
              <w:color w:val="auto"/>
              <w:kern w:val="0"/>
              <w:sz w:val="21"/>
              <w:szCs w:val="21"/>
              <w:highlight w:val="none"/>
              <w:lang w:val="en-US" w:eastAsia="en-US" w:bidi="ar-SA"/>
            </w:rPr>
          </w:pPr>
          <w:r>
            <w:rPr>
              <w:rFonts w:hint="eastAsia" w:ascii="宋体" w:hAnsi="宋体" w:eastAsia="宋体" w:cs="宋体"/>
              <w:snapToGrid w:val="0"/>
              <w:color w:val="auto"/>
              <w:kern w:val="0"/>
              <w:szCs w:val="21"/>
              <w:highlight w:val="none"/>
              <w:lang w:val="en-US" w:eastAsia="en-US" w:bidi="ar-SA"/>
            </w:rPr>
            <w:fldChar w:fldCharType="end"/>
          </w:r>
        </w:p>
      </w:sdtContent>
    </w:sdt>
    <w:p w14:paraId="59A9CE19">
      <w:pPr>
        <w:outlineLvl w:val="9"/>
        <w:rPr>
          <w:rFonts w:ascii="Arial" w:hAnsi="Arial" w:eastAsia="Arial" w:cs="Arial"/>
          <w:snapToGrid w:val="0"/>
          <w:color w:val="auto"/>
          <w:kern w:val="0"/>
          <w:sz w:val="21"/>
          <w:szCs w:val="21"/>
          <w:highlight w:val="none"/>
          <w:lang w:val="en-US" w:eastAsia="en-US" w:bidi="ar-SA"/>
        </w:rPr>
      </w:pPr>
    </w:p>
    <w:p w14:paraId="20B78549">
      <w:pPr>
        <w:outlineLvl w:val="9"/>
        <w:rPr>
          <w:rFonts w:ascii="Arial" w:hAnsi="Arial" w:eastAsia="Arial" w:cs="Arial"/>
          <w:snapToGrid w:val="0"/>
          <w:color w:val="auto"/>
          <w:kern w:val="0"/>
          <w:sz w:val="21"/>
          <w:szCs w:val="21"/>
          <w:highlight w:val="none"/>
          <w:lang w:val="en-US" w:eastAsia="en-US" w:bidi="ar-SA"/>
        </w:rPr>
      </w:pPr>
    </w:p>
    <w:p w14:paraId="2A070223">
      <w:pPr>
        <w:outlineLvl w:val="9"/>
        <w:rPr>
          <w:rFonts w:ascii="Arial" w:hAnsi="Arial" w:eastAsia="Arial" w:cs="Arial"/>
          <w:snapToGrid w:val="0"/>
          <w:color w:val="auto"/>
          <w:kern w:val="0"/>
          <w:sz w:val="21"/>
          <w:szCs w:val="21"/>
          <w:highlight w:val="none"/>
          <w:lang w:val="en-US" w:eastAsia="en-US" w:bidi="ar-SA"/>
        </w:rPr>
      </w:pPr>
    </w:p>
    <w:p w14:paraId="0E7D01D5">
      <w:pPr>
        <w:outlineLvl w:val="9"/>
        <w:rPr>
          <w:color w:val="auto"/>
          <w:highlight w:val="none"/>
        </w:rPr>
      </w:pPr>
    </w:p>
    <w:p w14:paraId="349B9105">
      <w:pPr>
        <w:outlineLvl w:val="9"/>
        <w:rPr>
          <w:rFonts w:ascii="宋体" w:hAnsi="宋体" w:eastAsia="宋体" w:cs="宋体"/>
          <w:b/>
          <w:bCs/>
          <w:color w:val="auto"/>
          <w:spacing w:val="4"/>
          <w:sz w:val="44"/>
          <w:szCs w:val="44"/>
          <w:highlight w:val="none"/>
        </w:rPr>
      </w:pPr>
      <w:r>
        <w:rPr>
          <w:rFonts w:ascii="宋体" w:hAnsi="宋体" w:eastAsia="宋体" w:cs="宋体"/>
          <w:b/>
          <w:bCs/>
          <w:color w:val="auto"/>
          <w:spacing w:val="4"/>
          <w:sz w:val="44"/>
          <w:szCs w:val="44"/>
          <w:highlight w:val="none"/>
        </w:rPr>
        <w:br w:type="page"/>
      </w:r>
    </w:p>
    <w:p w14:paraId="73F7418B">
      <w:pPr>
        <w:keepNext w:val="0"/>
        <w:keepLines w:val="0"/>
        <w:pageBreakBefore w:val="0"/>
        <w:widowControl/>
        <w:kinsoku w:val="0"/>
        <w:wordWrap/>
        <w:overflowPunct/>
        <w:topLinePunct w:val="0"/>
        <w:autoSpaceDE w:val="0"/>
        <w:autoSpaceDN w:val="0"/>
        <w:bidi w:val="0"/>
        <w:adjustRightInd w:val="0"/>
        <w:snapToGrid w:val="0"/>
        <w:spacing w:before="87" w:line="240" w:lineRule="auto"/>
        <w:ind w:left="3202"/>
        <w:textAlignment w:val="baseline"/>
        <w:outlineLvl w:val="0"/>
        <w:rPr>
          <w:rFonts w:ascii="Arial"/>
          <w:color w:val="auto"/>
          <w:sz w:val="21"/>
          <w:highlight w:val="none"/>
        </w:rPr>
      </w:pPr>
      <w:bookmarkStart w:id="2" w:name="_Toc6517"/>
      <w:r>
        <w:rPr>
          <w:rFonts w:ascii="宋体" w:hAnsi="宋体" w:eastAsia="宋体" w:cs="宋体"/>
          <w:b/>
          <w:bCs/>
          <w:color w:val="auto"/>
          <w:spacing w:val="4"/>
          <w:sz w:val="44"/>
          <w:szCs w:val="44"/>
          <w:highlight w:val="none"/>
        </w:rPr>
        <w:t>第一章</w:t>
      </w:r>
      <w:r>
        <w:rPr>
          <w:rFonts w:ascii="宋体" w:hAnsi="宋体" w:eastAsia="宋体" w:cs="宋体"/>
          <w:color w:val="auto"/>
          <w:spacing w:val="4"/>
          <w:sz w:val="44"/>
          <w:szCs w:val="44"/>
          <w:highlight w:val="none"/>
        </w:rPr>
        <w:t xml:space="preserve"> </w:t>
      </w:r>
      <w:r>
        <w:rPr>
          <w:rFonts w:ascii="宋体" w:hAnsi="宋体" w:eastAsia="宋体" w:cs="宋体"/>
          <w:b/>
          <w:bCs/>
          <w:color w:val="auto"/>
          <w:spacing w:val="4"/>
          <w:sz w:val="44"/>
          <w:szCs w:val="44"/>
          <w:highlight w:val="none"/>
        </w:rPr>
        <w:t>招标公告</w:t>
      </w:r>
      <w:bookmarkEnd w:id="2"/>
    </w:p>
    <w:p w14:paraId="218866F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rFonts w:ascii="Arial"/>
          <w:color w:val="auto"/>
          <w:sz w:val="21"/>
          <w:highlight w:val="none"/>
        </w:rPr>
      </w:pPr>
    </w:p>
    <w:p w14:paraId="6B438316">
      <w:pPr>
        <w:keepNext w:val="0"/>
        <w:keepLines w:val="0"/>
        <w:pageBreakBefore w:val="0"/>
        <w:widowControl/>
        <w:tabs>
          <w:tab w:val="left" w:pos="1220"/>
        </w:tabs>
        <w:kinsoku w:val="0"/>
        <w:wordWrap/>
        <w:overflowPunct/>
        <w:topLinePunct w:val="0"/>
        <w:autoSpaceDE w:val="0"/>
        <w:autoSpaceDN w:val="0"/>
        <w:bidi w:val="0"/>
        <w:adjustRightInd w:val="0"/>
        <w:snapToGrid w:val="0"/>
        <w:spacing w:before="91" w:line="240" w:lineRule="auto"/>
        <w:jc w:val="center"/>
        <w:textAlignment w:val="baseline"/>
        <w:outlineLvl w:val="9"/>
        <w:rPr>
          <w:rFonts w:hint="eastAsia" w:asciiTheme="minorEastAsia" w:hAnsiTheme="minorEastAsia" w:eastAsiaTheme="minorEastAsia" w:cstheme="minorEastAsia"/>
          <w:b/>
          <w:bCs/>
          <w:color w:val="auto"/>
          <w:spacing w:val="-13"/>
          <w:sz w:val="44"/>
          <w:szCs w:val="44"/>
          <w:highlight w:val="none"/>
        </w:rPr>
      </w:pPr>
      <w:bookmarkStart w:id="3" w:name="_Toc20805"/>
      <w:bookmarkStart w:id="4" w:name="_Toc29305"/>
      <w:r>
        <w:rPr>
          <w:rFonts w:hint="eastAsia" w:asciiTheme="minorEastAsia" w:hAnsiTheme="minorEastAsia" w:eastAsiaTheme="minorEastAsia" w:cstheme="minorEastAsia"/>
          <w:b/>
          <w:bCs/>
          <w:color w:val="auto"/>
          <w:spacing w:val="-13"/>
          <w:sz w:val="44"/>
          <w:szCs w:val="44"/>
          <w:highlight w:val="none"/>
          <w:lang w:val="en-US" w:eastAsia="zh-CN"/>
        </w:rPr>
        <w:t>2025年肥东县桥头集镇高标准农田建设项目</w:t>
      </w:r>
      <w:r>
        <w:rPr>
          <w:rFonts w:hint="eastAsia" w:asciiTheme="minorEastAsia" w:hAnsiTheme="minorEastAsia" w:eastAsiaTheme="minorEastAsia" w:cstheme="minorEastAsia"/>
          <w:b/>
          <w:bCs/>
          <w:color w:val="auto"/>
          <w:spacing w:val="-13"/>
          <w:sz w:val="44"/>
          <w:szCs w:val="44"/>
          <w:highlight w:val="none"/>
        </w:rPr>
        <w:t>施工招标公告（电子招标投标）</w:t>
      </w:r>
      <w:bookmarkEnd w:id="3"/>
      <w:bookmarkEnd w:id="4"/>
    </w:p>
    <w:p w14:paraId="6B15AA2E">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1.招标条件</w:t>
      </w:r>
    </w:p>
    <w:p w14:paraId="743BDF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1.1 项目名称：2025年肥东县桥头集镇高标准农田建设项目</w:t>
      </w:r>
    </w:p>
    <w:p w14:paraId="789F6E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1.2 项目审批、核准或备案机关名称：肥东县发展和改革委员会</w:t>
      </w:r>
    </w:p>
    <w:p w14:paraId="757D8C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1.3 批文名称及编号：关于同意2025年肥东县高标准农田建设项目再次调整立项的复函，发改投〔2025〕103号</w:t>
      </w:r>
    </w:p>
    <w:p w14:paraId="37FD24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1.4 招标人：肥东县桥头集镇人民政府</w:t>
      </w:r>
    </w:p>
    <w:p w14:paraId="0E1CF2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1.5 项目法人：肥东县桥头集镇人民政府</w:t>
      </w:r>
    </w:p>
    <w:p w14:paraId="30D831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1.6 招标代理机构：</w:t>
      </w:r>
      <w:r>
        <w:rPr>
          <w:rFonts w:hint="eastAsia" w:ascii="仿宋" w:hAnsi="仿宋" w:eastAsia="仿宋" w:cs="Times New Roman"/>
          <w:color w:val="auto"/>
          <w:sz w:val="28"/>
          <w:szCs w:val="28"/>
          <w:highlight w:val="none"/>
          <w:lang w:val="en-US" w:eastAsia="zh-CN" w:bidi="ar"/>
        </w:rPr>
        <w:t>肥东县公共资源交易有限公司</w:t>
      </w:r>
    </w:p>
    <w:p w14:paraId="5C8D6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1.7 资金来源：财政资金</w:t>
      </w:r>
    </w:p>
    <w:p w14:paraId="4E8F87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1.8 项目出资比例：</w:t>
      </w:r>
      <w:r>
        <w:rPr>
          <w:rFonts w:hint="eastAsia" w:ascii="仿宋" w:hAnsi="仿宋" w:eastAsia="仿宋" w:cs="楷体"/>
          <w:bCs/>
          <w:snapToGrid w:val="0"/>
          <w:color w:val="auto"/>
          <w:sz w:val="28"/>
          <w:szCs w:val="28"/>
          <w:highlight w:val="none"/>
        </w:rPr>
        <w:t>1</w:t>
      </w:r>
      <w:r>
        <w:rPr>
          <w:rFonts w:ascii="仿宋" w:hAnsi="仿宋" w:eastAsia="仿宋" w:cs="楷体"/>
          <w:bCs/>
          <w:snapToGrid w:val="0"/>
          <w:color w:val="auto"/>
          <w:sz w:val="28"/>
          <w:szCs w:val="28"/>
          <w:highlight w:val="none"/>
        </w:rPr>
        <w:t>00%</w:t>
      </w:r>
      <w:r>
        <w:rPr>
          <w:rFonts w:ascii="仿宋" w:hAnsi="仿宋" w:eastAsia="仿宋" w:cs="楷体"/>
          <w:bCs/>
          <w:snapToGrid w:val="0"/>
          <w:color w:val="auto"/>
          <w:kern w:val="0"/>
          <w:sz w:val="28"/>
          <w:szCs w:val="28"/>
          <w:highlight w:val="none"/>
        </w:rPr>
        <w:t xml:space="preserve">  </w:t>
      </w:r>
    </w:p>
    <w:p w14:paraId="550459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ascii="仿宋" w:hAnsi="仿宋" w:eastAsia="仿宋" w:cs="楷体"/>
          <w:bCs/>
          <w:snapToGrid w:val="0"/>
          <w:color w:val="auto"/>
          <w:kern w:val="0"/>
          <w:sz w:val="28"/>
          <w:szCs w:val="28"/>
          <w:highlight w:val="none"/>
        </w:rPr>
      </w:pPr>
      <w:r>
        <w:rPr>
          <w:rFonts w:hint="eastAsia" w:ascii="仿宋" w:hAnsi="仿宋" w:eastAsia="仿宋" w:cs="仿宋"/>
          <w:bCs/>
          <w:snapToGrid w:val="0"/>
          <w:color w:val="auto"/>
          <w:kern w:val="0"/>
          <w:sz w:val="28"/>
          <w:szCs w:val="28"/>
          <w:highlight w:val="none"/>
          <w:lang w:val="en-US" w:eastAsia="zh-CN" w:bidi="ar"/>
        </w:rPr>
        <w:t>1.9 资金落实情况：</w:t>
      </w:r>
      <w:r>
        <w:rPr>
          <w:rFonts w:hint="eastAsia" w:ascii="仿宋" w:hAnsi="仿宋" w:eastAsia="仿宋" w:cs="楷体"/>
          <w:bCs/>
          <w:snapToGrid w:val="0"/>
          <w:color w:val="auto"/>
          <w:sz w:val="28"/>
          <w:szCs w:val="28"/>
          <w:highlight w:val="none"/>
        </w:rPr>
        <w:t>已落实</w:t>
      </w:r>
      <w:r>
        <w:rPr>
          <w:rFonts w:ascii="仿宋" w:hAnsi="仿宋" w:eastAsia="仿宋" w:cs="楷体"/>
          <w:bCs/>
          <w:snapToGrid w:val="0"/>
          <w:color w:val="auto"/>
          <w:kern w:val="0"/>
          <w:sz w:val="28"/>
          <w:szCs w:val="28"/>
          <w:highlight w:val="none"/>
        </w:rPr>
        <w:t xml:space="preserve"> </w:t>
      </w:r>
    </w:p>
    <w:p w14:paraId="634A4D24">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2.项目概况与招标范围</w:t>
      </w:r>
    </w:p>
    <w:p w14:paraId="22164B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2.1 招标项目名称：2025年肥东县桥头集镇高标准农田建设项目</w:t>
      </w:r>
    </w:p>
    <w:p w14:paraId="4BDF89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2.2 招标项目编号：</w:t>
      </w:r>
      <w:r>
        <w:rPr>
          <w:rFonts w:hint="eastAsia" w:ascii="仿宋" w:hAnsi="仿宋" w:eastAsia="仿宋" w:cs="仿宋"/>
          <w:bCs/>
          <w:snapToGrid w:val="0"/>
          <w:color w:val="auto"/>
          <w:kern w:val="0"/>
          <w:sz w:val="28"/>
          <w:szCs w:val="28"/>
          <w:highlight w:val="none"/>
          <w:lang w:val="en-US" w:eastAsia="zh-CN" w:bidi="ar"/>
        </w:rPr>
        <w:t>2025ADDGZ500xx</w:t>
      </w:r>
    </w:p>
    <w:p w14:paraId="0BC2A7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2.3 标段划分：本项目共分为1个标段</w:t>
      </w:r>
    </w:p>
    <w:p w14:paraId="6F426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2.4 招标项目标段编号：</w:t>
      </w:r>
      <w:r>
        <w:rPr>
          <w:rFonts w:hint="eastAsia" w:ascii="仿宋" w:hAnsi="仿宋" w:eastAsia="仿宋" w:cs="仿宋"/>
          <w:bCs/>
          <w:snapToGrid w:val="0"/>
          <w:color w:val="auto"/>
          <w:kern w:val="0"/>
          <w:sz w:val="28"/>
          <w:szCs w:val="28"/>
          <w:highlight w:val="none"/>
          <w:lang w:val="en-US" w:eastAsia="zh-CN" w:bidi="ar"/>
        </w:rPr>
        <w:t>2025ADDGZ500xx</w:t>
      </w:r>
    </w:p>
    <w:p w14:paraId="782F0C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2.5 建设地点：安徽省合肥市肥东县境内</w:t>
      </w:r>
    </w:p>
    <w:p w14:paraId="3EF7C9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2.6 建设规模：本项目实施桥头集镇梅山、淝光社区2025年高标准农田改造提升建设，约2500亩。</w:t>
      </w:r>
    </w:p>
    <w:p w14:paraId="6BB24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 xml:space="preserve">2.7 </w:t>
      </w:r>
      <w:r>
        <w:rPr>
          <w:rFonts w:hint="eastAsia" w:ascii="仿宋" w:hAnsi="仿宋" w:eastAsia="仿宋" w:cs="仿宋"/>
          <w:bCs/>
          <w:snapToGrid w:val="0"/>
          <w:color w:val="auto"/>
          <w:kern w:val="0"/>
          <w:sz w:val="28"/>
          <w:szCs w:val="28"/>
          <w:highlight w:val="none"/>
          <w:lang w:val="en-US" w:eastAsia="zh-CN" w:bidi="ar"/>
        </w:rPr>
        <w:t>合同估算价：1085万元</w:t>
      </w:r>
    </w:p>
    <w:p w14:paraId="45BEDD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2.8 计划工期：210日历天</w:t>
      </w:r>
    </w:p>
    <w:p w14:paraId="52CCDB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2.9 招标范围：</w:t>
      </w:r>
      <w:r>
        <w:rPr>
          <w:rFonts w:hint="eastAsia" w:ascii="仿宋" w:hAnsi="仿宋" w:eastAsia="仿宋" w:cs="仿宋"/>
          <w:bCs/>
          <w:snapToGrid w:val="0"/>
          <w:color w:val="auto"/>
          <w:kern w:val="0"/>
          <w:sz w:val="28"/>
          <w:szCs w:val="28"/>
          <w:highlight w:val="none"/>
          <w:lang w:val="en-US" w:eastAsia="zh-CN" w:bidi="ar"/>
        </w:rPr>
        <w:t>本项目建设内容包括平整土地、土壤改良、塘坝清淤、沟渠治理、泵站建设、配套田间建筑物、田间道路、科技推广等施工图纸及工程量清单的内容</w:t>
      </w:r>
      <w:r>
        <w:rPr>
          <w:rFonts w:hint="eastAsia" w:ascii="仿宋" w:hAnsi="仿宋" w:eastAsia="仿宋"/>
          <w:color w:val="auto"/>
          <w:sz w:val="28"/>
          <w:szCs w:val="28"/>
          <w:highlight w:val="none"/>
        </w:rPr>
        <w:t>。</w:t>
      </w:r>
    </w:p>
    <w:p w14:paraId="72AA91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2.10 项目类别：</w:t>
      </w:r>
      <w:r>
        <w:rPr>
          <w:rFonts w:hint="eastAsia" w:ascii="仿宋" w:hAnsi="仿宋" w:eastAsia="仿宋"/>
          <w:color w:val="auto"/>
          <w:sz w:val="28"/>
          <w:szCs w:val="28"/>
          <w:highlight w:val="none"/>
        </w:rPr>
        <w:t xml:space="preserve">工程施工 </w:t>
      </w:r>
    </w:p>
    <w:p w14:paraId="3D761E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2.11 其他：无</w:t>
      </w:r>
    </w:p>
    <w:p w14:paraId="430F0061">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3.投标人资格要求</w:t>
      </w:r>
    </w:p>
    <w:p w14:paraId="5A5EC1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bookmarkStart w:id="5" w:name="_Toc29495"/>
      <w:bookmarkStart w:id="6" w:name="_Toc27545"/>
      <w:r>
        <w:rPr>
          <w:rFonts w:hint="eastAsia" w:ascii="仿宋" w:hAnsi="仿宋" w:eastAsia="仿宋" w:cs="仿宋"/>
          <w:bCs/>
          <w:snapToGrid w:val="0"/>
          <w:color w:val="auto"/>
          <w:kern w:val="0"/>
          <w:sz w:val="28"/>
          <w:szCs w:val="28"/>
          <w:highlight w:val="none"/>
          <w:lang w:val="en-US" w:eastAsia="zh-CN" w:bidi="ar"/>
        </w:rPr>
        <w:t>3.1 投标人应依法设立并具备承担本招标项目的如下条件：</w:t>
      </w:r>
      <w:bookmarkEnd w:id="5"/>
      <w:bookmarkEnd w:id="6"/>
    </w:p>
    <w:p w14:paraId="33EACD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3.1.1 投标人资质要求：具备有效的营业执照，具备水利水电工程施工总承包三级及以上资质，具备有效的安全生产许可证；</w:t>
      </w:r>
    </w:p>
    <w:p w14:paraId="515B8A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default"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3.1.2 投标人财务要求：无</w:t>
      </w:r>
    </w:p>
    <w:p w14:paraId="3E5232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3.1.3 投标人业绩要求：</w:t>
      </w:r>
      <w:r>
        <w:rPr>
          <w:rFonts w:hint="eastAsia" w:ascii="仿宋" w:hAnsi="仿宋" w:eastAsia="仿宋" w:cs="仿宋"/>
          <w:bCs/>
          <w:snapToGrid w:val="0"/>
          <w:color w:val="auto"/>
          <w:kern w:val="0"/>
          <w:sz w:val="28"/>
          <w:szCs w:val="28"/>
          <w:highlight w:val="none"/>
          <w:lang w:val="en-US" w:eastAsia="zh-CN" w:bidi="ar"/>
        </w:rPr>
        <w:t>自2022年1月1日以来（以竣工验收时间为准），具备单项合同金额不低于500万元的高标准农田项目施工业绩或农业综合开发施工项目业绩或全国新增千亿斤粮食施工项目业绩。</w:t>
      </w:r>
    </w:p>
    <w:p w14:paraId="4AA1C0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3.1.4 投标人信誉要求：投标人未被合肥市及其所辖县（市）、区（开发区）招标投标行政监督部门记不良行为记录的；或被记不良行为记录（以公布日期为准），但同时符合下列情形的：</w:t>
      </w:r>
    </w:p>
    <w:p w14:paraId="6AC3F7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color w:val="auto"/>
          <w:kern w:val="0"/>
          <w:sz w:val="28"/>
          <w:szCs w:val="28"/>
          <w:highlight w:val="none"/>
          <w:lang w:val="en-US"/>
        </w:rPr>
      </w:pPr>
      <w:r>
        <w:rPr>
          <w:rFonts w:hint="eastAsia" w:ascii="仿宋" w:hAnsi="仿宋" w:eastAsia="仿宋" w:cs="仿宋"/>
          <w:bCs/>
          <w:snapToGrid w:val="0"/>
          <w:color w:val="auto"/>
          <w:kern w:val="0"/>
          <w:sz w:val="28"/>
          <w:szCs w:val="28"/>
          <w:highlight w:val="none"/>
          <w:lang w:val="en-US" w:eastAsia="zh-CN" w:bidi="ar"/>
        </w:rPr>
        <w:t>（1）开标日前（含当日）6个月内记分累计未满10分的；</w:t>
      </w:r>
    </w:p>
    <w:p w14:paraId="4FB601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color w:val="auto"/>
          <w:kern w:val="0"/>
          <w:sz w:val="28"/>
          <w:szCs w:val="28"/>
          <w:highlight w:val="none"/>
          <w:lang w:val="en-US"/>
        </w:rPr>
      </w:pPr>
      <w:r>
        <w:rPr>
          <w:rFonts w:hint="eastAsia" w:ascii="仿宋" w:hAnsi="仿宋" w:eastAsia="仿宋" w:cs="仿宋"/>
          <w:bCs/>
          <w:snapToGrid w:val="0"/>
          <w:color w:val="auto"/>
          <w:kern w:val="0"/>
          <w:sz w:val="28"/>
          <w:szCs w:val="28"/>
          <w:highlight w:val="none"/>
          <w:lang w:val="en-US" w:eastAsia="zh-CN" w:bidi="ar"/>
        </w:rPr>
        <w:t>（2）开标日前（含当日）12个月内记分累计未满15分的；</w:t>
      </w:r>
    </w:p>
    <w:p w14:paraId="3858E1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color w:val="auto"/>
          <w:kern w:val="0"/>
          <w:sz w:val="28"/>
          <w:szCs w:val="28"/>
          <w:highlight w:val="none"/>
          <w:lang w:val="en-US"/>
        </w:rPr>
      </w:pPr>
      <w:r>
        <w:rPr>
          <w:rFonts w:hint="eastAsia" w:ascii="仿宋" w:hAnsi="仿宋" w:eastAsia="仿宋" w:cs="仿宋"/>
          <w:bCs/>
          <w:snapToGrid w:val="0"/>
          <w:color w:val="auto"/>
          <w:kern w:val="0"/>
          <w:sz w:val="28"/>
          <w:szCs w:val="28"/>
          <w:highlight w:val="none"/>
          <w:lang w:val="en-US" w:eastAsia="zh-CN" w:bidi="ar"/>
        </w:rPr>
        <w:t>（3）开标日前（含当日）18个月内记分累计未满20分的；</w:t>
      </w:r>
    </w:p>
    <w:p w14:paraId="2261FC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left"/>
        <w:textAlignment w:val="baseline"/>
        <w:outlineLvl w:val="9"/>
        <w:rPr>
          <w:rFonts w:hint="eastAsia" w:ascii="仿宋" w:hAnsi="仿宋" w:eastAsia="仿宋" w:cs="仿宋"/>
          <w:bCs/>
          <w:snapToGrid w:val="0"/>
          <w:color w:val="auto"/>
          <w:kern w:val="0"/>
          <w:sz w:val="28"/>
          <w:szCs w:val="28"/>
          <w:highlight w:val="none"/>
          <w:lang w:val="en-US" w:eastAsia="zh-CN" w:bidi="ar"/>
        </w:rPr>
      </w:pPr>
      <w:r>
        <w:rPr>
          <w:rFonts w:hint="eastAsia" w:ascii="仿宋" w:hAnsi="仿宋" w:eastAsia="仿宋" w:cs="仿宋"/>
          <w:bCs/>
          <w:snapToGrid w:val="0"/>
          <w:color w:val="auto"/>
          <w:kern w:val="0"/>
          <w:sz w:val="28"/>
          <w:szCs w:val="28"/>
          <w:highlight w:val="none"/>
          <w:lang w:val="en-US" w:eastAsia="zh-CN" w:bidi="ar"/>
        </w:rPr>
        <w:t>（4）开标日前（含当日）24个月内记分累计未满25分的。</w:t>
      </w:r>
    </w:p>
    <w:p w14:paraId="29BFCF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64" w:firstLineChars="100"/>
        <w:jc w:val="left"/>
        <w:textAlignment w:val="baseline"/>
        <w:outlineLvl w:val="9"/>
        <w:rPr>
          <w:rFonts w:hint="eastAsia" w:ascii="仿宋" w:hAnsi="仿宋" w:eastAsia="仿宋" w:cs="仿宋"/>
          <w:color w:val="auto"/>
          <w:spacing w:val="-8"/>
          <w:sz w:val="28"/>
          <w:szCs w:val="28"/>
          <w:highlight w:val="none"/>
          <w:u w:val="single" w:color="auto"/>
        </w:rPr>
      </w:pPr>
      <w:r>
        <w:rPr>
          <w:rFonts w:hint="eastAsia" w:ascii="仿宋" w:hAnsi="仿宋" w:eastAsia="仿宋" w:cs="仿宋"/>
          <w:color w:val="auto"/>
          <w:spacing w:val="-8"/>
          <w:sz w:val="28"/>
          <w:szCs w:val="28"/>
          <w:highlight w:val="none"/>
        </w:rPr>
        <w:t>3.1.5 项目经理的资格要求：具有水利水电</w:t>
      </w:r>
      <w:r>
        <w:rPr>
          <w:rFonts w:hint="eastAsia" w:ascii="仿宋" w:hAnsi="仿宋" w:eastAsia="仿宋" w:cs="仿宋"/>
          <w:color w:val="auto"/>
          <w:spacing w:val="-8"/>
          <w:sz w:val="28"/>
          <w:szCs w:val="28"/>
          <w:highlight w:val="none"/>
          <w:lang w:val="en-US" w:eastAsia="zh-CN"/>
        </w:rPr>
        <w:t>工程</w:t>
      </w:r>
      <w:r>
        <w:rPr>
          <w:rFonts w:hint="eastAsia" w:ascii="仿宋" w:hAnsi="仿宋" w:eastAsia="仿宋" w:cs="仿宋"/>
          <w:color w:val="auto"/>
          <w:spacing w:val="-8"/>
          <w:sz w:val="28"/>
          <w:szCs w:val="28"/>
          <w:highlight w:val="none"/>
        </w:rPr>
        <w:t>专业</w:t>
      </w:r>
      <w:r>
        <w:rPr>
          <w:rFonts w:hint="eastAsia" w:ascii="仿宋" w:hAnsi="仿宋" w:eastAsia="仿宋" w:cs="仿宋"/>
          <w:color w:val="auto"/>
          <w:spacing w:val="-8"/>
          <w:sz w:val="28"/>
          <w:szCs w:val="28"/>
          <w:highlight w:val="none"/>
          <w:lang w:val="en-US" w:eastAsia="zh-CN"/>
        </w:rPr>
        <w:t>二</w:t>
      </w:r>
      <w:r>
        <w:rPr>
          <w:rFonts w:hint="eastAsia" w:ascii="仿宋" w:hAnsi="仿宋" w:eastAsia="仿宋" w:cs="仿宋"/>
          <w:color w:val="auto"/>
          <w:spacing w:val="-8"/>
          <w:sz w:val="28"/>
          <w:szCs w:val="28"/>
          <w:highlight w:val="none"/>
        </w:rPr>
        <w:t>级</w:t>
      </w:r>
      <w:r>
        <w:rPr>
          <w:rFonts w:hint="eastAsia" w:ascii="仿宋" w:hAnsi="仿宋" w:eastAsia="仿宋" w:cs="仿宋"/>
          <w:color w:val="auto"/>
          <w:spacing w:val="-8"/>
          <w:sz w:val="28"/>
          <w:szCs w:val="28"/>
          <w:highlight w:val="none"/>
          <w:lang w:val="en-US" w:eastAsia="zh-CN"/>
        </w:rPr>
        <w:t>及以上</w:t>
      </w:r>
      <w:r>
        <w:rPr>
          <w:rFonts w:hint="eastAsia" w:ascii="仿宋" w:hAnsi="仿宋" w:eastAsia="仿宋" w:cs="仿宋"/>
          <w:color w:val="auto"/>
          <w:spacing w:val="-8"/>
          <w:sz w:val="28"/>
          <w:szCs w:val="28"/>
          <w:highlight w:val="none"/>
        </w:rPr>
        <w:t>建造师注册证书，持有水行政主管部门颁发的B类安全生产考核合格证书。担任项目经理的项目曾导致承包人有不良记录，且在公示期内的不得担任本项目的项目经理；</w:t>
      </w:r>
    </w:p>
    <w:p w14:paraId="3B1DF4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62" w:firstLineChars="100"/>
        <w:jc w:val="left"/>
        <w:textAlignment w:val="baseline"/>
        <w:outlineLvl w:val="9"/>
        <w:rPr>
          <w:rFonts w:hint="eastAsia" w:ascii="仿宋" w:hAnsi="仿宋" w:eastAsia="仿宋" w:cs="仿宋"/>
          <w:color w:val="auto"/>
          <w:spacing w:val="-9"/>
          <w:sz w:val="28"/>
          <w:szCs w:val="28"/>
          <w:highlight w:val="none"/>
          <w:u w:val="single" w:color="auto"/>
          <w:lang w:val="en-US" w:eastAsia="zh-CN"/>
        </w:rPr>
      </w:pPr>
      <w:r>
        <w:rPr>
          <w:rFonts w:hint="eastAsia" w:ascii="仿宋" w:hAnsi="仿宋" w:eastAsia="仿宋" w:cs="仿宋"/>
          <w:color w:val="auto"/>
          <w:spacing w:val="-9"/>
          <w:sz w:val="28"/>
          <w:szCs w:val="28"/>
          <w:highlight w:val="none"/>
        </w:rPr>
        <w:t>3.1.6 其他主要人员要求：</w:t>
      </w:r>
      <w:r>
        <w:rPr>
          <w:rFonts w:hint="eastAsia" w:ascii="仿宋" w:hAnsi="仿宋" w:eastAsia="仿宋" w:cs="仿宋"/>
          <w:color w:val="auto"/>
          <w:spacing w:val="-9"/>
          <w:sz w:val="28"/>
          <w:szCs w:val="28"/>
          <w:highlight w:val="none"/>
          <w:lang w:val="en-US" w:eastAsia="zh-CN"/>
        </w:rPr>
        <w:t>无</w:t>
      </w:r>
    </w:p>
    <w:p w14:paraId="14F6CF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58" w:firstLineChars="100"/>
        <w:jc w:val="left"/>
        <w:textAlignment w:val="baseline"/>
        <w:outlineLvl w:val="9"/>
        <w:rPr>
          <w:rFonts w:hint="eastAsia" w:ascii="仿宋" w:hAnsi="仿宋" w:eastAsia="仿宋" w:cs="仿宋"/>
          <w:color w:val="auto"/>
          <w:spacing w:val="-11"/>
          <w:sz w:val="28"/>
          <w:szCs w:val="28"/>
          <w:highlight w:val="none"/>
        </w:rPr>
      </w:pPr>
      <w:r>
        <w:rPr>
          <w:rFonts w:hint="eastAsia" w:ascii="仿宋" w:hAnsi="仿宋" w:eastAsia="仿宋" w:cs="仿宋"/>
          <w:color w:val="auto"/>
          <w:spacing w:val="-11"/>
          <w:sz w:val="28"/>
          <w:szCs w:val="28"/>
          <w:highlight w:val="none"/>
        </w:rPr>
        <w:t>3.1.7 其他要求：</w:t>
      </w:r>
      <w:r>
        <w:rPr>
          <w:rFonts w:hint="eastAsia" w:ascii="仿宋" w:hAnsi="仿宋" w:eastAsia="仿宋" w:cs="仿宋"/>
          <w:bCs/>
          <w:snapToGrid w:val="0"/>
          <w:color w:val="auto"/>
          <w:kern w:val="0"/>
          <w:sz w:val="28"/>
          <w:szCs w:val="28"/>
          <w:highlight w:val="none"/>
          <w:lang w:val="en-US" w:eastAsia="zh-CN" w:bidi="ar"/>
        </w:rPr>
        <w:t>无</w:t>
      </w:r>
    </w:p>
    <w:p w14:paraId="395ED6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3.2 本次招标</w:t>
      </w:r>
      <w:r>
        <w:rPr>
          <w:rFonts w:hint="eastAsia" w:ascii="仿宋" w:hAnsi="仿宋" w:eastAsia="仿宋" w:cs="仿宋"/>
          <w:color w:val="auto"/>
          <w:spacing w:val="-1"/>
          <w:sz w:val="28"/>
          <w:szCs w:val="28"/>
          <w:highlight w:val="none"/>
          <w:lang w:val="en-US" w:eastAsia="zh-CN"/>
        </w:rPr>
        <w:t>不接受</w:t>
      </w:r>
      <w:r>
        <w:rPr>
          <w:rFonts w:hint="eastAsia" w:ascii="仿宋" w:hAnsi="仿宋" w:eastAsia="仿宋" w:cs="仿宋"/>
          <w:color w:val="auto"/>
          <w:spacing w:val="-1"/>
          <w:sz w:val="28"/>
          <w:szCs w:val="28"/>
          <w:highlight w:val="none"/>
        </w:rPr>
        <w:t>联合体投标。</w:t>
      </w:r>
    </w:p>
    <w:p w14:paraId="01AA74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outlineLvl w:val="9"/>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3.</w:t>
      </w:r>
      <w:r>
        <w:rPr>
          <w:rFonts w:hint="eastAsia" w:ascii="仿宋" w:hAnsi="仿宋" w:eastAsia="仿宋" w:cs="仿宋"/>
          <w:color w:val="auto"/>
          <w:spacing w:val="-1"/>
          <w:sz w:val="28"/>
          <w:szCs w:val="28"/>
          <w:highlight w:val="none"/>
          <w:lang w:val="en-US" w:eastAsia="zh-CN"/>
        </w:rPr>
        <w:t>3</w:t>
      </w:r>
      <w:r>
        <w:rPr>
          <w:rFonts w:hint="eastAsia" w:ascii="仿宋" w:hAnsi="仿宋" w:eastAsia="仿宋" w:cs="仿宋"/>
          <w:color w:val="auto"/>
          <w:spacing w:val="-1"/>
          <w:sz w:val="28"/>
          <w:szCs w:val="28"/>
          <w:highlight w:val="none"/>
        </w:rPr>
        <w:t xml:space="preserve"> 投标人不得存在招标文件第二章投标人须知第</w:t>
      </w:r>
      <w:r>
        <w:rPr>
          <w:rFonts w:hint="eastAsia" w:ascii="仿宋" w:hAnsi="仿宋" w:eastAsia="仿宋" w:cs="仿宋"/>
          <w:color w:val="auto"/>
          <w:spacing w:val="-21"/>
          <w:sz w:val="28"/>
          <w:szCs w:val="28"/>
          <w:highlight w:val="none"/>
        </w:rPr>
        <w:t xml:space="preserve"> </w:t>
      </w:r>
      <w:r>
        <w:rPr>
          <w:rFonts w:hint="eastAsia" w:ascii="仿宋" w:hAnsi="仿宋" w:eastAsia="仿宋" w:cs="仿宋"/>
          <w:color w:val="auto"/>
          <w:spacing w:val="-1"/>
          <w:sz w:val="28"/>
          <w:szCs w:val="28"/>
          <w:highlight w:val="none"/>
        </w:rPr>
        <w:t>1.4.3 项规定的情形</w:t>
      </w:r>
      <w:r>
        <w:rPr>
          <w:rFonts w:hint="eastAsia" w:ascii="仿宋" w:hAnsi="仿宋" w:eastAsia="仿宋" w:cs="仿宋"/>
          <w:color w:val="auto"/>
          <w:spacing w:val="-1"/>
          <w:sz w:val="28"/>
          <w:szCs w:val="28"/>
          <w:highlight w:val="none"/>
          <w:lang w:eastAsia="zh-CN"/>
        </w:rPr>
        <w:t>。</w:t>
      </w:r>
    </w:p>
    <w:p w14:paraId="290A92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4" w:firstLineChars="100"/>
        <w:jc w:val="left"/>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2"/>
          <w:sz w:val="28"/>
          <w:szCs w:val="28"/>
          <w:highlight w:val="none"/>
        </w:rPr>
        <w:t>3.</w:t>
      </w:r>
      <w:r>
        <w:rPr>
          <w:rFonts w:hint="eastAsia" w:ascii="仿宋" w:hAnsi="仿宋" w:eastAsia="仿宋" w:cs="仿宋"/>
          <w:color w:val="auto"/>
          <w:spacing w:val="2"/>
          <w:sz w:val="28"/>
          <w:szCs w:val="28"/>
          <w:highlight w:val="none"/>
          <w:lang w:val="en-US" w:eastAsia="zh-CN"/>
        </w:rPr>
        <w:t>4</w:t>
      </w:r>
      <w:r>
        <w:rPr>
          <w:rFonts w:hint="eastAsia" w:ascii="仿宋" w:hAnsi="仿宋" w:eastAsia="仿宋" w:cs="仿宋"/>
          <w:color w:val="auto"/>
          <w:spacing w:val="2"/>
          <w:sz w:val="28"/>
          <w:szCs w:val="28"/>
          <w:highlight w:val="none"/>
        </w:rPr>
        <w:t xml:space="preserve"> 与招标人存在利害关系可能影响招</w:t>
      </w:r>
      <w:r>
        <w:rPr>
          <w:rFonts w:hint="eastAsia" w:ascii="仿宋" w:hAnsi="仿宋" w:eastAsia="仿宋" w:cs="仿宋"/>
          <w:color w:val="auto"/>
          <w:spacing w:val="1"/>
          <w:sz w:val="28"/>
          <w:szCs w:val="28"/>
          <w:highlight w:val="none"/>
        </w:rPr>
        <w:t>标公正性的单位</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不得参加投标。单位负责人为同一人</w:t>
      </w:r>
      <w:r>
        <w:rPr>
          <w:rFonts w:hint="eastAsia" w:ascii="仿宋" w:hAnsi="仿宋" w:eastAsia="仿宋" w:cs="仿宋"/>
          <w:color w:val="auto"/>
          <w:sz w:val="28"/>
          <w:szCs w:val="28"/>
          <w:highlight w:val="none"/>
        </w:rPr>
        <w:t>或存在控股、管理关系的不同单位，不得参</w:t>
      </w:r>
      <w:r>
        <w:rPr>
          <w:rFonts w:hint="eastAsia" w:ascii="仿宋" w:hAnsi="仿宋" w:eastAsia="仿宋" w:cs="仿宋"/>
          <w:color w:val="auto"/>
          <w:spacing w:val="-1"/>
          <w:sz w:val="28"/>
          <w:szCs w:val="28"/>
          <w:highlight w:val="none"/>
        </w:rPr>
        <w:t>加同一标段投标，否则，相关投标均无效。</w:t>
      </w:r>
    </w:p>
    <w:p w14:paraId="3B5947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4" w:firstLineChars="100"/>
        <w:jc w:val="left"/>
        <w:textAlignment w:val="baseline"/>
        <w:outlineLvl w:val="9"/>
        <w:rPr>
          <w:rFonts w:hint="eastAsia" w:ascii="仿宋" w:hAnsi="仿宋" w:eastAsia="仿宋" w:cs="仿宋"/>
          <w:color w:val="auto"/>
          <w:spacing w:val="2"/>
          <w:sz w:val="28"/>
          <w:szCs w:val="28"/>
          <w:highlight w:val="none"/>
          <w:lang w:val="en-US" w:eastAsia="zh-CN"/>
        </w:rPr>
      </w:pPr>
      <w:bookmarkStart w:id="7" w:name="_Toc1349"/>
      <w:bookmarkStart w:id="8" w:name="_Toc26033"/>
      <w:r>
        <w:rPr>
          <w:rFonts w:hint="eastAsia" w:ascii="仿宋" w:hAnsi="仿宋" w:eastAsia="仿宋" w:cs="仿宋"/>
          <w:color w:val="auto"/>
          <w:spacing w:val="2"/>
          <w:sz w:val="28"/>
          <w:szCs w:val="28"/>
          <w:highlight w:val="none"/>
          <w:lang w:val="en-US" w:eastAsia="zh-CN"/>
        </w:rPr>
        <w:t>3.5 落实政府采购政策需满足的资格要求：无</w:t>
      </w:r>
      <w:bookmarkEnd w:id="7"/>
      <w:bookmarkEnd w:id="8"/>
    </w:p>
    <w:p w14:paraId="6AD55464">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4.招标文件的获取</w:t>
      </w:r>
    </w:p>
    <w:p w14:paraId="726E57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4.1 获取时间：</w:t>
      </w:r>
      <w:r>
        <w:rPr>
          <w:rFonts w:hint="eastAsia" w:ascii="仿宋" w:hAnsi="仿宋" w:eastAsia="仿宋" w:cs="仿宋"/>
          <w:bCs/>
          <w:color w:val="auto"/>
          <w:sz w:val="28"/>
          <w:szCs w:val="28"/>
          <w:highlight w:val="none"/>
          <w:lang w:val="en-US" w:eastAsia="zh-CN" w:bidi="ar"/>
        </w:rPr>
        <w:t>2025</w:t>
      </w:r>
      <w:r>
        <w:rPr>
          <w:rFonts w:hint="eastAsia" w:ascii="仿宋" w:hAnsi="仿宋" w:eastAsia="仿宋" w:cs="仿宋"/>
          <w:bCs/>
          <w:snapToGrid w:val="0"/>
          <w:color w:val="auto"/>
          <w:sz w:val="28"/>
          <w:szCs w:val="28"/>
          <w:highlight w:val="none"/>
          <w:lang w:val="en-US" w:eastAsia="zh-CN" w:bidi="ar"/>
        </w:rPr>
        <w:t>年</w:t>
      </w:r>
      <w:r>
        <w:rPr>
          <w:rFonts w:hint="eastAsia" w:ascii="Times New Roman" w:hAnsi="Times New Roman" w:eastAsia="仿宋" w:cs="Times New Roman"/>
          <w:bCs/>
          <w:snapToGrid w:val="0"/>
          <w:color w:val="auto"/>
          <w:sz w:val="28"/>
          <w:szCs w:val="28"/>
          <w:highlight w:val="none"/>
          <w:lang w:val="en-US" w:eastAsia="zh-CN" w:bidi="ar"/>
        </w:rPr>
        <w:t>10</w:t>
      </w:r>
      <w:r>
        <w:rPr>
          <w:rFonts w:hint="eastAsia" w:ascii="仿宋" w:hAnsi="仿宋" w:eastAsia="仿宋" w:cs="仿宋"/>
          <w:bCs/>
          <w:snapToGrid w:val="0"/>
          <w:color w:val="auto"/>
          <w:sz w:val="28"/>
          <w:szCs w:val="28"/>
          <w:highlight w:val="none"/>
          <w:lang w:val="en-US" w:eastAsia="zh-CN" w:bidi="ar"/>
        </w:rPr>
        <w:t>月</w:t>
      </w:r>
      <w:r>
        <w:rPr>
          <w:rFonts w:hint="eastAsia" w:ascii="Times New Roman" w:hAnsi="Times New Roman" w:eastAsia="仿宋" w:cs="Times New Roman"/>
          <w:bCs/>
          <w:snapToGrid w:val="0"/>
          <w:color w:val="auto"/>
          <w:sz w:val="28"/>
          <w:szCs w:val="28"/>
          <w:highlight w:val="none"/>
          <w:lang w:val="en-US" w:eastAsia="zh-CN" w:bidi="ar"/>
        </w:rPr>
        <w:t>xx</w:t>
      </w:r>
      <w:r>
        <w:rPr>
          <w:rFonts w:hint="eastAsia" w:ascii="仿宋" w:hAnsi="仿宋" w:eastAsia="仿宋" w:cs="仿宋"/>
          <w:bCs/>
          <w:snapToGrid w:val="0"/>
          <w:color w:val="auto"/>
          <w:sz w:val="28"/>
          <w:szCs w:val="28"/>
          <w:highlight w:val="none"/>
          <w:lang w:val="en-US" w:eastAsia="zh-CN" w:bidi="ar"/>
        </w:rPr>
        <w:t>日至投标截止时间。</w:t>
      </w:r>
    </w:p>
    <w:p w14:paraId="70043C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0" w:firstLineChars="100"/>
        <w:jc w:val="left"/>
        <w:textAlignment w:val="baseline"/>
        <w:outlineLvl w:val="9"/>
        <w:rPr>
          <w:rFonts w:hint="eastAsia" w:ascii="仿宋" w:hAnsi="仿宋" w:eastAsia="仿宋" w:cs="仿宋"/>
          <w:color w:val="auto"/>
          <w:spacing w:val="-5"/>
          <w:sz w:val="28"/>
          <w:szCs w:val="28"/>
          <w:highlight w:val="none"/>
        </w:rPr>
      </w:pPr>
      <w:bookmarkStart w:id="9" w:name="_Toc8445"/>
      <w:bookmarkStart w:id="10" w:name="_Toc29613"/>
      <w:r>
        <w:rPr>
          <w:rFonts w:hint="eastAsia" w:ascii="仿宋" w:hAnsi="仿宋" w:eastAsia="仿宋" w:cs="仿宋"/>
          <w:color w:val="auto"/>
          <w:spacing w:val="-5"/>
          <w:sz w:val="28"/>
          <w:szCs w:val="28"/>
          <w:highlight w:val="none"/>
        </w:rPr>
        <w:t>4.2</w:t>
      </w:r>
      <w:r>
        <w:rPr>
          <w:rFonts w:hint="eastAsia" w:ascii="仿宋" w:hAnsi="仿宋" w:eastAsia="仿宋" w:cs="仿宋"/>
          <w:color w:val="auto"/>
          <w:spacing w:val="14"/>
          <w:sz w:val="28"/>
          <w:szCs w:val="28"/>
          <w:highlight w:val="none"/>
        </w:rPr>
        <w:t xml:space="preserve"> </w:t>
      </w:r>
      <w:r>
        <w:rPr>
          <w:rFonts w:hint="eastAsia" w:ascii="仿宋" w:hAnsi="仿宋" w:eastAsia="仿宋" w:cs="仿宋"/>
          <w:color w:val="auto"/>
          <w:spacing w:val="-5"/>
          <w:sz w:val="28"/>
          <w:szCs w:val="28"/>
          <w:highlight w:val="none"/>
        </w:rPr>
        <w:t>获取方式：</w:t>
      </w:r>
      <w:bookmarkEnd w:id="9"/>
      <w:bookmarkEnd w:id="10"/>
    </w:p>
    <w:p w14:paraId="6CE85362">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bCs/>
          <w:snapToGrid/>
          <w:color w:val="auto"/>
          <w:kern w:val="2"/>
          <w:sz w:val="28"/>
          <w:szCs w:val="28"/>
          <w:highlight w:val="none"/>
          <w:lang w:eastAsia="zh-CN"/>
        </w:rPr>
      </w:pPr>
      <w:r>
        <w:rPr>
          <w:rFonts w:hint="eastAsia" w:ascii="仿宋" w:hAnsi="仿宋" w:eastAsia="仿宋" w:cs="Times New Roman"/>
          <w:bCs/>
          <w:snapToGrid/>
          <w:color w:val="auto"/>
          <w:kern w:val="2"/>
          <w:sz w:val="28"/>
          <w:szCs w:val="28"/>
          <w:highlight w:val="none"/>
          <w:lang w:eastAsia="zh-CN"/>
        </w:rPr>
        <w:t>（1）本招标项目实行全流程电子化交易。</w:t>
      </w:r>
    </w:p>
    <w:p w14:paraId="33B9656D">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bCs/>
          <w:snapToGrid/>
          <w:color w:val="auto"/>
          <w:kern w:val="2"/>
          <w:sz w:val="28"/>
          <w:szCs w:val="28"/>
          <w:highlight w:val="none"/>
          <w:lang w:eastAsia="zh-CN"/>
        </w:rPr>
      </w:pPr>
      <w:r>
        <w:rPr>
          <w:rFonts w:hint="eastAsia" w:ascii="仿宋" w:hAnsi="仿宋" w:eastAsia="仿宋" w:cs="Times New Roman"/>
          <w:bCs/>
          <w:snapToGrid/>
          <w:color w:val="auto"/>
          <w:kern w:val="2"/>
          <w:sz w:val="28"/>
          <w:szCs w:val="28"/>
          <w:highlight w:val="none"/>
          <w:lang w:eastAsia="zh-CN"/>
        </w:rPr>
        <w:t>（2）</w:t>
      </w:r>
      <w:r>
        <w:rPr>
          <w:rFonts w:hint="eastAsia" w:ascii="仿宋" w:hAnsi="仿宋" w:eastAsia="仿宋"/>
          <w:color w:val="auto"/>
          <w:sz w:val="28"/>
          <w:szCs w:val="28"/>
          <w:highlight w:val="none"/>
          <w:lang w:val="en-US" w:eastAsia="zh-CN"/>
        </w:rPr>
        <w:t>潜在投标人可登录安徽合肥公共资源交易电子服务系统（以下简称“电子服务系统”）查阅招标文件，如参与投标，则须在本条第4.1款规定的招标文件获取时间内通过安徽合肥公共资源交易中心电子交易系统【新版】（https://jyxt.hfztb.cn/sso/）获取招标文件</w:t>
      </w:r>
      <w:r>
        <w:rPr>
          <w:rFonts w:hint="eastAsia" w:ascii="仿宋" w:hAnsi="仿宋" w:eastAsia="仿宋"/>
          <w:bCs/>
          <w:color w:val="auto"/>
          <w:sz w:val="28"/>
          <w:szCs w:val="28"/>
          <w:highlight w:val="none"/>
          <w:lang w:eastAsia="zh-CN"/>
        </w:rPr>
        <w:t>。</w:t>
      </w:r>
    </w:p>
    <w:p w14:paraId="67C35FE8">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Times New Roman"/>
          <w:bCs/>
          <w:snapToGrid/>
          <w:color w:val="auto"/>
          <w:kern w:val="2"/>
          <w:sz w:val="28"/>
          <w:szCs w:val="28"/>
          <w:highlight w:val="none"/>
          <w:lang w:eastAsia="zh-CN"/>
        </w:rPr>
        <w:t>（3）招标文件获取过程中有任何疑问，请在工作时间</w:t>
      </w:r>
      <w:r>
        <w:rPr>
          <w:rFonts w:hint="eastAsia" w:ascii="仿宋" w:hAnsi="仿宋" w:eastAsia="仿宋" w:cs="Times New Roman"/>
          <w:bCs/>
          <w:snapToGrid/>
          <w:color w:val="auto"/>
          <w:kern w:val="2"/>
          <w:sz w:val="28"/>
          <w:szCs w:val="28"/>
          <w:highlight w:val="none"/>
          <w:lang w:val="en-US" w:eastAsia="zh-CN"/>
        </w:rPr>
        <w:t>（9：00-17：00，节假日休息）</w:t>
      </w:r>
      <w:r>
        <w:rPr>
          <w:rFonts w:hint="eastAsia" w:ascii="仿宋" w:hAnsi="仿宋" w:eastAsia="仿宋" w:cs="Times New Roman"/>
          <w:bCs/>
          <w:snapToGrid/>
          <w:color w:val="auto"/>
          <w:kern w:val="2"/>
          <w:sz w:val="28"/>
          <w:szCs w:val="28"/>
          <w:highlight w:val="none"/>
          <w:lang w:eastAsia="zh-CN"/>
        </w:rPr>
        <w:t>拨打技术支持热线（非项目咨询）：</w:t>
      </w:r>
      <w:r>
        <w:rPr>
          <w:rFonts w:hint="eastAsia" w:ascii="仿宋" w:hAnsi="仿宋" w:eastAsia="仿宋" w:cs="楷体"/>
          <w:bCs/>
          <w:snapToGrid w:val="0"/>
          <w:color w:val="000000"/>
          <w:sz w:val="28"/>
          <w:szCs w:val="28"/>
          <w:highlight w:val="none"/>
        </w:rPr>
        <w:t>0551-66223900</w:t>
      </w:r>
      <w:r>
        <w:rPr>
          <w:rFonts w:hint="eastAsia" w:ascii="仿宋" w:hAnsi="仿宋" w:eastAsia="仿宋" w:cs="楷体"/>
          <w:bCs/>
          <w:snapToGrid w:val="0"/>
          <w:color w:val="000000"/>
          <w:sz w:val="28"/>
          <w:szCs w:val="28"/>
          <w:highlight w:val="none"/>
          <w:lang w:eastAsia="zh-CN"/>
        </w:rPr>
        <w:t>、</w:t>
      </w:r>
      <w:r>
        <w:rPr>
          <w:rFonts w:hint="eastAsia" w:ascii="仿宋" w:hAnsi="仿宋" w:eastAsia="仿宋" w:cs="楷体"/>
          <w:bCs/>
          <w:snapToGrid w:val="0"/>
          <w:color w:val="000000"/>
          <w:sz w:val="28"/>
          <w:szCs w:val="28"/>
          <w:highlight w:val="none"/>
        </w:rPr>
        <w:t>0551-66223899</w:t>
      </w:r>
      <w:r>
        <w:rPr>
          <w:rFonts w:hint="eastAsia" w:ascii="仿宋" w:hAnsi="仿宋" w:eastAsia="仿宋" w:cs="Times New Roman"/>
          <w:bCs/>
          <w:snapToGrid/>
          <w:color w:val="auto"/>
          <w:kern w:val="2"/>
          <w:sz w:val="28"/>
          <w:szCs w:val="28"/>
          <w:highlight w:val="none"/>
          <w:lang w:eastAsia="zh-CN"/>
        </w:rPr>
        <w:t>。</w:t>
      </w:r>
      <w:r>
        <w:rPr>
          <w:rFonts w:hint="eastAsia" w:ascii="仿宋" w:hAnsi="仿宋" w:eastAsia="仿宋" w:cs="仿宋"/>
          <w:color w:val="auto"/>
          <w:sz w:val="28"/>
          <w:szCs w:val="28"/>
          <w:highlight w:val="none"/>
        </w:rPr>
        <w:t>项目咨询请拨打电话：</w:t>
      </w:r>
      <w:r>
        <w:rPr>
          <w:rFonts w:hint="eastAsia" w:ascii="仿宋" w:hAnsi="仿宋" w:eastAsia="仿宋" w:cs="仿宋"/>
          <w:bCs/>
          <w:snapToGrid w:val="0"/>
          <w:color w:val="auto"/>
          <w:sz w:val="28"/>
          <w:szCs w:val="28"/>
          <w:highlight w:val="none"/>
          <w:lang w:val="en-US" w:eastAsia="zh-CN" w:bidi="ar"/>
        </w:rPr>
        <w:t>0551-62520516</w:t>
      </w:r>
      <w:r>
        <w:rPr>
          <w:rFonts w:hint="eastAsia" w:ascii="仿宋" w:hAnsi="仿宋" w:eastAsia="仿宋" w:cs="仿宋"/>
          <w:color w:val="auto"/>
          <w:spacing w:val="-1"/>
          <w:sz w:val="28"/>
          <w:szCs w:val="28"/>
          <w:highlight w:val="none"/>
        </w:rPr>
        <w:t>。</w:t>
      </w:r>
    </w:p>
    <w:p w14:paraId="1CDB3871">
      <w:pPr>
        <w:keepNext w:val="0"/>
        <w:keepLines w:val="0"/>
        <w:pageBreakBefore w:val="0"/>
        <w:widowControl/>
        <w:kinsoku/>
        <w:wordWrap/>
        <w:overflowPunct/>
        <w:topLinePunct w:val="0"/>
        <w:autoSpaceDE/>
        <w:autoSpaceDN/>
        <w:bidi w:val="0"/>
        <w:adjustRightInd w:val="0"/>
        <w:snapToGrid w:val="0"/>
        <w:spacing w:before="30" w:line="560" w:lineRule="exact"/>
        <w:ind w:firstLine="276" w:firstLineChars="100"/>
        <w:textAlignment w:val="baseline"/>
        <w:outlineLvl w:val="9"/>
        <w:rPr>
          <w:rFonts w:hint="eastAsia" w:ascii="仿宋" w:hAnsi="仿宋" w:eastAsia="仿宋" w:cs="仿宋"/>
          <w:color w:val="auto"/>
          <w:spacing w:val="-2"/>
          <w:sz w:val="28"/>
          <w:szCs w:val="28"/>
          <w:highlight w:val="none"/>
        </w:rPr>
      </w:pPr>
      <w:bookmarkStart w:id="11" w:name="_Toc15364"/>
      <w:bookmarkStart w:id="12" w:name="_Toc15999"/>
      <w:r>
        <w:rPr>
          <w:rFonts w:hint="eastAsia" w:ascii="仿宋" w:hAnsi="仿宋" w:eastAsia="仿宋" w:cs="仿宋"/>
          <w:color w:val="auto"/>
          <w:spacing w:val="-2"/>
          <w:sz w:val="28"/>
          <w:szCs w:val="28"/>
          <w:highlight w:val="none"/>
        </w:rPr>
        <w:t>4.3 招标文件价格：</w:t>
      </w:r>
      <w:r>
        <w:rPr>
          <w:rFonts w:hint="eastAsia" w:ascii="仿宋" w:hAnsi="仿宋" w:eastAsia="仿宋" w:cs="仿宋"/>
          <w:color w:val="auto"/>
          <w:spacing w:val="-2"/>
          <w:sz w:val="28"/>
          <w:szCs w:val="28"/>
          <w:highlight w:val="none"/>
          <w:u w:val="none" w:color="auto"/>
        </w:rPr>
        <w:t>0</w:t>
      </w:r>
      <w:r>
        <w:rPr>
          <w:rFonts w:hint="eastAsia" w:ascii="仿宋" w:hAnsi="仿宋" w:eastAsia="仿宋" w:cs="仿宋"/>
          <w:color w:val="auto"/>
          <w:spacing w:val="-2"/>
          <w:sz w:val="28"/>
          <w:szCs w:val="28"/>
          <w:highlight w:val="none"/>
        </w:rPr>
        <w:t>元。</w:t>
      </w:r>
      <w:bookmarkEnd w:id="11"/>
      <w:bookmarkEnd w:id="12"/>
    </w:p>
    <w:p w14:paraId="1A0BCBEC">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5.投标文件的递交</w:t>
      </w:r>
    </w:p>
    <w:p w14:paraId="3599A639">
      <w:pPr>
        <w:keepNext w:val="0"/>
        <w:keepLines w:val="0"/>
        <w:pageBreakBefore w:val="0"/>
        <w:widowControl/>
        <w:kinsoku/>
        <w:wordWrap/>
        <w:overflowPunct/>
        <w:topLinePunct w:val="0"/>
        <w:autoSpaceDE/>
        <w:autoSpaceDN/>
        <w:bidi w:val="0"/>
        <w:adjustRightInd w:val="0"/>
        <w:snapToGrid w:val="0"/>
        <w:spacing w:before="30" w:line="560" w:lineRule="exact"/>
        <w:ind w:firstLine="282" w:firstLineChars="100"/>
        <w:textAlignment w:val="baseline"/>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5.1 投标文件递交的截止时间（投标截止时</w:t>
      </w:r>
      <w:r>
        <w:rPr>
          <w:rFonts w:hint="eastAsia" w:ascii="仿宋" w:hAnsi="仿宋" w:eastAsia="仿宋" w:cs="仿宋"/>
          <w:color w:val="auto"/>
          <w:sz w:val="28"/>
          <w:szCs w:val="28"/>
          <w:highlight w:val="none"/>
        </w:rPr>
        <w:t>间，下同）：</w:t>
      </w:r>
      <w:r>
        <w:rPr>
          <w:rFonts w:hint="eastAsia" w:ascii="仿宋" w:hAnsi="仿宋" w:eastAsia="仿宋" w:cs="仿宋"/>
          <w:bCs/>
          <w:color w:val="auto"/>
          <w:sz w:val="28"/>
          <w:szCs w:val="28"/>
          <w:highlight w:val="none"/>
          <w:lang w:val="en-US" w:eastAsia="zh-CN" w:bidi="ar"/>
        </w:rPr>
        <w:t>2025</w:t>
      </w:r>
      <w:r>
        <w:rPr>
          <w:rFonts w:hint="eastAsia" w:ascii="仿宋" w:hAnsi="仿宋" w:eastAsia="仿宋" w:cs="仿宋"/>
          <w:bCs/>
          <w:snapToGrid w:val="0"/>
          <w:color w:val="auto"/>
          <w:sz w:val="28"/>
          <w:szCs w:val="28"/>
          <w:highlight w:val="none"/>
          <w:lang w:val="en-US" w:eastAsia="zh-CN" w:bidi="ar"/>
        </w:rPr>
        <w:t>年</w:t>
      </w:r>
      <w:r>
        <w:rPr>
          <w:rFonts w:hint="eastAsia" w:ascii="仿宋" w:hAnsi="仿宋" w:eastAsia="仿宋" w:cs="仿宋"/>
          <w:bCs/>
          <w:color w:val="auto"/>
          <w:sz w:val="28"/>
          <w:szCs w:val="28"/>
          <w:highlight w:val="none"/>
          <w:lang w:val="en-US" w:eastAsia="zh-CN" w:bidi="ar"/>
        </w:rPr>
        <w:t>11</w:t>
      </w:r>
      <w:r>
        <w:rPr>
          <w:rFonts w:hint="eastAsia" w:ascii="仿宋" w:hAnsi="仿宋" w:eastAsia="仿宋" w:cs="仿宋"/>
          <w:bCs/>
          <w:snapToGrid w:val="0"/>
          <w:color w:val="auto"/>
          <w:sz w:val="28"/>
          <w:szCs w:val="28"/>
          <w:highlight w:val="none"/>
          <w:lang w:val="en-US" w:eastAsia="zh-CN" w:bidi="ar"/>
        </w:rPr>
        <w:t>月xx日</w:t>
      </w:r>
      <w:r>
        <w:rPr>
          <w:rFonts w:hint="eastAsia" w:ascii="仿宋" w:hAnsi="仿宋" w:eastAsia="仿宋" w:cs="仿宋"/>
          <w:bCs/>
          <w:color w:val="auto"/>
          <w:sz w:val="28"/>
          <w:szCs w:val="28"/>
          <w:highlight w:val="none"/>
          <w:lang w:val="en-US" w:eastAsia="zh-CN" w:bidi="ar"/>
        </w:rPr>
        <w:t>10</w:t>
      </w:r>
      <w:r>
        <w:rPr>
          <w:rFonts w:hint="eastAsia" w:ascii="仿宋" w:hAnsi="仿宋" w:eastAsia="仿宋" w:cs="仿宋"/>
          <w:bCs/>
          <w:snapToGrid w:val="0"/>
          <w:color w:val="auto"/>
          <w:sz w:val="28"/>
          <w:szCs w:val="28"/>
          <w:highlight w:val="none"/>
          <w:lang w:val="en-US" w:eastAsia="zh-CN" w:bidi="ar"/>
        </w:rPr>
        <w:t>时</w:t>
      </w:r>
      <w:r>
        <w:rPr>
          <w:rFonts w:hint="eastAsia" w:ascii="仿宋" w:hAnsi="仿宋" w:eastAsia="仿宋" w:cs="仿宋"/>
          <w:bCs/>
          <w:color w:val="auto"/>
          <w:sz w:val="28"/>
          <w:szCs w:val="28"/>
          <w:highlight w:val="none"/>
          <w:lang w:val="en-US" w:eastAsia="zh-CN" w:bidi="ar"/>
        </w:rPr>
        <w:t>00</w:t>
      </w:r>
      <w:r>
        <w:rPr>
          <w:rFonts w:hint="eastAsia" w:ascii="仿宋" w:hAnsi="仿宋" w:eastAsia="仿宋" w:cs="仿宋"/>
          <w:bCs/>
          <w:snapToGrid w:val="0"/>
          <w:color w:val="auto"/>
          <w:sz w:val="28"/>
          <w:szCs w:val="28"/>
          <w:highlight w:val="none"/>
          <w:lang w:val="en-US" w:eastAsia="zh-CN" w:bidi="ar"/>
        </w:rPr>
        <w:t>分</w:t>
      </w:r>
      <w:r>
        <w:rPr>
          <w:rFonts w:hint="eastAsia" w:ascii="仿宋" w:hAnsi="仿宋" w:eastAsia="仿宋" w:cs="仿宋"/>
          <w:color w:val="auto"/>
          <w:sz w:val="28"/>
          <w:szCs w:val="28"/>
          <w:highlight w:val="none"/>
          <w:lang w:val="en-US" w:eastAsia="zh-CN"/>
        </w:rPr>
        <w:t>。</w:t>
      </w:r>
      <w:bookmarkStart w:id="13" w:name="_Toc18439"/>
      <w:bookmarkStart w:id="14" w:name="_Toc27638"/>
    </w:p>
    <w:p w14:paraId="664C8E10">
      <w:pPr>
        <w:keepNext w:val="0"/>
        <w:keepLines w:val="0"/>
        <w:pageBreakBefore w:val="0"/>
        <w:widowControl/>
        <w:kinsoku/>
        <w:wordWrap/>
        <w:overflowPunct/>
        <w:topLinePunct w:val="0"/>
        <w:autoSpaceDE/>
        <w:autoSpaceDN/>
        <w:bidi w:val="0"/>
        <w:adjustRightInd w:val="0"/>
        <w:snapToGrid w:val="0"/>
        <w:spacing w:before="30" w:line="560" w:lineRule="exact"/>
        <w:ind w:firstLine="280" w:firstLine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 投标文件递交方式：</w:t>
      </w:r>
      <w:bookmarkEnd w:id="13"/>
      <w:bookmarkEnd w:id="14"/>
      <w:r>
        <w:rPr>
          <w:rFonts w:hint="eastAsia" w:ascii="仿宋" w:hAnsi="仿宋" w:eastAsia="仿宋"/>
          <w:color w:val="auto"/>
          <w:sz w:val="28"/>
          <w:szCs w:val="28"/>
          <w:highlight w:val="none"/>
          <w:lang w:val="en-US" w:eastAsia="zh-CN"/>
        </w:rPr>
        <w:t>投标人应在截止时间前通过安徽合肥公共资源交易中心电子交易系统【新版】（https://jyxt.hfztb.cn/sso/）递交电子投标文件</w:t>
      </w:r>
      <w:r>
        <w:rPr>
          <w:rFonts w:hint="eastAsia" w:ascii="仿宋" w:hAnsi="仿宋" w:eastAsia="仿宋"/>
          <w:color w:val="auto"/>
          <w:sz w:val="28"/>
          <w:szCs w:val="28"/>
          <w:highlight w:val="none"/>
        </w:rPr>
        <w:t>。</w:t>
      </w:r>
    </w:p>
    <w:p w14:paraId="021AAF1D">
      <w:pPr>
        <w:keepNext w:val="0"/>
        <w:keepLines w:val="0"/>
        <w:pageBreakBefore w:val="0"/>
        <w:widowControl/>
        <w:kinsoku/>
        <w:wordWrap/>
        <w:overflowPunct/>
        <w:topLinePunct w:val="0"/>
        <w:autoSpaceDE/>
        <w:autoSpaceDN/>
        <w:bidi w:val="0"/>
        <w:adjustRightInd w:val="0"/>
        <w:snapToGrid w:val="0"/>
        <w:spacing w:before="30" w:line="560" w:lineRule="exact"/>
        <w:ind w:firstLine="282" w:firstLine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5.3 投标人应充分考</w:t>
      </w:r>
      <w:r>
        <w:rPr>
          <w:rFonts w:hint="eastAsia" w:ascii="仿宋" w:hAnsi="仿宋" w:eastAsia="仿宋" w:cs="仿宋"/>
          <w:color w:val="auto"/>
          <w:sz w:val="28"/>
          <w:szCs w:val="28"/>
          <w:highlight w:val="none"/>
        </w:rPr>
        <w:t>虑网上递交投标文件时的不可预见因素，逾期未完成上传或未按规定加密的投标文件，电子交易平台将拒绝接收并提示</w:t>
      </w:r>
      <w:r>
        <w:rPr>
          <w:rFonts w:hint="eastAsia" w:ascii="仿宋" w:hAnsi="仿宋" w:eastAsia="仿宋" w:cs="仿宋"/>
          <w:color w:val="auto"/>
          <w:sz w:val="28"/>
          <w:szCs w:val="28"/>
          <w:highlight w:val="none"/>
          <w:lang w:eastAsia="zh-CN"/>
        </w:rPr>
        <w:t>。</w:t>
      </w:r>
    </w:p>
    <w:p w14:paraId="51A38755">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6.资格审查方式</w:t>
      </w:r>
    </w:p>
    <w:p w14:paraId="1E06612E">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firstLine="278" w:firstLineChars="100"/>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u w:val="none" w:color="auto"/>
        </w:rPr>
        <w:t>本招标项目采用资格后审方</w:t>
      </w:r>
      <w:r>
        <w:rPr>
          <w:rFonts w:hint="eastAsia" w:ascii="仿宋" w:hAnsi="仿宋" w:eastAsia="仿宋" w:cs="仿宋"/>
          <w:color w:val="auto"/>
          <w:spacing w:val="-1"/>
          <w:sz w:val="28"/>
          <w:szCs w:val="28"/>
          <w:highlight w:val="none"/>
        </w:rPr>
        <w:t>式进行资格审查。</w:t>
      </w:r>
    </w:p>
    <w:p w14:paraId="74227845">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7.评标办法</w:t>
      </w:r>
    </w:p>
    <w:p w14:paraId="387181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both"/>
        <w:textAlignment w:val="baseline"/>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本招标项目评标办法采用</w:t>
      </w:r>
      <w:r>
        <w:rPr>
          <w:rFonts w:hint="eastAsia" w:ascii="仿宋" w:hAnsi="仿宋" w:eastAsia="仿宋" w:cs="仿宋"/>
          <w:snapToGrid w:val="0"/>
          <w:color w:val="auto"/>
          <w:kern w:val="0"/>
          <w:sz w:val="28"/>
          <w:szCs w:val="28"/>
          <w:highlight w:val="none"/>
          <w:lang w:val="en-US" w:eastAsia="zh-CN" w:bidi="ar"/>
        </w:rPr>
        <w:t>综合评估法</w:t>
      </w:r>
      <w:r>
        <w:rPr>
          <w:rFonts w:hint="default" w:ascii="仿宋" w:hAnsi="仿宋" w:eastAsia="仿宋" w:cs="仿宋"/>
          <w:snapToGrid w:val="0"/>
          <w:color w:val="auto"/>
          <w:kern w:val="0"/>
          <w:sz w:val="28"/>
          <w:szCs w:val="28"/>
          <w:highlight w:val="none"/>
          <w:lang w:val="en-US" w:eastAsia="zh-CN" w:bidi="ar"/>
        </w:rPr>
        <w:t>(</w:t>
      </w:r>
      <w:r>
        <w:rPr>
          <w:rFonts w:hint="eastAsia" w:ascii="仿宋" w:hAnsi="仿宋" w:eastAsia="仿宋" w:cs="仿宋"/>
          <w:snapToGrid w:val="0"/>
          <w:color w:val="auto"/>
          <w:kern w:val="0"/>
          <w:sz w:val="28"/>
          <w:szCs w:val="28"/>
          <w:highlight w:val="none"/>
          <w:lang w:val="en-US" w:eastAsia="zh-CN" w:bidi="ar"/>
        </w:rPr>
        <w:t>合理低价</w:t>
      </w:r>
      <w:r>
        <w:rPr>
          <w:rFonts w:hint="default" w:ascii="仿宋" w:hAnsi="仿宋" w:eastAsia="仿宋" w:cs="仿宋"/>
          <w:snapToGrid w:val="0"/>
          <w:color w:val="auto"/>
          <w:kern w:val="0"/>
          <w:sz w:val="28"/>
          <w:szCs w:val="28"/>
          <w:highlight w:val="none"/>
          <w:lang w:val="en-US" w:eastAsia="zh-CN" w:bidi="ar"/>
        </w:rPr>
        <w:t>)</w:t>
      </w:r>
      <w:r>
        <w:rPr>
          <w:rFonts w:hint="eastAsia" w:ascii="仿宋" w:hAnsi="仿宋" w:eastAsia="仿宋" w:cs="仿宋"/>
          <w:color w:val="auto"/>
          <w:spacing w:val="-1"/>
          <w:sz w:val="28"/>
          <w:szCs w:val="28"/>
          <w:highlight w:val="none"/>
          <w:lang w:val="en-US" w:eastAsia="zh-CN"/>
        </w:rPr>
        <w:t>。</w:t>
      </w:r>
    </w:p>
    <w:p w14:paraId="1A22AD1E">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8.开标时间及地点</w:t>
      </w:r>
    </w:p>
    <w:p w14:paraId="0F88703C">
      <w:pPr>
        <w:keepNext w:val="0"/>
        <w:keepLines w:val="0"/>
        <w:pageBreakBefore w:val="0"/>
        <w:widowControl/>
        <w:kinsoku/>
        <w:wordWrap/>
        <w:overflowPunct/>
        <w:topLinePunct w:val="0"/>
        <w:autoSpaceDE/>
        <w:autoSpaceDN/>
        <w:bidi w:val="0"/>
        <w:adjustRightInd w:val="0"/>
        <w:snapToGrid w:val="0"/>
        <w:spacing w:before="30" w:line="560" w:lineRule="exact"/>
        <w:ind w:firstLine="280" w:firstLineChars="100"/>
        <w:textAlignment w:val="baseline"/>
        <w:outlineLvl w:val="9"/>
        <w:rPr>
          <w:rFonts w:hint="eastAsia" w:ascii="仿宋" w:hAnsi="仿宋" w:eastAsia="仿宋" w:cs="仿宋"/>
          <w:bCs/>
          <w:snapToGrid w:val="0"/>
          <w:color w:val="auto"/>
          <w:sz w:val="28"/>
          <w:szCs w:val="28"/>
          <w:highlight w:val="none"/>
          <w:lang w:val="en-US" w:eastAsia="zh-CN" w:bidi="ar"/>
        </w:rPr>
      </w:pPr>
      <w:bookmarkStart w:id="15" w:name="_Toc22574"/>
      <w:bookmarkStart w:id="16" w:name="_Toc6419"/>
      <w:r>
        <w:rPr>
          <w:rFonts w:hint="eastAsia" w:ascii="仿宋" w:hAnsi="仿宋" w:eastAsia="仿宋" w:cs="仿宋"/>
          <w:bCs/>
          <w:snapToGrid w:val="0"/>
          <w:color w:val="auto"/>
          <w:sz w:val="28"/>
          <w:szCs w:val="28"/>
          <w:highlight w:val="none"/>
          <w:lang w:val="en-US" w:eastAsia="zh-CN" w:bidi="ar"/>
        </w:rPr>
        <w:t>8.1 开标时间：</w:t>
      </w:r>
      <w:r>
        <w:rPr>
          <w:rFonts w:hint="eastAsia" w:ascii="仿宋" w:hAnsi="仿宋" w:eastAsia="仿宋" w:cs="宋体"/>
          <w:bCs/>
          <w:color w:val="auto"/>
          <w:sz w:val="28"/>
          <w:szCs w:val="28"/>
          <w:highlight w:val="none"/>
          <w:lang w:val="en-US" w:eastAsia="zh-CN" w:bidi="ar"/>
        </w:rPr>
        <w:t>2025年11月xx日10 时00分。</w:t>
      </w:r>
      <w:bookmarkEnd w:id="15"/>
      <w:bookmarkEnd w:id="16"/>
    </w:p>
    <w:p w14:paraId="64A425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auto"/>
          <w:sz w:val="28"/>
          <w:szCs w:val="28"/>
          <w:highlight w:val="none"/>
          <w:lang w:val="en-US" w:eastAsia="zh-CN" w:bidi="ar"/>
        </w:rPr>
      </w:pPr>
      <w:r>
        <w:rPr>
          <w:rFonts w:hint="eastAsia" w:ascii="仿宋" w:hAnsi="仿宋" w:eastAsia="仿宋" w:cs="仿宋"/>
          <w:bCs/>
          <w:snapToGrid w:val="0"/>
          <w:color w:val="auto"/>
          <w:sz w:val="28"/>
          <w:szCs w:val="28"/>
          <w:highlight w:val="none"/>
          <w:lang w:val="en-US" w:eastAsia="zh-CN" w:bidi="ar"/>
        </w:rPr>
        <w:t>8.2 开标地点：</w:t>
      </w:r>
      <w:r>
        <w:rPr>
          <w:rFonts w:hint="eastAsia" w:ascii="仿宋" w:hAnsi="仿宋" w:eastAsia="仿宋"/>
          <w:color w:val="auto"/>
          <w:sz w:val="28"/>
          <w:szCs w:val="28"/>
          <w:highlight w:val="none"/>
        </w:rPr>
        <w:t>合肥市肥东县店埠镇深秀路2号肥东县政务服务中心四楼C区</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号开标室</w:t>
      </w:r>
    </w:p>
    <w:p w14:paraId="632EA8EA">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9.发布公告的媒介</w:t>
      </w:r>
    </w:p>
    <w:p w14:paraId="6894F202">
      <w:pPr>
        <w:keepNext w:val="0"/>
        <w:keepLines w:val="0"/>
        <w:pageBreakBefore w:val="0"/>
        <w:widowControl/>
        <w:kinsoku/>
        <w:wordWrap/>
        <w:overflowPunct/>
        <w:topLinePunct w:val="0"/>
        <w:autoSpaceDE/>
        <w:autoSpaceDN/>
        <w:bidi w:val="0"/>
        <w:adjustRightInd w:val="0"/>
        <w:snapToGrid w:val="0"/>
        <w:spacing w:before="30" w:line="560" w:lineRule="exact"/>
        <w:ind w:firstLine="270" w:firstLineChars="100"/>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5"/>
          <w:sz w:val="28"/>
          <w:szCs w:val="28"/>
          <w:highlight w:val="none"/>
        </w:rPr>
        <w:t>本次招标公告同时在</w:t>
      </w:r>
      <w:r>
        <w:rPr>
          <w:rFonts w:hint="eastAsia" w:ascii="仿宋" w:hAnsi="仿宋" w:eastAsia="仿宋" w:cs="楷体"/>
          <w:bCs/>
          <w:snapToGrid w:val="0"/>
          <w:color w:val="auto"/>
          <w:sz w:val="28"/>
          <w:szCs w:val="28"/>
          <w:highlight w:val="none"/>
          <w:lang w:val="en-US" w:eastAsia="zh-CN" w:bidi="ar"/>
        </w:rPr>
        <w:t>安徽合肥公共资源交易中心网站、安徽省公共资源交易监管网、全国公共资源交易平台上</w:t>
      </w:r>
      <w:r>
        <w:rPr>
          <w:rFonts w:hint="eastAsia" w:ascii="仿宋" w:hAnsi="仿宋" w:eastAsia="仿宋" w:cs="仿宋"/>
          <w:color w:val="auto"/>
          <w:spacing w:val="-1"/>
          <w:sz w:val="28"/>
          <w:szCs w:val="28"/>
          <w:highlight w:val="none"/>
        </w:rPr>
        <w:t>发布。</w:t>
      </w:r>
    </w:p>
    <w:p w14:paraId="79BBB396">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10.联系方式</w:t>
      </w:r>
    </w:p>
    <w:p w14:paraId="5EBD78E0">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rPr>
      </w:pPr>
      <w:bookmarkStart w:id="17" w:name="_Toc10637"/>
      <w:bookmarkStart w:id="18" w:name="_Toc22330"/>
      <w:r>
        <w:rPr>
          <w:rFonts w:hint="eastAsia" w:ascii="仿宋" w:hAnsi="仿宋" w:eastAsia="仿宋" w:cs="仿宋"/>
          <w:color w:val="auto"/>
          <w:spacing w:val="-3"/>
          <w:sz w:val="28"/>
          <w:szCs w:val="28"/>
          <w:highlight w:val="none"/>
          <w:lang w:val="en-US" w:eastAsia="zh-CN"/>
        </w:rPr>
        <w:t xml:space="preserve">10.1 </w:t>
      </w:r>
      <w:r>
        <w:rPr>
          <w:rFonts w:hint="eastAsia" w:ascii="仿宋" w:hAnsi="仿宋" w:eastAsia="仿宋" w:cs="仿宋"/>
          <w:color w:val="auto"/>
          <w:spacing w:val="-3"/>
          <w:sz w:val="28"/>
          <w:szCs w:val="28"/>
          <w:highlight w:val="none"/>
        </w:rPr>
        <w:t>招标人</w:t>
      </w:r>
      <w:bookmarkEnd w:id="17"/>
      <w:bookmarkEnd w:id="18"/>
    </w:p>
    <w:p w14:paraId="123D181C">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12"/>
          <w:sz w:val="28"/>
          <w:szCs w:val="28"/>
          <w:highlight w:val="none"/>
          <w:u w:val="single" w:color="auto"/>
          <w:lang w:eastAsia="zh-CN"/>
        </w:rPr>
      </w:pPr>
      <w:r>
        <w:rPr>
          <w:rFonts w:hint="eastAsia" w:ascii="仿宋" w:hAnsi="仿宋" w:eastAsia="仿宋" w:cs="仿宋"/>
          <w:color w:val="auto"/>
          <w:spacing w:val="-12"/>
          <w:sz w:val="28"/>
          <w:szCs w:val="28"/>
          <w:highlight w:val="none"/>
        </w:rPr>
        <w:t>招 标</w:t>
      </w:r>
      <w:r>
        <w:rPr>
          <w:rFonts w:hint="eastAsia" w:ascii="仿宋" w:hAnsi="仿宋" w:eastAsia="仿宋" w:cs="仿宋"/>
          <w:color w:val="auto"/>
          <w:spacing w:val="8"/>
          <w:sz w:val="28"/>
          <w:szCs w:val="28"/>
          <w:highlight w:val="none"/>
        </w:rPr>
        <w:t xml:space="preserve"> </w:t>
      </w:r>
      <w:r>
        <w:rPr>
          <w:rFonts w:hint="eastAsia" w:ascii="仿宋" w:hAnsi="仿宋" w:eastAsia="仿宋" w:cs="仿宋"/>
          <w:color w:val="auto"/>
          <w:spacing w:val="-12"/>
          <w:sz w:val="28"/>
          <w:szCs w:val="28"/>
          <w:highlight w:val="none"/>
        </w:rPr>
        <w:t>人：</w:t>
      </w:r>
      <w:r>
        <w:rPr>
          <w:rFonts w:hint="eastAsia" w:ascii="仿宋" w:hAnsi="仿宋" w:eastAsia="仿宋" w:cs="仿宋"/>
          <w:color w:val="auto"/>
          <w:spacing w:val="-12"/>
          <w:sz w:val="28"/>
          <w:szCs w:val="28"/>
          <w:highlight w:val="none"/>
          <w:lang w:eastAsia="zh-CN"/>
        </w:rPr>
        <w:t>肥东县桥头集镇人民政府</w:t>
      </w:r>
    </w:p>
    <w:p w14:paraId="455645F1">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default" w:ascii="仿宋" w:hAnsi="仿宋" w:eastAsia="仿宋" w:cs="仿宋"/>
          <w:color w:val="auto"/>
          <w:spacing w:val="-12"/>
          <w:sz w:val="28"/>
          <w:szCs w:val="28"/>
          <w:highlight w:val="none"/>
          <w:u w:val="single" w:color="auto"/>
          <w:lang w:val="en-US" w:eastAsia="zh-CN"/>
        </w:rPr>
      </w:pPr>
      <w:r>
        <w:rPr>
          <w:rFonts w:hint="eastAsia" w:ascii="仿宋" w:hAnsi="仿宋" w:eastAsia="仿宋" w:cs="仿宋"/>
          <w:color w:val="auto"/>
          <w:spacing w:val="-12"/>
          <w:sz w:val="28"/>
          <w:szCs w:val="28"/>
          <w:highlight w:val="none"/>
        </w:rPr>
        <w:t>地</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12"/>
          <w:sz w:val="28"/>
          <w:szCs w:val="28"/>
          <w:highlight w:val="none"/>
        </w:rPr>
        <w:t>址：</w:t>
      </w:r>
      <w:r>
        <w:rPr>
          <w:rFonts w:hint="eastAsia" w:ascii="仿宋" w:hAnsi="仿宋" w:eastAsia="仿宋" w:cs="仿宋"/>
          <w:color w:val="auto"/>
          <w:spacing w:val="-12"/>
          <w:sz w:val="28"/>
          <w:szCs w:val="28"/>
          <w:highlight w:val="none"/>
          <w:lang w:val="en-US" w:eastAsia="zh-CN"/>
        </w:rPr>
        <w:t>安徽省合肥市肥东县桥头集镇龙泉中路1号</w:t>
      </w:r>
    </w:p>
    <w:p w14:paraId="6CC6E233">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0"/>
          <w:sz w:val="28"/>
          <w:szCs w:val="28"/>
          <w:highlight w:val="none"/>
        </w:rPr>
        <w:t>联 系</w:t>
      </w:r>
      <w:r>
        <w:rPr>
          <w:rFonts w:hint="eastAsia" w:ascii="仿宋" w:hAnsi="仿宋" w:eastAsia="仿宋" w:cs="仿宋"/>
          <w:color w:val="auto"/>
          <w:spacing w:val="15"/>
          <w:sz w:val="28"/>
          <w:szCs w:val="28"/>
          <w:highlight w:val="none"/>
        </w:rPr>
        <w:t xml:space="preserve"> </w:t>
      </w:r>
      <w:r>
        <w:rPr>
          <w:rFonts w:hint="eastAsia" w:ascii="仿宋" w:hAnsi="仿宋" w:eastAsia="仿宋" w:cs="仿宋"/>
          <w:color w:val="auto"/>
          <w:spacing w:val="-10"/>
          <w:sz w:val="28"/>
          <w:szCs w:val="28"/>
          <w:highlight w:val="none"/>
        </w:rPr>
        <w:t>人：</w:t>
      </w:r>
      <w:r>
        <w:rPr>
          <w:rFonts w:hint="eastAsia" w:ascii="仿宋" w:hAnsi="仿宋" w:eastAsia="仿宋" w:cs="仿宋"/>
          <w:color w:val="auto"/>
          <w:spacing w:val="-10"/>
          <w:sz w:val="28"/>
          <w:szCs w:val="28"/>
          <w:highlight w:val="none"/>
          <w:lang w:val="en-US" w:eastAsia="zh-CN"/>
        </w:rPr>
        <w:t>方永康</w:t>
      </w:r>
    </w:p>
    <w:p w14:paraId="42AD45C1">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default" w:ascii="仿宋" w:hAnsi="仿宋" w:eastAsia="仿宋" w:cs="仿宋"/>
          <w:color w:val="auto"/>
          <w:spacing w:val="-15"/>
          <w:sz w:val="28"/>
          <w:szCs w:val="28"/>
          <w:highlight w:val="none"/>
          <w:lang w:val="en-US"/>
        </w:rPr>
      </w:pPr>
      <w:r>
        <w:rPr>
          <w:rFonts w:hint="eastAsia" w:ascii="仿宋" w:hAnsi="仿宋" w:eastAsia="仿宋" w:cs="仿宋"/>
          <w:color w:val="auto"/>
          <w:spacing w:val="-15"/>
          <w:sz w:val="28"/>
          <w:szCs w:val="28"/>
          <w:highlight w:val="none"/>
        </w:rPr>
        <w:t>电</w:t>
      </w:r>
      <w:r>
        <w:rPr>
          <w:rFonts w:hint="eastAsia" w:ascii="仿宋" w:hAnsi="仿宋" w:eastAsia="仿宋" w:cs="仿宋"/>
          <w:color w:val="auto"/>
          <w:spacing w:val="3"/>
          <w:sz w:val="28"/>
          <w:szCs w:val="28"/>
          <w:highlight w:val="none"/>
        </w:rPr>
        <w:t xml:space="preserve">    </w:t>
      </w:r>
      <w:r>
        <w:rPr>
          <w:rFonts w:hint="eastAsia" w:ascii="仿宋" w:hAnsi="仿宋" w:eastAsia="仿宋" w:cs="仿宋"/>
          <w:color w:val="auto"/>
          <w:spacing w:val="-15"/>
          <w:sz w:val="28"/>
          <w:szCs w:val="28"/>
          <w:highlight w:val="none"/>
        </w:rPr>
        <w:t>话：</w:t>
      </w:r>
      <w:r>
        <w:rPr>
          <w:rFonts w:hint="eastAsia" w:ascii="仿宋" w:hAnsi="仿宋" w:eastAsia="仿宋" w:cs="仿宋"/>
          <w:color w:val="auto"/>
          <w:spacing w:val="-10"/>
          <w:sz w:val="28"/>
          <w:szCs w:val="28"/>
          <w:highlight w:val="none"/>
          <w:lang w:val="en-US" w:eastAsia="zh-CN"/>
        </w:rPr>
        <w:t>0551-67331027</w:t>
      </w:r>
    </w:p>
    <w:p w14:paraId="7D63EE9C">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2"/>
          <w:sz w:val="28"/>
          <w:szCs w:val="28"/>
          <w:highlight w:val="none"/>
        </w:rPr>
      </w:pPr>
      <w:bookmarkStart w:id="19" w:name="_Toc25010"/>
      <w:bookmarkStart w:id="20" w:name="_Toc20225"/>
      <w:r>
        <w:rPr>
          <w:rFonts w:hint="eastAsia" w:ascii="仿宋" w:hAnsi="仿宋" w:eastAsia="仿宋" w:cs="仿宋"/>
          <w:color w:val="auto"/>
          <w:spacing w:val="-2"/>
          <w:sz w:val="28"/>
          <w:szCs w:val="28"/>
          <w:highlight w:val="none"/>
          <w:lang w:val="en-US" w:eastAsia="zh-CN"/>
        </w:rPr>
        <w:t xml:space="preserve">10.2 </w:t>
      </w:r>
      <w:r>
        <w:rPr>
          <w:rFonts w:hint="eastAsia" w:ascii="仿宋" w:hAnsi="仿宋" w:eastAsia="仿宋" w:cs="仿宋"/>
          <w:color w:val="auto"/>
          <w:spacing w:val="-2"/>
          <w:sz w:val="28"/>
          <w:szCs w:val="28"/>
          <w:highlight w:val="none"/>
        </w:rPr>
        <w:t>招标代理机构</w:t>
      </w:r>
      <w:bookmarkEnd w:id="19"/>
      <w:bookmarkEnd w:id="20"/>
    </w:p>
    <w:p w14:paraId="54766222">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8"/>
          <w:sz w:val="28"/>
          <w:szCs w:val="28"/>
          <w:highlight w:val="none"/>
          <w:u w:val="single" w:color="auto"/>
        </w:rPr>
      </w:pPr>
      <w:r>
        <w:rPr>
          <w:rFonts w:hint="eastAsia" w:ascii="仿宋" w:hAnsi="仿宋" w:eastAsia="仿宋" w:cs="仿宋"/>
          <w:color w:val="auto"/>
          <w:spacing w:val="-8"/>
          <w:sz w:val="28"/>
          <w:szCs w:val="28"/>
          <w:highlight w:val="none"/>
        </w:rPr>
        <w:t>招标代理机构：</w:t>
      </w:r>
      <w:r>
        <w:rPr>
          <w:rFonts w:hint="eastAsia" w:ascii="仿宋" w:hAnsi="仿宋" w:eastAsia="仿宋" w:cs="Times New Roman"/>
          <w:color w:val="auto"/>
          <w:sz w:val="28"/>
          <w:szCs w:val="28"/>
          <w:highlight w:val="none"/>
          <w:lang w:val="en-US" w:eastAsia="zh-CN" w:bidi="ar"/>
        </w:rPr>
        <w:t>肥东县公共资源交易有限公司</w:t>
      </w:r>
    </w:p>
    <w:p w14:paraId="5A74AA7B">
      <w:pPr>
        <w:spacing w:line="560" w:lineRule="exact"/>
        <w:ind w:firstLine="266" w:firstLineChars="100"/>
        <w:jc w:val="left"/>
        <w:outlineLvl w:val="9"/>
        <w:rPr>
          <w:rFonts w:hint="eastAsia" w:ascii="仿宋" w:hAnsi="仿宋" w:eastAsia="仿宋" w:cs="仿宋"/>
          <w:color w:val="auto"/>
          <w:spacing w:val="-7"/>
          <w:sz w:val="28"/>
          <w:szCs w:val="28"/>
          <w:highlight w:val="none"/>
          <w:u w:val="single" w:color="auto"/>
        </w:rPr>
      </w:pPr>
      <w:r>
        <w:rPr>
          <w:rFonts w:hint="eastAsia" w:ascii="仿宋" w:hAnsi="仿宋" w:eastAsia="仿宋" w:cs="仿宋"/>
          <w:color w:val="auto"/>
          <w:spacing w:val="-7"/>
          <w:sz w:val="28"/>
          <w:szCs w:val="28"/>
          <w:highlight w:val="none"/>
        </w:rPr>
        <w:t>地    址：</w:t>
      </w:r>
      <w:r>
        <w:rPr>
          <w:rFonts w:hint="eastAsia" w:ascii="仿宋" w:hAnsi="仿宋" w:eastAsia="仿宋"/>
          <w:color w:val="auto"/>
          <w:sz w:val="28"/>
          <w:szCs w:val="28"/>
          <w:highlight w:val="none"/>
          <w:lang w:val="en-US" w:eastAsia="zh-CN"/>
        </w:rPr>
        <w:t>安徽省</w:t>
      </w:r>
      <w:r>
        <w:rPr>
          <w:rFonts w:hint="eastAsia" w:ascii="仿宋" w:hAnsi="仿宋" w:eastAsia="仿宋"/>
          <w:color w:val="auto"/>
          <w:sz w:val="28"/>
          <w:szCs w:val="28"/>
          <w:highlight w:val="none"/>
        </w:rPr>
        <w:t>合肥市肥东县店埠镇深秀路2号肥东县政务服务中心B区四楼</w:t>
      </w:r>
    </w:p>
    <w:p w14:paraId="49D47AD3">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default" w:ascii="仿宋" w:hAnsi="仿宋" w:eastAsia="仿宋" w:cs="仿宋"/>
          <w:color w:val="auto"/>
          <w:spacing w:val="3"/>
          <w:sz w:val="28"/>
          <w:szCs w:val="28"/>
          <w:highlight w:val="none"/>
          <w:lang w:val="en-US" w:eastAsia="zh-CN"/>
        </w:rPr>
      </w:pPr>
      <w:r>
        <w:rPr>
          <w:rFonts w:hint="eastAsia" w:ascii="仿宋" w:hAnsi="仿宋" w:eastAsia="仿宋" w:cs="仿宋"/>
          <w:color w:val="auto"/>
          <w:spacing w:val="-7"/>
          <w:sz w:val="28"/>
          <w:szCs w:val="28"/>
          <w:highlight w:val="none"/>
        </w:rPr>
        <w:t>联 系 人：</w:t>
      </w:r>
      <w:r>
        <w:rPr>
          <w:rFonts w:hint="eastAsia" w:ascii="仿宋" w:hAnsi="仿宋" w:eastAsia="仿宋" w:cs="仿宋"/>
          <w:color w:val="auto"/>
          <w:spacing w:val="-7"/>
          <w:sz w:val="28"/>
          <w:szCs w:val="28"/>
          <w:highlight w:val="none"/>
          <w:lang w:val="en-US" w:eastAsia="zh-CN"/>
        </w:rPr>
        <w:t>陈工</w:t>
      </w:r>
    </w:p>
    <w:p w14:paraId="1C82B645">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default" w:ascii="仿宋" w:hAnsi="仿宋" w:eastAsia="仿宋" w:cs="仿宋"/>
          <w:color w:val="auto"/>
          <w:spacing w:val="-12"/>
          <w:sz w:val="28"/>
          <w:szCs w:val="28"/>
          <w:highlight w:val="none"/>
          <w:lang w:val="en-US" w:eastAsia="zh-CN"/>
        </w:rPr>
      </w:pPr>
      <w:r>
        <w:rPr>
          <w:rFonts w:hint="eastAsia" w:ascii="仿宋" w:hAnsi="仿宋" w:eastAsia="仿宋" w:cs="仿宋"/>
          <w:color w:val="auto"/>
          <w:spacing w:val="-12"/>
          <w:sz w:val="28"/>
          <w:szCs w:val="28"/>
          <w:highlight w:val="none"/>
        </w:rPr>
        <w:t>电</w:t>
      </w:r>
      <w:r>
        <w:rPr>
          <w:rFonts w:hint="eastAsia" w:ascii="仿宋" w:hAnsi="仿宋" w:eastAsia="仿宋" w:cs="仿宋"/>
          <w:color w:val="auto"/>
          <w:spacing w:val="4"/>
          <w:sz w:val="28"/>
          <w:szCs w:val="28"/>
          <w:highlight w:val="none"/>
        </w:rPr>
        <w:t xml:space="preserve">    </w:t>
      </w:r>
      <w:r>
        <w:rPr>
          <w:rFonts w:hint="eastAsia" w:ascii="仿宋" w:hAnsi="仿宋" w:eastAsia="仿宋" w:cs="仿宋"/>
          <w:color w:val="auto"/>
          <w:spacing w:val="-12"/>
          <w:sz w:val="28"/>
          <w:szCs w:val="28"/>
          <w:highlight w:val="none"/>
        </w:rPr>
        <w:t>话：</w:t>
      </w:r>
      <w:r>
        <w:rPr>
          <w:rFonts w:hint="eastAsia" w:ascii="仿宋" w:hAnsi="仿宋" w:eastAsia="仿宋" w:cs="仿宋"/>
          <w:color w:val="auto"/>
          <w:spacing w:val="-12"/>
          <w:sz w:val="28"/>
          <w:szCs w:val="28"/>
          <w:highlight w:val="none"/>
          <w:lang w:val="en-US" w:eastAsia="zh-CN"/>
        </w:rPr>
        <w:t>0551-67758793</w:t>
      </w:r>
    </w:p>
    <w:p w14:paraId="521AAD25">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6"/>
          <w:sz w:val="28"/>
          <w:szCs w:val="28"/>
          <w:highlight w:val="none"/>
        </w:rPr>
      </w:pPr>
      <w:bookmarkStart w:id="21" w:name="_Toc21954"/>
      <w:bookmarkStart w:id="22" w:name="_Toc4925"/>
      <w:r>
        <w:rPr>
          <w:rFonts w:hint="eastAsia" w:ascii="仿宋" w:hAnsi="仿宋" w:eastAsia="仿宋" w:cs="仿宋"/>
          <w:color w:val="auto"/>
          <w:spacing w:val="-6"/>
          <w:sz w:val="28"/>
          <w:szCs w:val="28"/>
          <w:highlight w:val="none"/>
          <w:lang w:val="en-US" w:eastAsia="zh-CN"/>
        </w:rPr>
        <w:t xml:space="preserve">10.3 </w:t>
      </w:r>
      <w:r>
        <w:rPr>
          <w:rFonts w:hint="eastAsia" w:ascii="仿宋" w:hAnsi="仿宋" w:eastAsia="仿宋" w:cs="仿宋"/>
          <w:color w:val="auto"/>
          <w:spacing w:val="-6"/>
          <w:sz w:val="28"/>
          <w:szCs w:val="28"/>
          <w:highlight w:val="none"/>
        </w:rPr>
        <w:t>电子交易系统</w:t>
      </w:r>
      <w:bookmarkEnd w:id="21"/>
      <w:bookmarkEnd w:id="22"/>
    </w:p>
    <w:p w14:paraId="4C77AF70">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电子交易系统名称：</w:t>
      </w:r>
      <w:r>
        <w:rPr>
          <w:rFonts w:hint="eastAsia" w:ascii="仿宋" w:hAnsi="仿宋" w:eastAsia="仿宋"/>
          <w:color w:val="auto"/>
          <w:sz w:val="28"/>
          <w:szCs w:val="28"/>
          <w:highlight w:val="none"/>
          <w:lang w:val="en-US" w:eastAsia="zh-CN"/>
        </w:rPr>
        <w:t>安徽合肥公共资源交易中心电子交易系统【新版】（https://jyxt.hfztb.cn/sso/）</w:t>
      </w:r>
    </w:p>
    <w:p w14:paraId="119B9CBC">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楷体"/>
          <w:bCs/>
          <w:snapToGrid w:val="0"/>
          <w:color w:val="auto"/>
          <w:sz w:val="28"/>
          <w:szCs w:val="28"/>
          <w:highlight w:val="none"/>
          <w:lang w:val="en-US" w:eastAsia="zh-CN" w:bidi="ar"/>
        </w:rPr>
      </w:pPr>
      <w:r>
        <w:rPr>
          <w:rFonts w:hint="eastAsia" w:ascii="仿宋" w:hAnsi="仿宋" w:eastAsia="仿宋" w:cs="仿宋"/>
          <w:color w:val="auto"/>
          <w:spacing w:val="-13"/>
          <w:sz w:val="28"/>
          <w:szCs w:val="28"/>
          <w:highlight w:val="none"/>
        </w:rPr>
        <w:t>电子交易系统电话：</w:t>
      </w:r>
      <w:r>
        <w:rPr>
          <w:rFonts w:hint="eastAsia" w:ascii="仿宋" w:hAnsi="仿宋" w:eastAsia="仿宋" w:cs="楷体"/>
          <w:bCs/>
          <w:snapToGrid w:val="0"/>
          <w:color w:val="000000"/>
          <w:sz w:val="28"/>
          <w:szCs w:val="28"/>
          <w:highlight w:val="none"/>
        </w:rPr>
        <w:t>0551-66223900</w:t>
      </w:r>
      <w:r>
        <w:rPr>
          <w:rFonts w:hint="eastAsia" w:ascii="仿宋" w:hAnsi="仿宋" w:eastAsia="仿宋" w:cs="楷体"/>
          <w:bCs/>
          <w:snapToGrid w:val="0"/>
          <w:color w:val="000000"/>
          <w:sz w:val="28"/>
          <w:szCs w:val="28"/>
          <w:highlight w:val="none"/>
          <w:lang w:eastAsia="zh-CN"/>
        </w:rPr>
        <w:t>、</w:t>
      </w:r>
      <w:r>
        <w:rPr>
          <w:rFonts w:hint="eastAsia" w:ascii="仿宋" w:hAnsi="仿宋" w:eastAsia="仿宋" w:cs="楷体"/>
          <w:bCs/>
          <w:snapToGrid w:val="0"/>
          <w:color w:val="000000"/>
          <w:sz w:val="28"/>
          <w:szCs w:val="28"/>
          <w:highlight w:val="none"/>
        </w:rPr>
        <w:t>0551-66223899</w:t>
      </w:r>
    </w:p>
    <w:p w14:paraId="3CA374D6">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6"/>
          <w:sz w:val="28"/>
          <w:szCs w:val="28"/>
          <w:highlight w:val="none"/>
        </w:rPr>
      </w:pPr>
      <w:bookmarkStart w:id="23" w:name="_Toc8608"/>
      <w:bookmarkStart w:id="24" w:name="_Toc16945"/>
      <w:r>
        <w:rPr>
          <w:rFonts w:hint="eastAsia" w:ascii="仿宋" w:hAnsi="仿宋" w:eastAsia="仿宋" w:cs="仿宋"/>
          <w:color w:val="auto"/>
          <w:spacing w:val="-6"/>
          <w:sz w:val="28"/>
          <w:szCs w:val="28"/>
          <w:highlight w:val="none"/>
          <w:lang w:val="en-US" w:eastAsia="zh-CN"/>
        </w:rPr>
        <w:t xml:space="preserve">10.4 </w:t>
      </w:r>
      <w:r>
        <w:rPr>
          <w:rFonts w:hint="eastAsia" w:ascii="仿宋" w:hAnsi="仿宋" w:eastAsia="仿宋" w:cs="仿宋"/>
          <w:color w:val="auto"/>
          <w:spacing w:val="-6"/>
          <w:sz w:val="28"/>
          <w:szCs w:val="28"/>
          <w:highlight w:val="none"/>
        </w:rPr>
        <w:t>电子服务系统</w:t>
      </w:r>
      <w:bookmarkEnd w:id="23"/>
      <w:bookmarkEnd w:id="24"/>
    </w:p>
    <w:p w14:paraId="7371A821">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电子服务系统名称：</w:t>
      </w:r>
      <w:r>
        <w:rPr>
          <w:rFonts w:hint="eastAsia" w:ascii="仿宋" w:hAnsi="仿宋" w:eastAsia="仿宋" w:cs="Times New Roman"/>
          <w:color w:val="auto"/>
          <w:sz w:val="28"/>
          <w:szCs w:val="28"/>
          <w:highlight w:val="none"/>
          <w:lang w:val="en-US" w:eastAsia="zh-CN" w:bidi="ar"/>
        </w:rPr>
        <w:t>安徽合肥公共资源交易电子服务系统</w:t>
      </w:r>
    </w:p>
    <w:p w14:paraId="0ABB1565">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电子服务系统电话：</w:t>
      </w:r>
      <w:r>
        <w:rPr>
          <w:rFonts w:hint="eastAsia" w:ascii="仿宋" w:hAnsi="仿宋" w:eastAsia="仿宋"/>
          <w:color w:val="auto"/>
          <w:sz w:val="28"/>
          <w:szCs w:val="28"/>
          <w:highlight w:val="none"/>
          <w:lang w:val="en-US" w:eastAsia="zh-CN"/>
        </w:rPr>
        <w:t>0551-66223830、0512-58188516</w:t>
      </w:r>
      <w:r>
        <w:rPr>
          <w:rFonts w:hint="default" w:ascii="Times New Roman" w:hAnsi="Times New Roman" w:eastAsia="仿宋" w:cs="Times New Roman"/>
          <w:color w:val="auto"/>
          <w:sz w:val="28"/>
          <w:szCs w:val="28"/>
          <w:highlight w:val="none"/>
          <w:lang w:val="en-US" w:eastAsia="zh-CN" w:bidi="ar"/>
        </w:rPr>
        <w:t>          </w:t>
      </w:r>
    </w:p>
    <w:p w14:paraId="05718243">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2"/>
          <w:sz w:val="28"/>
          <w:szCs w:val="28"/>
          <w:highlight w:val="none"/>
        </w:rPr>
      </w:pPr>
      <w:bookmarkStart w:id="25" w:name="_Toc13835"/>
      <w:bookmarkStart w:id="26" w:name="_Toc24201"/>
      <w:r>
        <w:rPr>
          <w:rFonts w:hint="eastAsia" w:ascii="仿宋" w:hAnsi="仿宋" w:eastAsia="仿宋" w:cs="仿宋"/>
          <w:color w:val="auto"/>
          <w:spacing w:val="-2"/>
          <w:sz w:val="28"/>
          <w:szCs w:val="28"/>
          <w:highlight w:val="none"/>
          <w:lang w:val="en-US" w:eastAsia="zh-CN"/>
        </w:rPr>
        <w:t xml:space="preserve">10.5 </w:t>
      </w:r>
      <w:r>
        <w:rPr>
          <w:rFonts w:hint="eastAsia" w:ascii="仿宋" w:hAnsi="仿宋" w:eastAsia="仿宋" w:cs="仿宋"/>
          <w:color w:val="auto"/>
          <w:spacing w:val="-2"/>
          <w:sz w:val="28"/>
          <w:szCs w:val="28"/>
          <w:highlight w:val="none"/>
        </w:rPr>
        <w:t>招标投标行政监督部门</w:t>
      </w:r>
      <w:bookmarkEnd w:id="25"/>
      <w:bookmarkEnd w:id="26"/>
    </w:p>
    <w:p w14:paraId="1F634DB9">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5"/>
          <w:sz w:val="28"/>
          <w:szCs w:val="28"/>
          <w:highlight w:val="none"/>
          <w:u w:val="single" w:color="auto"/>
        </w:rPr>
      </w:pPr>
      <w:r>
        <w:rPr>
          <w:rFonts w:hint="eastAsia" w:ascii="仿宋" w:hAnsi="仿宋" w:eastAsia="仿宋" w:cs="仿宋"/>
          <w:color w:val="auto"/>
          <w:spacing w:val="-5"/>
          <w:sz w:val="28"/>
          <w:szCs w:val="28"/>
          <w:highlight w:val="none"/>
        </w:rPr>
        <w:t>招标投标行政监督部门：</w:t>
      </w:r>
      <w:r>
        <w:rPr>
          <w:rFonts w:hint="eastAsia" w:ascii="仿宋" w:hAnsi="仿宋" w:eastAsia="仿宋"/>
          <w:color w:val="auto"/>
          <w:sz w:val="28"/>
          <w:szCs w:val="28"/>
          <w:highlight w:val="none"/>
        </w:rPr>
        <w:t>肥东县发展和改革委员会</w:t>
      </w:r>
      <w:r>
        <w:rPr>
          <w:rFonts w:hint="eastAsia" w:ascii="仿宋" w:hAnsi="仿宋" w:eastAsia="仿宋" w:cs="Times New Roman"/>
          <w:color w:val="auto"/>
          <w:sz w:val="28"/>
          <w:szCs w:val="28"/>
          <w:highlight w:val="none"/>
          <w:lang w:val="en-US" w:eastAsia="zh-CN" w:bidi="ar"/>
        </w:rPr>
        <w:t xml:space="preserve"> </w:t>
      </w:r>
    </w:p>
    <w:p w14:paraId="2E4A63D2">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auto"/>
          <w:spacing w:val="12"/>
          <w:sz w:val="28"/>
          <w:szCs w:val="28"/>
          <w:highlight w:val="none"/>
        </w:rPr>
      </w:pPr>
      <w:r>
        <w:rPr>
          <w:rFonts w:hint="eastAsia" w:ascii="仿宋" w:hAnsi="仿宋" w:eastAsia="仿宋" w:cs="仿宋"/>
          <w:color w:val="auto"/>
          <w:spacing w:val="-6"/>
          <w:sz w:val="28"/>
          <w:szCs w:val="28"/>
          <w:highlight w:val="none"/>
        </w:rPr>
        <w:t>地    址：</w:t>
      </w:r>
      <w:bookmarkStart w:id="27" w:name="OLE_LINK4"/>
      <w:r>
        <w:rPr>
          <w:rFonts w:hint="eastAsia" w:ascii="仿宋" w:hAnsi="仿宋" w:eastAsia="仿宋"/>
          <w:color w:val="auto"/>
          <w:sz w:val="28"/>
          <w:szCs w:val="28"/>
          <w:highlight w:val="none"/>
        </w:rPr>
        <w:t>合肥市肥东县店埠镇</w:t>
      </w:r>
      <w:bookmarkEnd w:id="27"/>
      <w:r>
        <w:rPr>
          <w:rFonts w:hint="eastAsia" w:ascii="仿宋" w:hAnsi="仿宋" w:eastAsia="仿宋"/>
          <w:color w:val="auto"/>
          <w:sz w:val="28"/>
          <w:szCs w:val="28"/>
          <w:highlight w:val="none"/>
        </w:rPr>
        <w:t>龙泉路8号</w:t>
      </w:r>
    </w:p>
    <w:p w14:paraId="319E31A2">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Times New Roman"/>
          <w:color w:val="auto"/>
          <w:kern w:val="2"/>
          <w:sz w:val="28"/>
          <w:szCs w:val="28"/>
          <w:highlight w:val="none"/>
          <w:lang w:val="en-US" w:eastAsia="zh-CN" w:bidi="ar"/>
        </w:rPr>
      </w:pPr>
      <w:r>
        <w:rPr>
          <w:rFonts w:hint="eastAsia" w:ascii="仿宋" w:hAnsi="仿宋" w:eastAsia="仿宋" w:cs="仿宋"/>
          <w:color w:val="auto"/>
          <w:spacing w:val="-7"/>
          <w:sz w:val="28"/>
          <w:szCs w:val="28"/>
          <w:highlight w:val="none"/>
        </w:rPr>
        <w:t>电    话：</w:t>
      </w:r>
      <w:bookmarkStart w:id="28" w:name="OLE_LINK5"/>
      <w:r>
        <w:rPr>
          <w:rFonts w:hint="eastAsia" w:ascii="仿宋" w:hAnsi="仿宋" w:eastAsia="仿宋"/>
          <w:color w:val="auto"/>
          <w:sz w:val="28"/>
          <w:szCs w:val="28"/>
          <w:highlight w:val="none"/>
        </w:rPr>
        <w:t>0551-67711296</w:t>
      </w:r>
      <w:bookmarkEnd w:id="28"/>
    </w:p>
    <w:p w14:paraId="7CBEBAE2">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11.招标文件的异议、投诉</w:t>
      </w:r>
    </w:p>
    <w:p w14:paraId="5FFD9583">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eastAsia="zh-CN"/>
        </w:rPr>
      </w:pPr>
      <w:r>
        <w:rPr>
          <w:rFonts w:hint="eastAsia" w:ascii="仿宋" w:hAnsi="仿宋" w:eastAsia="仿宋" w:cs="Times New Roman"/>
          <w:snapToGrid/>
          <w:color w:val="auto"/>
          <w:kern w:val="2"/>
          <w:sz w:val="28"/>
          <w:szCs w:val="28"/>
          <w:highlight w:val="none"/>
          <w:lang w:val="en-US" w:eastAsia="zh-CN"/>
        </w:rPr>
        <w:t xml:space="preserve">11.1 </w:t>
      </w:r>
      <w:r>
        <w:rPr>
          <w:rFonts w:hint="eastAsia" w:ascii="仿宋" w:hAnsi="仿宋" w:eastAsia="仿宋" w:cs="Times New Roman"/>
          <w:snapToGrid/>
          <w:color w:val="auto"/>
          <w:kern w:val="2"/>
          <w:sz w:val="28"/>
          <w:szCs w:val="28"/>
          <w:highlight w:val="none"/>
          <w:lang w:eastAsia="zh-CN"/>
        </w:rPr>
        <w:t>投标人或者其他利害关系人对招标文件有异议的，应当在规定时间通过电子交易系统在线提出或以其他书面形式提出。</w:t>
      </w:r>
    </w:p>
    <w:p w14:paraId="18D0D6F2">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eastAsia="zh-CN"/>
        </w:rPr>
      </w:pPr>
      <w:r>
        <w:rPr>
          <w:rFonts w:hint="eastAsia" w:ascii="仿宋" w:hAnsi="仿宋" w:eastAsia="仿宋" w:cs="Times New Roman"/>
          <w:snapToGrid/>
          <w:color w:val="auto"/>
          <w:kern w:val="2"/>
          <w:sz w:val="28"/>
          <w:szCs w:val="28"/>
          <w:highlight w:val="none"/>
          <w:lang w:eastAsia="zh-CN"/>
        </w:rPr>
        <w:t>11.2 投标人或者其他利害关系人对招标人、招标代理机构的答复不满意，或者招标人、招标代理机构未在规定时间内作出答复的，可以在规定时间内通过网上投诉系统或以其他书面形式向招标投标行政监督部门提出投诉。</w:t>
      </w:r>
    </w:p>
    <w:p w14:paraId="686CE6AC">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eastAsia="zh-CN"/>
        </w:rPr>
      </w:pPr>
      <w:r>
        <w:rPr>
          <w:rFonts w:hint="eastAsia" w:ascii="仿宋" w:hAnsi="仿宋" w:eastAsia="仿宋" w:cs="Times New Roman"/>
          <w:snapToGrid/>
          <w:color w:val="auto"/>
          <w:kern w:val="2"/>
          <w:sz w:val="28"/>
          <w:szCs w:val="28"/>
          <w:highlight w:val="none"/>
          <w:lang w:eastAsia="zh-CN"/>
        </w:rPr>
        <w:t>11.3 受理异议的联系人和联系方式见招标公告第10.1款和第 10.2款。</w:t>
      </w:r>
    </w:p>
    <w:p w14:paraId="0417637D">
      <w:pPr>
        <w:widowControl w:val="0"/>
        <w:kinsoku/>
        <w:autoSpaceDE/>
        <w:autoSpaceDN/>
        <w:adjustRightInd/>
        <w:snapToGrid/>
        <w:spacing w:line="560" w:lineRule="exact"/>
        <w:jc w:val="left"/>
        <w:textAlignment w:val="auto"/>
        <w:outlineLvl w:val="9"/>
        <w:rPr>
          <w:rFonts w:hint="eastAsia" w:ascii="黑体" w:hAnsi="黑体" w:eastAsia="黑体" w:cs="Times New Roman"/>
          <w:snapToGrid/>
          <w:color w:val="auto"/>
          <w:kern w:val="2"/>
          <w:sz w:val="28"/>
          <w:szCs w:val="28"/>
          <w:highlight w:val="none"/>
          <w:lang w:val="en-US" w:eastAsia="zh-CN"/>
        </w:rPr>
      </w:pPr>
      <w:r>
        <w:rPr>
          <w:rFonts w:hint="eastAsia" w:ascii="黑体" w:hAnsi="黑体" w:eastAsia="黑体" w:cs="Times New Roman"/>
          <w:snapToGrid/>
          <w:color w:val="auto"/>
          <w:kern w:val="2"/>
          <w:sz w:val="28"/>
          <w:szCs w:val="28"/>
          <w:highlight w:val="none"/>
          <w:lang w:val="en-US" w:eastAsia="zh-CN"/>
        </w:rPr>
        <w:t>12.其他事项说明</w:t>
      </w:r>
    </w:p>
    <w:p w14:paraId="7E5D0463">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eastAsia="zh-CN"/>
        </w:rPr>
      </w:pPr>
      <w:r>
        <w:rPr>
          <w:rFonts w:hint="eastAsia" w:ascii="仿宋" w:hAnsi="仿宋" w:eastAsia="仿宋" w:cs="Times New Roman"/>
          <w:snapToGrid/>
          <w:color w:val="auto"/>
          <w:kern w:val="2"/>
          <w:sz w:val="28"/>
          <w:szCs w:val="28"/>
          <w:highlight w:val="none"/>
          <w:lang w:eastAsia="zh-CN"/>
        </w:rPr>
        <w:t>12.1 投标人应合理安排招标文件获取时间，特别是网络速度慢的地区防止在系统关闭前网络拥堵无法操作。如果因计算机及网络故障造成无法完成招标文件获取，责任自负。</w:t>
      </w:r>
    </w:p>
    <w:p w14:paraId="7F869C04">
      <w:pPr>
        <w:widowControl w:val="0"/>
        <w:kinsoku/>
        <w:autoSpaceDE/>
        <w:autoSpaceDN/>
        <w:adjustRightInd/>
        <w:snapToGrid/>
        <w:spacing w:line="560" w:lineRule="exact"/>
        <w:ind w:firstLine="280" w:firstLineChars="100"/>
        <w:jc w:val="both"/>
        <w:textAlignment w:val="auto"/>
        <w:outlineLvl w:val="9"/>
        <w:rPr>
          <w:rFonts w:hint="eastAsia" w:ascii="仿宋" w:hAnsi="仿宋" w:eastAsia="仿宋" w:cs="Times New Roman"/>
          <w:snapToGrid/>
          <w:color w:val="auto"/>
          <w:kern w:val="2"/>
          <w:sz w:val="28"/>
          <w:szCs w:val="28"/>
          <w:highlight w:val="none"/>
          <w:lang w:val="en-US" w:eastAsia="zh-CN"/>
        </w:rPr>
      </w:pPr>
      <w:r>
        <w:rPr>
          <w:rFonts w:hint="eastAsia" w:ascii="仿宋" w:hAnsi="仿宋" w:eastAsia="仿宋" w:cs="Times New Roman"/>
          <w:snapToGrid/>
          <w:color w:val="auto"/>
          <w:kern w:val="2"/>
          <w:sz w:val="28"/>
          <w:szCs w:val="28"/>
          <w:highlight w:val="none"/>
          <w:lang w:eastAsia="zh-CN"/>
        </w:rPr>
        <w:t>12.2</w:t>
      </w:r>
      <w:r>
        <w:rPr>
          <w:rFonts w:hint="eastAsia" w:ascii="仿宋" w:hAnsi="仿宋" w:eastAsia="仿宋" w:cs="Times New Roman"/>
          <w:snapToGrid/>
          <w:color w:val="auto"/>
          <w:kern w:val="2"/>
          <w:sz w:val="28"/>
          <w:szCs w:val="28"/>
          <w:highlight w:val="none"/>
          <w:lang w:val="en-US" w:eastAsia="zh-CN"/>
        </w:rPr>
        <w:t xml:space="preserve"> </w:t>
      </w:r>
      <w:r>
        <w:rPr>
          <w:rFonts w:hint="eastAsia" w:ascii="仿宋" w:hAnsi="仿宋" w:eastAsia="仿宋"/>
          <w:b/>
          <w:bCs/>
          <w:color w:val="auto"/>
          <w:sz w:val="28"/>
          <w:szCs w:val="28"/>
          <w:highlight w:val="none"/>
          <w:lang w:val="en-US" w:eastAsia="zh-CN"/>
        </w:rPr>
        <w:t>《新版交易系统操作帮助（投标人端）》请在新版交易系统登录页面https://jyxt.hfztb.cn/sso/查看。</w:t>
      </w:r>
    </w:p>
    <w:p w14:paraId="31EF36D3">
      <w:pPr>
        <w:widowControl w:val="0"/>
        <w:kinsoku/>
        <w:autoSpaceDE/>
        <w:autoSpaceDN/>
        <w:adjustRightInd/>
        <w:snapToGrid/>
        <w:spacing w:line="560" w:lineRule="exact"/>
        <w:jc w:val="left"/>
        <w:textAlignment w:val="auto"/>
        <w:outlineLvl w:val="9"/>
        <w:rPr>
          <w:rFonts w:hint="eastAsia" w:ascii="仿宋" w:hAnsi="仿宋" w:eastAsia="仿宋"/>
          <w:color w:val="auto"/>
          <w:sz w:val="28"/>
          <w:szCs w:val="28"/>
          <w:highlight w:val="none"/>
        </w:rPr>
      </w:pPr>
      <w:r>
        <w:rPr>
          <w:rFonts w:hint="eastAsia" w:ascii="黑体" w:hAnsi="黑体" w:eastAsia="黑体" w:cs="Times New Roman"/>
          <w:snapToGrid/>
          <w:color w:val="auto"/>
          <w:kern w:val="2"/>
          <w:sz w:val="28"/>
          <w:szCs w:val="28"/>
          <w:highlight w:val="none"/>
          <w:lang w:val="en-US" w:eastAsia="zh-CN"/>
        </w:rPr>
        <w:t>13.投标保证金账户</w:t>
      </w:r>
    </w:p>
    <w:p w14:paraId="0F0C3074">
      <w:pPr>
        <w:spacing w:line="560" w:lineRule="exact"/>
        <w:ind w:firstLine="280" w:firstLineChars="100"/>
        <w:outlineLvl w:val="9"/>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中国银行</w:t>
      </w:r>
    </w:p>
    <w:p w14:paraId="61ECAB2E">
      <w:pPr>
        <w:spacing w:line="560" w:lineRule="exact"/>
        <w:ind w:firstLine="280" w:firstLineChars="100"/>
        <w:outlineLvl w:val="9"/>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户名：肥东县公共资源交易中心</w:t>
      </w:r>
    </w:p>
    <w:p w14:paraId="689F44D1">
      <w:pPr>
        <w:spacing w:line="560" w:lineRule="exact"/>
        <w:ind w:firstLine="280" w:firstLineChars="100"/>
        <w:outlineLvl w:val="9"/>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账号：</w:t>
      </w:r>
      <w:r>
        <w:rPr>
          <w:rFonts w:hint="eastAsia" w:ascii="仿宋" w:hAnsi="仿宋" w:eastAsia="仿宋"/>
          <w:color w:val="auto"/>
          <w:sz w:val="28"/>
          <w:szCs w:val="28"/>
          <w:highlight w:val="none"/>
          <w:lang w:val="en-US" w:eastAsia="zh-CN"/>
        </w:rPr>
        <w:t>xxx</w:t>
      </w:r>
    </w:p>
    <w:p w14:paraId="2DFB4FE3">
      <w:pPr>
        <w:spacing w:line="560" w:lineRule="exact"/>
        <w:ind w:firstLine="280" w:firstLineChars="100"/>
        <w:outlineLvl w:val="9"/>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开户银行：中国银行肥东支行</w:t>
      </w:r>
    </w:p>
    <w:p w14:paraId="0151BA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right"/>
        <w:textAlignment w:val="baseline"/>
        <w:outlineLvl w:val="9"/>
        <w:rPr>
          <w:rFonts w:hint="eastAsia" w:ascii="仿宋" w:hAnsi="仿宋" w:eastAsia="仿宋" w:cs="仿宋"/>
          <w:snapToGrid w:val="0"/>
          <w:color w:val="auto"/>
          <w:kern w:val="0"/>
          <w:sz w:val="28"/>
          <w:szCs w:val="28"/>
          <w:highlight w:val="none"/>
          <w:lang w:val="en-US" w:eastAsia="zh-CN" w:bidi="ar"/>
        </w:rPr>
      </w:pPr>
    </w:p>
    <w:p w14:paraId="35577C02">
      <w:pPr>
        <w:outlineLvl w:val="9"/>
        <w:rPr>
          <w:rFonts w:hint="eastAsia"/>
          <w:color w:val="auto"/>
          <w:highlight w:val="none"/>
          <w:lang w:val="en-US" w:eastAsia="zh-CN"/>
        </w:rPr>
      </w:pPr>
    </w:p>
    <w:p w14:paraId="662934DE">
      <w:pPr>
        <w:keepNext w:val="0"/>
        <w:keepLines w:val="0"/>
        <w:pageBreakBefore w:val="0"/>
        <w:widowControl/>
        <w:kinsoku w:val="0"/>
        <w:wordWrap/>
        <w:overflowPunct/>
        <w:topLinePunct w:val="0"/>
        <w:autoSpaceDE/>
        <w:autoSpaceDN/>
        <w:bidi w:val="0"/>
        <w:adjustRightInd w:val="0"/>
        <w:snapToGrid w:val="0"/>
        <w:spacing w:line="560" w:lineRule="exact"/>
        <w:textAlignment w:val="baseline"/>
        <w:outlineLvl w:val="9"/>
        <w:rPr>
          <w:rFonts w:ascii="宋体" w:hAnsi="宋体" w:eastAsia="宋体" w:cs="宋体"/>
          <w:color w:val="auto"/>
          <w:sz w:val="21"/>
          <w:szCs w:val="21"/>
          <w:highlight w:val="none"/>
        </w:rPr>
      </w:pPr>
    </w:p>
    <w:p w14:paraId="3104F59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ascii="宋体" w:hAnsi="宋体" w:eastAsia="宋体" w:cs="宋体"/>
          <w:color w:val="auto"/>
          <w:sz w:val="21"/>
          <w:szCs w:val="21"/>
          <w:highlight w:val="none"/>
        </w:rPr>
      </w:pPr>
    </w:p>
    <w:p w14:paraId="7BDABBA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ascii="宋体" w:hAnsi="宋体" w:eastAsia="宋体" w:cs="宋体"/>
          <w:color w:val="auto"/>
          <w:sz w:val="21"/>
          <w:szCs w:val="21"/>
          <w:highlight w:val="none"/>
        </w:rPr>
      </w:pPr>
    </w:p>
    <w:p w14:paraId="564D9DE8">
      <w:pPr>
        <w:outlineLvl w:val="9"/>
        <w:rPr>
          <w:rFonts w:ascii="宋体" w:hAnsi="宋体" w:eastAsia="宋体" w:cs="宋体"/>
          <w:b/>
          <w:bCs/>
          <w:color w:val="auto"/>
          <w:spacing w:val="4"/>
          <w:sz w:val="43"/>
          <w:szCs w:val="43"/>
          <w:highlight w:val="none"/>
        </w:rPr>
      </w:pPr>
      <w:r>
        <w:rPr>
          <w:rFonts w:ascii="宋体" w:hAnsi="宋体" w:eastAsia="宋体" w:cs="宋体"/>
          <w:b/>
          <w:bCs/>
          <w:color w:val="auto"/>
          <w:spacing w:val="4"/>
          <w:sz w:val="43"/>
          <w:szCs w:val="43"/>
          <w:highlight w:val="none"/>
        </w:rPr>
        <w:br w:type="page"/>
      </w:r>
    </w:p>
    <w:p w14:paraId="47F3CBE6">
      <w:pPr>
        <w:spacing w:before="281" w:line="223" w:lineRule="auto"/>
        <w:ind w:left="2837"/>
        <w:outlineLvl w:val="0"/>
        <w:rPr>
          <w:rFonts w:ascii="宋体" w:hAnsi="宋体" w:eastAsia="宋体" w:cs="宋体"/>
          <w:color w:val="auto"/>
          <w:sz w:val="43"/>
          <w:szCs w:val="43"/>
          <w:highlight w:val="none"/>
        </w:rPr>
      </w:pPr>
      <w:bookmarkStart w:id="29" w:name="_Toc17956"/>
      <w:r>
        <w:rPr>
          <w:rFonts w:ascii="宋体" w:hAnsi="宋体" w:eastAsia="宋体" w:cs="宋体"/>
          <w:b/>
          <w:bCs/>
          <w:color w:val="auto"/>
          <w:spacing w:val="4"/>
          <w:sz w:val="43"/>
          <w:szCs w:val="43"/>
          <w:highlight w:val="none"/>
        </w:rPr>
        <w:t>第二章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投标人须知</w:t>
      </w:r>
      <w:bookmarkEnd w:id="29"/>
    </w:p>
    <w:p w14:paraId="2EB24843">
      <w:pPr>
        <w:spacing w:line="310" w:lineRule="auto"/>
        <w:outlineLvl w:val="9"/>
        <w:rPr>
          <w:rFonts w:ascii="Arial"/>
          <w:color w:val="auto"/>
          <w:sz w:val="21"/>
          <w:highlight w:val="none"/>
        </w:rPr>
      </w:pPr>
    </w:p>
    <w:p w14:paraId="3DED0E60">
      <w:pPr>
        <w:spacing w:before="100" w:line="224" w:lineRule="auto"/>
        <w:ind w:left="3429"/>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pacing w:val="5"/>
          <w:sz w:val="31"/>
          <w:szCs w:val="31"/>
          <w:highlight w:val="none"/>
        </w:rPr>
        <w:t>投标人须知前附表</w:t>
      </w:r>
    </w:p>
    <w:p w14:paraId="6E029DCB">
      <w:pPr>
        <w:spacing w:line="137" w:lineRule="exact"/>
        <w:outlineLvl w:val="9"/>
        <w:rPr>
          <w:rFonts w:hint="eastAsia" w:asciiTheme="minorEastAsia" w:hAnsiTheme="minorEastAsia" w:eastAsiaTheme="minorEastAsia" w:cstheme="minorEastAsia"/>
          <w:color w:val="auto"/>
          <w:highlight w:val="none"/>
        </w:rPr>
      </w:pPr>
    </w:p>
    <w:tbl>
      <w:tblPr>
        <w:tblStyle w:val="26"/>
        <w:tblW w:w="501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02"/>
        <w:gridCol w:w="2068"/>
        <w:gridCol w:w="6118"/>
        <w:gridCol w:w="35"/>
      </w:tblGrid>
      <w:tr w14:paraId="15080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blHeader/>
        </w:trPr>
        <w:tc>
          <w:tcPr>
            <w:tcW w:w="543" w:type="pct"/>
            <w:vAlign w:val="center"/>
          </w:tcPr>
          <w:p w14:paraId="798D68F5">
            <w:pPr>
              <w:pStyle w:val="27"/>
              <w:spacing w:before="113" w:line="221"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条款号</w:t>
            </w:r>
          </w:p>
        </w:tc>
        <w:tc>
          <w:tcPr>
            <w:tcW w:w="1121" w:type="pct"/>
            <w:vAlign w:val="center"/>
          </w:tcPr>
          <w:p w14:paraId="010C1452">
            <w:pPr>
              <w:pStyle w:val="27"/>
              <w:spacing w:before="113" w:line="221"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条</w:t>
            </w:r>
            <w:r>
              <w:rPr>
                <w:rFonts w:hint="eastAsia" w:asciiTheme="minorEastAsia" w:hAnsiTheme="minorEastAsia" w:eastAsiaTheme="minorEastAsia" w:cstheme="minorEastAsia"/>
                <w:color w:val="auto"/>
                <w:spacing w:val="9"/>
                <w:sz w:val="21"/>
                <w:szCs w:val="21"/>
                <w:highlight w:val="none"/>
              </w:rPr>
              <w:t xml:space="preserve"> </w:t>
            </w:r>
            <w:r>
              <w:rPr>
                <w:rFonts w:hint="eastAsia" w:asciiTheme="minorEastAsia" w:hAnsiTheme="minorEastAsia" w:eastAsiaTheme="minorEastAsia" w:cstheme="minorEastAsia"/>
                <w:b/>
                <w:bCs/>
                <w:color w:val="auto"/>
                <w:spacing w:val="-9"/>
                <w:sz w:val="21"/>
                <w:szCs w:val="21"/>
                <w:highlight w:val="none"/>
              </w:rPr>
              <w:t>款</w:t>
            </w:r>
            <w:r>
              <w:rPr>
                <w:rFonts w:hint="eastAsia" w:asciiTheme="minorEastAsia" w:hAnsiTheme="minorEastAsia" w:eastAsiaTheme="minorEastAsia" w:cstheme="minorEastAsia"/>
                <w:color w:val="auto"/>
                <w:spacing w:val="12"/>
                <w:sz w:val="21"/>
                <w:szCs w:val="21"/>
                <w:highlight w:val="none"/>
              </w:rPr>
              <w:t xml:space="preserve"> </w:t>
            </w:r>
            <w:r>
              <w:rPr>
                <w:rFonts w:hint="eastAsia" w:asciiTheme="minorEastAsia" w:hAnsiTheme="minorEastAsia" w:eastAsiaTheme="minorEastAsia" w:cstheme="minorEastAsia"/>
                <w:b/>
                <w:bCs/>
                <w:color w:val="auto"/>
                <w:spacing w:val="-9"/>
                <w:sz w:val="21"/>
                <w:szCs w:val="21"/>
                <w:highlight w:val="none"/>
              </w:rPr>
              <w:t>名</w:t>
            </w:r>
            <w:r>
              <w:rPr>
                <w:rFonts w:hint="eastAsia" w:asciiTheme="minorEastAsia" w:hAnsiTheme="minorEastAsia" w:eastAsiaTheme="minorEastAsia" w:cstheme="minorEastAsia"/>
                <w:color w:val="auto"/>
                <w:spacing w:val="6"/>
                <w:sz w:val="21"/>
                <w:szCs w:val="21"/>
                <w:highlight w:val="none"/>
              </w:rPr>
              <w:t xml:space="preserve"> </w:t>
            </w:r>
            <w:r>
              <w:rPr>
                <w:rFonts w:hint="eastAsia" w:asciiTheme="minorEastAsia" w:hAnsiTheme="minorEastAsia" w:eastAsiaTheme="minorEastAsia" w:cstheme="minorEastAsia"/>
                <w:b/>
                <w:bCs/>
                <w:color w:val="auto"/>
                <w:spacing w:val="-9"/>
                <w:sz w:val="21"/>
                <w:szCs w:val="21"/>
                <w:highlight w:val="none"/>
              </w:rPr>
              <w:t>称</w:t>
            </w:r>
          </w:p>
        </w:tc>
        <w:tc>
          <w:tcPr>
            <w:tcW w:w="3316" w:type="pct"/>
            <w:vAlign w:val="center"/>
          </w:tcPr>
          <w:p w14:paraId="22EAB2CE">
            <w:pPr>
              <w:pStyle w:val="27"/>
              <w:spacing w:before="113" w:line="221"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6"/>
                <w:sz w:val="21"/>
                <w:szCs w:val="21"/>
                <w:highlight w:val="none"/>
              </w:rPr>
              <w:t>编</w:t>
            </w:r>
            <w:r>
              <w:rPr>
                <w:rFonts w:hint="eastAsia" w:asciiTheme="minorEastAsia" w:hAnsiTheme="minorEastAsia" w:eastAsiaTheme="minorEastAsia" w:cstheme="minorEastAsia"/>
                <w:color w:val="auto"/>
                <w:spacing w:val="14"/>
                <w:sz w:val="21"/>
                <w:szCs w:val="21"/>
                <w:highlight w:val="none"/>
              </w:rPr>
              <w:t xml:space="preserve"> </w:t>
            </w:r>
            <w:r>
              <w:rPr>
                <w:rFonts w:hint="eastAsia" w:asciiTheme="minorEastAsia" w:hAnsiTheme="minorEastAsia" w:eastAsiaTheme="minorEastAsia" w:cstheme="minorEastAsia"/>
                <w:b/>
                <w:bCs/>
                <w:color w:val="auto"/>
                <w:spacing w:val="-16"/>
                <w:sz w:val="21"/>
                <w:szCs w:val="21"/>
                <w:highlight w:val="none"/>
              </w:rPr>
              <w:t>列</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b/>
                <w:bCs/>
                <w:color w:val="auto"/>
                <w:spacing w:val="-16"/>
                <w:sz w:val="21"/>
                <w:szCs w:val="21"/>
                <w:highlight w:val="none"/>
              </w:rPr>
              <w:t>内</w:t>
            </w:r>
            <w:r>
              <w:rPr>
                <w:rFonts w:hint="eastAsia" w:asciiTheme="minorEastAsia" w:hAnsiTheme="minorEastAsia" w:eastAsiaTheme="minorEastAsia" w:cstheme="minorEastAsia"/>
                <w:color w:val="auto"/>
                <w:spacing w:val="9"/>
                <w:sz w:val="21"/>
                <w:szCs w:val="21"/>
                <w:highlight w:val="none"/>
              </w:rPr>
              <w:t xml:space="preserve"> </w:t>
            </w:r>
            <w:r>
              <w:rPr>
                <w:rFonts w:hint="eastAsia" w:asciiTheme="minorEastAsia" w:hAnsiTheme="minorEastAsia" w:eastAsiaTheme="minorEastAsia" w:cstheme="minorEastAsia"/>
                <w:b/>
                <w:bCs/>
                <w:color w:val="auto"/>
                <w:spacing w:val="-16"/>
                <w:sz w:val="21"/>
                <w:szCs w:val="21"/>
                <w:highlight w:val="none"/>
              </w:rPr>
              <w:t>容</w:t>
            </w:r>
          </w:p>
        </w:tc>
      </w:tr>
      <w:tr w14:paraId="1A0D8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68" w:hRule="atLeast"/>
        </w:trPr>
        <w:tc>
          <w:tcPr>
            <w:tcW w:w="543" w:type="pct"/>
            <w:vAlign w:val="center"/>
          </w:tcPr>
          <w:p w14:paraId="034C4BBC">
            <w:pPr>
              <w:pStyle w:val="27"/>
              <w:spacing w:before="211"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1.1.2</w:t>
            </w:r>
          </w:p>
        </w:tc>
        <w:tc>
          <w:tcPr>
            <w:tcW w:w="1121" w:type="pct"/>
            <w:vAlign w:val="center"/>
          </w:tcPr>
          <w:p w14:paraId="42037D10">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w:t>
            </w:r>
          </w:p>
        </w:tc>
        <w:tc>
          <w:tcPr>
            <w:tcW w:w="3316" w:type="pct"/>
            <w:vAlign w:val="center"/>
          </w:tcPr>
          <w:p w14:paraId="28A6125D">
            <w:pPr>
              <w:pStyle w:val="27"/>
              <w:spacing w:before="176"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14:paraId="083EF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1E843DFB">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1.1.3</w:t>
            </w:r>
          </w:p>
        </w:tc>
        <w:tc>
          <w:tcPr>
            <w:tcW w:w="1121" w:type="pct"/>
            <w:vAlign w:val="center"/>
          </w:tcPr>
          <w:p w14:paraId="0907A868">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招标代理机构</w:t>
            </w:r>
          </w:p>
        </w:tc>
        <w:tc>
          <w:tcPr>
            <w:tcW w:w="3316" w:type="pct"/>
            <w:vAlign w:val="center"/>
          </w:tcPr>
          <w:p w14:paraId="6F8AF02C">
            <w:pPr>
              <w:pStyle w:val="27"/>
              <w:spacing w:before="179"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14:paraId="66224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14:paraId="2883FF32">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1.1.4</w:t>
            </w:r>
          </w:p>
        </w:tc>
        <w:tc>
          <w:tcPr>
            <w:tcW w:w="1121" w:type="pct"/>
            <w:vAlign w:val="center"/>
          </w:tcPr>
          <w:p w14:paraId="087AB7DE">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招标项目名称</w:t>
            </w:r>
          </w:p>
        </w:tc>
        <w:tc>
          <w:tcPr>
            <w:tcW w:w="3316" w:type="pct"/>
            <w:vAlign w:val="center"/>
          </w:tcPr>
          <w:p w14:paraId="3B2A0B68">
            <w:pPr>
              <w:pStyle w:val="27"/>
              <w:spacing w:before="179"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14:paraId="4215B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28819469">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1.1.5</w:t>
            </w:r>
          </w:p>
        </w:tc>
        <w:tc>
          <w:tcPr>
            <w:tcW w:w="1121" w:type="pct"/>
            <w:vAlign w:val="center"/>
          </w:tcPr>
          <w:p w14:paraId="5ABF9A1E">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建设地点</w:t>
            </w:r>
          </w:p>
        </w:tc>
        <w:tc>
          <w:tcPr>
            <w:tcW w:w="3316" w:type="pct"/>
            <w:vAlign w:val="center"/>
          </w:tcPr>
          <w:p w14:paraId="37CBE8F7">
            <w:pPr>
              <w:pStyle w:val="27"/>
              <w:spacing w:before="178"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14:paraId="1C5DB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14:paraId="46483C0A">
            <w:pPr>
              <w:pStyle w:val="27"/>
              <w:spacing w:before="215"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1.1.6</w:t>
            </w:r>
          </w:p>
        </w:tc>
        <w:tc>
          <w:tcPr>
            <w:tcW w:w="1121" w:type="pct"/>
            <w:vAlign w:val="center"/>
          </w:tcPr>
          <w:p w14:paraId="705E6662">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现场管理机构</w:t>
            </w:r>
          </w:p>
        </w:tc>
        <w:tc>
          <w:tcPr>
            <w:tcW w:w="3316" w:type="pct"/>
            <w:vAlign w:val="center"/>
          </w:tcPr>
          <w:p w14:paraId="375DD446">
            <w:pPr>
              <w:pStyle w:val="27"/>
              <w:tabs>
                <w:tab w:val="left" w:pos="208"/>
              </w:tabs>
              <w:spacing w:before="180" w:line="220" w:lineRule="auto"/>
              <w:ind w:left="105"/>
              <w:jc w:val="both"/>
              <w:outlineLvl w:val="9"/>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kern w:val="2"/>
                <w:sz w:val="21"/>
                <w:szCs w:val="21"/>
                <w:highlight w:val="none"/>
                <w:u w:val="none" w:color="auto"/>
                <w:lang w:val="en-US" w:eastAsia="zh-CN" w:bidi="ar"/>
              </w:rPr>
              <w:t>/</w:t>
            </w:r>
          </w:p>
        </w:tc>
      </w:tr>
      <w:tr w14:paraId="71C80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357BFD90">
            <w:pPr>
              <w:pStyle w:val="27"/>
              <w:spacing w:before="213"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1.1.7</w:t>
            </w:r>
          </w:p>
        </w:tc>
        <w:tc>
          <w:tcPr>
            <w:tcW w:w="1121" w:type="pct"/>
            <w:vAlign w:val="center"/>
          </w:tcPr>
          <w:p w14:paraId="3FABADFD">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设计人</w:t>
            </w:r>
          </w:p>
        </w:tc>
        <w:tc>
          <w:tcPr>
            <w:tcW w:w="3316" w:type="pct"/>
            <w:vAlign w:val="center"/>
          </w:tcPr>
          <w:p w14:paraId="0B45FBF4">
            <w:pPr>
              <w:pStyle w:val="27"/>
              <w:tabs>
                <w:tab w:val="left" w:pos="208"/>
              </w:tabs>
              <w:spacing w:before="178" w:line="222" w:lineRule="auto"/>
              <w:ind w:left="105"/>
              <w:jc w:val="both"/>
              <w:outlineLvl w:val="9"/>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kern w:val="2"/>
                <w:sz w:val="21"/>
                <w:szCs w:val="21"/>
                <w:highlight w:val="none"/>
                <w:u w:val="none" w:color="auto"/>
                <w:lang w:val="en-US" w:eastAsia="zh-CN" w:bidi="ar"/>
              </w:rPr>
              <w:t>/</w:t>
            </w:r>
          </w:p>
        </w:tc>
      </w:tr>
      <w:tr w14:paraId="48616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14:paraId="3BC06624">
            <w:pPr>
              <w:pStyle w:val="27"/>
              <w:spacing w:before="215"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1.1.8</w:t>
            </w:r>
          </w:p>
        </w:tc>
        <w:tc>
          <w:tcPr>
            <w:tcW w:w="1121" w:type="pct"/>
            <w:vAlign w:val="center"/>
          </w:tcPr>
          <w:p w14:paraId="1CE96333">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监理人</w:t>
            </w:r>
          </w:p>
        </w:tc>
        <w:tc>
          <w:tcPr>
            <w:tcW w:w="3316" w:type="pct"/>
            <w:vAlign w:val="center"/>
          </w:tcPr>
          <w:p w14:paraId="2D85092B">
            <w:pPr>
              <w:pStyle w:val="27"/>
              <w:tabs>
                <w:tab w:val="left" w:pos="208"/>
              </w:tabs>
              <w:spacing w:before="181" w:line="223" w:lineRule="auto"/>
              <w:ind w:left="105"/>
              <w:jc w:val="both"/>
              <w:outlineLvl w:val="9"/>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kern w:val="2"/>
                <w:sz w:val="21"/>
                <w:szCs w:val="21"/>
                <w:highlight w:val="none"/>
                <w:u w:val="none" w:color="auto"/>
                <w:lang w:val="en-US" w:eastAsia="zh-CN" w:bidi="ar"/>
              </w:rPr>
              <w:t>/</w:t>
            </w:r>
          </w:p>
        </w:tc>
      </w:tr>
      <w:tr w14:paraId="6127E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10437166">
            <w:pPr>
              <w:pStyle w:val="27"/>
              <w:spacing w:before="213" w:line="183"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1.1.9</w:t>
            </w:r>
          </w:p>
        </w:tc>
        <w:tc>
          <w:tcPr>
            <w:tcW w:w="1121" w:type="pct"/>
            <w:vAlign w:val="center"/>
          </w:tcPr>
          <w:p w14:paraId="1177A574">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代建机构</w:t>
            </w:r>
          </w:p>
        </w:tc>
        <w:tc>
          <w:tcPr>
            <w:tcW w:w="3316" w:type="pct"/>
            <w:vAlign w:val="center"/>
          </w:tcPr>
          <w:p w14:paraId="27977D38">
            <w:pPr>
              <w:pStyle w:val="27"/>
              <w:tabs>
                <w:tab w:val="left" w:pos="208"/>
              </w:tabs>
              <w:spacing w:before="179" w:line="220" w:lineRule="auto"/>
              <w:ind w:left="105"/>
              <w:jc w:val="both"/>
              <w:outlineLvl w:val="9"/>
              <w:rPr>
                <w:rFonts w:hint="eastAsia" w:asciiTheme="minorEastAsia" w:hAnsiTheme="minorEastAsia" w:eastAsiaTheme="minorEastAsia" w:cstheme="minorEastAsia"/>
                <w:color w:val="auto"/>
                <w:sz w:val="21"/>
                <w:szCs w:val="21"/>
                <w:highlight w:val="none"/>
                <w:u w:val="none" w:color="auto"/>
              </w:rPr>
            </w:pPr>
            <w:r>
              <w:rPr>
                <w:rFonts w:hint="eastAsia" w:asciiTheme="minorEastAsia" w:hAnsiTheme="minorEastAsia" w:eastAsiaTheme="minorEastAsia" w:cstheme="minorEastAsia"/>
                <w:color w:val="auto"/>
                <w:kern w:val="2"/>
                <w:sz w:val="21"/>
                <w:szCs w:val="21"/>
                <w:highlight w:val="none"/>
                <w:u w:val="none" w:color="auto"/>
                <w:lang w:val="en-US" w:eastAsia="zh-CN" w:bidi="ar"/>
              </w:rPr>
              <w:t>/</w:t>
            </w:r>
          </w:p>
        </w:tc>
      </w:tr>
      <w:tr w14:paraId="46877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59998CA8">
            <w:pPr>
              <w:pStyle w:val="27"/>
              <w:spacing w:before="179" w:line="219" w:lineRule="auto"/>
              <w:ind w:left="116"/>
              <w:jc w:val="center"/>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1.2.1</w:t>
            </w:r>
          </w:p>
        </w:tc>
        <w:tc>
          <w:tcPr>
            <w:tcW w:w="1121" w:type="pct"/>
            <w:vAlign w:val="center"/>
          </w:tcPr>
          <w:p w14:paraId="00F9BCE0">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资金来源和出资</w:t>
            </w:r>
          </w:p>
          <w:p w14:paraId="246D9D07">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比例</w:t>
            </w:r>
          </w:p>
        </w:tc>
        <w:tc>
          <w:tcPr>
            <w:tcW w:w="3316" w:type="pct"/>
            <w:vAlign w:val="center"/>
          </w:tcPr>
          <w:p w14:paraId="49A88226">
            <w:pPr>
              <w:pStyle w:val="27"/>
              <w:spacing w:before="179"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14:paraId="597DF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4" w:hRule="atLeast"/>
        </w:trPr>
        <w:tc>
          <w:tcPr>
            <w:tcW w:w="543" w:type="pct"/>
            <w:vAlign w:val="center"/>
          </w:tcPr>
          <w:p w14:paraId="297E347B">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1.2.2</w:t>
            </w:r>
          </w:p>
        </w:tc>
        <w:tc>
          <w:tcPr>
            <w:tcW w:w="1121" w:type="pct"/>
            <w:vAlign w:val="center"/>
          </w:tcPr>
          <w:p w14:paraId="49705873">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资金落实情况</w:t>
            </w:r>
          </w:p>
        </w:tc>
        <w:tc>
          <w:tcPr>
            <w:tcW w:w="3316" w:type="pct"/>
            <w:vAlign w:val="center"/>
          </w:tcPr>
          <w:p w14:paraId="658E9DAA">
            <w:pPr>
              <w:pStyle w:val="27"/>
              <w:spacing w:before="181" w:line="221" w:lineRule="auto"/>
              <w:ind w:left="13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已落实</w:t>
            </w:r>
          </w:p>
        </w:tc>
      </w:tr>
      <w:tr w14:paraId="09D43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4F7A3779">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1.3.1</w:t>
            </w:r>
          </w:p>
        </w:tc>
        <w:tc>
          <w:tcPr>
            <w:tcW w:w="1121" w:type="pct"/>
            <w:vAlign w:val="center"/>
          </w:tcPr>
          <w:p w14:paraId="003EB15B">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招标范围</w:t>
            </w:r>
          </w:p>
        </w:tc>
        <w:tc>
          <w:tcPr>
            <w:tcW w:w="3316" w:type="pct"/>
            <w:vAlign w:val="center"/>
          </w:tcPr>
          <w:p w14:paraId="5715CA81">
            <w:pPr>
              <w:pStyle w:val="27"/>
              <w:spacing w:before="179"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见招标公告</w:t>
            </w:r>
          </w:p>
        </w:tc>
      </w:tr>
      <w:tr w14:paraId="5544D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638" w:hRule="atLeast"/>
        </w:trPr>
        <w:tc>
          <w:tcPr>
            <w:tcW w:w="543" w:type="pct"/>
            <w:vAlign w:val="center"/>
          </w:tcPr>
          <w:p w14:paraId="75DC3914">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1.3.2</w:t>
            </w:r>
          </w:p>
        </w:tc>
        <w:tc>
          <w:tcPr>
            <w:tcW w:w="1121" w:type="pct"/>
            <w:vAlign w:val="center"/>
          </w:tcPr>
          <w:p w14:paraId="7F9A9C7F">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计划工期</w:t>
            </w:r>
          </w:p>
        </w:tc>
        <w:tc>
          <w:tcPr>
            <w:tcW w:w="3316" w:type="pct"/>
            <w:vAlign w:val="center"/>
          </w:tcPr>
          <w:p w14:paraId="17652578">
            <w:pPr>
              <w:pStyle w:val="27"/>
              <w:spacing w:before="32" w:line="221" w:lineRule="auto"/>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计划施工工期：</w:t>
            </w:r>
            <w:r>
              <w:rPr>
                <w:rFonts w:hint="eastAsia" w:asciiTheme="minorEastAsia" w:hAnsiTheme="minorEastAsia" w:eastAsiaTheme="minorEastAsia" w:cstheme="minorEastAsia"/>
                <w:color w:val="auto"/>
                <w:spacing w:val="-4"/>
                <w:sz w:val="21"/>
                <w:szCs w:val="21"/>
                <w:highlight w:val="none"/>
                <w:u w:val="single" w:color="auto"/>
                <w:lang w:val="en-US" w:eastAsia="zh-CN"/>
              </w:rPr>
              <w:t>210</w:t>
            </w:r>
            <w:r>
              <w:rPr>
                <w:rFonts w:hint="eastAsia" w:asciiTheme="minorEastAsia" w:hAnsiTheme="minorEastAsia" w:eastAsiaTheme="minorEastAsia" w:cstheme="minorEastAsia"/>
                <w:color w:val="auto"/>
                <w:spacing w:val="-4"/>
                <w:sz w:val="21"/>
                <w:szCs w:val="21"/>
                <w:highlight w:val="none"/>
              </w:rPr>
              <w:t>日历天</w:t>
            </w:r>
          </w:p>
          <w:p w14:paraId="0FD35A11">
            <w:pPr>
              <w:pStyle w:val="27"/>
              <w:spacing w:before="158" w:line="221" w:lineRule="auto"/>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计划开工日期：</w:t>
            </w:r>
            <w:r>
              <w:rPr>
                <w:rFonts w:hint="eastAsia" w:asciiTheme="minorEastAsia" w:hAnsiTheme="minorEastAsia" w:eastAsiaTheme="minorEastAsia" w:cstheme="minorEastAsia"/>
                <w:color w:val="auto"/>
                <w:spacing w:val="-2"/>
                <w:sz w:val="21"/>
                <w:szCs w:val="21"/>
                <w:highlight w:val="none"/>
                <w:u w:val="single"/>
                <w:lang w:val="en-US" w:eastAsia="zh-CN"/>
              </w:rPr>
              <w:t>2025</w:t>
            </w:r>
            <w:r>
              <w:rPr>
                <w:rFonts w:hint="eastAsia" w:asciiTheme="minorEastAsia" w:hAnsiTheme="minorEastAsia" w:eastAsiaTheme="minorEastAsia" w:cstheme="minorEastAsia"/>
                <w:color w:val="auto"/>
                <w:spacing w:val="-2"/>
                <w:sz w:val="21"/>
                <w:szCs w:val="21"/>
                <w:highlight w:val="none"/>
              </w:rPr>
              <w:t>年</w:t>
            </w:r>
            <w:r>
              <w:rPr>
                <w:rFonts w:hint="eastAsia" w:asciiTheme="minorEastAsia" w:hAnsiTheme="minorEastAsia" w:eastAsiaTheme="minorEastAsia" w:cstheme="minorEastAsia"/>
                <w:color w:val="auto"/>
                <w:spacing w:val="-2"/>
                <w:sz w:val="21"/>
                <w:szCs w:val="21"/>
                <w:highlight w:val="none"/>
                <w:u w:val="single" w:color="auto"/>
                <w:lang w:val="en-US" w:eastAsia="zh-CN"/>
              </w:rPr>
              <w:t>11</w:t>
            </w:r>
            <w:r>
              <w:rPr>
                <w:rFonts w:hint="eastAsia" w:asciiTheme="minorEastAsia" w:hAnsiTheme="minorEastAsia" w:eastAsiaTheme="minorEastAsia" w:cstheme="minorEastAsia"/>
                <w:color w:val="auto"/>
                <w:spacing w:val="-2"/>
                <w:sz w:val="21"/>
                <w:szCs w:val="21"/>
                <w:highlight w:val="none"/>
              </w:rPr>
              <w:t>月</w:t>
            </w:r>
            <w:r>
              <w:rPr>
                <w:rFonts w:hint="eastAsia" w:asciiTheme="minorEastAsia" w:hAnsiTheme="minorEastAsia" w:eastAsiaTheme="minorEastAsia" w:cstheme="minorEastAsia"/>
                <w:color w:val="auto"/>
                <w:spacing w:val="-2"/>
                <w:sz w:val="21"/>
                <w:szCs w:val="21"/>
                <w:highlight w:val="none"/>
                <w:u w:val="single" w:color="auto"/>
                <w:lang w:val="en-US" w:eastAsia="zh-CN"/>
              </w:rPr>
              <w:t>30</w:t>
            </w:r>
            <w:r>
              <w:rPr>
                <w:rFonts w:hint="eastAsia" w:asciiTheme="minorEastAsia" w:hAnsiTheme="minorEastAsia" w:eastAsiaTheme="minorEastAsia" w:cstheme="minorEastAsia"/>
                <w:color w:val="auto"/>
                <w:spacing w:val="-2"/>
                <w:sz w:val="21"/>
                <w:szCs w:val="21"/>
                <w:highlight w:val="none"/>
              </w:rPr>
              <w:t>日</w:t>
            </w:r>
            <w:r>
              <w:rPr>
                <w:rFonts w:hint="eastAsia" w:asciiTheme="minorEastAsia" w:hAnsiTheme="minorEastAsia" w:eastAsiaTheme="minorEastAsia" w:cstheme="minorEastAsia"/>
                <w:color w:val="auto"/>
                <w:sz w:val="21"/>
                <w:szCs w:val="21"/>
                <w:highlight w:val="none"/>
              </w:rPr>
              <w:t>（具体开工日期以开工通知为准）</w:t>
            </w:r>
          </w:p>
          <w:p w14:paraId="3E003288">
            <w:pPr>
              <w:pStyle w:val="27"/>
              <w:spacing w:before="156" w:line="342" w:lineRule="auto"/>
              <w:ind w:right="166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计划竣工日期：</w:t>
            </w:r>
            <w:r>
              <w:rPr>
                <w:rFonts w:hint="eastAsia" w:asciiTheme="minorEastAsia" w:hAnsiTheme="minorEastAsia" w:eastAsiaTheme="minorEastAsia" w:cstheme="minorEastAsia"/>
                <w:color w:val="auto"/>
                <w:spacing w:val="-5"/>
                <w:sz w:val="21"/>
                <w:szCs w:val="21"/>
                <w:highlight w:val="none"/>
                <w:u w:val="single" w:color="auto"/>
                <w:lang w:val="en-US" w:eastAsia="zh-CN"/>
              </w:rPr>
              <w:t>2026</w:t>
            </w:r>
            <w:r>
              <w:rPr>
                <w:rFonts w:hint="eastAsia" w:asciiTheme="minorEastAsia" w:hAnsiTheme="minorEastAsia" w:eastAsiaTheme="minorEastAsia" w:cstheme="minorEastAsia"/>
                <w:color w:val="auto"/>
                <w:spacing w:val="-5"/>
                <w:sz w:val="21"/>
                <w:szCs w:val="21"/>
                <w:highlight w:val="none"/>
              </w:rPr>
              <w:t>年</w:t>
            </w:r>
            <w:r>
              <w:rPr>
                <w:rFonts w:hint="eastAsia" w:asciiTheme="minorEastAsia" w:hAnsiTheme="minorEastAsia" w:eastAsiaTheme="minorEastAsia" w:cstheme="minorEastAsia"/>
                <w:color w:val="auto"/>
                <w:spacing w:val="34"/>
                <w:sz w:val="21"/>
                <w:szCs w:val="21"/>
                <w:highlight w:val="none"/>
                <w:u w:val="single" w:color="auto"/>
                <w:lang w:val="en-US" w:eastAsia="zh-CN"/>
              </w:rPr>
              <w:t>06</w:t>
            </w:r>
            <w:r>
              <w:rPr>
                <w:rFonts w:hint="eastAsia" w:asciiTheme="minorEastAsia" w:hAnsiTheme="minorEastAsia" w:eastAsiaTheme="minorEastAsia" w:cstheme="minorEastAsia"/>
                <w:color w:val="auto"/>
                <w:spacing w:val="-5"/>
                <w:sz w:val="21"/>
                <w:szCs w:val="21"/>
                <w:highlight w:val="none"/>
              </w:rPr>
              <w:t>月</w:t>
            </w:r>
            <w:r>
              <w:rPr>
                <w:rFonts w:hint="eastAsia" w:asciiTheme="minorEastAsia" w:hAnsiTheme="minorEastAsia" w:eastAsiaTheme="minorEastAsia" w:cstheme="minorEastAsia"/>
                <w:color w:val="auto"/>
                <w:spacing w:val="34"/>
                <w:sz w:val="21"/>
                <w:szCs w:val="21"/>
                <w:highlight w:val="none"/>
                <w:u w:val="single" w:color="auto"/>
                <w:lang w:val="en-US" w:eastAsia="zh-CN"/>
              </w:rPr>
              <w:t>09</w:t>
            </w:r>
            <w:r>
              <w:rPr>
                <w:rFonts w:hint="eastAsia" w:asciiTheme="minorEastAsia" w:hAnsiTheme="minorEastAsia" w:eastAsiaTheme="minorEastAsia" w:cstheme="minorEastAsia"/>
                <w:color w:val="auto"/>
                <w:spacing w:val="-5"/>
                <w:sz w:val="21"/>
                <w:szCs w:val="21"/>
                <w:highlight w:val="none"/>
              </w:rPr>
              <w:t>日</w:t>
            </w:r>
          </w:p>
          <w:p w14:paraId="6600D559">
            <w:pPr>
              <w:pStyle w:val="27"/>
              <w:spacing w:before="158" w:line="221" w:lineRule="auto"/>
              <w:jc w:val="both"/>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rPr>
              <w:t>除上述总工期外，发包人还要求如下：结合工程特点，2025年12月20日前必须完成田块第一次平整、深翻和有机肥播撒等，2026年3月15日前对平整不到位的地块必须进行二次以上水平整验收并交付正常使用，2026年2月28日前完成塘坝清淤、扩建、填埋，机耕路、生产路路基等 所有土方工程，2026年4月15日前完成沟渠硬化、下田坡、道路，泵站、电力等所有水工建筑。</w:t>
            </w:r>
            <w:r>
              <w:rPr>
                <w:rFonts w:hint="eastAsia" w:asciiTheme="minorEastAsia" w:hAnsiTheme="minorEastAsia" w:eastAsiaTheme="minorEastAsia" w:cstheme="minorEastAsia"/>
                <w:color w:val="auto"/>
                <w:spacing w:val="-2"/>
                <w:sz w:val="21"/>
                <w:szCs w:val="21"/>
                <w:highlight w:val="none"/>
                <w:lang w:val="en-US" w:eastAsia="zh-CN"/>
              </w:rPr>
              <w:t>实际以业主需求为准。</w:t>
            </w:r>
          </w:p>
        </w:tc>
      </w:tr>
      <w:tr w14:paraId="79107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14:paraId="7971B58D">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1.3.3</w:t>
            </w:r>
          </w:p>
        </w:tc>
        <w:tc>
          <w:tcPr>
            <w:tcW w:w="1121" w:type="pct"/>
            <w:vAlign w:val="center"/>
          </w:tcPr>
          <w:p w14:paraId="75CF098A">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质量要求</w:t>
            </w:r>
          </w:p>
        </w:tc>
        <w:tc>
          <w:tcPr>
            <w:tcW w:w="3316" w:type="pct"/>
            <w:vAlign w:val="center"/>
          </w:tcPr>
          <w:p w14:paraId="5D564CE6">
            <w:pPr>
              <w:pStyle w:val="27"/>
              <w:spacing w:before="180" w:line="221" w:lineRule="auto"/>
              <w:jc w:val="both"/>
              <w:outlineLvl w:val="9"/>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val="en-US" w:eastAsia="zh-CN"/>
              </w:rPr>
              <w:t>合格</w:t>
            </w:r>
          </w:p>
        </w:tc>
      </w:tr>
      <w:tr w14:paraId="5CFE8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1FD570CF">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1.3.4</w:t>
            </w:r>
          </w:p>
        </w:tc>
        <w:tc>
          <w:tcPr>
            <w:tcW w:w="1121" w:type="pct"/>
            <w:vAlign w:val="center"/>
          </w:tcPr>
          <w:p w14:paraId="4708E29C">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安全目标</w:t>
            </w:r>
          </w:p>
        </w:tc>
        <w:tc>
          <w:tcPr>
            <w:tcW w:w="3316" w:type="pct"/>
            <w:vAlign w:val="center"/>
          </w:tcPr>
          <w:p w14:paraId="3F72DE18">
            <w:pPr>
              <w:pStyle w:val="27"/>
              <w:spacing w:before="180" w:line="221" w:lineRule="auto"/>
              <w:jc w:val="both"/>
              <w:outlineLvl w:val="9"/>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lang w:val="en-US" w:eastAsia="zh-CN"/>
              </w:rPr>
              <w:t>合格</w:t>
            </w:r>
          </w:p>
        </w:tc>
      </w:tr>
      <w:tr w14:paraId="5A8FA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7506E334">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1.3.5</w:t>
            </w:r>
          </w:p>
        </w:tc>
        <w:tc>
          <w:tcPr>
            <w:tcW w:w="1121" w:type="pct"/>
            <w:vAlign w:val="center"/>
          </w:tcPr>
          <w:p w14:paraId="77CF1C8B">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环保目标</w:t>
            </w:r>
          </w:p>
        </w:tc>
        <w:tc>
          <w:tcPr>
            <w:tcW w:w="3316" w:type="pct"/>
            <w:vAlign w:val="center"/>
          </w:tcPr>
          <w:p w14:paraId="706EE153">
            <w:pPr>
              <w:pStyle w:val="27"/>
              <w:spacing w:before="180" w:line="221" w:lineRule="auto"/>
              <w:jc w:val="both"/>
              <w:outlineLvl w:val="9"/>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val="en-US" w:eastAsia="zh-CN"/>
              </w:rPr>
              <w:t>合格</w:t>
            </w:r>
          </w:p>
        </w:tc>
      </w:tr>
      <w:tr w14:paraId="2E98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90" w:hRule="atLeast"/>
        </w:trPr>
        <w:tc>
          <w:tcPr>
            <w:tcW w:w="543" w:type="pct"/>
            <w:vAlign w:val="center"/>
          </w:tcPr>
          <w:p w14:paraId="37A7917B">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1.4.1</w:t>
            </w:r>
          </w:p>
        </w:tc>
        <w:tc>
          <w:tcPr>
            <w:tcW w:w="1121" w:type="pct"/>
            <w:vAlign w:val="center"/>
          </w:tcPr>
          <w:p w14:paraId="621756E0">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w:t>
            </w:r>
            <w:r>
              <w:rPr>
                <w:rFonts w:hint="eastAsia" w:asciiTheme="minorEastAsia" w:hAnsiTheme="minorEastAsia" w:eastAsiaTheme="minorEastAsia" w:cstheme="minorEastAsia"/>
                <w:color w:val="auto"/>
                <w:sz w:val="21"/>
                <w:szCs w:val="21"/>
                <w:highlight w:val="none"/>
                <w:lang w:val="en-US" w:eastAsia="zh-CN"/>
              </w:rPr>
              <w:t>人资质条件、能力、信誉</w:t>
            </w:r>
          </w:p>
        </w:tc>
        <w:tc>
          <w:tcPr>
            <w:tcW w:w="3316" w:type="pct"/>
            <w:vAlign w:val="center"/>
          </w:tcPr>
          <w:p w14:paraId="3B11BC86">
            <w:pPr>
              <w:pStyle w:val="27"/>
              <w:spacing w:before="178" w:line="219" w:lineRule="auto"/>
              <w:ind w:left="116"/>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pacing w:val="-2"/>
                <w:sz w:val="21"/>
                <w:szCs w:val="21"/>
                <w:highlight w:val="none"/>
              </w:rPr>
              <w:t>见招标公告</w:t>
            </w:r>
            <w:r>
              <w:rPr>
                <w:rFonts w:hint="eastAsia" w:asciiTheme="minorEastAsia" w:hAnsiTheme="minorEastAsia" w:eastAsiaTheme="minorEastAsia" w:cstheme="minorEastAsia"/>
                <w:color w:val="auto"/>
                <w:spacing w:val="-2"/>
                <w:sz w:val="21"/>
                <w:szCs w:val="21"/>
                <w:highlight w:val="none"/>
                <w:lang w:eastAsia="zh-CN"/>
              </w:rPr>
              <w:t>，</w:t>
            </w:r>
            <w:r>
              <w:rPr>
                <w:rFonts w:hint="eastAsia" w:asciiTheme="minorEastAsia" w:hAnsiTheme="minorEastAsia" w:eastAsiaTheme="minorEastAsia" w:cstheme="minorEastAsia"/>
                <w:color w:val="auto"/>
                <w:spacing w:val="-2"/>
                <w:sz w:val="21"/>
                <w:szCs w:val="21"/>
                <w:highlight w:val="none"/>
                <w:lang w:val="en-US" w:eastAsia="zh-CN"/>
              </w:rPr>
              <w:t>其中信誉要求</w:t>
            </w:r>
            <w:r>
              <w:rPr>
                <w:rFonts w:hint="eastAsia" w:asciiTheme="minorEastAsia" w:hAnsiTheme="minorEastAsia" w:eastAsiaTheme="minorEastAsia" w:cstheme="minorEastAsia"/>
                <w:bCs/>
                <w:snapToGrid w:val="0"/>
                <w:color w:val="auto"/>
                <w:kern w:val="2"/>
                <w:sz w:val="21"/>
                <w:szCs w:val="21"/>
                <w:highlight w:val="none"/>
                <w:lang w:val="en-US" w:eastAsia="zh-CN" w:bidi="ar"/>
              </w:rPr>
              <w:t>投标人无需提供证明材料，由评标委员会通过电子服务系统查询。</w:t>
            </w:r>
          </w:p>
          <w:p w14:paraId="349ECE31">
            <w:pPr>
              <w:pStyle w:val="27"/>
              <w:spacing w:before="178" w:line="219" w:lineRule="auto"/>
              <w:ind w:left="116"/>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pacing w:val="-3"/>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lang w:val="en-US" w:eastAsia="zh-CN"/>
              </w:rPr>
              <w:t>其他主要人员要求：无。</w:t>
            </w:r>
          </w:p>
          <w:p w14:paraId="6473A6B5">
            <w:pPr>
              <w:pStyle w:val="27"/>
              <w:spacing w:before="171" w:line="378" w:lineRule="auto"/>
              <w:ind w:left="116" w:right="102" w:hanging="1"/>
              <w:jc w:val="both"/>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社保要求：提供投标人所属社保机构出具的项目经理、其他</w:t>
            </w:r>
            <w:r>
              <w:rPr>
                <w:rFonts w:hint="eastAsia" w:asciiTheme="minorEastAsia" w:hAnsiTheme="minorEastAsia" w:eastAsiaTheme="minorEastAsia" w:cstheme="minorEastAsia"/>
                <w:color w:val="auto"/>
                <w:spacing w:val="-5"/>
                <w:sz w:val="21"/>
                <w:szCs w:val="21"/>
                <w:highlight w:val="none"/>
              </w:rPr>
              <w:t>主要人员要求（如要求）</w:t>
            </w:r>
            <w:r>
              <w:rPr>
                <w:rFonts w:hint="eastAsia" w:asciiTheme="minorEastAsia" w:hAnsiTheme="minorEastAsia" w:eastAsiaTheme="minorEastAsia" w:cstheme="minorEastAsia"/>
                <w:color w:val="auto"/>
                <w:spacing w:val="-5"/>
                <w:sz w:val="21"/>
                <w:szCs w:val="21"/>
                <w:highlight w:val="none"/>
                <w:u w:val="single" w:color="auto"/>
                <w:lang w:val="en-US" w:eastAsia="zh-CN"/>
              </w:rPr>
              <w:t>2025年1月1日以来任意连续3个月的</w:t>
            </w:r>
            <w:r>
              <w:rPr>
                <w:rFonts w:hint="eastAsia" w:asciiTheme="minorEastAsia" w:hAnsiTheme="minorEastAsia" w:eastAsiaTheme="minorEastAsia" w:cstheme="minorEastAsia"/>
                <w:color w:val="auto"/>
                <w:spacing w:val="-5"/>
                <w:sz w:val="21"/>
                <w:szCs w:val="21"/>
                <w:highlight w:val="none"/>
              </w:rPr>
              <w:t>社保缴费证明（或其他</w:t>
            </w:r>
            <w:r>
              <w:rPr>
                <w:rFonts w:hint="eastAsia" w:asciiTheme="minorEastAsia" w:hAnsiTheme="minorEastAsia" w:eastAsiaTheme="minorEastAsia" w:cstheme="minorEastAsia"/>
                <w:color w:val="auto"/>
                <w:sz w:val="21"/>
                <w:szCs w:val="21"/>
                <w:highlight w:val="none"/>
              </w:rPr>
              <w:t>能够证明项目经理参加社保的有效证明）材料，</w:t>
            </w:r>
            <w:r>
              <w:rPr>
                <w:rFonts w:hint="eastAsia" w:asciiTheme="minorEastAsia" w:hAnsiTheme="minorEastAsia" w:eastAsiaTheme="minorEastAsia" w:cstheme="minorEastAsia"/>
                <w:color w:val="auto"/>
                <w:spacing w:val="-1"/>
                <w:sz w:val="21"/>
                <w:szCs w:val="21"/>
                <w:highlight w:val="none"/>
              </w:rPr>
              <w:t>项目经理的</w:t>
            </w:r>
            <w:r>
              <w:rPr>
                <w:rFonts w:hint="eastAsia" w:asciiTheme="minorEastAsia" w:hAnsiTheme="minorEastAsia" w:eastAsiaTheme="minorEastAsia" w:cstheme="minorEastAsia"/>
                <w:color w:val="auto"/>
                <w:sz w:val="21"/>
                <w:szCs w:val="21"/>
                <w:highlight w:val="none"/>
              </w:rPr>
              <w:t>社保缴纳单位应当是投标人或者投标人不具备</w:t>
            </w:r>
            <w:r>
              <w:rPr>
                <w:rFonts w:hint="eastAsia" w:asciiTheme="minorEastAsia" w:hAnsiTheme="minorEastAsia" w:eastAsiaTheme="minorEastAsia" w:cstheme="minorEastAsia"/>
                <w:color w:val="auto"/>
                <w:spacing w:val="-1"/>
                <w:sz w:val="21"/>
                <w:szCs w:val="21"/>
                <w:highlight w:val="none"/>
              </w:rPr>
              <w:t>独立法人资格</w:t>
            </w:r>
            <w:r>
              <w:rPr>
                <w:rFonts w:hint="eastAsia" w:asciiTheme="minorEastAsia" w:hAnsiTheme="minorEastAsia" w:eastAsiaTheme="minorEastAsia" w:cstheme="minorEastAsia"/>
                <w:color w:val="auto"/>
                <w:spacing w:val="-5"/>
                <w:sz w:val="21"/>
                <w:szCs w:val="21"/>
                <w:highlight w:val="none"/>
              </w:rPr>
              <w:t>的分支机构。（社保缴费证明或社保的有效证明材料至少含养</w:t>
            </w:r>
            <w:r>
              <w:rPr>
                <w:rFonts w:hint="eastAsia" w:asciiTheme="minorEastAsia" w:hAnsiTheme="minorEastAsia" w:eastAsiaTheme="minorEastAsia" w:cstheme="minorEastAsia"/>
                <w:color w:val="auto"/>
                <w:spacing w:val="-3"/>
                <w:sz w:val="21"/>
                <w:szCs w:val="21"/>
                <w:highlight w:val="none"/>
              </w:rPr>
              <w:t>老保险）</w:t>
            </w:r>
            <w:r>
              <w:rPr>
                <w:rFonts w:hint="eastAsia" w:asciiTheme="minorEastAsia" w:hAnsiTheme="minorEastAsia" w:eastAsiaTheme="minorEastAsia" w:cstheme="minorEastAsia"/>
                <w:color w:val="auto"/>
                <w:spacing w:val="-3"/>
                <w:sz w:val="21"/>
                <w:szCs w:val="21"/>
                <w:highlight w:val="none"/>
                <w:lang w:eastAsia="zh-CN"/>
              </w:rPr>
              <w:t>。</w:t>
            </w:r>
          </w:p>
          <w:p w14:paraId="3EE7D8B4">
            <w:pPr>
              <w:keepNext w:val="0"/>
              <w:keepLines w:val="0"/>
              <w:widowControl w:val="0"/>
              <w:suppressLineNumbers w:val="0"/>
              <w:wordWrap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注：符合免缴社保范围的，应当在投标文件中说明</w:t>
            </w:r>
            <w:r>
              <w:rPr>
                <w:rFonts w:hint="eastAsia" w:asciiTheme="minorEastAsia" w:hAnsiTheme="minorEastAsia" w:eastAsiaTheme="minorEastAsia" w:cstheme="minorEastAsia"/>
                <w:color w:val="auto"/>
                <w:spacing w:val="-1"/>
                <w:sz w:val="21"/>
                <w:szCs w:val="21"/>
                <w:highlight w:val="none"/>
              </w:rPr>
              <w:t>符合免缴</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社保的情形并提供相关政策依据。</w:t>
            </w:r>
          </w:p>
        </w:tc>
      </w:tr>
      <w:tr w14:paraId="60B88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677" w:hRule="atLeast"/>
        </w:trPr>
        <w:tc>
          <w:tcPr>
            <w:tcW w:w="543" w:type="pct"/>
            <w:vAlign w:val="center"/>
          </w:tcPr>
          <w:p w14:paraId="1163B871">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1.4.2</w:t>
            </w:r>
          </w:p>
        </w:tc>
        <w:tc>
          <w:tcPr>
            <w:tcW w:w="1121" w:type="pct"/>
            <w:vAlign w:val="center"/>
          </w:tcPr>
          <w:p w14:paraId="43E342B6">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是否接受联合体投标</w:t>
            </w:r>
          </w:p>
        </w:tc>
        <w:tc>
          <w:tcPr>
            <w:tcW w:w="3316" w:type="pct"/>
            <w:vAlign w:val="center"/>
          </w:tcPr>
          <w:p w14:paraId="344A8B93">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rPr>
              <w:t>接受</w:t>
            </w:r>
          </w:p>
          <w:p w14:paraId="552CC191">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接受，应满足下列要求：</w:t>
            </w:r>
          </w:p>
          <w:p w14:paraId="023E27D2">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（1）联合体所有成员数量不得超过/家；</w:t>
            </w:r>
          </w:p>
          <w:p w14:paraId="37108175">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（2）联合体牵头人应具有/资质；</w:t>
            </w:r>
          </w:p>
          <w:p w14:paraId="52030939">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p w14:paraId="5513503D">
            <w:pPr>
              <w:pStyle w:val="27"/>
              <w:spacing w:before="18"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（4）联合体信用等级按联合体成员最低信用等级确定；</w:t>
            </w:r>
          </w:p>
        </w:tc>
      </w:tr>
      <w:tr w14:paraId="6ED38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14:paraId="24DC9620">
            <w:pPr>
              <w:spacing w:before="203" w:line="187"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1.4.3</w:t>
            </w:r>
          </w:p>
        </w:tc>
        <w:tc>
          <w:tcPr>
            <w:tcW w:w="1121" w:type="pct"/>
            <w:vAlign w:val="center"/>
          </w:tcPr>
          <w:p w14:paraId="592FA2F5">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投标人不得存在的其他情形</w:t>
            </w:r>
          </w:p>
        </w:tc>
        <w:tc>
          <w:tcPr>
            <w:tcW w:w="3316" w:type="pct"/>
            <w:vAlign w:val="center"/>
          </w:tcPr>
          <w:p w14:paraId="61744837">
            <w:pPr>
              <w:pStyle w:val="27"/>
              <w:tabs>
                <w:tab w:val="left" w:pos="208"/>
              </w:tabs>
              <w:spacing w:before="171" w:line="221" w:lineRule="auto"/>
              <w:ind w:left="10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
              </w:rPr>
              <w:t>/</w:t>
            </w:r>
          </w:p>
        </w:tc>
      </w:tr>
      <w:tr w14:paraId="6F71F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216" w:hRule="atLeast"/>
        </w:trPr>
        <w:tc>
          <w:tcPr>
            <w:tcW w:w="543" w:type="pct"/>
            <w:vAlign w:val="center"/>
          </w:tcPr>
          <w:p w14:paraId="3B0E6A18">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1.9.1</w:t>
            </w:r>
          </w:p>
        </w:tc>
        <w:tc>
          <w:tcPr>
            <w:tcW w:w="1767" w:type="dxa"/>
            <w:vAlign w:val="center"/>
          </w:tcPr>
          <w:p w14:paraId="5B22D3EC">
            <w:pPr>
              <w:wordWrap w:val="0"/>
              <w:spacing w:line="360" w:lineRule="auto"/>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踏勘现场</w:t>
            </w:r>
          </w:p>
        </w:tc>
        <w:tc>
          <w:tcPr>
            <w:tcW w:w="5731" w:type="dxa"/>
            <w:vAlign w:val="center"/>
          </w:tcPr>
          <w:p w14:paraId="00A0B379">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☑不组织，投标人自行踏勘。</w:t>
            </w:r>
          </w:p>
          <w:p w14:paraId="78EEA972">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组织，踏勘时间：</w:t>
            </w:r>
          </w:p>
          <w:p w14:paraId="35DCAEBB">
            <w:pPr>
              <w:wordWrap w:val="0"/>
              <w:spacing w:line="360" w:lineRule="auto"/>
              <w:ind w:firstLine="997" w:firstLineChars="475"/>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54E7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8" w:type="pct"/>
          <w:trHeight w:val="816" w:hRule="atLeast"/>
        </w:trPr>
        <w:tc>
          <w:tcPr>
            <w:tcW w:w="543" w:type="pct"/>
            <w:vAlign w:val="center"/>
          </w:tcPr>
          <w:p w14:paraId="055FAB30">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1.10.1</w:t>
            </w:r>
          </w:p>
        </w:tc>
        <w:tc>
          <w:tcPr>
            <w:tcW w:w="1767" w:type="dxa"/>
            <w:vAlign w:val="center"/>
          </w:tcPr>
          <w:p w14:paraId="235AD6AA">
            <w:pPr>
              <w:wordWrap w:val="0"/>
              <w:spacing w:line="360" w:lineRule="auto"/>
              <w:jc w:val="center"/>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投标预备会</w:t>
            </w:r>
          </w:p>
        </w:tc>
        <w:tc>
          <w:tcPr>
            <w:tcW w:w="5731" w:type="dxa"/>
            <w:vAlign w:val="center"/>
          </w:tcPr>
          <w:p w14:paraId="22DD9CA7">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☑不召开</w:t>
            </w:r>
          </w:p>
          <w:p w14:paraId="129BC013">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召开,召开时间：</w:t>
            </w:r>
          </w:p>
          <w:p w14:paraId="7544090F">
            <w:pPr>
              <w:wordWrap w:val="0"/>
              <w:spacing w:line="360" w:lineRule="auto"/>
              <w:ind w:firstLine="840" w:firstLineChars="400"/>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召开地点：</w:t>
            </w:r>
          </w:p>
        </w:tc>
      </w:tr>
      <w:tr w14:paraId="53096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28" w:hRule="atLeast"/>
        </w:trPr>
        <w:tc>
          <w:tcPr>
            <w:tcW w:w="543" w:type="pct"/>
            <w:vMerge w:val="restart"/>
            <w:tcBorders>
              <w:bottom w:val="nil"/>
            </w:tcBorders>
            <w:vAlign w:val="center"/>
          </w:tcPr>
          <w:p w14:paraId="01505A5C">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1.10.2</w:t>
            </w:r>
          </w:p>
        </w:tc>
        <w:tc>
          <w:tcPr>
            <w:tcW w:w="1121" w:type="pct"/>
            <w:vMerge w:val="restart"/>
            <w:tcBorders>
              <w:bottom w:val="nil"/>
            </w:tcBorders>
            <w:vAlign w:val="center"/>
          </w:tcPr>
          <w:p w14:paraId="6471B936">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投标人在投标预备会前提出问题</w:t>
            </w:r>
          </w:p>
        </w:tc>
        <w:tc>
          <w:tcPr>
            <w:tcW w:w="3316" w:type="pct"/>
            <w:vAlign w:val="center"/>
          </w:tcPr>
          <w:p w14:paraId="0C916254">
            <w:pPr>
              <w:pStyle w:val="27"/>
              <w:spacing w:before="29" w:line="194" w:lineRule="auto"/>
              <w:ind w:left="12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时间：</w:t>
            </w:r>
            <w:r>
              <w:rPr>
                <w:rFonts w:hint="eastAsia" w:asciiTheme="minorEastAsia" w:hAnsiTheme="minorEastAsia" w:eastAsiaTheme="minorEastAsia" w:cstheme="minorEastAsia"/>
                <w:color w:val="auto"/>
                <w:kern w:val="2"/>
                <w:sz w:val="21"/>
                <w:szCs w:val="21"/>
                <w:highlight w:val="none"/>
                <w:lang w:val="en-US" w:eastAsia="zh-CN" w:bidi="ar"/>
              </w:rPr>
              <w:t>/</w:t>
            </w:r>
          </w:p>
        </w:tc>
      </w:tr>
      <w:tr w14:paraId="52B8C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27" w:hRule="atLeast"/>
        </w:trPr>
        <w:tc>
          <w:tcPr>
            <w:tcW w:w="543" w:type="pct"/>
            <w:vMerge w:val="continue"/>
            <w:tcBorders>
              <w:top w:val="nil"/>
            </w:tcBorders>
            <w:vAlign w:val="center"/>
          </w:tcPr>
          <w:p w14:paraId="73E2015D">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p>
        </w:tc>
        <w:tc>
          <w:tcPr>
            <w:tcW w:w="1121" w:type="pct"/>
            <w:vMerge w:val="continue"/>
            <w:tcBorders>
              <w:top w:val="nil"/>
            </w:tcBorders>
            <w:vAlign w:val="center"/>
          </w:tcPr>
          <w:p w14:paraId="61AE54E0">
            <w:pPr>
              <w:jc w:val="center"/>
              <w:outlineLvl w:val="9"/>
              <w:rPr>
                <w:rFonts w:hint="eastAsia" w:asciiTheme="minorEastAsia" w:hAnsiTheme="minorEastAsia" w:eastAsiaTheme="minorEastAsia" w:cstheme="minorEastAsia"/>
                <w:color w:val="auto"/>
                <w:sz w:val="21"/>
                <w:szCs w:val="21"/>
                <w:highlight w:val="none"/>
              </w:rPr>
            </w:pPr>
          </w:p>
        </w:tc>
        <w:tc>
          <w:tcPr>
            <w:tcW w:w="3316" w:type="pct"/>
            <w:vAlign w:val="center"/>
          </w:tcPr>
          <w:p w14:paraId="16D083D8">
            <w:pPr>
              <w:pStyle w:val="27"/>
              <w:spacing w:before="47" w:line="198"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形式：</w:t>
            </w:r>
            <w:r>
              <w:rPr>
                <w:rFonts w:hint="eastAsia" w:asciiTheme="minorEastAsia" w:hAnsiTheme="minorEastAsia" w:eastAsiaTheme="minorEastAsia" w:cstheme="minorEastAsia"/>
                <w:color w:val="auto"/>
                <w:kern w:val="2"/>
                <w:sz w:val="21"/>
                <w:szCs w:val="21"/>
                <w:highlight w:val="none"/>
                <w:lang w:val="en-US" w:eastAsia="zh-CN" w:bidi="ar"/>
              </w:rPr>
              <w:t>/</w:t>
            </w:r>
          </w:p>
        </w:tc>
      </w:tr>
      <w:tr w14:paraId="4A36F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739" w:hRule="atLeast"/>
        </w:trPr>
        <w:tc>
          <w:tcPr>
            <w:tcW w:w="543" w:type="pct"/>
            <w:vAlign w:val="center"/>
          </w:tcPr>
          <w:p w14:paraId="5698E7EE">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1.10.3</w:t>
            </w:r>
          </w:p>
        </w:tc>
        <w:tc>
          <w:tcPr>
            <w:tcW w:w="1121" w:type="pct"/>
            <w:vAlign w:val="center"/>
          </w:tcPr>
          <w:p w14:paraId="7864520C">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招标文件澄清发出的形式</w:t>
            </w:r>
          </w:p>
        </w:tc>
        <w:tc>
          <w:tcPr>
            <w:tcW w:w="3316" w:type="pct"/>
            <w:vAlign w:val="center"/>
          </w:tcPr>
          <w:p w14:paraId="653E954B">
            <w:pPr>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lang w:val="en-US" w:eastAsia="zh-CN" w:bidi="ar"/>
              </w:rPr>
              <w:t>通过</w:t>
            </w:r>
            <w:r>
              <w:rPr>
                <w:rFonts w:hint="eastAsia" w:asciiTheme="minorEastAsia" w:hAnsiTheme="minorEastAsia" w:eastAsiaTheme="minorEastAsia" w:cstheme="minorEastAsia"/>
                <w:bCs/>
                <w:snapToGrid w:val="0"/>
                <w:color w:val="auto"/>
                <w:sz w:val="21"/>
                <w:szCs w:val="21"/>
                <w:highlight w:val="none"/>
                <w:lang w:val="en-US" w:eastAsia="zh-CN" w:bidi="ar"/>
              </w:rPr>
              <w:t>电子服务系统</w:t>
            </w:r>
            <w:r>
              <w:rPr>
                <w:rFonts w:hint="eastAsia" w:asciiTheme="minorEastAsia" w:hAnsiTheme="minorEastAsia" w:eastAsiaTheme="minorEastAsia" w:cstheme="minorEastAsia"/>
                <w:snapToGrid w:val="0"/>
                <w:color w:val="auto"/>
                <w:sz w:val="21"/>
                <w:szCs w:val="21"/>
                <w:highlight w:val="none"/>
                <w:lang w:val="en-US" w:eastAsia="zh-CN" w:bidi="ar"/>
              </w:rPr>
              <w:t>发出</w:t>
            </w:r>
          </w:p>
        </w:tc>
      </w:tr>
      <w:tr w14:paraId="774ED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641" w:hRule="atLeast"/>
        </w:trPr>
        <w:tc>
          <w:tcPr>
            <w:tcW w:w="543" w:type="pct"/>
            <w:vAlign w:val="center"/>
          </w:tcPr>
          <w:p w14:paraId="609E9A0B">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1.11.1</w:t>
            </w:r>
          </w:p>
        </w:tc>
        <w:tc>
          <w:tcPr>
            <w:tcW w:w="1121" w:type="pct"/>
            <w:vAlign w:val="center"/>
          </w:tcPr>
          <w:p w14:paraId="77F51721">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分包</w:t>
            </w:r>
          </w:p>
        </w:tc>
        <w:tc>
          <w:tcPr>
            <w:tcW w:w="3316" w:type="pct"/>
            <w:vAlign w:val="center"/>
          </w:tcPr>
          <w:p w14:paraId="4BC2ADB5">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p w14:paraId="4FD8137B">
            <w:pPr>
              <w:tabs>
                <w:tab w:val="left" w:pos="360"/>
              </w:tabs>
              <w:wordWrap w:val="0"/>
              <w:spacing w:line="360" w:lineRule="auto"/>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sym w:font="Wingdings 2" w:char="00A3"/>
            </w:r>
            <w:r>
              <w:rPr>
                <w:rFonts w:hint="eastAsia" w:asciiTheme="minorEastAsia" w:hAnsiTheme="minorEastAsia" w:eastAsiaTheme="minorEastAsia" w:cstheme="minorEastAsia"/>
                <w:color w:val="auto"/>
                <w:sz w:val="21"/>
                <w:szCs w:val="21"/>
                <w:highlight w:val="none"/>
              </w:rPr>
              <w:t>允许，分包内容要求：</w:t>
            </w:r>
            <w:r>
              <w:rPr>
                <w:rFonts w:hint="eastAsia" w:asciiTheme="minorEastAsia" w:hAnsiTheme="minorEastAsia" w:eastAsiaTheme="minorEastAsia" w:cstheme="minorEastAsia"/>
                <w:color w:val="auto"/>
                <w:sz w:val="21"/>
                <w:szCs w:val="21"/>
                <w:highlight w:val="none"/>
                <w:u w:val="single"/>
              </w:rPr>
              <w:t xml:space="preserve">    /      </w:t>
            </w:r>
          </w:p>
          <w:p w14:paraId="0499A74A">
            <w:pPr>
              <w:wordWrap w:val="0"/>
              <w:spacing w:line="360" w:lineRule="auto"/>
              <w:ind w:firstLine="997" w:firstLineChars="475"/>
              <w:jc w:val="left"/>
              <w:textAlignment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分包金额要求：</w:t>
            </w:r>
            <w:r>
              <w:rPr>
                <w:rFonts w:hint="eastAsia" w:asciiTheme="minorEastAsia" w:hAnsiTheme="minorEastAsia" w:eastAsiaTheme="minorEastAsia" w:cstheme="minorEastAsia"/>
                <w:color w:val="auto"/>
                <w:sz w:val="21"/>
                <w:szCs w:val="21"/>
                <w:highlight w:val="none"/>
                <w:u w:val="single"/>
              </w:rPr>
              <w:t xml:space="preserve">    /      </w:t>
            </w:r>
          </w:p>
          <w:p w14:paraId="5B2CD0D1">
            <w:pPr>
              <w:pStyle w:val="27"/>
              <w:spacing w:before="157" w:line="221" w:lineRule="auto"/>
              <w:ind w:left="1058"/>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接受分包的第三人资质要求：</w:t>
            </w:r>
            <w:r>
              <w:rPr>
                <w:rFonts w:hint="eastAsia" w:asciiTheme="minorEastAsia" w:hAnsiTheme="minorEastAsia" w:eastAsiaTheme="minorEastAsia" w:cstheme="minorEastAsia"/>
                <w:color w:val="auto"/>
                <w:sz w:val="21"/>
                <w:szCs w:val="21"/>
                <w:highlight w:val="none"/>
                <w:u w:val="single"/>
              </w:rPr>
              <w:t xml:space="preserve">    /      </w:t>
            </w:r>
          </w:p>
        </w:tc>
      </w:tr>
      <w:tr w14:paraId="7BDFF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084" w:hRule="atLeast"/>
        </w:trPr>
        <w:tc>
          <w:tcPr>
            <w:tcW w:w="543" w:type="pct"/>
            <w:vAlign w:val="center"/>
          </w:tcPr>
          <w:p w14:paraId="7E83E244">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1.12.3</w:t>
            </w:r>
          </w:p>
        </w:tc>
        <w:tc>
          <w:tcPr>
            <w:tcW w:w="1121" w:type="pct"/>
            <w:vAlign w:val="center"/>
          </w:tcPr>
          <w:p w14:paraId="0B047DFC">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偏差</w:t>
            </w:r>
          </w:p>
        </w:tc>
        <w:tc>
          <w:tcPr>
            <w:tcW w:w="3316" w:type="pct"/>
            <w:vAlign w:val="center"/>
          </w:tcPr>
          <w:p w14:paraId="51FDC790">
            <w:pPr>
              <w:pStyle w:val="27"/>
              <w:spacing w:before="180"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不允许</w:t>
            </w:r>
          </w:p>
          <w:p w14:paraId="257F8405">
            <w:pPr>
              <w:pStyle w:val="27"/>
              <w:spacing w:before="73" w:line="250" w:lineRule="auto"/>
              <w:ind w:left="1725" w:leftChars="64" w:right="2162" w:hanging="1591" w:hangingChars="788"/>
              <w:jc w:val="both"/>
              <w:outlineLvl w:val="9"/>
              <w:rPr>
                <w:rFonts w:hint="eastAsia" w:asciiTheme="minorEastAsia" w:hAnsiTheme="minorEastAsia" w:eastAsiaTheme="minorEastAsia" w:cstheme="minorEastAsia"/>
                <w:color w:val="auto"/>
                <w:spacing w:val="2"/>
                <w:sz w:val="21"/>
                <w:szCs w:val="21"/>
                <w:highlight w:val="none"/>
                <w:u w:val="single" w:color="auto"/>
              </w:rPr>
            </w:pPr>
            <w:r>
              <w:rPr>
                <w:rFonts w:hint="eastAsia" w:asciiTheme="minorEastAsia" w:hAnsiTheme="minorEastAsia" w:eastAsiaTheme="minorEastAsia" w:cstheme="minorEastAsia"/>
                <w:color w:val="auto"/>
                <w:spacing w:val="-4"/>
                <w:sz w:val="21"/>
                <w:szCs w:val="21"/>
                <w:highlight w:val="none"/>
              </w:rPr>
              <w:t>□允许，偏差范围：</w:t>
            </w:r>
            <w:r>
              <w:rPr>
                <w:rFonts w:hint="eastAsia" w:asciiTheme="minorEastAsia" w:hAnsiTheme="minorEastAsia" w:eastAsiaTheme="minorEastAsia" w:cstheme="minorEastAsia"/>
                <w:color w:val="auto"/>
                <w:spacing w:val="2"/>
                <w:sz w:val="21"/>
                <w:szCs w:val="21"/>
                <w:highlight w:val="none"/>
                <w:u w:val="single" w:color="auto"/>
              </w:rPr>
              <w:t xml:space="preserve">               </w:t>
            </w:r>
          </w:p>
          <w:p w14:paraId="041814C6">
            <w:pPr>
              <w:pStyle w:val="27"/>
              <w:spacing w:before="73" w:line="250" w:lineRule="auto"/>
              <w:ind w:left="1694" w:leftChars="64" w:right="2162" w:hanging="1560" w:hangingChars="788"/>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偏差幅度：</w:t>
            </w:r>
          </w:p>
        </w:tc>
      </w:tr>
      <w:tr w14:paraId="29C33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2" w:hRule="atLeast"/>
        </w:trPr>
        <w:tc>
          <w:tcPr>
            <w:tcW w:w="543" w:type="pct"/>
            <w:vAlign w:val="center"/>
          </w:tcPr>
          <w:p w14:paraId="1BBBA337">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2.1</w:t>
            </w:r>
          </w:p>
        </w:tc>
        <w:tc>
          <w:tcPr>
            <w:tcW w:w="1121" w:type="pct"/>
            <w:vAlign w:val="center"/>
          </w:tcPr>
          <w:p w14:paraId="49BB9241">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构成招标文件的其他资料</w:t>
            </w:r>
          </w:p>
        </w:tc>
        <w:tc>
          <w:tcPr>
            <w:tcW w:w="3316" w:type="pct"/>
            <w:vAlign w:val="center"/>
          </w:tcPr>
          <w:p w14:paraId="3471DB10">
            <w:pPr>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图纸、技术标准与要求、工程量清单及控制价、澄清等</w:t>
            </w:r>
          </w:p>
        </w:tc>
      </w:tr>
      <w:tr w14:paraId="35F76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47" w:hRule="atLeast"/>
        </w:trPr>
        <w:tc>
          <w:tcPr>
            <w:tcW w:w="543" w:type="pct"/>
            <w:vMerge w:val="restart"/>
            <w:tcBorders>
              <w:bottom w:val="nil"/>
            </w:tcBorders>
            <w:vAlign w:val="center"/>
          </w:tcPr>
          <w:p w14:paraId="53F7C19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2.2.1</w:t>
            </w:r>
          </w:p>
        </w:tc>
        <w:tc>
          <w:tcPr>
            <w:tcW w:w="1121" w:type="pct"/>
            <w:vMerge w:val="restart"/>
            <w:tcBorders>
              <w:bottom w:val="nil"/>
            </w:tcBorders>
            <w:vAlign w:val="center"/>
          </w:tcPr>
          <w:p w14:paraId="6FF1A1B1">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投标人要求澄清招标文件</w:t>
            </w:r>
          </w:p>
        </w:tc>
        <w:tc>
          <w:tcPr>
            <w:tcW w:w="3316" w:type="pct"/>
            <w:vAlign w:val="center"/>
          </w:tcPr>
          <w:p w14:paraId="13DA048B">
            <w:pPr>
              <w:pStyle w:val="27"/>
              <w:spacing w:before="179" w:line="221" w:lineRule="auto"/>
              <w:ind w:left="12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时间：</w:t>
            </w:r>
            <w:r>
              <w:rPr>
                <w:rFonts w:hint="eastAsia" w:asciiTheme="minorEastAsia" w:hAnsiTheme="minorEastAsia" w:eastAsiaTheme="minorEastAsia" w:cstheme="minorEastAsia"/>
                <w:bCs/>
                <w:color w:val="auto"/>
                <w:sz w:val="21"/>
                <w:szCs w:val="21"/>
                <w:highlight w:val="none"/>
                <w:u w:val="single"/>
                <w:lang w:val="en-US" w:eastAsia="zh-CN" w:bidi="ar"/>
              </w:rPr>
              <w:t xml:space="preserve"> 2025</w:t>
            </w:r>
            <w:r>
              <w:rPr>
                <w:rFonts w:hint="eastAsia" w:asciiTheme="minorEastAsia" w:hAnsiTheme="minorEastAsia" w:eastAsiaTheme="minorEastAsia" w:cstheme="minorEastAsia"/>
                <w:bCs/>
                <w:snapToGrid w:val="0"/>
                <w:color w:val="auto"/>
                <w:sz w:val="21"/>
                <w:szCs w:val="21"/>
                <w:highlight w:val="none"/>
                <w:lang w:val="en-US" w:eastAsia="zh-CN" w:bidi="ar"/>
              </w:rPr>
              <w:t>年</w:t>
            </w:r>
            <w:r>
              <w:rPr>
                <w:rFonts w:hint="eastAsia" w:asciiTheme="minorEastAsia" w:hAnsiTheme="minorEastAsia" w:eastAsiaTheme="minorEastAsia" w:cstheme="minorEastAsia"/>
                <w:bCs/>
                <w:color w:val="auto"/>
                <w:sz w:val="21"/>
                <w:szCs w:val="21"/>
                <w:highlight w:val="none"/>
                <w:u w:val="single"/>
                <w:lang w:val="en-US" w:eastAsia="zh-CN" w:bidi="ar"/>
              </w:rPr>
              <w:t>10</w:t>
            </w:r>
            <w:r>
              <w:rPr>
                <w:rFonts w:hint="eastAsia" w:asciiTheme="minorEastAsia" w:hAnsiTheme="minorEastAsia" w:eastAsiaTheme="minorEastAsia" w:cstheme="minorEastAsia"/>
                <w:bCs/>
                <w:snapToGrid w:val="0"/>
                <w:color w:val="auto"/>
                <w:sz w:val="21"/>
                <w:szCs w:val="21"/>
                <w:highlight w:val="none"/>
                <w:lang w:val="en-US" w:eastAsia="zh-CN" w:bidi="ar"/>
              </w:rPr>
              <w:t>月</w:t>
            </w:r>
            <w:r>
              <w:rPr>
                <w:rFonts w:hint="eastAsia" w:asciiTheme="minorEastAsia" w:hAnsiTheme="minorEastAsia" w:eastAsiaTheme="minorEastAsia" w:cstheme="minorEastAsia"/>
                <w:bCs/>
                <w:color w:val="auto"/>
                <w:sz w:val="21"/>
                <w:szCs w:val="21"/>
                <w:highlight w:val="none"/>
                <w:u w:val="single"/>
                <w:lang w:val="en-US" w:eastAsia="zh-CN" w:bidi="ar"/>
              </w:rPr>
              <w:t>xx</w:t>
            </w:r>
            <w:r>
              <w:rPr>
                <w:rFonts w:hint="eastAsia" w:asciiTheme="minorEastAsia" w:hAnsiTheme="minorEastAsia" w:eastAsiaTheme="minorEastAsia" w:cstheme="minorEastAsia"/>
                <w:bCs/>
                <w:snapToGrid w:val="0"/>
                <w:color w:val="auto"/>
                <w:sz w:val="21"/>
                <w:szCs w:val="21"/>
                <w:highlight w:val="none"/>
                <w:lang w:val="en-US" w:eastAsia="zh-CN" w:bidi="ar"/>
              </w:rPr>
              <w:t>日</w:t>
            </w:r>
            <w:r>
              <w:rPr>
                <w:rFonts w:hint="eastAsia" w:asciiTheme="minorEastAsia" w:hAnsiTheme="minorEastAsia" w:eastAsiaTheme="minorEastAsia" w:cstheme="minorEastAsia"/>
                <w:bCs/>
                <w:color w:val="auto"/>
                <w:sz w:val="21"/>
                <w:szCs w:val="21"/>
                <w:highlight w:val="none"/>
                <w:u w:val="single"/>
                <w:lang w:val="en-US" w:eastAsia="zh-CN" w:bidi="ar"/>
              </w:rPr>
              <w:t>17</w:t>
            </w:r>
            <w:r>
              <w:rPr>
                <w:rFonts w:hint="eastAsia" w:asciiTheme="minorEastAsia" w:hAnsiTheme="minorEastAsia" w:eastAsiaTheme="minorEastAsia" w:cstheme="minorEastAsia"/>
                <w:bCs/>
                <w:snapToGrid w:val="0"/>
                <w:color w:val="auto"/>
                <w:sz w:val="21"/>
                <w:szCs w:val="21"/>
                <w:highlight w:val="none"/>
                <w:lang w:val="en-US" w:eastAsia="zh-CN" w:bidi="ar"/>
              </w:rPr>
              <w:t>时</w:t>
            </w:r>
            <w:r>
              <w:rPr>
                <w:rFonts w:hint="eastAsia" w:asciiTheme="minorEastAsia" w:hAnsiTheme="minorEastAsia" w:eastAsiaTheme="minorEastAsia" w:cstheme="minorEastAsia"/>
                <w:bCs/>
                <w:color w:val="auto"/>
                <w:sz w:val="21"/>
                <w:szCs w:val="21"/>
                <w:highlight w:val="none"/>
                <w:u w:val="single"/>
                <w:lang w:val="en-US" w:eastAsia="zh-CN" w:bidi="ar"/>
              </w:rPr>
              <w:t>30</w:t>
            </w:r>
            <w:r>
              <w:rPr>
                <w:rFonts w:hint="eastAsia" w:asciiTheme="minorEastAsia" w:hAnsiTheme="minorEastAsia" w:eastAsiaTheme="minorEastAsia" w:cstheme="minorEastAsia"/>
                <w:bCs/>
                <w:snapToGrid w:val="0"/>
                <w:color w:val="auto"/>
                <w:sz w:val="21"/>
                <w:szCs w:val="21"/>
                <w:highlight w:val="none"/>
                <w:lang w:val="en-US" w:eastAsia="zh-CN" w:bidi="ar"/>
              </w:rPr>
              <w:t>分前</w:t>
            </w:r>
            <w:r>
              <w:rPr>
                <w:rFonts w:hint="eastAsia" w:asciiTheme="minorEastAsia" w:hAnsiTheme="minorEastAsia" w:eastAsiaTheme="minorEastAsia" w:cstheme="minorEastAsia"/>
                <w:color w:val="auto"/>
                <w:kern w:val="2"/>
                <w:sz w:val="21"/>
                <w:szCs w:val="21"/>
                <w:highlight w:val="none"/>
                <w:lang w:val="en-US" w:eastAsia="zh-CN" w:bidi="ar"/>
              </w:rPr>
              <w:t>。</w:t>
            </w:r>
          </w:p>
        </w:tc>
      </w:tr>
      <w:tr w14:paraId="0ACAE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44" w:hRule="atLeast"/>
        </w:trPr>
        <w:tc>
          <w:tcPr>
            <w:tcW w:w="543" w:type="pct"/>
            <w:vMerge w:val="continue"/>
            <w:tcBorders>
              <w:top w:val="nil"/>
            </w:tcBorders>
            <w:vAlign w:val="center"/>
          </w:tcPr>
          <w:p w14:paraId="46255A17">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p>
        </w:tc>
        <w:tc>
          <w:tcPr>
            <w:tcW w:w="1121" w:type="pct"/>
            <w:vMerge w:val="continue"/>
            <w:tcBorders>
              <w:top w:val="nil"/>
            </w:tcBorders>
            <w:vAlign w:val="center"/>
          </w:tcPr>
          <w:p w14:paraId="468BB9F1">
            <w:pPr>
              <w:jc w:val="center"/>
              <w:outlineLvl w:val="9"/>
              <w:rPr>
                <w:rFonts w:hint="eastAsia" w:asciiTheme="minorEastAsia" w:hAnsiTheme="minorEastAsia" w:eastAsiaTheme="minorEastAsia" w:cstheme="minorEastAsia"/>
                <w:color w:val="auto"/>
                <w:sz w:val="21"/>
                <w:szCs w:val="21"/>
                <w:highlight w:val="none"/>
              </w:rPr>
            </w:pPr>
          </w:p>
        </w:tc>
        <w:tc>
          <w:tcPr>
            <w:tcW w:w="3316" w:type="pct"/>
            <w:vAlign w:val="center"/>
          </w:tcPr>
          <w:p w14:paraId="326F9871">
            <w:pPr>
              <w:pStyle w:val="27"/>
              <w:spacing w:before="179" w:line="221"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形式：通过电子交易系统在线提出</w:t>
            </w:r>
          </w:p>
        </w:tc>
      </w:tr>
      <w:tr w14:paraId="15A20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4" w:hRule="atLeast"/>
        </w:trPr>
        <w:tc>
          <w:tcPr>
            <w:tcW w:w="543" w:type="pct"/>
            <w:vAlign w:val="center"/>
          </w:tcPr>
          <w:p w14:paraId="6E270FD6">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2.2.2</w:t>
            </w:r>
          </w:p>
        </w:tc>
        <w:tc>
          <w:tcPr>
            <w:tcW w:w="1121" w:type="pct"/>
            <w:vAlign w:val="center"/>
          </w:tcPr>
          <w:p w14:paraId="7E4FAF71">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招标文件澄清发出的形式</w:t>
            </w:r>
          </w:p>
        </w:tc>
        <w:tc>
          <w:tcPr>
            <w:tcW w:w="3316" w:type="pct"/>
            <w:vAlign w:val="center"/>
          </w:tcPr>
          <w:p w14:paraId="5258D6F5">
            <w:pPr>
              <w:pStyle w:val="27"/>
              <w:spacing w:before="243" w:line="221" w:lineRule="auto"/>
              <w:ind w:left="11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通过电子服务系统发出</w:t>
            </w:r>
          </w:p>
        </w:tc>
      </w:tr>
      <w:tr w14:paraId="7D2DC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2" w:hRule="atLeast"/>
        </w:trPr>
        <w:tc>
          <w:tcPr>
            <w:tcW w:w="543" w:type="pct"/>
            <w:vAlign w:val="center"/>
          </w:tcPr>
          <w:p w14:paraId="3DAB6451">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2.3.1</w:t>
            </w:r>
          </w:p>
        </w:tc>
        <w:tc>
          <w:tcPr>
            <w:tcW w:w="1121" w:type="pct"/>
            <w:vAlign w:val="center"/>
          </w:tcPr>
          <w:p w14:paraId="6AFEFD58">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招标文件修改发出的形式</w:t>
            </w:r>
          </w:p>
        </w:tc>
        <w:tc>
          <w:tcPr>
            <w:tcW w:w="3316" w:type="pct"/>
            <w:vAlign w:val="center"/>
          </w:tcPr>
          <w:p w14:paraId="296BE4DA">
            <w:pPr>
              <w:pStyle w:val="27"/>
              <w:spacing w:before="241" w:line="221" w:lineRule="auto"/>
              <w:ind w:left="11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通过电子服务系统发出</w:t>
            </w:r>
          </w:p>
        </w:tc>
      </w:tr>
      <w:tr w14:paraId="73920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886" w:hRule="atLeast"/>
        </w:trPr>
        <w:tc>
          <w:tcPr>
            <w:tcW w:w="543" w:type="pct"/>
            <w:vAlign w:val="center"/>
          </w:tcPr>
          <w:p w14:paraId="7A7EDA4C">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2.4</w:t>
            </w:r>
          </w:p>
        </w:tc>
        <w:tc>
          <w:tcPr>
            <w:tcW w:w="1121" w:type="pct"/>
            <w:vAlign w:val="center"/>
          </w:tcPr>
          <w:p w14:paraId="1593C102">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对招标文件提出异议的形式</w:t>
            </w:r>
          </w:p>
        </w:tc>
        <w:tc>
          <w:tcPr>
            <w:tcW w:w="3316" w:type="pct"/>
            <w:vAlign w:val="center"/>
          </w:tcPr>
          <w:p w14:paraId="63C72660">
            <w:pPr>
              <w:pStyle w:val="27"/>
              <w:spacing w:before="68" w:line="220" w:lineRule="auto"/>
              <w:ind w:left="113"/>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通过电子交易系统在线提出或以其他书面形式提出</w:t>
            </w:r>
          </w:p>
        </w:tc>
      </w:tr>
      <w:tr w14:paraId="6C51F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9" w:hRule="atLeast"/>
        </w:trPr>
        <w:tc>
          <w:tcPr>
            <w:tcW w:w="543" w:type="pct"/>
            <w:vAlign w:val="center"/>
          </w:tcPr>
          <w:p w14:paraId="5E394D9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3.1.1</w:t>
            </w:r>
          </w:p>
        </w:tc>
        <w:tc>
          <w:tcPr>
            <w:tcW w:w="1121" w:type="pct"/>
            <w:vAlign w:val="center"/>
          </w:tcPr>
          <w:p w14:paraId="44104B0E">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构成投标文件的其他资料</w:t>
            </w:r>
          </w:p>
        </w:tc>
        <w:tc>
          <w:tcPr>
            <w:tcW w:w="3316" w:type="pct"/>
            <w:vAlign w:val="center"/>
          </w:tcPr>
          <w:p w14:paraId="34EC72C5">
            <w:pPr>
              <w:pStyle w:val="27"/>
              <w:tabs>
                <w:tab w:val="left" w:pos="208"/>
              </w:tabs>
              <w:spacing w:before="241" w:line="221" w:lineRule="auto"/>
              <w:ind w:left="10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
              </w:rPr>
              <w:t>/</w:t>
            </w:r>
          </w:p>
        </w:tc>
      </w:tr>
      <w:tr w14:paraId="73972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43" w:type="pct"/>
            <w:vAlign w:val="center"/>
          </w:tcPr>
          <w:p w14:paraId="5A0A3D8C">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3.2.1</w:t>
            </w:r>
          </w:p>
        </w:tc>
        <w:tc>
          <w:tcPr>
            <w:tcW w:w="1121" w:type="pct"/>
            <w:vAlign w:val="center"/>
          </w:tcPr>
          <w:p w14:paraId="2310B9D2">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增值税税金的计算</w:t>
            </w:r>
          </w:p>
          <w:p w14:paraId="19104401">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方法</w:t>
            </w:r>
          </w:p>
        </w:tc>
        <w:tc>
          <w:tcPr>
            <w:tcW w:w="3335" w:type="pct"/>
            <w:gridSpan w:val="2"/>
            <w:vAlign w:val="center"/>
          </w:tcPr>
          <w:p w14:paraId="04615E41">
            <w:pPr>
              <w:keepNext w:val="0"/>
              <w:keepLines w:val="0"/>
              <w:widowControl w:val="0"/>
              <w:suppressLineNumbers w:val="0"/>
              <w:wordWrap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（1）计税方法：</w:t>
            </w:r>
          </w:p>
          <w:p w14:paraId="46752989">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snapToGrid w:val="0"/>
                <w:color w:val="auto"/>
                <w:kern w:val="2"/>
                <w:sz w:val="21"/>
                <w:szCs w:val="21"/>
                <w:highlight w:val="none"/>
                <w:lang w:val="en-US" w:eastAsia="zh-CN" w:bidi="ar"/>
              </w:rPr>
              <w:t>☑</w:t>
            </w:r>
            <w:r>
              <w:rPr>
                <w:rFonts w:hint="eastAsia" w:asciiTheme="minorEastAsia" w:hAnsiTheme="minorEastAsia" w:eastAsiaTheme="minorEastAsia" w:cstheme="minorEastAsia"/>
                <w:bCs/>
                <w:snapToGrid w:val="0"/>
                <w:color w:val="auto"/>
                <w:kern w:val="0"/>
                <w:sz w:val="21"/>
                <w:szCs w:val="21"/>
                <w:highlight w:val="none"/>
                <w:lang w:val="en-US" w:eastAsia="zh-CN" w:bidi="ar"/>
              </w:rPr>
              <w:t>一般计税</w:t>
            </w:r>
            <w:r>
              <w:rPr>
                <w:rFonts w:hint="eastAsia" w:asciiTheme="minorEastAsia" w:hAnsiTheme="minorEastAsia" w:eastAsiaTheme="minorEastAsia" w:cstheme="minorEastAsia"/>
                <w:bCs/>
                <w:snapToGrid w:val="0"/>
                <w:color w:val="auto"/>
                <w:kern w:val="2"/>
                <w:sz w:val="21"/>
                <w:szCs w:val="21"/>
                <w:highlight w:val="none"/>
                <w:lang w:val="en-US" w:eastAsia="zh-CN" w:bidi="ar"/>
              </w:rPr>
              <w:t>方法</w:t>
            </w:r>
          </w:p>
          <w:p w14:paraId="5556020E">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□简易计算方法</w:t>
            </w:r>
          </w:p>
          <w:p w14:paraId="683CEC33">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（2）发票类型：</w:t>
            </w:r>
          </w:p>
          <w:p w14:paraId="22EA7581">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☑增值税专用发票</w:t>
            </w:r>
          </w:p>
          <w:p w14:paraId="7DD8A5C7">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□增值税普通发票</w:t>
            </w:r>
          </w:p>
          <w:p w14:paraId="28BE783B">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（3）增值税税率按照国家有关规定执行。</w:t>
            </w:r>
          </w:p>
          <w:p w14:paraId="52C678BD">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21788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543" w:type="pct"/>
            <w:vAlign w:val="center"/>
          </w:tcPr>
          <w:p w14:paraId="6D669697">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3.2.4</w:t>
            </w:r>
          </w:p>
        </w:tc>
        <w:tc>
          <w:tcPr>
            <w:tcW w:w="1121" w:type="pct"/>
            <w:vAlign w:val="center"/>
          </w:tcPr>
          <w:p w14:paraId="410C1D4A">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最高投标限价</w:t>
            </w:r>
          </w:p>
        </w:tc>
        <w:tc>
          <w:tcPr>
            <w:tcW w:w="3335" w:type="pct"/>
            <w:gridSpan w:val="2"/>
            <w:vAlign w:val="center"/>
          </w:tcPr>
          <w:p w14:paraId="1FA940BB">
            <w:pPr>
              <w:pStyle w:val="27"/>
              <w:spacing w:before="222"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□无</w:t>
            </w:r>
          </w:p>
          <w:p w14:paraId="712BC66B">
            <w:pPr>
              <w:pStyle w:val="27"/>
              <w:spacing w:before="187" w:line="219" w:lineRule="auto"/>
              <w:ind w:left="135"/>
              <w:jc w:val="both"/>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有，最高投标限价：</w:t>
            </w:r>
            <w:r>
              <w:rPr>
                <w:rFonts w:hint="eastAsia" w:asciiTheme="minorEastAsia" w:hAnsiTheme="minorEastAsia" w:eastAsiaTheme="minorEastAsia" w:cstheme="minorEastAsia"/>
                <w:color w:val="auto"/>
                <w:spacing w:val="-8"/>
                <w:sz w:val="21"/>
                <w:szCs w:val="21"/>
                <w:highlight w:val="none"/>
                <w:lang w:val="en-US" w:eastAsia="zh-CN"/>
              </w:rPr>
              <w:t>xxx元（其中暂列金xxx元）。</w:t>
            </w:r>
          </w:p>
        </w:tc>
      </w:tr>
      <w:tr w14:paraId="71D74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43" w:type="pct"/>
            <w:vAlign w:val="center"/>
          </w:tcPr>
          <w:p w14:paraId="74D25DC7">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3.2.5</w:t>
            </w:r>
          </w:p>
        </w:tc>
        <w:tc>
          <w:tcPr>
            <w:tcW w:w="1121" w:type="pct"/>
            <w:vAlign w:val="center"/>
          </w:tcPr>
          <w:p w14:paraId="26E138BB">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投标报价的其他要求</w:t>
            </w:r>
          </w:p>
        </w:tc>
        <w:tc>
          <w:tcPr>
            <w:tcW w:w="3335" w:type="pct"/>
            <w:gridSpan w:val="2"/>
            <w:vAlign w:val="center"/>
          </w:tcPr>
          <w:p w14:paraId="46E4D71D">
            <w:pPr>
              <w:pStyle w:val="27"/>
              <w:tabs>
                <w:tab w:val="left" w:pos="208"/>
              </w:tabs>
              <w:spacing w:before="69" w:line="219" w:lineRule="auto"/>
              <w:ind w:firstLine="210" w:firstLineChars="10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
              </w:rPr>
              <w:t>/</w:t>
            </w:r>
          </w:p>
        </w:tc>
      </w:tr>
      <w:tr w14:paraId="56166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43" w:type="pct"/>
            <w:vAlign w:val="center"/>
          </w:tcPr>
          <w:p w14:paraId="7B153A8F">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3.3.1</w:t>
            </w:r>
          </w:p>
        </w:tc>
        <w:tc>
          <w:tcPr>
            <w:tcW w:w="1121" w:type="pct"/>
            <w:vAlign w:val="center"/>
          </w:tcPr>
          <w:p w14:paraId="176A6381">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3335" w:type="pct"/>
            <w:gridSpan w:val="2"/>
            <w:vAlign w:val="center"/>
          </w:tcPr>
          <w:p w14:paraId="5D4EBF9F">
            <w:pPr>
              <w:pStyle w:val="27"/>
              <w:spacing w:before="237" w:line="221" w:lineRule="auto"/>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投标截止之日起</w:t>
            </w:r>
            <w:r>
              <w:rPr>
                <w:rFonts w:hint="eastAsia" w:asciiTheme="minorEastAsia" w:hAnsiTheme="minorEastAsia" w:eastAsiaTheme="minorEastAsia" w:cstheme="minorEastAsia"/>
                <w:color w:val="auto"/>
                <w:spacing w:val="-3"/>
                <w:sz w:val="21"/>
                <w:szCs w:val="21"/>
                <w:highlight w:val="none"/>
                <w:u w:val="single" w:color="auto"/>
              </w:rPr>
              <w:t xml:space="preserve">  </w:t>
            </w:r>
            <w:r>
              <w:rPr>
                <w:rFonts w:hint="eastAsia" w:asciiTheme="minorEastAsia" w:hAnsiTheme="minorEastAsia" w:eastAsiaTheme="minorEastAsia" w:cstheme="minorEastAsia"/>
                <w:color w:val="auto"/>
                <w:spacing w:val="-3"/>
                <w:sz w:val="21"/>
                <w:szCs w:val="21"/>
                <w:highlight w:val="none"/>
                <w:u w:val="single" w:color="auto"/>
                <w:lang w:val="en-US" w:eastAsia="zh-CN"/>
              </w:rPr>
              <w:t>120</w:t>
            </w:r>
            <w:r>
              <w:rPr>
                <w:rFonts w:hint="eastAsia" w:asciiTheme="minorEastAsia" w:hAnsiTheme="minorEastAsia" w:eastAsiaTheme="minorEastAsia" w:cstheme="minorEastAsia"/>
                <w:color w:val="auto"/>
                <w:spacing w:val="-3"/>
                <w:sz w:val="21"/>
                <w:szCs w:val="21"/>
                <w:highlight w:val="none"/>
                <w:u w:val="single" w:color="auto"/>
              </w:rPr>
              <w:t xml:space="preserve">  </w:t>
            </w:r>
            <w:r>
              <w:rPr>
                <w:rFonts w:hint="eastAsia" w:asciiTheme="minorEastAsia" w:hAnsiTheme="minorEastAsia" w:eastAsiaTheme="minorEastAsia" w:cstheme="minorEastAsia"/>
                <w:color w:val="auto"/>
                <w:spacing w:val="-84"/>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天。</w:t>
            </w:r>
          </w:p>
        </w:tc>
      </w:tr>
      <w:tr w14:paraId="66326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3" w:hRule="atLeast"/>
        </w:trPr>
        <w:tc>
          <w:tcPr>
            <w:tcW w:w="543" w:type="pct"/>
            <w:vAlign w:val="center"/>
          </w:tcPr>
          <w:p w14:paraId="17924685">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3.4.1</w:t>
            </w:r>
          </w:p>
        </w:tc>
        <w:tc>
          <w:tcPr>
            <w:tcW w:w="1121" w:type="pct"/>
            <w:vAlign w:val="center"/>
          </w:tcPr>
          <w:p w14:paraId="3A8DE574">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投标保证金</w:t>
            </w:r>
          </w:p>
        </w:tc>
        <w:tc>
          <w:tcPr>
            <w:tcW w:w="3335" w:type="pct"/>
            <w:gridSpan w:val="2"/>
            <w:vAlign w:val="center"/>
          </w:tcPr>
          <w:p w14:paraId="23F3A012">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是否要求投标人提交投标保证金：</w:t>
            </w:r>
          </w:p>
          <w:p w14:paraId="763FEA21">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auto"/>
                <w:kern w:val="2"/>
                <w:sz w:val="21"/>
                <w:szCs w:val="21"/>
                <w:highlight w:val="none"/>
                <w:lang w:val="en-US" w:eastAsia="zh-CN" w:bidi="ar"/>
              </w:rPr>
              <w:t>不要求</w:t>
            </w:r>
          </w:p>
          <w:p w14:paraId="6BB148B9">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☑要求，具体如下：</w:t>
            </w:r>
          </w:p>
          <w:p w14:paraId="1461650F">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（1）投标保证金的金额：</w:t>
            </w:r>
            <w:r>
              <w:rPr>
                <w:rFonts w:hint="eastAsia" w:asciiTheme="minorEastAsia" w:hAnsiTheme="minorEastAsia" w:eastAsiaTheme="minorEastAsia" w:cstheme="minorEastAsia"/>
                <w:bCs/>
                <w:color w:val="auto"/>
                <w:kern w:val="0"/>
                <w:sz w:val="21"/>
                <w:szCs w:val="21"/>
                <w:highlight w:val="none"/>
              </w:rPr>
              <w:t>人民币</w:t>
            </w:r>
            <w:r>
              <w:rPr>
                <w:rFonts w:hint="eastAsia" w:asciiTheme="minorEastAsia" w:hAnsiTheme="minorEastAsia" w:eastAsiaTheme="minorEastAsia" w:cstheme="minorEastAsia"/>
                <w:b/>
                <w:bCs/>
                <w:color w:val="auto"/>
                <w:kern w:val="0"/>
                <w:sz w:val="21"/>
                <w:szCs w:val="21"/>
                <w:highlight w:val="none"/>
                <w:lang w:val="en-US" w:eastAsia="zh-CN"/>
              </w:rPr>
              <w:t>10</w:t>
            </w:r>
            <w:r>
              <w:rPr>
                <w:rFonts w:hint="eastAsia" w:asciiTheme="minorEastAsia" w:hAnsiTheme="minorEastAsia" w:eastAsiaTheme="minorEastAsia" w:cstheme="minorEastAsia"/>
                <w:bCs/>
                <w:color w:val="auto"/>
                <w:kern w:val="0"/>
                <w:sz w:val="21"/>
                <w:szCs w:val="21"/>
                <w:highlight w:val="none"/>
              </w:rPr>
              <w:t>万元</w:t>
            </w:r>
          </w:p>
          <w:p w14:paraId="2D87FA77">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（2）投标保证金的形式：</w:t>
            </w:r>
          </w:p>
          <w:p w14:paraId="314E8763">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2"/>
                <w:sz w:val="21"/>
                <w:szCs w:val="21"/>
                <w:highlight w:val="none"/>
                <w:lang w:val="en-US" w:eastAsia="zh-CN" w:bidi="ar"/>
              </w:rPr>
              <w:t>电子保函</w:t>
            </w:r>
          </w:p>
          <w:p w14:paraId="3755C1BE">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2"/>
                <w:sz w:val="21"/>
                <w:szCs w:val="21"/>
                <w:highlight w:val="none"/>
                <w:lang w:val="en-US" w:eastAsia="zh-CN" w:bidi="ar"/>
              </w:rPr>
              <w:t>现金（银行转账、银行电汇）</w:t>
            </w:r>
          </w:p>
          <w:p w14:paraId="4126A481">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2"/>
                <w:sz w:val="21"/>
                <w:szCs w:val="21"/>
                <w:highlight w:val="none"/>
                <w:lang w:val="en-US" w:eastAsia="zh-CN" w:bidi="ar"/>
              </w:rPr>
              <w:t>纸质保函（纸质银行保函、纸质担保机构担保、纸质保证保险）</w:t>
            </w:r>
          </w:p>
          <w:p w14:paraId="104182AD">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（3）具体要求：</w:t>
            </w:r>
          </w:p>
          <w:p w14:paraId="2653AD18">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①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14:paraId="4DFF40F0">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②采用纸质银行保函的，应为投标人基本存款账户开户行出具的不可撤销、不可转让的见索即付独立保函。</w:t>
            </w:r>
          </w:p>
          <w:p w14:paraId="0344FE89">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③采用纸质担保机构担保的，应为经安徽省地方金融监督管理局审查批准，依法取得融资担保业务经营许可证的融资担保机构出具的不可撤销、不可转让的见索即付独立保函。</w:t>
            </w:r>
          </w:p>
          <w:p w14:paraId="3AEC1766">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④采用纸质保证保险的，应为保险公司出具的不可撤销、不可转让的见索即付保证保险。</w:t>
            </w:r>
          </w:p>
          <w:p w14:paraId="38ABF60F">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⑤采用纸质担保机构担保、纸质保证保险的，办理担保机构担保、保证保险的费用必须从投标人基本账户汇（支）出。投标人须将本单位针对该项目（标段）从基本账户汇出保函（或保证保险）费用的凭证（须载有所投项目标段编号或项目名称、投标人基本账户信息、收取该费用的保函或保证保险出具单位名称及其账户信息）扫描件、基本存款账户信息（或基本账户开户许可证）扫描件、保函（或保证保险）扫描件编入投标文件中，由评标委员会在评标时审查认定。未提交或未完整提交的视为未按规定提交投标保证金。</w:t>
            </w:r>
          </w:p>
          <w:p w14:paraId="08C21FEB">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⑥采用电子保函的，请登录全国公共资源交易平台（安徽省•合肥市）（安徽合肥公共资源交易中心网站）“电子保函”栏目查看《合肥市（信易贷）电子保函平台投标保函操作手册》并按照操作手册规定内容办理。</w:t>
            </w:r>
          </w:p>
          <w:p w14:paraId="4F6AC63D">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（4）是否适用免缴投标保证金政策：</w:t>
            </w:r>
          </w:p>
          <w:p w14:paraId="789CFFDD">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auto"/>
                <w:kern w:val="2"/>
                <w:sz w:val="21"/>
                <w:szCs w:val="21"/>
                <w:highlight w:val="none"/>
                <w:lang w:val="en-US" w:eastAsia="zh-CN" w:bidi="ar"/>
              </w:rPr>
              <w:t>不适用</w:t>
            </w:r>
          </w:p>
          <w:p w14:paraId="1F925DBB">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☑适用，适用免缴投标保证金的情形：投标人须在投标文件中进行相应承诺（格式见第八章投标文件格式）。</w:t>
            </w:r>
          </w:p>
          <w:p w14:paraId="7686EFF7">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snapToGrid w:val="0"/>
                <w:color w:val="auto"/>
                <w:kern w:val="2"/>
                <w:sz w:val="21"/>
                <w:szCs w:val="21"/>
                <w:highlight w:val="none"/>
                <w:lang w:val="en-US" w:eastAsia="zh-CN" w:bidi="ar"/>
              </w:rPr>
              <w:t>（5</w:t>
            </w:r>
            <w:r>
              <w:rPr>
                <w:rFonts w:hint="eastAsia" w:asciiTheme="minorEastAsia" w:hAnsiTheme="minorEastAsia" w:eastAsiaTheme="minorEastAsia" w:cstheme="minorEastAsia"/>
                <w:bCs/>
                <w:snapToGrid w:val="0"/>
                <w:color w:val="auto"/>
                <w:kern w:val="2"/>
                <w:sz w:val="21"/>
                <w:szCs w:val="21"/>
                <w:highlight w:val="none"/>
                <w:lang w:val="en-US" w:eastAsia="zh-CN" w:bidi="ar"/>
              </w:rPr>
              <w:t>）其他要求：</w:t>
            </w:r>
          </w:p>
          <w:p w14:paraId="5739D194">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①特别提醒</w:t>
            </w:r>
          </w:p>
          <w:p w14:paraId="052718CC">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投标人采用保函方式提交投标保证金的，如出现本招标项目招标文件“投标人须知”第3.4.4项所列情形的，提供担保的银行、担保机构及保险机构将无条件向招标人支付保函所列的全部投标保证金金额，该支付行为视同投标保证金不予退还。</w:t>
            </w:r>
          </w:p>
          <w:p w14:paraId="1750A6DE">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②投标保证金弄虚作假情形</w:t>
            </w:r>
          </w:p>
          <w:p w14:paraId="28C5140B">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投标人采用虚假保函方式提交投标保证金的，除依法承担弄虚作假、骗取中标的法律责任外，还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w:t>
            </w:r>
          </w:p>
          <w:p w14:paraId="2F5A2E8C">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（6）投标保证金注意事项：</w:t>
            </w:r>
          </w:p>
          <w:p w14:paraId="483B5D57">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①投标人采用纸质保函形式的，须提供明确有效的查询途径（网址链接及查询方式），否则无效。</w:t>
            </w:r>
          </w:p>
          <w:p w14:paraId="7DBC0DB2">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②保函存在明显异常情形的（如多家投标人的保函编号相同；保函存在明显伪造痕迹、内容前后矛盾等情形），评标委员会应根据投标人提供的查询途径进行核查，并在评标报告中予以记录。</w:t>
            </w:r>
          </w:p>
          <w:p w14:paraId="7F07A39A">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③中（定）标候选人须在中（定）标候选人公示期间将其开具至本招标项目的纸质保函原件提交招标人（或招标代理机构），且原件须与投标文件中提供的扫描件一致，如存在未按照规定提交或提交内容不一致，或发现弄虚作假的，招标人（或招标代理机构）应报招标投标行政监督部门。</w:t>
            </w:r>
          </w:p>
          <w:p w14:paraId="7E42F9D4">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begin"/>
            </w:r>
            <w:r>
              <w:rPr>
                <w:rFonts w:hint="eastAsia" w:asciiTheme="minorEastAsia" w:hAnsiTheme="minorEastAsia" w:eastAsiaTheme="minorEastAsia" w:cstheme="minorEastAsia"/>
                <w:bCs/>
                <w:snapToGrid w:val="0"/>
                <w:color w:val="auto"/>
                <w:kern w:val="2"/>
                <w:sz w:val="21"/>
                <w:szCs w:val="21"/>
                <w:highlight w:val="none"/>
                <w:lang w:val="en-US" w:eastAsia="zh-CN" w:bidi="ar"/>
              </w:rPr>
              <w:instrText xml:space="preserve"> = 4 \* GB3 </w:instrText>
            </w: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separate"/>
            </w:r>
            <w:r>
              <w:rPr>
                <w:rFonts w:hint="eastAsia" w:asciiTheme="minorEastAsia" w:hAnsiTheme="minorEastAsia" w:eastAsiaTheme="minorEastAsia" w:cstheme="minorEastAsia"/>
                <w:bCs/>
                <w:snapToGrid w:val="0"/>
                <w:color w:val="auto"/>
                <w:kern w:val="2"/>
                <w:sz w:val="21"/>
                <w:szCs w:val="21"/>
                <w:highlight w:val="none"/>
                <w:lang w:val="en-US" w:eastAsia="zh-CN" w:bidi="ar"/>
              </w:rPr>
              <w:t>④</w:t>
            </w: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end"/>
            </w:r>
            <w:r>
              <w:rPr>
                <w:rFonts w:hint="eastAsia" w:asciiTheme="minorEastAsia" w:hAnsiTheme="minorEastAsia" w:eastAsiaTheme="minorEastAsia" w:cstheme="minorEastAsia"/>
                <w:bCs/>
                <w:snapToGrid w:val="0"/>
                <w:color w:val="auto"/>
                <w:kern w:val="2"/>
                <w:sz w:val="21"/>
                <w:szCs w:val="21"/>
                <w:highlight w:val="none"/>
                <w:lang w:val="en-US" w:eastAsia="zh-CN" w:bidi="ar"/>
              </w:rPr>
              <w:t>投标保证金交纳账号采用动态虚拟账号，项目招标失败后，投标保证金交纳账号将会发生变化，请投标人参与后续招标时，注意勿将投标保证金错交至其他项目虚拟账号或前次公告账号。</w:t>
            </w:r>
          </w:p>
          <w:p w14:paraId="771C71ED">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begin"/>
            </w:r>
            <w:r>
              <w:rPr>
                <w:rFonts w:hint="eastAsia" w:asciiTheme="minorEastAsia" w:hAnsiTheme="minorEastAsia" w:eastAsiaTheme="minorEastAsia" w:cstheme="minorEastAsia"/>
                <w:bCs/>
                <w:snapToGrid w:val="0"/>
                <w:color w:val="auto"/>
                <w:kern w:val="2"/>
                <w:sz w:val="21"/>
                <w:szCs w:val="21"/>
                <w:highlight w:val="none"/>
                <w:lang w:val="en-US" w:eastAsia="zh-CN" w:bidi="ar"/>
              </w:rPr>
              <w:instrText xml:space="preserve"> = 5 \* GB3 </w:instrText>
            </w: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separate"/>
            </w:r>
            <w:r>
              <w:rPr>
                <w:rFonts w:hint="eastAsia" w:asciiTheme="minorEastAsia" w:hAnsiTheme="minorEastAsia" w:eastAsiaTheme="minorEastAsia" w:cstheme="minorEastAsia"/>
                <w:bCs/>
                <w:snapToGrid w:val="0"/>
                <w:color w:val="auto"/>
                <w:kern w:val="2"/>
                <w:sz w:val="21"/>
                <w:szCs w:val="21"/>
                <w:highlight w:val="none"/>
                <w:lang w:val="en-US" w:eastAsia="zh-CN" w:bidi="ar"/>
              </w:rPr>
              <w:t>⑤</w:t>
            </w:r>
            <w:r>
              <w:rPr>
                <w:rFonts w:hint="eastAsia" w:asciiTheme="minorEastAsia" w:hAnsiTheme="minorEastAsia" w:eastAsiaTheme="minorEastAsia" w:cstheme="minorEastAsia"/>
                <w:bCs/>
                <w:snapToGrid w:val="0"/>
                <w:color w:val="auto"/>
                <w:kern w:val="2"/>
                <w:sz w:val="21"/>
                <w:szCs w:val="21"/>
                <w:highlight w:val="none"/>
                <w:lang w:val="en-US" w:eastAsia="zh-CN" w:bidi="ar"/>
              </w:rPr>
              <w:fldChar w:fldCharType="end"/>
            </w:r>
            <w:r>
              <w:rPr>
                <w:rFonts w:hint="eastAsia" w:asciiTheme="minorEastAsia" w:hAnsiTheme="minorEastAsia" w:eastAsiaTheme="minorEastAsia" w:cstheme="minorEastAsia"/>
                <w:bCs/>
                <w:snapToGrid w:val="0"/>
                <w:color w:val="auto"/>
                <w:kern w:val="2"/>
                <w:sz w:val="21"/>
                <w:szCs w:val="21"/>
                <w:highlight w:val="none"/>
                <w:lang w:val="en-US" w:eastAsia="zh-CN" w:bidi="ar"/>
              </w:rPr>
              <w:t>如本项目前次招标失败，招标人退还投标人的投标保证金。投标人参与本次招标，须向本项目本次公告公布的投标保证金账号重新交纳投标保证金。凡转账到其他项目虚拟账户或本项目前次公告账户的，投标保证金无效。</w:t>
            </w:r>
          </w:p>
          <w:p w14:paraId="3DAEB98F">
            <w:pPr>
              <w:pStyle w:val="29"/>
              <w:widowControl/>
              <w:adjustRightInd w:val="0"/>
              <w:spacing w:line="360" w:lineRule="auto"/>
              <w:ind w:left="0" w:leftChars="0" w:right="0" w:rightChars="0" w:firstLine="0" w:firstLineChars="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rPr>
              <w:fldChar w:fldCharType="begin"/>
            </w:r>
            <w:r>
              <w:rPr>
                <w:rFonts w:hint="eastAsia" w:asciiTheme="minorEastAsia" w:hAnsiTheme="minorEastAsia" w:eastAsiaTheme="minorEastAsia" w:cstheme="minorEastAsia"/>
                <w:bCs/>
                <w:color w:val="auto"/>
                <w:sz w:val="21"/>
                <w:szCs w:val="21"/>
                <w:highlight w:val="none"/>
                <w:lang w:val="en-US"/>
              </w:rPr>
              <w:instrText xml:space="preserve"> = 6 \* GB3 </w:instrText>
            </w:r>
            <w:r>
              <w:rPr>
                <w:rFonts w:hint="eastAsia" w:asciiTheme="minorEastAsia" w:hAnsiTheme="minorEastAsia" w:eastAsiaTheme="minorEastAsia" w:cstheme="minorEastAsia"/>
                <w:bCs/>
                <w:color w:val="auto"/>
                <w:sz w:val="21"/>
                <w:szCs w:val="21"/>
                <w:highlight w:val="none"/>
                <w:lang w:val="en-US"/>
              </w:rPr>
              <w:fldChar w:fldCharType="separate"/>
            </w:r>
            <w:r>
              <w:rPr>
                <w:rFonts w:hint="eastAsia" w:asciiTheme="minorEastAsia" w:hAnsiTheme="minorEastAsia" w:eastAsiaTheme="minorEastAsia" w:cstheme="minorEastAsia"/>
                <w:bCs/>
                <w:color w:val="auto"/>
                <w:sz w:val="21"/>
                <w:szCs w:val="21"/>
                <w:highlight w:val="none"/>
              </w:rPr>
              <w:t>⑥</w:t>
            </w:r>
            <w:r>
              <w:rPr>
                <w:rFonts w:hint="eastAsia" w:asciiTheme="minorEastAsia" w:hAnsiTheme="minorEastAsia" w:eastAsiaTheme="minorEastAsia" w:cstheme="minorEastAsia"/>
                <w:bCs/>
                <w:color w:val="auto"/>
                <w:sz w:val="21"/>
                <w:szCs w:val="21"/>
                <w:highlight w:val="none"/>
                <w:lang w:val="en-US"/>
              </w:rPr>
              <w:fldChar w:fldCharType="end"/>
            </w:r>
            <w:r>
              <w:rPr>
                <w:rFonts w:hint="eastAsia" w:asciiTheme="minorEastAsia" w:hAnsiTheme="minorEastAsia" w:eastAsiaTheme="minorEastAsia" w:cstheme="minorEastAsia"/>
                <w:bCs/>
                <w:color w:val="auto"/>
                <w:sz w:val="21"/>
                <w:szCs w:val="21"/>
                <w:highlight w:val="none"/>
              </w:rPr>
              <w:t>投标人参与本项目多个标段（包别）投标的（如分多标段</w:t>
            </w:r>
            <w:r>
              <w:rPr>
                <w:rFonts w:hint="eastAsia" w:asciiTheme="minorEastAsia" w:hAnsiTheme="minorEastAsia" w:eastAsiaTheme="minorEastAsia" w:cstheme="minorEastAsia"/>
                <w:bCs/>
                <w:color w:val="auto"/>
                <w:sz w:val="21"/>
                <w:szCs w:val="21"/>
                <w:highlight w:val="none"/>
                <w:lang w:val="en-US"/>
              </w:rPr>
              <w:t>/</w:t>
            </w:r>
            <w:r>
              <w:rPr>
                <w:rFonts w:hint="eastAsia" w:asciiTheme="minorEastAsia" w:hAnsiTheme="minorEastAsia" w:eastAsiaTheme="minorEastAsia" w:cstheme="minorEastAsia"/>
                <w:bCs/>
                <w:color w:val="auto"/>
                <w:sz w:val="21"/>
                <w:szCs w:val="21"/>
                <w:highlight w:val="none"/>
              </w:rPr>
              <w:t>包别的），应该按标段（包别）分别递交投标保证金。未递交投标保证金的标段（包别），其投标无效。</w:t>
            </w:r>
          </w:p>
        </w:tc>
      </w:tr>
      <w:tr w14:paraId="58194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43" w:type="pct"/>
            <w:vAlign w:val="center"/>
          </w:tcPr>
          <w:p w14:paraId="1D7B675E">
            <w:pPr>
              <w:keepNext w:val="0"/>
              <w:keepLines w:val="0"/>
              <w:widowControl w:val="0"/>
              <w:suppressLineNumbers w:val="0"/>
              <w:wordWrap w:val="0"/>
              <w:spacing w:before="0" w:beforeAutospacing="0" w:after="0" w:afterAutospacing="0" w:line="360" w:lineRule="auto"/>
              <w:ind w:left="0" w:leftChars="0" w:right="0" w:rightChars="0"/>
              <w:jc w:val="center"/>
              <w:textAlignment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snapToGrid w:val="0"/>
                <w:color w:val="auto"/>
                <w:kern w:val="2"/>
                <w:sz w:val="21"/>
                <w:szCs w:val="21"/>
                <w:highlight w:val="none"/>
                <w:lang w:val="en-US" w:eastAsia="zh-CN" w:bidi="ar"/>
              </w:rPr>
              <w:t>3.4.3</w:t>
            </w:r>
          </w:p>
        </w:tc>
        <w:tc>
          <w:tcPr>
            <w:tcW w:w="1121" w:type="pct"/>
            <w:vAlign w:val="center"/>
          </w:tcPr>
          <w:p w14:paraId="5176AA2C">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投标保证金的退还</w:t>
            </w:r>
          </w:p>
        </w:tc>
        <w:tc>
          <w:tcPr>
            <w:tcW w:w="3335" w:type="pct"/>
            <w:gridSpan w:val="2"/>
            <w:vAlign w:val="center"/>
          </w:tcPr>
          <w:p w14:paraId="3D7B5E5F">
            <w:pPr>
              <w:keepNext w:val="0"/>
              <w:keepLines w:val="0"/>
              <w:widowControl w:val="0"/>
              <w:suppressLineNumbers w:val="0"/>
              <w:tabs>
                <w:tab w:val="left" w:pos="924"/>
                <w:tab w:val="left" w:pos="1008"/>
              </w:tabs>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按照安徽合肥公共资源交易中心《关于进一步优化投标保证金退还流程的通知》（合公中心[2023] 3号）执行。</w:t>
            </w:r>
            <w:r>
              <w:rPr>
                <w:rFonts w:hint="eastAsia" w:asciiTheme="minorEastAsia" w:hAnsiTheme="minorEastAsia" w:eastAsiaTheme="minorEastAsia" w:cstheme="minorEastAsia"/>
                <w:b/>
                <w:bCs w:val="0"/>
                <w:iCs/>
                <w:snapToGrid w:val="0"/>
                <w:color w:val="auto"/>
                <w:kern w:val="2"/>
                <w:sz w:val="21"/>
                <w:szCs w:val="21"/>
                <w:highlight w:val="none"/>
                <w:lang w:val="en-US" w:eastAsia="zh-CN" w:bidi="ar"/>
              </w:rPr>
              <w:t>(说明：如有新规定，按最新规定执行）</w:t>
            </w:r>
          </w:p>
        </w:tc>
      </w:tr>
      <w:tr w14:paraId="6E083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43" w:type="pct"/>
            <w:vAlign w:val="center"/>
          </w:tcPr>
          <w:p w14:paraId="3EB35F35">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3.4.4</w:t>
            </w:r>
          </w:p>
        </w:tc>
        <w:tc>
          <w:tcPr>
            <w:tcW w:w="1121" w:type="pct"/>
            <w:vAlign w:val="center"/>
          </w:tcPr>
          <w:p w14:paraId="09775E14">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其他可以不予退还</w:t>
            </w:r>
          </w:p>
          <w:p w14:paraId="6A4EDFBB">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投标保证金的情形</w:t>
            </w:r>
          </w:p>
        </w:tc>
        <w:tc>
          <w:tcPr>
            <w:tcW w:w="3335" w:type="pct"/>
            <w:gridSpan w:val="2"/>
            <w:vAlign w:val="center"/>
          </w:tcPr>
          <w:p w14:paraId="6F0FB701">
            <w:pPr>
              <w:spacing w:line="389" w:lineRule="auto"/>
              <w:jc w:val="both"/>
              <w:outlineLvl w:val="9"/>
              <w:rPr>
                <w:rFonts w:hint="eastAsia" w:asciiTheme="minorEastAsia" w:hAnsiTheme="minorEastAsia" w:eastAsiaTheme="minorEastAsia" w:cstheme="minorEastAsia"/>
                <w:color w:val="auto"/>
                <w:sz w:val="21"/>
                <w:szCs w:val="21"/>
                <w:highlight w:val="none"/>
              </w:rPr>
            </w:pPr>
          </w:p>
          <w:p w14:paraId="0767DD93">
            <w:pPr>
              <w:pStyle w:val="27"/>
              <w:tabs>
                <w:tab w:val="left" w:pos="208"/>
              </w:tabs>
              <w:spacing w:before="68" w:line="221" w:lineRule="auto"/>
              <w:ind w:left="105" w:leftChars="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kern w:val="2"/>
                <w:sz w:val="21"/>
                <w:szCs w:val="21"/>
                <w:highlight w:val="none"/>
                <w:lang w:val="en-US" w:eastAsia="zh-CN" w:bidi="ar"/>
              </w:rPr>
              <w:t>/</w:t>
            </w:r>
          </w:p>
        </w:tc>
      </w:tr>
      <w:tr w14:paraId="6AAAE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CC5AB8C">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3.5</w:t>
            </w:r>
          </w:p>
        </w:tc>
        <w:tc>
          <w:tcPr>
            <w:tcW w:w="1121" w:type="pct"/>
            <w:vAlign w:val="center"/>
          </w:tcPr>
          <w:p w14:paraId="40D98C89">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资格审查资料的特</w:t>
            </w:r>
          </w:p>
          <w:p w14:paraId="139B09A8">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殊要求</w:t>
            </w:r>
          </w:p>
        </w:tc>
        <w:tc>
          <w:tcPr>
            <w:tcW w:w="3335" w:type="pct"/>
            <w:gridSpan w:val="2"/>
            <w:vAlign w:val="center"/>
          </w:tcPr>
          <w:p w14:paraId="41CA095D">
            <w:pPr>
              <w:pStyle w:val="27"/>
              <w:spacing w:before="172"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lang w:eastAsia="zh-CN"/>
              </w:rPr>
              <w:t>☑</w:t>
            </w:r>
            <w:r>
              <w:rPr>
                <w:rFonts w:hint="eastAsia" w:asciiTheme="minorEastAsia" w:hAnsiTheme="minorEastAsia" w:eastAsiaTheme="minorEastAsia" w:cstheme="minorEastAsia"/>
                <w:color w:val="auto"/>
                <w:spacing w:val="-14"/>
                <w:sz w:val="21"/>
                <w:szCs w:val="21"/>
                <w:highlight w:val="none"/>
              </w:rPr>
              <w:t>无</w:t>
            </w:r>
          </w:p>
          <w:p w14:paraId="0661CE24">
            <w:pPr>
              <w:pStyle w:val="27"/>
              <w:spacing w:before="154" w:line="217" w:lineRule="auto"/>
              <w:ind w:left="135" w:leftChars="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color w:val="auto"/>
                <w:spacing w:val="-4"/>
                <w:sz w:val="21"/>
                <w:szCs w:val="21"/>
                <w:highlight w:val="none"/>
              </w:rPr>
              <w:t>□有，具体要求：</w:t>
            </w:r>
          </w:p>
        </w:tc>
      </w:tr>
      <w:tr w14:paraId="103A1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79C90857">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3.5.2</w:t>
            </w:r>
          </w:p>
        </w:tc>
        <w:tc>
          <w:tcPr>
            <w:tcW w:w="1121" w:type="pct"/>
            <w:vAlign w:val="center"/>
          </w:tcPr>
          <w:p w14:paraId="47FD0A02">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近年财务状况的年份要求</w:t>
            </w:r>
          </w:p>
        </w:tc>
        <w:tc>
          <w:tcPr>
            <w:tcW w:w="3335" w:type="pct"/>
            <w:gridSpan w:val="2"/>
            <w:vAlign w:val="center"/>
          </w:tcPr>
          <w:p w14:paraId="0C46C3EE">
            <w:pPr>
              <w:pStyle w:val="27"/>
              <w:spacing w:before="68" w:line="221" w:lineRule="auto"/>
              <w:ind w:left="112" w:leftChars="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kern w:val="2"/>
                <w:sz w:val="21"/>
                <w:szCs w:val="21"/>
                <w:highlight w:val="none"/>
                <w:lang w:val="en-US" w:eastAsia="zh-CN" w:bidi="ar"/>
              </w:rPr>
              <w:t>/</w:t>
            </w:r>
          </w:p>
        </w:tc>
      </w:tr>
      <w:tr w14:paraId="486FF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30502511">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3.5.3</w:t>
            </w:r>
          </w:p>
        </w:tc>
        <w:tc>
          <w:tcPr>
            <w:tcW w:w="1121" w:type="pct"/>
            <w:vAlign w:val="center"/>
          </w:tcPr>
          <w:p w14:paraId="05E682A8">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近年完成的类似项目的时间要求</w:t>
            </w:r>
          </w:p>
        </w:tc>
        <w:tc>
          <w:tcPr>
            <w:tcW w:w="3335" w:type="pct"/>
            <w:gridSpan w:val="2"/>
            <w:vAlign w:val="center"/>
          </w:tcPr>
          <w:p w14:paraId="15C7A841">
            <w:pPr>
              <w:pStyle w:val="27"/>
              <w:spacing w:before="68" w:line="221" w:lineRule="auto"/>
              <w:ind w:left="112" w:leftChars="0"/>
              <w:jc w:val="both"/>
              <w:outlineLvl w:val="9"/>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lang w:val="en-US" w:eastAsia="zh-CN"/>
              </w:rPr>
              <w:t>见招标公告</w:t>
            </w:r>
          </w:p>
        </w:tc>
      </w:tr>
      <w:tr w14:paraId="486A3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4FE564F">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3.5.5</w:t>
            </w:r>
          </w:p>
        </w:tc>
        <w:tc>
          <w:tcPr>
            <w:tcW w:w="1121" w:type="pct"/>
            <w:vAlign w:val="center"/>
          </w:tcPr>
          <w:p w14:paraId="4E06D257">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近年发生的诉讼及仲裁情况的时间要求</w:t>
            </w:r>
          </w:p>
        </w:tc>
        <w:tc>
          <w:tcPr>
            <w:tcW w:w="3335" w:type="pct"/>
            <w:gridSpan w:val="2"/>
            <w:vAlign w:val="center"/>
          </w:tcPr>
          <w:p w14:paraId="5159C6BC">
            <w:pPr>
              <w:pStyle w:val="27"/>
              <w:spacing w:before="279" w:line="221" w:lineRule="auto"/>
              <w:ind w:left="112" w:leftChars="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kern w:val="2"/>
                <w:sz w:val="21"/>
                <w:szCs w:val="21"/>
                <w:highlight w:val="none"/>
                <w:lang w:val="en-US" w:eastAsia="zh-CN" w:bidi="ar"/>
              </w:rPr>
              <w:t>/</w:t>
            </w:r>
          </w:p>
        </w:tc>
      </w:tr>
      <w:tr w14:paraId="62309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A900DDB">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3.6.1</w:t>
            </w:r>
          </w:p>
        </w:tc>
        <w:tc>
          <w:tcPr>
            <w:tcW w:w="1121" w:type="pct"/>
            <w:vAlign w:val="center"/>
          </w:tcPr>
          <w:p w14:paraId="2296A307">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是否允许递交备选</w:t>
            </w:r>
          </w:p>
          <w:p w14:paraId="7DF4E45A">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投标方案</w:t>
            </w:r>
          </w:p>
        </w:tc>
        <w:tc>
          <w:tcPr>
            <w:tcW w:w="3335" w:type="pct"/>
            <w:gridSpan w:val="2"/>
            <w:vAlign w:val="center"/>
          </w:tcPr>
          <w:p w14:paraId="3C919E50">
            <w:pPr>
              <w:keepNext w:val="0"/>
              <w:keepLines w:val="0"/>
              <w:widowControl w:val="0"/>
              <w:suppressLineNumbers w:val="0"/>
              <w:tabs>
                <w:tab w:val="left" w:pos="360"/>
              </w:tabs>
              <w:wordWrap w:val="0"/>
              <w:snapToGrid w:val="0"/>
              <w:spacing w:before="0" w:beforeAutospacing="0" w:after="0" w:afterAutospacing="0" w:line="360" w:lineRule="auto"/>
              <w:ind w:right="0" w:firstLine="196" w:firstLineChars="100"/>
              <w:jc w:val="left"/>
              <w:textAlignment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snapToGrid w:val="0"/>
                <w:color w:val="auto"/>
                <w:kern w:val="2"/>
                <w:sz w:val="21"/>
                <w:szCs w:val="21"/>
                <w:highlight w:val="none"/>
                <w:lang w:val="en-US" w:eastAsia="zh-CN" w:bidi="ar"/>
              </w:rPr>
              <w:t xml:space="preserve">不允许   </w:t>
            </w:r>
            <w:r>
              <w:rPr>
                <w:rFonts w:hint="eastAsia" w:asciiTheme="minorEastAsia" w:hAnsiTheme="minorEastAsia" w:eastAsiaTheme="minorEastAsia" w:cstheme="minorEastAsia"/>
                <w:color w:val="auto"/>
                <w:spacing w:val="-5"/>
                <w:sz w:val="21"/>
                <w:szCs w:val="21"/>
                <w:highlight w:val="none"/>
                <w:lang w:eastAsia="zh-CN"/>
              </w:rPr>
              <w:t>□</w:t>
            </w:r>
            <w:r>
              <w:rPr>
                <w:rFonts w:hint="eastAsia" w:asciiTheme="minorEastAsia" w:hAnsiTheme="minorEastAsia" w:eastAsiaTheme="minorEastAsia" w:cstheme="minorEastAsia"/>
                <w:color w:val="auto"/>
                <w:spacing w:val="-9"/>
                <w:sz w:val="21"/>
                <w:szCs w:val="21"/>
                <w:highlight w:val="none"/>
              </w:rPr>
              <w:t>允许</w:t>
            </w:r>
          </w:p>
        </w:tc>
      </w:tr>
      <w:tr w14:paraId="3EB30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388B065A">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color w:val="auto"/>
                <w:spacing w:val="-4"/>
                <w:sz w:val="21"/>
                <w:szCs w:val="21"/>
                <w:highlight w:val="none"/>
              </w:rPr>
              <w:t>3.7.4</w:t>
            </w:r>
          </w:p>
        </w:tc>
        <w:tc>
          <w:tcPr>
            <w:tcW w:w="1121" w:type="pct"/>
            <w:vAlign w:val="center"/>
          </w:tcPr>
          <w:p w14:paraId="105F6094">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非加密投标文件递交</w:t>
            </w:r>
          </w:p>
        </w:tc>
        <w:tc>
          <w:tcPr>
            <w:tcW w:w="3335" w:type="pct"/>
            <w:gridSpan w:val="2"/>
            <w:vAlign w:val="center"/>
          </w:tcPr>
          <w:p w14:paraId="37E0D981">
            <w:pPr>
              <w:pStyle w:val="27"/>
              <w:spacing w:before="182"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lang w:eastAsia="zh-CN"/>
              </w:rPr>
              <w:t>☑</w:t>
            </w:r>
            <w:r>
              <w:rPr>
                <w:rFonts w:hint="eastAsia" w:asciiTheme="minorEastAsia" w:hAnsiTheme="minorEastAsia" w:eastAsiaTheme="minorEastAsia" w:cstheme="minorEastAsia"/>
                <w:color w:val="auto"/>
                <w:spacing w:val="-9"/>
                <w:sz w:val="21"/>
                <w:szCs w:val="21"/>
                <w:highlight w:val="none"/>
              </w:rPr>
              <w:t>不允许。</w:t>
            </w:r>
          </w:p>
          <w:p w14:paraId="4EB96A8E">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5"/>
                <w:sz w:val="21"/>
                <w:szCs w:val="21"/>
                <w:highlight w:val="none"/>
              </w:rPr>
              <w:t>□允许，</w:t>
            </w:r>
            <w:r>
              <w:rPr>
                <w:rFonts w:hint="eastAsia" w:asciiTheme="minorEastAsia" w:hAnsiTheme="minorEastAsia" w:eastAsiaTheme="minorEastAsia" w:cstheme="minorEastAsia"/>
                <w:color w:val="auto"/>
                <w:spacing w:val="-1"/>
                <w:sz w:val="21"/>
                <w:szCs w:val="21"/>
                <w:highlight w:val="none"/>
              </w:rPr>
              <w:t>具体要求如下：</w:t>
            </w:r>
          </w:p>
          <w:p w14:paraId="1927877C">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非加密投标文件由投标人自行确定是否递交。</w:t>
            </w:r>
          </w:p>
          <w:p w14:paraId="4E3E29EB">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如递交，应在投标截止时间前在开标地点递交，并提供以下证明材料，否则招标人不予接收。</w:t>
            </w:r>
          </w:p>
          <w:p w14:paraId="5B3B787B">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法定代表人亲自递交的，应提供法定代表人身份证明和法定代表人的有效身份证件；</w:t>
            </w:r>
          </w:p>
          <w:p w14:paraId="7CCEA076">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委托代理人递交的，应提供授权委托书和委托代理人的有效身份证件。</w:t>
            </w:r>
          </w:p>
          <w:p w14:paraId="1B33F973">
            <w:pPr>
              <w:pStyle w:val="27"/>
              <w:spacing w:before="92" w:line="333" w:lineRule="auto"/>
              <w:ind w:left="115" w:right="184" w:firstLine="2"/>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color w:val="auto"/>
                <w:spacing w:val="-1"/>
                <w:sz w:val="21"/>
                <w:szCs w:val="21"/>
                <w:highlight w:val="none"/>
              </w:rPr>
              <w:t>非加密投标文件介质：光盘或 U 盘</w:t>
            </w:r>
          </w:p>
        </w:tc>
      </w:tr>
      <w:tr w14:paraId="60CF4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D4AB8F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3.7.6</w:t>
            </w:r>
          </w:p>
        </w:tc>
        <w:tc>
          <w:tcPr>
            <w:tcW w:w="1121" w:type="pct"/>
            <w:vAlign w:val="center"/>
          </w:tcPr>
          <w:p w14:paraId="2E25A630">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施工组织设计评审是否采用暗标评审</w:t>
            </w:r>
          </w:p>
        </w:tc>
        <w:tc>
          <w:tcPr>
            <w:tcW w:w="3335" w:type="pct"/>
            <w:gridSpan w:val="2"/>
            <w:vAlign w:val="center"/>
          </w:tcPr>
          <w:p w14:paraId="7C71B525">
            <w:pPr>
              <w:pStyle w:val="27"/>
              <w:spacing w:before="104"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否</w:t>
            </w:r>
          </w:p>
          <w:p w14:paraId="0766A9CB">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3"/>
                <w:sz w:val="21"/>
                <w:szCs w:val="21"/>
                <w:highlight w:val="none"/>
              </w:rPr>
              <w:t>□是，</w:t>
            </w:r>
            <w:r>
              <w:rPr>
                <w:rFonts w:hint="eastAsia" w:asciiTheme="minorEastAsia" w:hAnsiTheme="minorEastAsia" w:eastAsiaTheme="minorEastAsia" w:cstheme="minorEastAsia"/>
                <w:color w:val="auto"/>
                <w:spacing w:val="-1"/>
                <w:sz w:val="21"/>
                <w:szCs w:val="21"/>
                <w:highlight w:val="none"/>
              </w:rPr>
              <w:t>制作投标文件时应符合以下要求：</w:t>
            </w:r>
          </w:p>
          <w:p w14:paraId="1FFA7EBE">
            <w:pPr>
              <w:pStyle w:val="27"/>
              <w:spacing w:before="92" w:line="333" w:lineRule="auto"/>
              <w:ind w:left="115" w:right="184" w:firstLine="2"/>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（1）投标人应单独编制和提交施工组织设计，施工组织设计部分应屏蔽投标人相关信息：包括投标人单位名称、简称、外文名称、投标人特有的标志、logo及图案、人员姓名及曾经承接过的项目名称等；</w:t>
            </w:r>
          </w:p>
          <w:p w14:paraId="5447026B">
            <w:pPr>
              <w:pStyle w:val="27"/>
              <w:spacing w:before="92" w:line="333" w:lineRule="auto"/>
              <w:ind w:left="115" w:right="184" w:firstLine="2"/>
              <w:jc w:val="both"/>
              <w:outlineLvl w:val="9"/>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highlight w:val="none"/>
              </w:rPr>
              <w:t>（2）施工组织设计部分不得出现可能泄露投标人单位及个人信息的文字、图片、图表等有关表述</w:t>
            </w:r>
            <w:r>
              <w:rPr>
                <w:rFonts w:hint="eastAsia" w:asciiTheme="minorEastAsia" w:hAnsiTheme="minorEastAsia" w:eastAsiaTheme="minorEastAsia" w:cstheme="minorEastAsia"/>
                <w:color w:val="auto"/>
                <w:spacing w:val="-1"/>
                <w:sz w:val="21"/>
                <w:szCs w:val="21"/>
                <w:highlight w:val="none"/>
                <w:lang w:eastAsia="zh-CN"/>
              </w:rPr>
              <w:t>。</w:t>
            </w:r>
          </w:p>
        </w:tc>
      </w:tr>
      <w:tr w14:paraId="020F4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73682FB">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4.2.1</w:t>
            </w:r>
          </w:p>
        </w:tc>
        <w:tc>
          <w:tcPr>
            <w:tcW w:w="1121" w:type="pct"/>
            <w:vAlign w:val="center"/>
          </w:tcPr>
          <w:p w14:paraId="0B30C12C">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投标截止时间</w:t>
            </w:r>
          </w:p>
        </w:tc>
        <w:tc>
          <w:tcPr>
            <w:tcW w:w="3335" w:type="pct"/>
            <w:gridSpan w:val="2"/>
            <w:vAlign w:val="center"/>
          </w:tcPr>
          <w:p w14:paraId="3F396F0A">
            <w:pPr>
              <w:pStyle w:val="27"/>
              <w:spacing w:before="27" w:line="219" w:lineRule="auto"/>
              <w:ind w:left="116"/>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投标截止时间为：</w:t>
            </w:r>
            <w:r>
              <w:rPr>
                <w:rFonts w:hint="eastAsia" w:asciiTheme="minorEastAsia" w:hAnsiTheme="minorEastAsia" w:eastAsiaTheme="minorEastAsia" w:cstheme="minorEastAsia"/>
                <w:color w:val="auto"/>
                <w:spacing w:val="-1"/>
                <w:sz w:val="21"/>
                <w:szCs w:val="21"/>
                <w:highlight w:val="none"/>
                <w:u w:val="single" w:color="auto"/>
              </w:rPr>
              <w:t>见招标公告</w:t>
            </w:r>
          </w:p>
          <w:p w14:paraId="0BE207E3">
            <w:pPr>
              <w:pStyle w:val="27"/>
              <w:spacing w:before="224" w:line="310" w:lineRule="auto"/>
              <w:ind w:left="118" w:leftChars="0" w:right="189" w:rightChars="0" w:hanging="5"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注：投标截止时间以电子交易系统显示的时间为准</w:t>
            </w:r>
            <w:r>
              <w:rPr>
                <w:rFonts w:hint="eastAsia" w:asciiTheme="minorEastAsia" w:hAnsiTheme="minorEastAsia" w:eastAsiaTheme="minorEastAsia" w:cstheme="minorEastAsia"/>
                <w:color w:val="auto"/>
                <w:spacing w:val="-1"/>
                <w:sz w:val="21"/>
                <w:szCs w:val="21"/>
                <w:highlight w:val="none"/>
              </w:rPr>
              <w:t>，逾期系统将自动关闭，未完成上传的投标文件将被</w:t>
            </w:r>
            <w:r>
              <w:rPr>
                <w:rFonts w:hint="eastAsia" w:asciiTheme="minorEastAsia" w:hAnsiTheme="minorEastAsia" w:eastAsiaTheme="minorEastAsia" w:cstheme="minorEastAsia"/>
                <w:color w:val="auto"/>
                <w:spacing w:val="-2"/>
                <w:sz w:val="21"/>
                <w:szCs w:val="21"/>
                <w:highlight w:val="none"/>
              </w:rPr>
              <w:t>拒绝。</w:t>
            </w:r>
          </w:p>
        </w:tc>
      </w:tr>
      <w:tr w14:paraId="1DC92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39A9EDC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4.2.2</w:t>
            </w:r>
          </w:p>
        </w:tc>
        <w:tc>
          <w:tcPr>
            <w:tcW w:w="1121" w:type="pct"/>
            <w:vAlign w:val="center"/>
          </w:tcPr>
          <w:p w14:paraId="43A7A845">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递交非加密投标文件</w:t>
            </w:r>
          </w:p>
          <w:p w14:paraId="5034F4C4">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地点</w:t>
            </w:r>
          </w:p>
        </w:tc>
        <w:tc>
          <w:tcPr>
            <w:tcW w:w="3335" w:type="pct"/>
            <w:gridSpan w:val="2"/>
            <w:vAlign w:val="center"/>
          </w:tcPr>
          <w:p w14:paraId="3DFC4DFB">
            <w:pPr>
              <w:pStyle w:val="27"/>
              <w:spacing w:before="290" w:line="221" w:lineRule="auto"/>
              <w:ind w:left="134"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6"/>
                <w:sz w:val="21"/>
                <w:szCs w:val="21"/>
                <w:highlight w:val="none"/>
              </w:rPr>
              <w:t>同开标地点</w:t>
            </w:r>
          </w:p>
        </w:tc>
      </w:tr>
      <w:tr w14:paraId="048AB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11FE9630">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4.2.3</w:t>
            </w:r>
          </w:p>
        </w:tc>
        <w:tc>
          <w:tcPr>
            <w:tcW w:w="1121" w:type="pct"/>
            <w:vAlign w:val="center"/>
          </w:tcPr>
          <w:p w14:paraId="45B6BC23">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是否退还投标文件</w:t>
            </w:r>
          </w:p>
        </w:tc>
        <w:tc>
          <w:tcPr>
            <w:tcW w:w="3335" w:type="pct"/>
            <w:gridSpan w:val="2"/>
            <w:vAlign w:val="center"/>
          </w:tcPr>
          <w:p w14:paraId="4F2F7619">
            <w:pPr>
              <w:pStyle w:val="27"/>
              <w:spacing w:before="134"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lang w:eastAsia="zh-CN"/>
              </w:rPr>
              <w:t>☑</w:t>
            </w:r>
            <w:r>
              <w:rPr>
                <w:rFonts w:hint="eastAsia" w:asciiTheme="minorEastAsia" w:hAnsiTheme="minorEastAsia" w:eastAsiaTheme="minorEastAsia" w:cstheme="minorEastAsia"/>
                <w:color w:val="auto"/>
                <w:spacing w:val="-14"/>
                <w:sz w:val="21"/>
                <w:szCs w:val="21"/>
                <w:highlight w:val="none"/>
              </w:rPr>
              <w:t>否</w:t>
            </w:r>
          </w:p>
          <w:p w14:paraId="2D8D3AE9">
            <w:pPr>
              <w:pStyle w:val="27"/>
              <w:spacing w:before="148" w:line="221" w:lineRule="auto"/>
              <w:ind w:left="135"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1"/>
                <w:sz w:val="21"/>
                <w:szCs w:val="21"/>
                <w:highlight w:val="none"/>
              </w:rPr>
              <w:t>□是（指非加密投标文件</w:t>
            </w:r>
            <w:r>
              <w:rPr>
                <w:rFonts w:hint="eastAsia" w:asciiTheme="minorEastAsia" w:hAnsiTheme="minorEastAsia" w:eastAsiaTheme="minorEastAsia" w:cstheme="minorEastAsia"/>
                <w:color w:val="auto"/>
                <w:spacing w:val="-53"/>
                <w:w w:val="97"/>
                <w:sz w:val="21"/>
                <w:szCs w:val="21"/>
                <w:highlight w:val="none"/>
              </w:rPr>
              <w:t>），</w:t>
            </w:r>
            <w:r>
              <w:rPr>
                <w:rFonts w:hint="eastAsia" w:asciiTheme="minorEastAsia" w:hAnsiTheme="minorEastAsia" w:eastAsiaTheme="minorEastAsia" w:cstheme="minorEastAsia"/>
                <w:color w:val="auto"/>
                <w:spacing w:val="-1"/>
                <w:sz w:val="21"/>
                <w:szCs w:val="21"/>
                <w:highlight w:val="none"/>
              </w:rPr>
              <w:t>退还时间：</w:t>
            </w:r>
          </w:p>
        </w:tc>
      </w:tr>
      <w:tr w14:paraId="3A801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543" w:type="pct"/>
            <w:vAlign w:val="center"/>
          </w:tcPr>
          <w:p w14:paraId="0D7F8F60">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5.1</w:t>
            </w:r>
          </w:p>
        </w:tc>
        <w:tc>
          <w:tcPr>
            <w:tcW w:w="1121" w:type="pct"/>
            <w:vAlign w:val="center"/>
          </w:tcPr>
          <w:p w14:paraId="6BAF660D">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开标时间和地点</w:t>
            </w:r>
          </w:p>
        </w:tc>
        <w:tc>
          <w:tcPr>
            <w:tcW w:w="3335" w:type="pct"/>
            <w:gridSpan w:val="2"/>
            <w:vAlign w:val="center"/>
          </w:tcPr>
          <w:p w14:paraId="6000B320">
            <w:pPr>
              <w:pStyle w:val="27"/>
              <w:spacing w:before="25" w:line="219" w:lineRule="auto"/>
              <w:ind w:left="114"/>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开标时间：</w:t>
            </w:r>
            <w:r>
              <w:rPr>
                <w:rFonts w:hint="eastAsia" w:asciiTheme="minorEastAsia" w:hAnsiTheme="minorEastAsia" w:eastAsiaTheme="minorEastAsia" w:cstheme="minorEastAsia"/>
                <w:color w:val="auto"/>
                <w:spacing w:val="-1"/>
                <w:sz w:val="21"/>
                <w:szCs w:val="21"/>
                <w:highlight w:val="none"/>
                <w:u w:val="single" w:color="auto"/>
              </w:rPr>
              <w:t>见招标公告</w:t>
            </w:r>
          </w:p>
          <w:p w14:paraId="43171929">
            <w:pPr>
              <w:pStyle w:val="27"/>
              <w:spacing w:before="161" w:line="219" w:lineRule="auto"/>
              <w:ind w:left="114"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1"/>
                <w:sz w:val="21"/>
                <w:szCs w:val="21"/>
                <w:highlight w:val="none"/>
              </w:rPr>
              <w:t>开标地点：</w:t>
            </w:r>
            <w:r>
              <w:rPr>
                <w:rFonts w:hint="eastAsia" w:asciiTheme="minorEastAsia" w:hAnsiTheme="minorEastAsia" w:eastAsiaTheme="minorEastAsia" w:cstheme="minorEastAsia"/>
                <w:color w:val="auto"/>
                <w:spacing w:val="-1"/>
                <w:sz w:val="21"/>
                <w:szCs w:val="21"/>
                <w:highlight w:val="none"/>
                <w:u w:val="single" w:color="auto"/>
              </w:rPr>
              <w:t>见招标公告</w:t>
            </w:r>
          </w:p>
        </w:tc>
      </w:tr>
      <w:tr w14:paraId="36D06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A401851">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5.2</w:t>
            </w:r>
          </w:p>
        </w:tc>
        <w:tc>
          <w:tcPr>
            <w:tcW w:w="1121" w:type="pct"/>
            <w:vAlign w:val="center"/>
          </w:tcPr>
          <w:p w14:paraId="6AC94122">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开标程序</w:t>
            </w:r>
          </w:p>
        </w:tc>
        <w:tc>
          <w:tcPr>
            <w:tcW w:w="3335" w:type="pct"/>
            <w:gridSpan w:val="2"/>
            <w:vAlign w:val="center"/>
          </w:tcPr>
          <w:p w14:paraId="7AF7D2C7">
            <w:pPr>
              <w:pStyle w:val="27"/>
              <w:numPr>
                <w:ilvl w:val="0"/>
                <w:numId w:val="1"/>
              </w:numPr>
              <w:spacing w:before="26" w:line="337" w:lineRule="auto"/>
              <w:ind w:left="122" w:leftChars="0" w:hanging="3" w:firstLineChars="0"/>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解密时间：</w:t>
            </w:r>
            <w:r>
              <w:rPr>
                <w:rFonts w:hint="eastAsia" w:asciiTheme="minorEastAsia" w:hAnsiTheme="minorEastAsia" w:eastAsiaTheme="minorEastAsia" w:cstheme="minorEastAsia"/>
                <w:color w:val="auto"/>
                <w:spacing w:val="-11"/>
                <w:sz w:val="21"/>
                <w:szCs w:val="21"/>
                <w:highlight w:val="none"/>
                <w:u w:val="single" w:color="auto"/>
              </w:rPr>
              <w:t xml:space="preserve">  </w:t>
            </w:r>
            <w:r>
              <w:rPr>
                <w:rFonts w:hint="eastAsia" w:asciiTheme="minorEastAsia" w:hAnsiTheme="minorEastAsia" w:eastAsiaTheme="minorEastAsia" w:cstheme="minorEastAsia"/>
                <w:color w:val="auto"/>
                <w:spacing w:val="-11"/>
                <w:sz w:val="21"/>
                <w:szCs w:val="21"/>
                <w:highlight w:val="none"/>
                <w:u w:val="single" w:color="auto"/>
                <w:lang w:val="en-US" w:eastAsia="zh-CN"/>
              </w:rPr>
              <w:t>30</w:t>
            </w:r>
            <w:r>
              <w:rPr>
                <w:rFonts w:hint="eastAsia" w:asciiTheme="minorEastAsia" w:hAnsiTheme="minorEastAsia" w:eastAsiaTheme="minorEastAsia" w:cstheme="minorEastAsia"/>
                <w:color w:val="auto"/>
                <w:spacing w:val="-11"/>
                <w:sz w:val="21"/>
                <w:szCs w:val="21"/>
                <w:highlight w:val="none"/>
                <w:u w:val="single" w:color="auto"/>
              </w:rPr>
              <w:t xml:space="preserve">  </w:t>
            </w:r>
            <w:r>
              <w:rPr>
                <w:rFonts w:hint="eastAsia" w:asciiTheme="minorEastAsia" w:hAnsiTheme="minorEastAsia" w:eastAsiaTheme="minorEastAsia" w:cstheme="minorEastAsia"/>
                <w:color w:val="auto"/>
                <w:spacing w:val="-95"/>
                <w:sz w:val="21"/>
                <w:szCs w:val="21"/>
                <w:highlight w:val="none"/>
              </w:rPr>
              <w:t xml:space="preserve"> </w:t>
            </w:r>
            <w:r>
              <w:rPr>
                <w:rFonts w:hint="eastAsia" w:asciiTheme="minorEastAsia" w:hAnsiTheme="minorEastAsia" w:eastAsiaTheme="minorEastAsia" w:cstheme="minorEastAsia"/>
                <w:color w:val="auto"/>
                <w:spacing w:val="-11"/>
                <w:sz w:val="21"/>
                <w:szCs w:val="21"/>
                <w:highlight w:val="none"/>
              </w:rPr>
              <w:t>分钟（以电子交易系统解密倒计时为准</w:t>
            </w:r>
            <w:r>
              <w:rPr>
                <w:rFonts w:hint="eastAsia" w:asciiTheme="minorEastAsia" w:hAnsiTheme="minorEastAsia" w:eastAsiaTheme="minorEastAsia" w:cstheme="minorEastAsia"/>
                <w:color w:val="auto"/>
                <w:spacing w:val="-52"/>
                <w:w w:val="93"/>
                <w:sz w:val="21"/>
                <w:szCs w:val="21"/>
                <w:highlight w:val="none"/>
              </w:rPr>
              <w:t>）；</w:t>
            </w:r>
            <w:r>
              <w:rPr>
                <w:rFonts w:hint="eastAsia" w:asciiTheme="minorEastAsia" w:hAnsiTheme="minorEastAsia" w:eastAsiaTheme="minorEastAsia" w:cstheme="minorEastAsia"/>
                <w:color w:val="auto"/>
                <w:sz w:val="21"/>
                <w:szCs w:val="21"/>
                <w:highlight w:val="none"/>
              </w:rPr>
              <w:t xml:space="preserve"> </w:t>
            </w:r>
          </w:p>
          <w:p w14:paraId="41F831BD">
            <w:pPr>
              <w:pStyle w:val="27"/>
              <w:numPr>
                <w:ilvl w:val="0"/>
                <w:numId w:val="1"/>
              </w:numPr>
              <w:spacing w:before="26" w:line="337" w:lineRule="auto"/>
              <w:ind w:left="122" w:leftChars="0" w:hanging="3"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7"/>
                <w:sz w:val="21"/>
                <w:szCs w:val="21"/>
                <w:highlight w:val="none"/>
              </w:rPr>
              <w:t>多标段开标顺序：</w:t>
            </w:r>
            <w:r>
              <w:rPr>
                <w:rFonts w:hint="eastAsia" w:asciiTheme="minorEastAsia" w:hAnsiTheme="minorEastAsia" w:eastAsiaTheme="minorEastAsia" w:cstheme="minorEastAsia"/>
                <w:color w:val="auto"/>
                <w:spacing w:val="-7"/>
                <w:sz w:val="21"/>
                <w:szCs w:val="21"/>
                <w:highlight w:val="none"/>
                <w:u w:val="single" w:color="auto"/>
              </w:rPr>
              <w:t xml:space="preserve">     </w:t>
            </w:r>
            <w:r>
              <w:rPr>
                <w:rFonts w:hint="eastAsia" w:asciiTheme="minorEastAsia" w:hAnsiTheme="minorEastAsia" w:eastAsiaTheme="minorEastAsia" w:cstheme="minorEastAsia"/>
                <w:color w:val="auto"/>
                <w:spacing w:val="-7"/>
                <w:sz w:val="21"/>
                <w:szCs w:val="21"/>
                <w:highlight w:val="none"/>
                <w:u w:val="single" w:color="auto"/>
                <w:lang w:val="en-US" w:eastAsia="zh-CN"/>
              </w:rPr>
              <w:t>/</w:t>
            </w:r>
            <w:r>
              <w:rPr>
                <w:rFonts w:hint="eastAsia" w:asciiTheme="minorEastAsia" w:hAnsiTheme="minorEastAsia" w:eastAsiaTheme="minorEastAsia" w:cstheme="minorEastAsia"/>
                <w:color w:val="auto"/>
                <w:spacing w:val="-7"/>
                <w:sz w:val="21"/>
                <w:szCs w:val="21"/>
                <w:highlight w:val="none"/>
                <w:u w:val="single" w:color="auto"/>
              </w:rPr>
              <w:t xml:space="preserve">     </w:t>
            </w:r>
            <w:r>
              <w:rPr>
                <w:rFonts w:hint="eastAsia" w:asciiTheme="minorEastAsia" w:hAnsiTheme="minorEastAsia" w:eastAsiaTheme="minorEastAsia" w:cstheme="minorEastAsia"/>
                <w:color w:val="auto"/>
                <w:spacing w:val="-76"/>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w:t>
            </w:r>
          </w:p>
        </w:tc>
      </w:tr>
      <w:tr w14:paraId="67220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741B2728">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6.1.1</w:t>
            </w:r>
          </w:p>
        </w:tc>
        <w:tc>
          <w:tcPr>
            <w:tcW w:w="1121" w:type="pct"/>
            <w:vAlign w:val="center"/>
          </w:tcPr>
          <w:p w14:paraId="209944D1">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评标委员会的组建</w:t>
            </w:r>
          </w:p>
        </w:tc>
        <w:tc>
          <w:tcPr>
            <w:tcW w:w="3335" w:type="pct"/>
            <w:gridSpan w:val="2"/>
            <w:vAlign w:val="center"/>
          </w:tcPr>
          <w:p w14:paraId="75523CB8">
            <w:pPr>
              <w:pStyle w:val="27"/>
              <w:spacing w:before="169" w:line="220" w:lineRule="auto"/>
              <w:ind w:left="112"/>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评标委员会构成：由招标人依法组建</w:t>
            </w:r>
          </w:p>
          <w:p w14:paraId="3A8CC237">
            <w:pPr>
              <w:pStyle w:val="27"/>
              <w:spacing w:before="188" w:line="312" w:lineRule="auto"/>
              <w:ind w:left="115" w:leftChars="0" w:right="103" w:rightChars="0" w:hanging="3"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3"/>
                <w:sz w:val="21"/>
                <w:szCs w:val="21"/>
                <w:highlight w:val="none"/>
              </w:rPr>
              <w:t>评标专家确定方式：从安徽省综合评标评审专家库中随机抽</w:t>
            </w:r>
            <w:r>
              <w:rPr>
                <w:rFonts w:hint="eastAsia" w:asciiTheme="minorEastAsia" w:hAnsiTheme="minorEastAsia" w:eastAsiaTheme="minorEastAsia" w:cstheme="minorEastAsia"/>
                <w:color w:val="auto"/>
                <w:spacing w:val="-10"/>
                <w:sz w:val="21"/>
                <w:szCs w:val="21"/>
                <w:highlight w:val="none"/>
              </w:rPr>
              <w:t>取。</w:t>
            </w:r>
          </w:p>
        </w:tc>
      </w:tr>
      <w:tr w14:paraId="49DA6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8D908EF">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6.3.2</w:t>
            </w:r>
          </w:p>
        </w:tc>
        <w:tc>
          <w:tcPr>
            <w:tcW w:w="1121" w:type="pct"/>
            <w:vAlign w:val="center"/>
          </w:tcPr>
          <w:p w14:paraId="47293E3C">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评标委员会推荐中标候选人的人数</w:t>
            </w:r>
          </w:p>
        </w:tc>
        <w:tc>
          <w:tcPr>
            <w:tcW w:w="3335" w:type="pct"/>
            <w:gridSpan w:val="2"/>
            <w:vAlign w:val="center"/>
          </w:tcPr>
          <w:p w14:paraId="66A7B7E4">
            <w:pPr>
              <w:ind w:firstLine="210" w:firstLineChars="10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kern w:val="2"/>
                <w:sz w:val="21"/>
                <w:szCs w:val="21"/>
                <w:highlight w:val="none"/>
                <w:u w:val="single"/>
                <w:lang w:val="en-US" w:eastAsia="zh-CN" w:bidi="ar"/>
              </w:rPr>
              <w:t xml:space="preserve">1 </w:t>
            </w:r>
            <w:r>
              <w:rPr>
                <w:rFonts w:hint="eastAsia" w:asciiTheme="minorEastAsia" w:hAnsiTheme="minorEastAsia" w:eastAsiaTheme="minorEastAsia" w:cstheme="minorEastAsia"/>
                <w:color w:val="auto"/>
                <w:kern w:val="2"/>
                <w:sz w:val="21"/>
                <w:szCs w:val="21"/>
                <w:highlight w:val="none"/>
                <w:lang w:val="en-US" w:eastAsia="zh-CN" w:bidi="ar"/>
              </w:rPr>
              <w:t>家</w:t>
            </w:r>
          </w:p>
        </w:tc>
      </w:tr>
      <w:tr w14:paraId="7DDAC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6F61505">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7.1</w:t>
            </w:r>
          </w:p>
        </w:tc>
        <w:tc>
          <w:tcPr>
            <w:tcW w:w="1121" w:type="pct"/>
            <w:vAlign w:val="center"/>
          </w:tcPr>
          <w:p w14:paraId="2B1F045C">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中标候选人公示</w:t>
            </w:r>
          </w:p>
          <w:p w14:paraId="02B272B6">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媒介及期限</w:t>
            </w:r>
          </w:p>
        </w:tc>
        <w:tc>
          <w:tcPr>
            <w:tcW w:w="3335" w:type="pct"/>
            <w:gridSpan w:val="2"/>
            <w:vAlign w:val="center"/>
          </w:tcPr>
          <w:p w14:paraId="6F961C4E">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pacing w:val="-2"/>
                <w:sz w:val="21"/>
                <w:szCs w:val="21"/>
                <w:highlight w:val="none"/>
              </w:rPr>
              <w:t>（1）公</w:t>
            </w:r>
            <w:r>
              <w:rPr>
                <w:rFonts w:hint="eastAsia" w:asciiTheme="minorEastAsia" w:hAnsiTheme="minorEastAsia" w:eastAsiaTheme="minorEastAsia" w:cstheme="minorEastAsia"/>
                <w:snapToGrid w:val="0"/>
                <w:color w:val="auto"/>
                <w:kern w:val="2"/>
                <w:sz w:val="21"/>
                <w:szCs w:val="21"/>
                <w:highlight w:val="none"/>
                <w:lang w:val="en-US" w:eastAsia="zh-CN" w:bidi="ar"/>
              </w:rPr>
              <w:t>示媒介：</w:t>
            </w:r>
            <w:r>
              <w:rPr>
                <w:rFonts w:hint="eastAsia" w:asciiTheme="minorEastAsia" w:hAnsiTheme="minorEastAsia" w:eastAsiaTheme="minorEastAsia" w:cstheme="minorEastAsia"/>
                <w:bCs/>
                <w:snapToGrid w:val="0"/>
                <w:color w:val="auto"/>
                <w:kern w:val="2"/>
                <w:sz w:val="21"/>
                <w:szCs w:val="21"/>
                <w:highlight w:val="none"/>
                <w:lang w:val="en-US" w:eastAsia="zh-CN" w:bidi="ar"/>
              </w:rPr>
              <w:t>同招标公告发布媒介</w:t>
            </w:r>
          </w:p>
          <w:p w14:paraId="7A178C29">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（2）公示期限：</w:t>
            </w:r>
            <w:r>
              <w:rPr>
                <w:rFonts w:hint="eastAsia" w:asciiTheme="minorEastAsia" w:hAnsiTheme="minorEastAsia" w:eastAsiaTheme="minorEastAsia" w:cstheme="minorEastAsia"/>
                <w:b/>
                <w:bCs w:val="0"/>
                <w:snapToGrid w:val="0"/>
                <w:color w:val="auto"/>
                <w:kern w:val="2"/>
                <w:sz w:val="21"/>
                <w:szCs w:val="21"/>
                <w:highlight w:val="none"/>
                <w:u w:val="single"/>
                <w:lang w:val="en-US" w:eastAsia="zh-CN" w:bidi="ar"/>
              </w:rPr>
              <w:t>不少于3日</w:t>
            </w:r>
            <w:r>
              <w:rPr>
                <w:rFonts w:hint="eastAsia" w:asciiTheme="minorEastAsia" w:hAnsiTheme="minorEastAsia" w:eastAsiaTheme="minorEastAsia" w:cstheme="minorEastAsia"/>
                <w:bCs/>
                <w:snapToGrid w:val="0"/>
                <w:color w:val="auto"/>
                <w:kern w:val="2"/>
                <w:sz w:val="21"/>
                <w:szCs w:val="21"/>
                <w:highlight w:val="none"/>
                <w:lang w:val="en-US" w:eastAsia="zh-CN" w:bidi="ar"/>
              </w:rPr>
              <w:t>（说明：公示期截止时间在法定休息日的应顺延至首个工作日）。</w:t>
            </w:r>
          </w:p>
          <w:p w14:paraId="5E5C3A13">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（3）公示的其他内容：招标人（或委托代理机构）在发布中标候选人公示时应当同时公开以下评标情况：</w:t>
            </w:r>
          </w:p>
          <w:p w14:paraId="3F887999">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a.投标人名称、投标报价、投标文件被否决的原因及依据；</w:t>
            </w:r>
          </w:p>
          <w:p w14:paraId="202EB8D0">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b.评标委员会的评分情况。包括</w:t>
            </w:r>
            <w:r>
              <w:rPr>
                <w:rFonts w:hint="eastAsia" w:asciiTheme="minorEastAsia" w:hAnsiTheme="minorEastAsia" w:eastAsiaTheme="minorEastAsia" w:cstheme="minorEastAsia"/>
                <w:color w:val="auto"/>
                <w:spacing w:val="-4"/>
                <w:sz w:val="21"/>
                <w:szCs w:val="21"/>
                <w:highlight w:val="none"/>
              </w:rPr>
              <w:t>资信业绩</w:t>
            </w:r>
            <w:r>
              <w:rPr>
                <w:rFonts w:hint="eastAsia" w:asciiTheme="minorEastAsia" w:hAnsiTheme="minorEastAsia" w:eastAsiaTheme="minorEastAsia" w:cstheme="minorEastAsia"/>
                <w:bCs/>
                <w:snapToGrid w:val="0"/>
                <w:color w:val="auto"/>
                <w:kern w:val="2"/>
                <w:sz w:val="21"/>
                <w:szCs w:val="21"/>
                <w:highlight w:val="none"/>
                <w:lang w:val="en-US" w:eastAsia="zh-CN" w:bidi="ar"/>
              </w:rPr>
              <w:t>、</w:t>
            </w:r>
            <w:r>
              <w:rPr>
                <w:rFonts w:hint="eastAsia" w:asciiTheme="minorEastAsia" w:hAnsiTheme="minorEastAsia" w:eastAsiaTheme="minorEastAsia" w:cstheme="minorEastAsia"/>
                <w:color w:val="auto"/>
                <w:spacing w:val="-1"/>
                <w:sz w:val="21"/>
                <w:szCs w:val="21"/>
                <w:highlight w:val="none"/>
              </w:rPr>
              <w:t>施工组织设计</w:t>
            </w:r>
            <w:r>
              <w:rPr>
                <w:rFonts w:hint="eastAsia" w:asciiTheme="minorEastAsia" w:hAnsiTheme="minorEastAsia" w:eastAsiaTheme="minorEastAsia" w:cstheme="minorEastAsia"/>
                <w:bCs/>
                <w:snapToGrid w:val="0"/>
                <w:color w:val="auto"/>
                <w:kern w:val="2"/>
                <w:sz w:val="21"/>
                <w:szCs w:val="21"/>
                <w:highlight w:val="none"/>
                <w:lang w:val="en-US" w:eastAsia="zh-CN" w:bidi="ar"/>
              </w:rPr>
              <w:t>、报价文件评分，其中</w:t>
            </w:r>
            <w:r>
              <w:rPr>
                <w:rFonts w:hint="eastAsia" w:asciiTheme="minorEastAsia" w:hAnsiTheme="minorEastAsia" w:eastAsiaTheme="minorEastAsia" w:cstheme="minorEastAsia"/>
                <w:color w:val="auto"/>
                <w:spacing w:val="-1"/>
                <w:sz w:val="21"/>
                <w:szCs w:val="21"/>
                <w:highlight w:val="none"/>
              </w:rPr>
              <w:t>施工组织设计</w:t>
            </w:r>
            <w:r>
              <w:rPr>
                <w:rFonts w:hint="eastAsia" w:asciiTheme="minorEastAsia" w:hAnsiTheme="minorEastAsia" w:eastAsiaTheme="minorEastAsia" w:cstheme="minorEastAsia"/>
                <w:bCs/>
                <w:snapToGrid w:val="0"/>
                <w:color w:val="auto"/>
                <w:kern w:val="2"/>
                <w:sz w:val="21"/>
                <w:szCs w:val="21"/>
                <w:highlight w:val="none"/>
                <w:lang w:val="en-US" w:eastAsia="zh-CN" w:bidi="ar"/>
              </w:rPr>
              <w:t>还需公开</w:t>
            </w:r>
            <w:r>
              <w:rPr>
                <w:rFonts w:hint="eastAsia" w:asciiTheme="minorEastAsia" w:hAnsiTheme="minorEastAsia" w:eastAsiaTheme="minorEastAsia" w:cstheme="minorEastAsia"/>
                <w:snapToGrid w:val="0"/>
                <w:color w:val="auto"/>
                <w:kern w:val="2"/>
                <w:sz w:val="21"/>
                <w:szCs w:val="21"/>
                <w:highlight w:val="none"/>
                <w:lang w:val="en-US" w:eastAsia="zh-CN" w:bidi="ar"/>
              </w:rPr>
              <w:t>采用编码标注的各评标委员会成员评分；</w:t>
            </w:r>
          </w:p>
          <w:p w14:paraId="0A694934">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snapToGrid w:val="0"/>
                <w:color w:val="auto"/>
                <w:kern w:val="2"/>
                <w:sz w:val="21"/>
                <w:szCs w:val="21"/>
                <w:highlight w:val="none"/>
                <w:lang w:val="en-US" w:eastAsia="zh-CN" w:bidi="ar"/>
              </w:rPr>
              <w:t>c. 中标候选人经评审通过的投标人业绩项目名称（如要求，含资格审查用业绩和资信评分用业绩）、项目经理姓名及项目经理业绩项目名称（如要求，含资格审查用业绩和资信评分用业绩）;</w:t>
            </w:r>
          </w:p>
          <w:p w14:paraId="7662111C">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snapToGrid w:val="0"/>
                <w:color w:val="auto"/>
                <w:kern w:val="2"/>
                <w:sz w:val="21"/>
                <w:szCs w:val="21"/>
                <w:highlight w:val="none"/>
                <w:lang w:val="en-US" w:eastAsia="zh-CN" w:bidi="ar"/>
              </w:rPr>
              <w:t>d.其他依法应当公开的内容。</w:t>
            </w:r>
          </w:p>
          <w:p w14:paraId="6F1B915A">
            <w:pPr>
              <w:keepNext w:val="0"/>
              <w:keepLines w:val="0"/>
              <w:widowControl/>
              <w:suppressLineNumbers w:val="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snapToGrid w:val="0"/>
                <w:color w:val="auto"/>
                <w:kern w:val="2"/>
                <w:sz w:val="21"/>
                <w:szCs w:val="21"/>
                <w:highlight w:val="none"/>
                <w:lang w:val="en-US" w:eastAsia="zh-CN" w:bidi="ar"/>
              </w:rPr>
              <w:t>（如有最新规定，按照最新规定执行）。</w:t>
            </w:r>
          </w:p>
        </w:tc>
      </w:tr>
      <w:tr w14:paraId="66A46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E161377">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7.4</w:t>
            </w:r>
          </w:p>
        </w:tc>
        <w:tc>
          <w:tcPr>
            <w:tcW w:w="1121" w:type="pct"/>
            <w:vAlign w:val="center"/>
          </w:tcPr>
          <w:p w14:paraId="08B29EDC">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是否授权评标委员</w:t>
            </w:r>
          </w:p>
          <w:p w14:paraId="1143F23E">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会确定中标人</w:t>
            </w:r>
          </w:p>
        </w:tc>
        <w:tc>
          <w:tcPr>
            <w:tcW w:w="3335" w:type="pct"/>
            <w:gridSpan w:val="2"/>
            <w:vAlign w:val="center"/>
          </w:tcPr>
          <w:p w14:paraId="5FCF6C49">
            <w:pPr>
              <w:pStyle w:val="27"/>
              <w:spacing w:before="196" w:line="299" w:lineRule="auto"/>
              <w:ind w:left="316" w:leftChars="64" w:right="5232" w:rightChars="0" w:hanging="182" w:hangingChars="100"/>
              <w:jc w:val="both"/>
              <w:outlineLvl w:val="9"/>
              <w:rPr>
                <w:rFonts w:hint="eastAsia" w:asciiTheme="minorEastAsia" w:hAnsiTheme="minorEastAsia" w:eastAsiaTheme="minorEastAsia" w:cstheme="minorEastAsia"/>
                <w:color w:val="auto"/>
                <w:spacing w:val="-14"/>
                <w:sz w:val="21"/>
                <w:szCs w:val="21"/>
                <w:highlight w:val="none"/>
              </w:rPr>
            </w:pPr>
            <w:r>
              <w:rPr>
                <w:rFonts w:hint="eastAsia" w:asciiTheme="minorEastAsia" w:hAnsiTheme="minorEastAsia" w:eastAsiaTheme="minorEastAsia" w:cstheme="minorEastAsia"/>
                <w:color w:val="auto"/>
                <w:spacing w:val="-14"/>
                <w:sz w:val="21"/>
                <w:szCs w:val="21"/>
                <w:highlight w:val="none"/>
                <w:lang w:eastAsia="zh-CN"/>
              </w:rPr>
              <w:t>☑</w:t>
            </w:r>
            <w:r>
              <w:rPr>
                <w:rFonts w:hint="eastAsia" w:asciiTheme="minorEastAsia" w:hAnsiTheme="minorEastAsia" w:eastAsiaTheme="minorEastAsia" w:cstheme="minorEastAsia"/>
                <w:color w:val="auto"/>
                <w:spacing w:val="-14"/>
                <w:sz w:val="21"/>
                <w:szCs w:val="21"/>
                <w:highlight w:val="none"/>
              </w:rPr>
              <w:t>是</w:t>
            </w:r>
          </w:p>
          <w:p w14:paraId="49A6AEBB">
            <w:pPr>
              <w:pStyle w:val="27"/>
              <w:spacing w:before="196" w:line="299" w:lineRule="auto"/>
              <w:ind w:left="316" w:leftChars="64" w:right="5232" w:rightChars="0" w:hanging="182" w:hangingChars="10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14"/>
                <w:sz w:val="21"/>
                <w:szCs w:val="21"/>
                <w:highlight w:val="none"/>
              </w:rPr>
              <w:t>□否</w:t>
            </w:r>
          </w:p>
        </w:tc>
      </w:tr>
      <w:tr w14:paraId="0D08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71AA17E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7.5</w:t>
            </w:r>
          </w:p>
        </w:tc>
        <w:tc>
          <w:tcPr>
            <w:tcW w:w="1121" w:type="pct"/>
            <w:vAlign w:val="center"/>
          </w:tcPr>
          <w:p w14:paraId="20FE6EC2">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中标结果公示媒介</w:t>
            </w:r>
          </w:p>
        </w:tc>
        <w:tc>
          <w:tcPr>
            <w:tcW w:w="3335" w:type="pct"/>
            <w:gridSpan w:val="2"/>
            <w:vAlign w:val="center"/>
          </w:tcPr>
          <w:p w14:paraId="0129343A">
            <w:pPr>
              <w:pStyle w:val="27"/>
              <w:spacing w:before="279" w:line="219" w:lineRule="auto"/>
              <w:jc w:val="left"/>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同招标公告发布媒介</w:t>
            </w:r>
          </w:p>
        </w:tc>
      </w:tr>
      <w:tr w14:paraId="2BF8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19AF48D">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7.6</w:t>
            </w:r>
          </w:p>
        </w:tc>
        <w:tc>
          <w:tcPr>
            <w:tcW w:w="1121" w:type="pct"/>
            <w:vAlign w:val="center"/>
          </w:tcPr>
          <w:p w14:paraId="2691A124">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中标通知书和中标</w:t>
            </w:r>
          </w:p>
          <w:p w14:paraId="598598F8">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结果通知发出的</w:t>
            </w:r>
          </w:p>
          <w:p w14:paraId="1A7B1B6F">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形式</w:t>
            </w:r>
          </w:p>
        </w:tc>
        <w:tc>
          <w:tcPr>
            <w:tcW w:w="3335" w:type="pct"/>
            <w:gridSpan w:val="2"/>
            <w:vAlign w:val="center"/>
          </w:tcPr>
          <w:p w14:paraId="2A8DBDD2">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pacing w:val="-1"/>
                <w:sz w:val="21"/>
                <w:szCs w:val="21"/>
                <w:highlight w:val="none"/>
              </w:rPr>
              <w:t>（1）中标通知书发</w:t>
            </w:r>
            <w:r>
              <w:rPr>
                <w:rFonts w:hint="eastAsia" w:asciiTheme="minorEastAsia" w:hAnsiTheme="minorEastAsia" w:eastAsiaTheme="minorEastAsia" w:cstheme="minorEastAsia"/>
                <w:bCs/>
                <w:snapToGrid w:val="0"/>
                <w:color w:val="auto"/>
                <w:kern w:val="2"/>
                <w:sz w:val="21"/>
                <w:szCs w:val="21"/>
                <w:highlight w:val="none"/>
                <w:lang w:val="en-US" w:eastAsia="zh-CN" w:bidi="ar"/>
              </w:rPr>
              <w:t>出的形式：☑数据电文  □纸质</w:t>
            </w:r>
          </w:p>
          <w:p w14:paraId="5AB6EC96">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（2）中标结果通知发出的形式： ☑数据电文  □纸质</w:t>
            </w:r>
          </w:p>
          <w:p w14:paraId="5A98E32F">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14:paraId="78559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BCB7C5C">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7.7.1</w:t>
            </w:r>
          </w:p>
        </w:tc>
        <w:tc>
          <w:tcPr>
            <w:tcW w:w="1121" w:type="pct"/>
            <w:vAlign w:val="center"/>
          </w:tcPr>
          <w:p w14:paraId="6374AABD">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履约保证金</w:t>
            </w:r>
          </w:p>
        </w:tc>
        <w:tc>
          <w:tcPr>
            <w:tcW w:w="3335" w:type="pct"/>
            <w:gridSpan w:val="2"/>
            <w:vAlign w:val="center"/>
          </w:tcPr>
          <w:p w14:paraId="77D2BCFF">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是否要求投标人递交履约保证金：</w:t>
            </w:r>
          </w:p>
          <w:p w14:paraId="6B1145D2">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auto"/>
                <w:kern w:val="0"/>
                <w:sz w:val="21"/>
                <w:szCs w:val="21"/>
                <w:highlight w:val="none"/>
                <w:lang w:val="en-US" w:eastAsia="zh-CN" w:bidi="ar"/>
              </w:rPr>
              <w:t>不要求</w:t>
            </w:r>
          </w:p>
          <w:p w14:paraId="374632EA">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snapToGrid w:val="0"/>
                <w:color w:val="auto"/>
                <w:kern w:val="0"/>
                <w:sz w:val="21"/>
                <w:szCs w:val="21"/>
                <w:highlight w:val="none"/>
                <w:lang w:val="en-US" w:eastAsia="zh-CN" w:bidi="ar"/>
              </w:rPr>
              <w:t>☑</w:t>
            </w:r>
            <w:r>
              <w:rPr>
                <w:rFonts w:hint="eastAsia" w:asciiTheme="minorEastAsia" w:hAnsiTheme="minorEastAsia" w:eastAsiaTheme="minorEastAsia" w:cstheme="minorEastAsia"/>
                <w:bCs/>
                <w:snapToGrid w:val="0"/>
                <w:color w:val="auto"/>
                <w:kern w:val="0"/>
                <w:sz w:val="21"/>
                <w:szCs w:val="21"/>
                <w:highlight w:val="none"/>
                <w:lang w:val="en-US" w:eastAsia="zh-CN" w:bidi="ar"/>
              </w:rPr>
              <w:t>要求，具体如下：</w:t>
            </w:r>
          </w:p>
          <w:p w14:paraId="0E8F22AF">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（1）履约保证金金额：</w:t>
            </w:r>
            <w:r>
              <w:rPr>
                <w:rFonts w:hint="eastAsia" w:asciiTheme="minorEastAsia" w:hAnsiTheme="minorEastAsia" w:eastAsiaTheme="minorEastAsia" w:cstheme="minorEastAsia"/>
                <w:bCs/>
                <w:snapToGrid w:val="0"/>
                <w:color w:val="auto"/>
                <w:kern w:val="0"/>
                <w:sz w:val="21"/>
                <w:szCs w:val="21"/>
                <w:highlight w:val="none"/>
                <w:u w:val="single"/>
                <w:lang w:val="en-US" w:eastAsia="zh-CN" w:bidi="ar"/>
              </w:rPr>
              <w:t>中标金额的2%</w:t>
            </w:r>
          </w:p>
          <w:p w14:paraId="47FBE279">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snapToGrid w:val="0"/>
                <w:color w:val="auto"/>
                <w:kern w:val="0"/>
                <w:sz w:val="21"/>
                <w:szCs w:val="21"/>
                <w:highlight w:val="none"/>
                <w:lang w:val="en-US" w:eastAsia="zh-CN" w:bidi="ar"/>
              </w:rPr>
              <w:t>（2）</w:t>
            </w:r>
            <w:r>
              <w:rPr>
                <w:rFonts w:hint="eastAsia" w:asciiTheme="minorEastAsia" w:hAnsiTheme="minorEastAsia" w:eastAsiaTheme="minorEastAsia" w:cstheme="minorEastAsia"/>
                <w:bCs/>
                <w:snapToGrid w:val="0"/>
                <w:color w:val="auto"/>
                <w:kern w:val="0"/>
                <w:sz w:val="21"/>
                <w:szCs w:val="21"/>
                <w:highlight w:val="none"/>
                <w:lang w:val="en-US" w:eastAsia="zh-CN" w:bidi="ar"/>
              </w:rPr>
              <w:t>履约保证金形式：</w:t>
            </w:r>
          </w:p>
          <w:p w14:paraId="5107B76D">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0"/>
                <w:sz w:val="21"/>
                <w:szCs w:val="21"/>
                <w:highlight w:val="none"/>
                <w:lang w:val="en-US" w:eastAsia="zh-CN" w:bidi="ar"/>
              </w:rPr>
              <w:t>电子保函</w:t>
            </w:r>
          </w:p>
          <w:p w14:paraId="2609290D">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0"/>
                <w:sz w:val="21"/>
                <w:szCs w:val="21"/>
                <w:highlight w:val="none"/>
                <w:lang w:val="en-US" w:eastAsia="zh-CN" w:bidi="ar"/>
              </w:rPr>
              <w:t>现金（银行转账、银行电汇）</w:t>
            </w:r>
          </w:p>
          <w:p w14:paraId="4E0BEE39">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auto"/>
                <w:kern w:val="0"/>
                <w:sz w:val="21"/>
                <w:szCs w:val="21"/>
                <w:highlight w:val="none"/>
                <w:lang w:val="en-US" w:eastAsia="zh-CN" w:bidi="ar"/>
              </w:rPr>
              <w:t>纸质保函（纸质银行保函、纸质担保机构担保、纸质保证保险）</w:t>
            </w:r>
          </w:p>
          <w:p w14:paraId="0D184868">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（3）具体要求：</w:t>
            </w:r>
          </w:p>
          <w:p w14:paraId="78EE6233">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①采用纸质银行保函的，应为不可撤销、不可转让的见索即付独立保函。</w:t>
            </w:r>
          </w:p>
          <w:p w14:paraId="49B594AC">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②采用纸质担保机构担保的，应为经安徽省地方金融监督管理局审查批准，依法取得融资担保业务经营许可证的融资担保机构出具的不可撤销、不可转让的见索即付独立保函。</w:t>
            </w:r>
          </w:p>
          <w:p w14:paraId="0298A41D">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③采用纸质保证保险的，应为保险公司出具的不可撤销、不可转让的见索即付保证保险。</w:t>
            </w:r>
          </w:p>
          <w:p w14:paraId="1022EF24">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④采用电子保函的，请登录全国公共资源交易平台（安徽省•合肥市）（安徽合肥公共资源交易中心网站）“电子保函”栏目查看《合肥市（信易贷）电子保函平台履约保函操作手册》并按照操作手册规定内容办理。</w:t>
            </w:r>
          </w:p>
          <w:p w14:paraId="28D4AD59">
            <w:pPr>
              <w:keepNext w:val="0"/>
              <w:keepLines w:val="0"/>
              <w:widowControl w:val="0"/>
              <w:suppressLineNumbers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（4）本招标项目是否减免履约保证金：</w:t>
            </w:r>
          </w:p>
          <w:p w14:paraId="777CF4C2">
            <w:pPr>
              <w:keepNext w:val="0"/>
              <w:keepLines w:val="0"/>
              <w:widowControl w:val="0"/>
              <w:suppressLineNumbers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kern w:val="0"/>
                <w:sz w:val="21"/>
                <w:szCs w:val="21"/>
                <w:highlight w:val="none"/>
                <w:lang w:val="en-US"/>
              </w:rPr>
            </w:pPr>
            <w:r>
              <w:rPr>
                <w:rFonts w:hint="eastAsia" w:asciiTheme="minorEastAsia" w:hAnsiTheme="minorEastAsia" w:eastAsiaTheme="minorEastAsia" w:cstheme="minorEastAsia"/>
                <w:snapToGrid w:val="0"/>
                <w:color w:val="auto"/>
                <w:kern w:val="0"/>
                <w:sz w:val="21"/>
                <w:szCs w:val="21"/>
                <w:highlight w:val="none"/>
                <w:lang w:val="en-US" w:eastAsia="zh-CN" w:bidi="ar"/>
              </w:rPr>
              <w:t>☑</w:t>
            </w:r>
            <w:r>
              <w:rPr>
                <w:rFonts w:hint="eastAsia" w:asciiTheme="minorEastAsia" w:hAnsiTheme="minorEastAsia" w:eastAsiaTheme="minorEastAsia" w:cstheme="minorEastAsia"/>
                <w:bCs/>
                <w:snapToGrid w:val="0"/>
                <w:color w:val="auto"/>
                <w:kern w:val="0"/>
                <w:sz w:val="21"/>
                <w:szCs w:val="21"/>
                <w:highlight w:val="none"/>
                <w:lang w:val="en-US" w:eastAsia="zh-CN" w:bidi="ar"/>
              </w:rPr>
              <w:t>不减免</w:t>
            </w:r>
          </w:p>
          <w:p w14:paraId="21ACB82B">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outlineLvl w:val="9"/>
              <w:rPr>
                <w:rFonts w:hint="eastAsia" w:asciiTheme="minorEastAsia" w:hAnsiTheme="minorEastAsia" w:eastAsiaTheme="minorEastAsia" w:cstheme="minorEastAsia"/>
                <w:bCs/>
                <w:snapToGrid w:val="0"/>
                <w:color w:val="auto"/>
                <w:kern w:val="0"/>
                <w:sz w:val="21"/>
                <w:szCs w:val="21"/>
                <w:highlight w:val="none"/>
                <w:u w:val="singl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auto"/>
                <w:kern w:val="0"/>
                <w:sz w:val="21"/>
                <w:szCs w:val="21"/>
                <w:highlight w:val="none"/>
                <w:lang w:val="en-US" w:eastAsia="zh-CN" w:bidi="ar"/>
              </w:rPr>
              <w:t>减免，适用减免履约保证金的情形：</w:t>
            </w:r>
            <w:r>
              <w:rPr>
                <w:rFonts w:hint="eastAsia" w:asciiTheme="minorEastAsia" w:hAnsiTheme="minorEastAsia" w:eastAsiaTheme="minorEastAsia" w:cstheme="minorEastAsia"/>
                <w:bCs/>
                <w:snapToGrid w:val="0"/>
                <w:color w:val="auto"/>
                <w:kern w:val="0"/>
                <w:sz w:val="21"/>
                <w:szCs w:val="21"/>
                <w:highlight w:val="none"/>
                <w:u w:val="single"/>
                <w:lang w:val="en-US" w:eastAsia="zh-CN" w:bidi="ar"/>
              </w:rPr>
              <w:t xml:space="preserve">    /   </w:t>
            </w:r>
          </w:p>
          <w:p w14:paraId="77303F94">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outlineLvl w:val="9"/>
              <w:rPr>
                <w:rFonts w:hint="eastAsia" w:asciiTheme="minorEastAsia" w:hAnsiTheme="minorEastAsia" w:eastAsiaTheme="minorEastAsia" w:cstheme="minorEastAsia"/>
                <w:bCs/>
                <w:snapToGrid w:val="0"/>
                <w:color w:val="auto"/>
                <w:kern w:val="0"/>
                <w:sz w:val="21"/>
                <w:szCs w:val="21"/>
                <w:highlight w:val="none"/>
                <w:lang w:val="en-US" w:eastAsia="en-US" w:bidi="ar"/>
              </w:rPr>
            </w:pPr>
            <w:r>
              <w:rPr>
                <w:rFonts w:hint="eastAsia" w:asciiTheme="minorEastAsia" w:hAnsiTheme="minorEastAsia" w:eastAsiaTheme="minorEastAsia" w:cstheme="minorEastAsia"/>
                <w:bCs/>
                <w:snapToGrid w:val="0"/>
                <w:color w:val="auto"/>
                <w:kern w:val="0"/>
                <w:sz w:val="21"/>
                <w:szCs w:val="21"/>
                <w:highlight w:val="none"/>
                <w:lang w:val="en-US" w:eastAsia="en-US" w:bidi="ar"/>
              </w:rPr>
              <w:t>（5）履约保证金退还时限：</w:t>
            </w:r>
            <w:r>
              <w:rPr>
                <w:rFonts w:hint="eastAsia" w:asciiTheme="minorEastAsia" w:hAnsiTheme="minorEastAsia" w:eastAsiaTheme="minorEastAsia" w:cstheme="minorEastAsia"/>
                <w:bCs/>
                <w:snapToGrid w:val="0"/>
                <w:color w:val="auto"/>
                <w:kern w:val="0"/>
                <w:sz w:val="21"/>
                <w:szCs w:val="21"/>
                <w:highlight w:val="none"/>
                <w:u w:val="single"/>
                <w:lang w:val="en-US" w:eastAsia="en-US" w:bidi="ar"/>
              </w:rPr>
              <w:t>【履约保证金有效期满7日内（最迟不得超过项目竣工验收通过后28天）】</w:t>
            </w:r>
          </w:p>
          <w:p w14:paraId="7DE15C70">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outlineLvl w:val="9"/>
              <w:rPr>
                <w:rFonts w:hint="eastAsia" w:asciiTheme="minorEastAsia" w:hAnsiTheme="minorEastAsia" w:eastAsiaTheme="minorEastAsia" w:cstheme="minorEastAsia"/>
                <w:bCs/>
                <w:snapToGrid w:val="0"/>
                <w:color w:val="auto"/>
                <w:kern w:val="0"/>
                <w:sz w:val="21"/>
                <w:szCs w:val="21"/>
                <w:highlight w:val="none"/>
                <w:lang w:val="en-US" w:eastAsia="en-US" w:bidi="ar"/>
              </w:rPr>
            </w:pPr>
            <w:r>
              <w:rPr>
                <w:rFonts w:hint="eastAsia" w:asciiTheme="minorEastAsia" w:hAnsiTheme="minorEastAsia" w:eastAsiaTheme="minorEastAsia" w:cstheme="minorEastAsia"/>
                <w:bCs/>
                <w:snapToGrid w:val="0"/>
                <w:color w:val="auto"/>
                <w:kern w:val="0"/>
                <w:sz w:val="21"/>
                <w:szCs w:val="21"/>
                <w:highlight w:val="none"/>
                <w:lang w:val="en-US" w:eastAsia="en-US" w:bidi="ar"/>
              </w:rPr>
              <w:t>（6）其他要求：</w:t>
            </w:r>
            <w:r>
              <w:rPr>
                <w:rFonts w:hint="eastAsia" w:asciiTheme="minorEastAsia" w:hAnsiTheme="minorEastAsia" w:eastAsiaTheme="minorEastAsia" w:cstheme="minorEastAsia"/>
                <w:bCs/>
                <w:snapToGrid w:val="0"/>
                <w:color w:val="auto"/>
                <w:kern w:val="0"/>
                <w:sz w:val="21"/>
                <w:szCs w:val="21"/>
                <w:highlight w:val="none"/>
                <w:u w:val="single"/>
                <w:lang w:val="en-US" w:eastAsia="en-US" w:bidi="ar"/>
              </w:rPr>
              <w:t>中标人采用现金（银行转账、银行电汇</w:t>
            </w:r>
            <w:r>
              <w:rPr>
                <w:rFonts w:hint="eastAsia" w:asciiTheme="minorEastAsia" w:hAnsiTheme="minorEastAsia" w:eastAsiaTheme="minorEastAsia" w:cstheme="minorEastAsia"/>
                <w:bCs/>
                <w:snapToGrid w:val="0"/>
                <w:color w:val="auto"/>
                <w:kern w:val="0"/>
                <w:sz w:val="21"/>
                <w:szCs w:val="21"/>
                <w:highlight w:val="none"/>
                <w:u w:val="single"/>
                <w:lang w:val="en-US" w:eastAsia="zh-CN" w:bidi="ar"/>
              </w:rPr>
              <w:t>)</w:t>
            </w:r>
            <w:r>
              <w:rPr>
                <w:rFonts w:hint="eastAsia" w:asciiTheme="minorEastAsia" w:hAnsiTheme="minorEastAsia" w:eastAsiaTheme="minorEastAsia" w:cstheme="minorEastAsia"/>
                <w:bCs/>
                <w:snapToGrid w:val="0"/>
                <w:color w:val="auto"/>
                <w:kern w:val="0"/>
                <w:sz w:val="21"/>
                <w:szCs w:val="21"/>
                <w:highlight w:val="none"/>
                <w:u w:val="single"/>
                <w:lang w:val="en-US" w:eastAsia="en-US" w:bidi="ar"/>
              </w:rPr>
              <w:t xml:space="preserve"> 形式提交履约保证金的，应当同时退还银行同期活期存款利息。</w:t>
            </w:r>
          </w:p>
        </w:tc>
      </w:tr>
      <w:tr w14:paraId="3667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451952B">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9.5.1</w:t>
            </w:r>
          </w:p>
        </w:tc>
        <w:tc>
          <w:tcPr>
            <w:tcW w:w="1121" w:type="pct"/>
            <w:vAlign w:val="center"/>
          </w:tcPr>
          <w:p w14:paraId="4B4B422C">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受理投诉的招标投</w:t>
            </w:r>
          </w:p>
          <w:p w14:paraId="6D021B3A">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标行政监督部门</w:t>
            </w:r>
          </w:p>
        </w:tc>
        <w:tc>
          <w:tcPr>
            <w:tcW w:w="3335" w:type="pct"/>
            <w:gridSpan w:val="2"/>
            <w:vAlign w:val="center"/>
          </w:tcPr>
          <w:p w14:paraId="3C95B2EF">
            <w:pPr>
              <w:pStyle w:val="27"/>
              <w:spacing w:before="176" w:line="219" w:lineRule="auto"/>
              <w:ind w:left="119"/>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（1）招标投标行政监督部门：见招标公告第</w:t>
            </w:r>
            <w:r>
              <w:rPr>
                <w:rFonts w:hint="eastAsia" w:asciiTheme="minorEastAsia" w:hAnsiTheme="minorEastAsia" w:eastAsiaTheme="minorEastAsia" w:cstheme="minorEastAsia"/>
                <w:color w:val="auto"/>
                <w:spacing w:val="-16"/>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10.5</w:t>
            </w:r>
            <w:r>
              <w:rPr>
                <w:rFonts w:hint="eastAsia" w:asciiTheme="minorEastAsia" w:hAnsiTheme="minorEastAsia" w:eastAsiaTheme="minorEastAsia" w:cstheme="minorEastAsia"/>
                <w:color w:val="auto"/>
                <w:spacing w:val="-45"/>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款</w:t>
            </w:r>
          </w:p>
          <w:p w14:paraId="31CEB5A5">
            <w:pPr>
              <w:pStyle w:val="27"/>
              <w:spacing w:before="190" w:line="219" w:lineRule="auto"/>
              <w:ind w:left="119" w:leftChars="0"/>
              <w:jc w:val="both"/>
              <w:outlineLvl w:val="9"/>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（2）地址：见招标公告第</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10.5</w:t>
            </w:r>
            <w:r>
              <w:rPr>
                <w:rFonts w:hint="eastAsia" w:asciiTheme="minorEastAsia" w:hAnsiTheme="minorEastAsia" w:eastAsiaTheme="minorEastAsia" w:cstheme="minorEastAsia"/>
                <w:color w:val="auto"/>
                <w:spacing w:val="-43"/>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款</w:t>
            </w:r>
          </w:p>
          <w:p w14:paraId="175FF792">
            <w:pPr>
              <w:pStyle w:val="27"/>
              <w:spacing w:before="190" w:line="219" w:lineRule="auto"/>
              <w:ind w:left="119" w:leftChars="0"/>
              <w:jc w:val="both"/>
              <w:outlineLvl w:val="9"/>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（3）电话：见招标公告第</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10.5</w:t>
            </w:r>
            <w:r>
              <w:rPr>
                <w:rFonts w:hint="eastAsia" w:asciiTheme="minorEastAsia" w:hAnsiTheme="minorEastAsia" w:eastAsiaTheme="minorEastAsia" w:cstheme="minorEastAsia"/>
                <w:color w:val="auto"/>
                <w:spacing w:val="-43"/>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款</w:t>
            </w:r>
          </w:p>
          <w:p w14:paraId="45A0343D">
            <w:pPr>
              <w:pStyle w:val="27"/>
              <w:spacing w:before="190" w:line="219" w:lineRule="auto"/>
              <w:ind w:left="119" w:leftChars="0"/>
              <w:jc w:val="both"/>
              <w:outlineLvl w:val="9"/>
              <w:rPr>
                <w:rFonts w:hint="eastAsia"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lang w:val="en-US" w:eastAsia="zh-CN"/>
              </w:rPr>
              <w:t>4）</w:t>
            </w:r>
            <w:r>
              <w:rPr>
                <w:rFonts w:hint="eastAsia" w:asciiTheme="minorEastAsia" w:hAnsiTheme="minorEastAsia" w:eastAsiaTheme="minorEastAsia" w:cstheme="minorEastAsia"/>
                <w:color w:val="auto"/>
                <w:kern w:val="2"/>
                <w:sz w:val="21"/>
                <w:szCs w:val="21"/>
                <w:highlight w:val="none"/>
                <w:lang w:val="en-US" w:eastAsia="zh-CN" w:bidi="ar"/>
              </w:rPr>
              <w:t>投诉提出方式：通过网上投诉系统或以其他书面形式提出。</w:t>
            </w:r>
          </w:p>
        </w:tc>
      </w:tr>
      <w:tr w14:paraId="6FD49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4A53129">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w:t>
            </w:r>
          </w:p>
        </w:tc>
        <w:tc>
          <w:tcPr>
            <w:tcW w:w="1121" w:type="pct"/>
            <w:vAlign w:val="center"/>
          </w:tcPr>
          <w:p w14:paraId="4DF825BF">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需要补充的其他</w:t>
            </w:r>
          </w:p>
          <w:p w14:paraId="3DB85895">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内容</w:t>
            </w:r>
          </w:p>
        </w:tc>
        <w:tc>
          <w:tcPr>
            <w:tcW w:w="3335" w:type="pct"/>
            <w:gridSpan w:val="2"/>
            <w:vAlign w:val="center"/>
          </w:tcPr>
          <w:p w14:paraId="6C06370A">
            <w:pPr>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p>
        </w:tc>
      </w:tr>
      <w:tr w14:paraId="56AA4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87E7439">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10.1</w:t>
            </w:r>
          </w:p>
        </w:tc>
        <w:tc>
          <w:tcPr>
            <w:tcW w:w="1121" w:type="pct"/>
            <w:vAlign w:val="center"/>
          </w:tcPr>
          <w:p w14:paraId="387DEEDB">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原则规定与定义</w:t>
            </w:r>
          </w:p>
        </w:tc>
        <w:tc>
          <w:tcPr>
            <w:tcW w:w="3335" w:type="pct"/>
            <w:gridSpan w:val="2"/>
            <w:vAlign w:val="center"/>
          </w:tcPr>
          <w:p w14:paraId="29BE82B9">
            <w:pPr>
              <w:pStyle w:val="27"/>
              <w:spacing w:before="106" w:line="293" w:lineRule="auto"/>
              <w:ind w:left="115" w:right="103" w:firstLine="4"/>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（1）投标人须知前附表是对投标人须知正文部分对应条款</w:t>
            </w:r>
            <w:r>
              <w:rPr>
                <w:rFonts w:hint="eastAsia" w:asciiTheme="minorEastAsia" w:hAnsiTheme="minorEastAsia" w:eastAsiaTheme="minorEastAsia" w:cstheme="minorEastAsia"/>
                <w:color w:val="auto"/>
                <w:spacing w:val="3"/>
                <w:sz w:val="21"/>
                <w:szCs w:val="21"/>
                <w:highlight w:val="none"/>
              </w:rPr>
              <w:t>的补充、细化，投标人阅读时应与正文部分一并阅读，投标人须知前附表与正文部分不一致的，应以投标人须知前附表</w:t>
            </w:r>
            <w:r>
              <w:rPr>
                <w:rFonts w:hint="eastAsia" w:asciiTheme="minorEastAsia" w:hAnsiTheme="minorEastAsia" w:eastAsiaTheme="minorEastAsia" w:cstheme="minorEastAsia"/>
                <w:color w:val="auto"/>
                <w:spacing w:val="-9"/>
                <w:sz w:val="21"/>
                <w:szCs w:val="21"/>
                <w:highlight w:val="none"/>
              </w:rPr>
              <w:t>为准。</w:t>
            </w:r>
          </w:p>
          <w:p w14:paraId="6D9D441D">
            <w:pPr>
              <w:pStyle w:val="27"/>
              <w:spacing w:before="105" w:line="292" w:lineRule="auto"/>
              <w:ind w:left="113" w:leftChars="0" w:right="103" w:rightChars="0" w:firstLine="6"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1"/>
                <w:sz w:val="21"/>
                <w:szCs w:val="21"/>
                <w:highlight w:val="none"/>
              </w:rPr>
              <w:t>（2）“☑”符号表示招标文件选定的内容</w:t>
            </w:r>
            <w:r>
              <w:rPr>
                <w:rFonts w:hint="eastAsia" w:asciiTheme="minorEastAsia" w:hAnsiTheme="minorEastAsia" w:eastAsiaTheme="minorEastAsia" w:cstheme="minorEastAsia"/>
                <w:color w:val="auto"/>
                <w:spacing w:val="-2"/>
                <w:sz w:val="21"/>
                <w:szCs w:val="21"/>
                <w:highlight w:val="none"/>
              </w:rPr>
              <w:t>；“□”符号表示</w:t>
            </w:r>
            <w:r>
              <w:rPr>
                <w:rFonts w:hint="eastAsia" w:asciiTheme="minorEastAsia" w:hAnsiTheme="minorEastAsia" w:eastAsiaTheme="minorEastAsia" w:cstheme="minorEastAsia"/>
                <w:color w:val="auto"/>
                <w:spacing w:val="-1"/>
                <w:sz w:val="21"/>
                <w:szCs w:val="21"/>
                <w:highlight w:val="none"/>
              </w:rPr>
              <w:t>招标文件未选定的内容；空格中的“/”表示没有具体内容。</w:t>
            </w:r>
            <w:r>
              <w:rPr>
                <w:rFonts w:hint="eastAsia" w:asciiTheme="minorEastAsia" w:hAnsiTheme="minorEastAsia" w:eastAsiaTheme="minorEastAsia" w:cstheme="minorEastAsia"/>
                <w:color w:val="auto"/>
                <w:spacing w:val="3"/>
                <w:sz w:val="21"/>
                <w:szCs w:val="21"/>
                <w:highlight w:val="none"/>
              </w:rPr>
              <w:t>投标人应当按招标文件“☑”符号选定的内容和要求进行响</w:t>
            </w:r>
            <w:r>
              <w:rPr>
                <w:rFonts w:hint="eastAsia" w:asciiTheme="minorEastAsia" w:hAnsiTheme="minorEastAsia" w:eastAsiaTheme="minorEastAsia" w:cstheme="minorEastAsia"/>
                <w:color w:val="auto"/>
                <w:spacing w:val="-10"/>
                <w:sz w:val="21"/>
                <w:szCs w:val="21"/>
                <w:highlight w:val="none"/>
              </w:rPr>
              <w:t>应。</w:t>
            </w:r>
          </w:p>
        </w:tc>
      </w:tr>
      <w:tr w14:paraId="0A2A5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77B9EDF">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10.2</w:t>
            </w:r>
          </w:p>
        </w:tc>
        <w:tc>
          <w:tcPr>
            <w:tcW w:w="1121" w:type="pct"/>
            <w:vAlign w:val="center"/>
          </w:tcPr>
          <w:p w14:paraId="7AB678B4">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获取与查看通知</w:t>
            </w:r>
          </w:p>
        </w:tc>
        <w:tc>
          <w:tcPr>
            <w:tcW w:w="3335" w:type="pct"/>
            <w:gridSpan w:val="2"/>
            <w:vAlign w:val="center"/>
          </w:tcPr>
          <w:p w14:paraId="0D385689">
            <w:pPr>
              <w:pStyle w:val="27"/>
              <w:spacing w:before="108" w:line="283" w:lineRule="auto"/>
              <w:ind w:right="103" w:righ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本招标项目的招标文件、澄清及修改等相关资料均通过电子服务系统发布，投标人应当及时登录电子服务系统自行查看并下载。</w:t>
            </w:r>
          </w:p>
        </w:tc>
      </w:tr>
      <w:tr w14:paraId="28642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294C9CF0">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10.3</w:t>
            </w:r>
          </w:p>
        </w:tc>
        <w:tc>
          <w:tcPr>
            <w:tcW w:w="1121" w:type="pct"/>
            <w:vAlign w:val="center"/>
          </w:tcPr>
          <w:p w14:paraId="6210A5BB">
            <w:pPr>
              <w:keepNext w:val="0"/>
              <w:keepLines w:val="0"/>
              <w:widowControl/>
              <w:suppressLineNumbers w:val="0"/>
              <w:snapToGrid w:val="0"/>
              <w:spacing w:before="0" w:beforeAutospacing="0" w:after="0" w:afterAutospacing="0" w:line="360" w:lineRule="auto"/>
              <w:ind w:left="0" w:right="0"/>
              <w:jc w:val="center"/>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电子招标投标</w:t>
            </w:r>
          </w:p>
        </w:tc>
        <w:tc>
          <w:tcPr>
            <w:tcW w:w="3335" w:type="pct"/>
            <w:gridSpan w:val="2"/>
            <w:vAlign w:val="center"/>
          </w:tcPr>
          <w:p w14:paraId="4BC2D20F">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en-US"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本招标项目实行全流程电子化交易，除招标文件另有规定外， 电子招标投标操作要求见本章附件一。</w:t>
            </w:r>
          </w:p>
        </w:tc>
      </w:tr>
      <w:tr w14:paraId="4FFF0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1A92548">
            <w:pPr>
              <w:pStyle w:val="27"/>
              <w:spacing w:before="68" w:line="183" w:lineRule="auto"/>
              <w:jc w:val="center"/>
              <w:outlineLvl w:val="9"/>
              <w:rPr>
                <w:rFonts w:hint="eastAsia" w:asciiTheme="minorEastAsia" w:hAnsiTheme="minorEastAsia" w:eastAsiaTheme="minorEastAsia" w:cstheme="minorEastAsia"/>
                <w:color w:val="auto"/>
                <w:spacing w:val="-5"/>
                <w:sz w:val="21"/>
                <w:szCs w:val="21"/>
                <w:highlight w:val="none"/>
              </w:rPr>
            </w:pPr>
            <w:r>
              <w:rPr>
                <w:rFonts w:hint="eastAsia" w:asciiTheme="minorEastAsia" w:hAnsiTheme="minorEastAsia" w:eastAsiaTheme="minorEastAsia" w:cstheme="minorEastAsia"/>
                <w:color w:val="auto"/>
                <w:spacing w:val="-5"/>
                <w:sz w:val="21"/>
                <w:szCs w:val="21"/>
                <w:highlight w:val="none"/>
              </w:rPr>
              <w:t>10.4</w:t>
            </w:r>
          </w:p>
        </w:tc>
        <w:tc>
          <w:tcPr>
            <w:tcW w:w="1121" w:type="pct"/>
            <w:vAlign w:val="center"/>
          </w:tcPr>
          <w:p w14:paraId="531B9C9F">
            <w:pPr>
              <w:jc w:val="center"/>
              <w:outlineLvl w:val="9"/>
              <w:rPr>
                <w:rFonts w:hint="eastAsia" w:asciiTheme="minorEastAsia" w:hAnsiTheme="minorEastAsia" w:eastAsiaTheme="minorEastAsia" w:cstheme="minorEastAsia"/>
                <w:color w:val="auto"/>
                <w:sz w:val="21"/>
                <w:szCs w:val="21"/>
                <w:highlight w:val="none"/>
                <w:lang w:val="en-US" w:eastAsia="zh-CN"/>
              </w:rPr>
            </w:pPr>
          </w:p>
          <w:p w14:paraId="6DB52422">
            <w:pPr>
              <w:jc w:val="center"/>
              <w:outlineLvl w:val="9"/>
              <w:rPr>
                <w:rFonts w:hint="eastAsia" w:asciiTheme="minorEastAsia" w:hAnsiTheme="minorEastAsia" w:eastAsiaTheme="minorEastAsia" w:cstheme="minorEastAsia"/>
                <w:color w:val="auto"/>
                <w:sz w:val="21"/>
                <w:szCs w:val="21"/>
                <w:highlight w:val="none"/>
                <w:lang w:val="en-US" w:eastAsia="zh-CN"/>
              </w:rPr>
            </w:pPr>
          </w:p>
          <w:p w14:paraId="4FC4F45D">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制作投标文件注意事项</w:t>
            </w:r>
          </w:p>
        </w:tc>
        <w:tc>
          <w:tcPr>
            <w:tcW w:w="3335" w:type="pct"/>
            <w:gridSpan w:val="2"/>
            <w:vAlign w:val="center"/>
          </w:tcPr>
          <w:p w14:paraId="18FDD288">
            <w:pPr>
              <w:keepNext w:val="0"/>
              <w:keepLines w:val="0"/>
              <w:widowControl w:val="0"/>
              <w:suppressLineNumbers w:val="0"/>
              <w:wordWrap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（1）制作投标文件前，必须及时升级电子投标文件制作工具至最新版本。投标人如未及时更新电子投标文件制作工具，产生的一切后果由投标人自行承担。</w:t>
            </w:r>
          </w:p>
          <w:p w14:paraId="3EA623FF">
            <w:pPr>
              <w:keepNext w:val="0"/>
              <w:keepLines w:val="0"/>
              <w:widowControl w:val="0"/>
              <w:suppressLineNumbers w:val="0"/>
              <w:wordWrap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（2）在使用过程中如有技术问题，请致电0512-58188516。</w:t>
            </w:r>
          </w:p>
        </w:tc>
      </w:tr>
      <w:tr w14:paraId="7EEAD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44B4E452">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10.5</w:t>
            </w:r>
          </w:p>
        </w:tc>
        <w:tc>
          <w:tcPr>
            <w:tcW w:w="1121" w:type="pct"/>
            <w:vAlign w:val="center"/>
          </w:tcPr>
          <w:p w14:paraId="2861A853">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评标过程中的澄</w:t>
            </w:r>
          </w:p>
          <w:p w14:paraId="0BA6C7DF">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清、说明或补正</w:t>
            </w:r>
          </w:p>
        </w:tc>
        <w:tc>
          <w:tcPr>
            <w:tcW w:w="3335" w:type="pct"/>
            <w:gridSpan w:val="2"/>
            <w:vAlign w:val="center"/>
          </w:tcPr>
          <w:p w14:paraId="6D8B400E">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（1）评标委员会通过电子交易系统将需要澄清、说明或补正 的内容以询标函的形式发送给投标人，投标人应安排专人登录电子交易系统并保持在线状态，以便及时接收评标委员会可能发出的询标函。</w:t>
            </w:r>
          </w:p>
          <w:p w14:paraId="39E325F1">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（2）因投标人未登录电子交易系统导致无法及时接收询标函 （远程网上询标）或未在规定时间（从评标委员会发起远程网上询标至询标结束原则上为15分钟，具体时间以网上询标系统所示时间为准）内按照评标委员会要求进行澄清、说明或补正内容的，视同投标人放弃澄清、说明或补正内容的权利，评标委员会可按照对投标人不利的解释进行判定。</w:t>
            </w:r>
          </w:p>
        </w:tc>
      </w:tr>
      <w:tr w14:paraId="67411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32BBC540">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6</w:t>
            </w:r>
          </w:p>
        </w:tc>
        <w:tc>
          <w:tcPr>
            <w:tcW w:w="1121" w:type="pct"/>
            <w:vAlign w:val="center"/>
          </w:tcPr>
          <w:p w14:paraId="0D364767">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投标人对所提供材</w:t>
            </w:r>
          </w:p>
          <w:p w14:paraId="5A0B3E61">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料应承担的责任</w:t>
            </w:r>
          </w:p>
        </w:tc>
        <w:tc>
          <w:tcPr>
            <w:tcW w:w="3335" w:type="pct"/>
            <w:gridSpan w:val="2"/>
            <w:vAlign w:val="center"/>
          </w:tcPr>
          <w:p w14:paraId="69E9B6E1">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（1）投标人提供虚假材料谋取中标的，招标投标行政监督部门将依法处理，并记入不良行为记录，予以披露。</w:t>
            </w:r>
          </w:p>
          <w:p w14:paraId="6B59E75D">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2）投标人对所提供的材料承担缔约过失责任和法律责任。若投诉人或举报人对前述材料存在争议，进行有效投诉或举报，被投诉人、被举报人应当主动配合招标投标行政监督部门调查，并在规定期限内举证，提供有关证明材料；拒绝配合调查，且未在规定期限内举证、提供证明材料的，招标投标行政监督部门将依法处理。</w:t>
            </w:r>
          </w:p>
        </w:tc>
      </w:tr>
      <w:tr w14:paraId="72B83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42B1878">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7</w:t>
            </w:r>
          </w:p>
        </w:tc>
        <w:tc>
          <w:tcPr>
            <w:tcW w:w="1121" w:type="pct"/>
            <w:vAlign w:val="center"/>
          </w:tcPr>
          <w:p w14:paraId="37F905F0">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中标人未履行相关</w:t>
            </w:r>
          </w:p>
          <w:p w14:paraId="14B3D183">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义务的责任</w:t>
            </w:r>
          </w:p>
        </w:tc>
        <w:tc>
          <w:tcPr>
            <w:tcW w:w="3335" w:type="pct"/>
            <w:gridSpan w:val="2"/>
            <w:vAlign w:val="center"/>
          </w:tcPr>
          <w:p w14:paraId="5F78219F">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color w:val="auto"/>
                <w:spacing w:val="2"/>
                <w:sz w:val="21"/>
                <w:szCs w:val="21"/>
                <w:highlight w:val="none"/>
              </w:rPr>
              <w:t>中</w:t>
            </w:r>
            <w:r>
              <w:rPr>
                <w:rFonts w:hint="eastAsia" w:asciiTheme="minorEastAsia" w:hAnsiTheme="minorEastAsia" w:eastAsiaTheme="minorEastAsia" w:cstheme="minorEastAsia"/>
                <w:bCs/>
                <w:snapToGrid w:val="0"/>
                <w:color w:val="auto"/>
                <w:kern w:val="0"/>
                <w:sz w:val="21"/>
                <w:szCs w:val="21"/>
                <w:highlight w:val="none"/>
                <w:lang w:val="en-US" w:eastAsia="zh-CN" w:bidi="ar"/>
              </w:rPr>
              <w:t>标人未履行相关义务的，招标投标行政监督部门将依法对中标人进行处理，追究相关责任：</w:t>
            </w:r>
          </w:p>
          <w:p w14:paraId="5FD6A229">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（1）中标后，中标人被招标投标行政监督部门查实存在违法行为，不满足中标条件的，由招标人取消其中标资格，并做好项目后续工作；</w:t>
            </w:r>
          </w:p>
          <w:p w14:paraId="379A7A0B">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0"/>
                <w:sz w:val="21"/>
                <w:szCs w:val="21"/>
                <w:highlight w:val="none"/>
                <w:lang w:val="en-US" w:eastAsia="zh-CN" w:bidi="ar"/>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（2）中标人应在规定期限内提交履约保证金并与招标人签订合同，若中标人未能在规定期限内提交履约保证金或签订合同，招标人有权取消其中标资格，并报招标投标行政监督部门；</w:t>
            </w:r>
          </w:p>
          <w:p w14:paraId="2D6AEB32">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（3）合同签订后，中标人存在规定时间内不组织人员进场开工、不履行合同义务等情况，招标人有权解除合同，追究其违约责任，并报招标投标行政监督部门。</w:t>
            </w:r>
          </w:p>
        </w:tc>
      </w:tr>
      <w:tr w14:paraId="5574B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863C9A5">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8</w:t>
            </w:r>
          </w:p>
        </w:tc>
        <w:tc>
          <w:tcPr>
            <w:tcW w:w="1121" w:type="pct"/>
            <w:vAlign w:val="center"/>
          </w:tcPr>
          <w:p w14:paraId="204E03EC">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同义词语</w:t>
            </w:r>
          </w:p>
        </w:tc>
        <w:tc>
          <w:tcPr>
            <w:tcW w:w="3335" w:type="pct"/>
            <w:gridSpan w:val="2"/>
            <w:vAlign w:val="center"/>
          </w:tcPr>
          <w:p w14:paraId="429F5359">
            <w:pPr>
              <w:pStyle w:val="27"/>
              <w:spacing w:before="112" w:line="291" w:lineRule="auto"/>
              <w:ind w:left="97" w:leftChars="0" w:firstLine="18" w:firstLine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构成招标文件组成部分的“通用合同条款”、“专用合同条款”、“工程量清单”和“技术标准和要求”等章节中“发包人”和“承包人”，等同于招标投标阶段的“招标人”和“投标人/中标人”。</w:t>
            </w:r>
          </w:p>
        </w:tc>
      </w:tr>
      <w:tr w14:paraId="5C16F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6" w:hRule="atLeast"/>
        </w:trPr>
        <w:tc>
          <w:tcPr>
            <w:tcW w:w="543" w:type="pct"/>
            <w:vAlign w:val="center"/>
          </w:tcPr>
          <w:p w14:paraId="16BACC76">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9</w:t>
            </w:r>
          </w:p>
        </w:tc>
        <w:tc>
          <w:tcPr>
            <w:tcW w:w="1121" w:type="pct"/>
            <w:vAlign w:val="center"/>
          </w:tcPr>
          <w:p w14:paraId="4D4E3D6C">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解释权</w:t>
            </w:r>
          </w:p>
        </w:tc>
        <w:tc>
          <w:tcPr>
            <w:tcW w:w="3335" w:type="pct"/>
            <w:gridSpan w:val="2"/>
            <w:vAlign w:val="center"/>
          </w:tcPr>
          <w:p w14:paraId="0547E642">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bCs/>
                <w:snapToGrid w:val="0"/>
                <w:color w:val="auto"/>
                <w:kern w:val="2"/>
                <w:sz w:val="21"/>
                <w:szCs w:val="21"/>
                <w:highlight w:val="none"/>
                <w:lang w:val="en-US" w:eastAsia="zh-CN" w:bidi="ar"/>
              </w:rPr>
              <w:t>1)构成本招标文件的各个组成文件应互为解释，互为说明；</w:t>
            </w:r>
          </w:p>
          <w:p w14:paraId="21560870">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(2)同一组成文件中就同一事项的规定或约定不一致的，以编排顺序在后者为准；</w:t>
            </w:r>
          </w:p>
          <w:p w14:paraId="03FA2336">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(3)如有不明确或不一致，构成合同文件组成内容的，以合同文件约定内容为准，且以专用合同条款约定的合同文件优先顺序解释；</w:t>
            </w:r>
          </w:p>
          <w:p w14:paraId="2537F6B8">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(4)除招标文件中有特别规定外，仅适用于招标投标阶段的规定，按招标公告、投标人须知、评标办法、投标文件格式的先后顺序解释；</w:t>
            </w:r>
          </w:p>
          <w:p w14:paraId="10014861">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(5)按本款前述规定仍不能形成结论的，由招标人负责解释。</w:t>
            </w:r>
          </w:p>
        </w:tc>
      </w:tr>
      <w:tr w14:paraId="20E66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570C0C54">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w:t>
            </w:r>
            <w:r>
              <w:rPr>
                <w:rFonts w:hint="eastAsia" w:asciiTheme="minorEastAsia" w:hAnsiTheme="minorEastAsia" w:eastAsiaTheme="minorEastAsia" w:cstheme="minorEastAsia"/>
                <w:color w:val="auto"/>
                <w:spacing w:val="-4"/>
                <w:sz w:val="21"/>
                <w:szCs w:val="21"/>
                <w:highlight w:val="none"/>
                <w:lang w:val="en-US" w:eastAsia="zh-CN"/>
              </w:rPr>
              <w:t>10</w:t>
            </w:r>
          </w:p>
        </w:tc>
        <w:tc>
          <w:tcPr>
            <w:tcW w:w="1121" w:type="pct"/>
            <w:vAlign w:val="center"/>
          </w:tcPr>
          <w:p w14:paraId="680D5DA2">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创优目标</w:t>
            </w:r>
          </w:p>
        </w:tc>
        <w:tc>
          <w:tcPr>
            <w:tcW w:w="3335" w:type="pct"/>
            <w:gridSpan w:val="2"/>
            <w:vAlign w:val="center"/>
          </w:tcPr>
          <w:p w14:paraId="5AEE69EB">
            <w:pPr>
              <w:pStyle w:val="27"/>
              <w:spacing w:before="246" w:line="221" w:lineRule="auto"/>
              <w:ind w:left="135"/>
              <w:jc w:val="both"/>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无</w:t>
            </w:r>
          </w:p>
          <w:p w14:paraId="5355DAEE">
            <w:pPr>
              <w:pStyle w:val="27"/>
              <w:spacing w:before="108" w:line="221" w:lineRule="auto"/>
              <w:ind w:left="135"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3"/>
                <w:sz w:val="21"/>
                <w:szCs w:val="21"/>
                <w:highlight w:val="none"/>
              </w:rPr>
              <w:t>□有，具体要求如下：</w:t>
            </w:r>
          </w:p>
        </w:tc>
      </w:tr>
      <w:tr w14:paraId="48F18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A176322">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1</w:t>
            </w:r>
          </w:p>
        </w:tc>
        <w:tc>
          <w:tcPr>
            <w:tcW w:w="1121" w:type="pct"/>
            <w:vAlign w:val="center"/>
          </w:tcPr>
          <w:p w14:paraId="642E2220">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招标代理服务费及</w:t>
            </w:r>
          </w:p>
          <w:p w14:paraId="0F9C54E8">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工程量清单和最高</w:t>
            </w:r>
          </w:p>
          <w:p w14:paraId="3568D2C5">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投标限价（招标控</w:t>
            </w:r>
          </w:p>
          <w:p w14:paraId="10130BD1">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制价）编制费</w:t>
            </w:r>
          </w:p>
        </w:tc>
        <w:tc>
          <w:tcPr>
            <w:tcW w:w="3335" w:type="pct"/>
            <w:gridSpan w:val="2"/>
            <w:vAlign w:val="center"/>
          </w:tcPr>
          <w:p w14:paraId="51030308">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1、中标人须向招标代理机构缴纳招标代理服务费、工程量清</w:t>
            </w:r>
          </w:p>
          <w:p w14:paraId="1ADCCADD">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单和最高投标限价（招标控制价）编制费，汇入账号和账户如下：</w:t>
            </w:r>
          </w:p>
          <w:p w14:paraId="041823AE">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账户名称：肥东县公共资源交易有限公司</w:t>
            </w:r>
          </w:p>
          <w:p w14:paraId="22B77A43">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账    号：1302003109200230444</w:t>
            </w:r>
          </w:p>
          <w:p w14:paraId="3E9A1293">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开 户 行：中国工商银行股份有限公司肥东县支行</w:t>
            </w:r>
          </w:p>
          <w:p w14:paraId="71B65880">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2、招标代理服务费：以中标价为计算基数按照差额定率累进法，分标段按下表收费标准收取，投标人在报价单中不单列，包含在投标总价中，招标人不再单独计量支付。</w:t>
            </w:r>
          </w:p>
          <w:p w14:paraId="7598C327">
            <w:pPr>
              <w:keepNext w:val="0"/>
              <w:keepLines w:val="0"/>
              <w:widowControl/>
              <w:suppressLineNumbers w:val="0"/>
              <w:snapToGrid w:val="0"/>
              <w:spacing w:before="0" w:beforeAutospacing="0" w:after="0" w:afterAutospacing="0"/>
              <w:ind w:left="0" w:right="0" w:firstLine="482"/>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招标代理服务收费标准</w:t>
            </w:r>
          </w:p>
          <w:tbl>
            <w:tblPr>
              <w:tblStyle w:val="11"/>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453"/>
              <w:gridCol w:w="1296"/>
              <w:gridCol w:w="1312"/>
              <w:gridCol w:w="1312"/>
            </w:tblGrid>
            <w:tr w14:paraId="3A79A1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FFD8519">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中标金额</w:t>
                  </w:r>
                </w:p>
              </w:tc>
              <w:tc>
                <w:tcPr>
                  <w:tcW w:w="1296" w:type="dxa"/>
                  <w:tcBorders>
                    <w:top w:val="single" w:color="auto" w:sz="4" w:space="0"/>
                    <w:left w:val="nil"/>
                    <w:bottom w:val="single" w:color="auto" w:sz="4" w:space="0"/>
                    <w:right w:val="single" w:color="auto" w:sz="4" w:space="0"/>
                  </w:tcBorders>
                  <w:shd w:val="clear" w:color="auto" w:fill="auto"/>
                  <w:vAlign w:val="center"/>
                </w:tcPr>
                <w:p w14:paraId="2F13738E">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货物招标</w:t>
                  </w:r>
                </w:p>
              </w:tc>
              <w:tc>
                <w:tcPr>
                  <w:tcW w:w="1312" w:type="dxa"/>
                  <w:tcBorders>
                    <w:top w:val="single" w:color="auto" w:sz="4" w:space="0"/>
                    <w:left w:val="nil"/>
                    <w:bottom w:val="single" w:color="auto" w:sz="4" w:space="0"/>
                    <w:right w:val="single" w:color="auto" w:sz="4" w:space="0"/>
                  </w:tcBorders>
                  <w:shd w:val="clear" w:color="auto" w:fill="auto"/>
                  <w:vAlign w:val="center"/>
                </w:tcPr>
                <w:p w14:paraId="09A83E98">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服务招标</w:t>
                  </w:r>
                </w:p>
              </w:tc>
              <w:tc>
                <w:tcPr>
                  <w:tcW w:w="1312" w:type="dxa"/>
                  <w:tcBorders>
                    <w:top w:val="single" w:color="auto" w:sz="4" w:space="0"/>
                    <w:left w:val="nil"/>
                    <w:bottom w:val="single" w:color="auto" w:sz="4" w:space="0"/>
                    <w:right w:val="single" w:color="auto" w:sz="4" w:space="0"/>
                  </w:tcBorders>
                  <w:shd w:val="clear" w:color="auto" w:fill="auto"/>
                  <w:vAlign w:val="center"/>
                </w:tcPr>
                <w:p w14:paraId="771C3C33">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snapToGrid w:val="0"/>
                      <w:color w:val="auto"/>
                      <w:kern w:val="0"/>
                      <w:sz w:val="21"/>
                      <w:szCs w:val="21"/>
                      <w:highlight w:val="none"/>
                      <w:lang w:val="en-US" w:eastAsia="zh-CN" w:bidi="ar"/>
                    </w:rPr>
                    <w:t>工程招标</w:t>
                  </w:r>
                </w:p>
              </w:tc>
            </w:tr>
            <w:tr w14:paraId="2CC91E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220C0EFB">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100万元以下（含100万元）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24A8DC04">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1.5%</w:t>
                  </w:r>
                </w:p>
              </w:tc>
              <w:tc>
                <w:tcPr>
                  <w:tcW w:w="1312" w:type="dxa"/>
                  <w:tcBorders>
                    <w:top w:val="single" w:color="auto" w:sz="4" w:space="0"/>
                    <w:left w:val="nil"/>
                    <w:bottom w:val="single" w:color="auto" w:sz="4" w:space="0"/>
                    <w:right w:val="single" w:color="auto" w:sz="4" w:space="0"/>
                  </w:tcBorders>
                  <w:shd w:val="clear" w:color="auto" w:fill="auto"/>
                  <w:vAlign w:val="center"/>
                </w:tcPr>
                <w:p w14:paraId="3D054EC7">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1.5%</w:t>
                  </w:r>
                </w:p>
              </w:tc>
              <w:tc>
                <w:tcPr>
                  <w:tcW w:w="1312" w:type="dxa"/>
                  <w:tcBorders>
                    <w:top w:val="single" w:color="auto" w:sz="4" w:space="0"/>
                    <w:left w:val="nil"/>
                    <w:bottom w:val="single" w:color="auto" w:sz="4" w:space="0"/>
                    <w:right w:val="single" w:color="auto" w:sz="4" w:space="0"/>
                  </w:tcBorders>
                  <w:shd w:val="clear" w:color="auto" w:fill="auto"/>
                  <w:vAlign w:val="center"/>
                </w:tcPr>
                <w:p w14:paraId="168449BD">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w:t>
                  </w:r>
                </w:p>
              </w:tc>
            </w:tr>
            <w:tr w14:paraId="39F1EE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75C9314E">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100万元-500万元（含500万元）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4D01852F">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1.1%</w:t>
                  </w:r>
                </w:p>
              </w:tc>
              <w:tc>
                <w:tcPr>
                  <w:tcW w:w="1312" w:type="dxa"/>
                  <w:tcBorders>
                    <w:top w:val="single" w:color="auto" w:sz="4" w:space="0"/>
                    <w:left w:val="nil"/>
                    <w:bottom w:val="single" w:color="auto" w:sz="4" w:space="0"/>
                    <w:right w:val="single" w:color="auto" w:sz="4" w:space="0"/>
                  </w:tcBorders>
                  <w:shd w:val="clear" w:color="auto" w:fill="auto"/>
                  <w:vAlign w:val="center"/>
                </w:tcPr>
                <w:p w14:paraId="68FD2EE5">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0.8%</w:t>
                  </w:r>
                </w:p>
              </w:tc>
              <w:tc>
                <w:tcPr>
                  <w:tcW w:w="1312" w:type="dxa"/>
                  <w:tcBorders>
                    <w:top w:val="single" w:color="auto" w:sz="4" w:space="0"/>
                    <w:left w:val="nil"/>
                    <w:bottom w:val="single" w:color="auto" w:sz="4" w:space="0"/>
                    <w:right w:val="single" w:color="auto" w:sz="4" w:space="0"/>
                  </w:tcBorders>
                  <w:shd w:val="clear" w:color="auto" w:fill="auto"/>
                  <w:vAlign w:val="center"/>
                </w:tcPr>
                <w:p w14:paraId="039BF4C9">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0.7%</w:t>
                  </w:r>
                </w:p>
              </w:tc>
            </w:tr>
            <w:tr w14:paraId="5D9404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9EA8708">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500万元-1000万元（含1000万元）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52D04A84">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0.8%</w:t>
                  </w:r>
                </w:p>
              </w:tc>
              <w:tc>
                <w:tcPr>
                  <w:tcW w:w="1312" w:type="dxa"/>
                  <w:tcBorders>
                    <w:top w:val="single" w:color="auto" w:sz="4" w:space="0"/>
                    <w:left w:val="nil"/>
                    <w:bottom w:val="single" w:color="auto" w:sz="4" w:space="0"/>
                    <w:right w:val="single" w:color="auto" w:sz="4" w:space="0"/>
                  </w:tcBorders>
                  <w:shd w:val="clear" w:color="auto" w:fill="auto"/>
                  <w:vAlign w:val="center"/>
                </w:tcPr>
                <w:p w14:paraId="5314A427">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0.45%</w:t>
                  </w:r>
                </w:p>
              </w:tc>
              <w:tc>
                <w:tcPr>
                  <w:tcW w:w="1312" w:type="dxa"/>
                  <w:tcBorders>
                    <w:top w:val="single" w:color="auto" w:sz="4" w:space="0"/>
                    <w:left w:val="nil"/>
                    <w:bottom w:val="single" w:color="auto" w:sz="4" w:space="0"/>
                    <w:right w:val="single" w:color="auto" w:sz="4" w:space="0"/>
                  </w:tcBorders>
                  <w:shd w:val="clear" w:color="auto" w:fill="auto"/>
                  <w:vAlign w:val="center"/>
                </w:tcPr>
                <w:p w14:paraId="3DC6F57E">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0.55%</w:t>
                  </w:r>
                </w:p>
              </w:tc>
            </w:tr>
            <w:tr w14:paraId="795B55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76FF6253">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1000万元-5000万元（含5000万元）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036EF51F">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0.5%</w:t>
                  </w:r>
                </w:p>
              </w:tc>
              <w:tc>
                <w:tcPr>
                  <w:tcW w:w="1312" w:type="dxa"/>
                  <w:tcBorders>
                    <w:top w:val="single" w:color="auto" w:sz="4" w:space="0"/>
                    <w:left w:val="nil"/>
                    <w:bottom w:val="single" w:color="auto" w:sz="4" w:space="0"/>
                    <w:right w:val="single" w:color="auto" w:sz="4" w:space="0"/>
                  </w:tcBorders>
                  <w:shd w:val="clear" w:color="auto" w:fill="auto"/>
                  <w:vAlign w:val="center"/>
                </w:tcPr>
                <w:p w14:paraId="234EB920">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0.25%</w:t>
                  </w:r>
                </w:p>
              </w:tc>
              <w:tc>
                <w:tcPr>
                  <w:tcW w:w="1312" w:type="dxa"/>
                  <w:tcBorders>
                    <w:top w:val="single" w:color="auto" w:sz="4" w:space="0"/>
                    <w:left w:val="nil"/>
                    <w:bottom w:val="single" w:color="auto" w:sz="4" w:space="0"/>
                    <w:right w:val="single" w:color="auto" w:sz="4" w:space="0"/>
                  </w:tcBorders>
                  <w:shd w:val="clear" w:color="auto" w:fill="auto"/>
                  <w:vAlign w:val="center"/>
                </w:tcPr>
                <w:p w14:paraId="1C405C87">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0.35%</w:t>
                  </w:r>
                </w:p>
              </w:tc>
            </w:tr>
            <w:tr w14:paraId="109976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49FA8CD2">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5000万元-1亿元（含1亿元）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5DD6DEAA">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0.25%</w:t>
                  </w:r>
                </w:p>
              </w:tc>
              <w:tc>
                <w:tcPr>
                  <w:tcW w:w="1312" w:type="dxa"/>
                  <w:tcBorders>
                    <w:top w:val="single" w:color="auto" w:sz="4" w:space="0"/>
                    <w:left w:val="nil"/>
                    <w:bottom w:val="single" w:color="auto" w:sz="4" w:space="0"/>
                    <w:right w:val="single" w:color="auto" w:sz="4" w:space="0"/>
                  </w:tcBorders>
                  <w:shd w:val="clear" w:color="auto" w:fill="auto"/>
                  <w:vAlign w:val="center"/>
                </w:tcPr>
                <w:p w14:paraId="6E5D1EAC">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0.1%</w:t>
                  </w:r>
                </w:p>
              </w:tc>
              <w:tc>
                <w:tcPr>
                  <w:tcW w:w="1312" w:type="dxa"/>
                  <w:tcBorders>
                    <w:top w:val="single" w:color="auto" w:sz="4" w:space="0"/>
                    <w:left w:val="nil"/>
                    <w:bottom w:val="single" w:color="auto" w:sz="4" w:space="0"/>
                    <w:right w:val="single" w:color="auto" w:sz="4" w:space="0"/>
                  </w:tcBorders>
                  <w:shd w:val="clear" w:color="auto" w:fill="auto"/>
                  <w:vAlign w:val="center"/>
                </w:tcPr>
                <w:p w14:paraId="5D128FBE">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0.2%</w:t>
                  </w:r>
                </w:p>
              </w:tc>
            </w:tr>
            <w:tr w14:paraId="35A911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1695C344">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1亿元-10亿元（含10亿元）</w:t>
                  </w:r>
                </w:p>
              </w:tc>
              <w:tc>
                <w:tcPr>
                  <w:tcW w:w="1296" w:type="dxa"/>
                  <w:tcBorders>
                    <w:top w:val="single" w:color="auto" w:sz="4" w:space="0"/>
                    <w:left w:val="nil"/>
                    <w:bottom w:val="single" w:color="auto" w:sz="4" w:space="0"/>
                    <w:right w:val="single" w:color="auto" w:sz="4" w:space="0"/>
                  </w:tcBorders>
                  <w:shd w:val="clear" w:color="auto" w:fill="auto"/>
                  <w:vAlign w:val="center"/>
                </w:tcPr>
                <w:p w14:paraId="722FE2F4">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0.05%</w:t>
                  </w:r>
                </w:p>
              </w:tc>
              <w:tc>
                <w:tcPr>
                  <w:tcW w:w="1312" w:type="dxa"/>
                  <w:tcBorders>
                    <w:top w:val="single" w:color="auto" w:sz="4" w:space="0"/>
                    <w:left w:val="nil"/>
                    <w:bottom w:val="single" w:color="auto" w:sz="4" w:space="0"/>
                    <w:right w:val="single" w:color="auto" w:sz="4" w:space="0"/>
                  </w:tcBorders>
                  <w:shd w:val="clear" w:color="auto" w:fill="auto"/>
                  <w:vAlign w:val="center"/>
                </w:tcPr>
                <w:p w14:paraId="798F5711">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0.05%</w:t>
                  </w:r>
                </w:p>
              </w:tc>
              <w:tc>
                <w:tcPr>
                  <w:tcW w:w="1312" w:type="dxa"/>
                  <w:tcBorders>
                    <w:top w:val="single" w:color="auto" w:sz="4" w:space="0"/>
                    <w:left w:val="nil"/>
                    <w:bottom w:val="single" w:color="auto" w:sz="4" w:space="0"/>
                    <w:right w:val="single" w:color="auto" w:sz="4" w:space="0"/>
                  </w:tcBorders>
                  <w:shd w:val="clear" w:color="auto" w:fill="auto"/>
                  <w:vAlign w:val="center"/>
                </w:tcPr>
                <w:p w14:paraId="1F971BDF">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0.05%</w:t>
                  </w:r>
                </w:p>
              </w:tc>
            </w:tr>
            <w:tr w14:paraId="3F0D25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62" w:hRule="atLeast"/>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697555B3">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10亿元以上</w:t>
                  </w:r>
                </w:p>
              </w:tc>
              <w:tc>
                <w:tcPr>
                  <w:tcW w:w="1296" w:type="dxa"/>
                  <w:tcBorders>
                    <w:top w:val="single" w:color="auto" w:sz="4" w:space="0"/>
                    <w:left w:val="nil"/>
                    <w:bottom w:val="single" w:color="auto" w:sz="4" w:space="0"/>
                    <w:right w:val="single" w:color="auto" w:sz="4" w:space="0"/>
                  </w:tcBorders>
                  <w:shd w:val="clear" w:color="auto" w:fill="auto"/>
                  <w:vAlign w:val="center"/>
                </w:tcPr>
                <w:p w14:paraId="386A5CD2">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0.01%</w:t>
                  </w:r>
                </w:p>
              </w:tc>
              <w:tc>
                <w:tcPr>
                  <w:tcW w:w="1312" w:type="dxa"/>
                  <w:tcBorders>
                    <w:top w:val="single" w:color="auto" w:sz="4" w:space="0"/>
                    <w:left w:val="nil"/>
                    <w:bottom w:val="single" w:color="auto" w:sz="4" w:space="0"/>
                    <w:right w:val="single" w:color="auto" w:sz="4" w:space="0"/>
                  </w:tcBorders>
                  <w:shd w:val="clear" w:color="auto" w:fill="auto"/>
                  <w:vAlign w:val="center"/>
                </w:tcPr>
                <w:p w14:paraId="262EAFD3">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0.01%</w:t>
                  </w:r>
                </w:p>
              </w:tc>
              <w:tc>
                <w:tcPr>
                  <w:tcW w:w="1312" w:type="dxa"/>
                  <w:tcBorders>
                    <w:top w:val="single" w:color="auto" w:sz="4" w:space="0"/>
                    <w:left w:val="nil"/>
                    <w:bottom w:val="single" w:color="auto" w:sz="4" w:space="0"/>
                    <w:right w:val="single" w:color="auto" w:sz="4" w:space="0"/>
                  </w:tcBorders>
                  <w:shd w:val="clear" w:color="auto" w:fill="auto"/>
                  <w:vAlign w:val="center"/>
                </w:tcPr>
                <w:p w14:paraId="77CB31A0">
                  <w:pPr>
                    <w:keepNext w:val="0"/>
                    <w:keepLines w:val="0"/>
                    <w:widowControl w:val="0"/>
                    <w:suppressLineNumbers w:val="0"/>
                    <w:spacing w:before="0" w:beforeAutospacing="0" w:after="0" w:afterAutospacing="0"/>
                    <w:ind w:left="0" w:right="0"/>
                    <w:jc w:val="center"/>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0.01%</w:t>
                  </w:r>
                </w:p>
              </w:tc>
            </w:tr>
          </w:tbl>
          <w:p w14:paraId="1AAF60B8">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注：招标代理服务费按差额定率累进法计算。例如：某工程招标代理业务中标金额为6000万元，计算招标代理服务费如下：</w:t>
            </w:r>
          </w:p>
          <w:p w14:paraId="5A44176E">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100 万元×1.0％＝1万元</w:t>
            </w:r>
          </w:p>
          <w:p w14:paraId="62452798">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（500－100）万元×0.7％＝2.8 万元</w:t>
            </w:r>
          </w:p>
          <w:p w14:paraId="292EDEB3">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（1000－500）万元×0.55％＝2.75万元</w:t>
            </w:r>
          </w:p>
          <w:p w14:paraId="4FF31D85">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（5000－1000）万元×0.35％＝14万元</w:t>
            </w:r>
          </w:p>
          <w:p w14:paraId="3CC4BAAD">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（6000－5000）万元×0.2％＝2万元</w:t>
            </w:r>
          </w:p>
          <w:p w14:paraId="763CF36B">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合计收费＝1＋2.8＋2.75＋14＋2＝22.55(万元)</w:t>
            </w:r>
          </w:p>
          <w:p w14:paraId="6BF0762B">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en-US"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工程量清单和最高投标限价（招标控制价）编制费：以中标价为计算基数，具体收费标准按附件1对应表格相应类别规定标准收取，不足1000元的按1000元收取。投标人在报价单中不单列，包含在投标总价中，招标人不再单独计量支付。本工程收费标准参照建筑工程专业计费标准收取工程量清单和最高投标限价（招标控制价）编制费。</w:t>
            </w:r>
          </w:p>
        </w:tc>
      </w:tr>
      <w:tr w14:paraId="62696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0FBDAB6">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en-US"/>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2</w:t>
            </w:r>
          </w:p>
        </w:tc>
        <w:tc>
          <w:tcPr>
            <w:tcW w:w="1121" w:type="pct"/>
            <w:vAlign w:val="center"/>
          </w:tcPr>
          <w:p w14:paraId="0ECDEF3F">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投标所需资料</w:t>
            </w:r>
          </w:p>
        </w:tc>
        <w:tc>
          <w:tcPr>
            <w:tcW w:w="3335" w:type="pct"/>
            <w:gridSpan w:val="2"/>
            <w:vAlign w:val="center"/>
          </w:tcPr>
          <w:p w14:paraId="45323273">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投标人按照招标文件要求编制投标文件并对投标文件进行电子签章并使用数字证书加密，并于招标文件规定的投标截止时间前通过电子交易系统完成上传。投标人应合理安排投标文件递交时间，特别是网络速度慢的地区防止在系统关闭前网络拥堵无法操作。如果因计算机及网络故障造成无法完成投标文件递交情形，责任自负。</w:t>
            </w:r>
          </w:p>
          <w:p w14:paraId="41829A77">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（2）投标人应及时查看上传的相关资料，如出现上传的相应投标资料不全、模糊不清、超出有效期等情况，评标委员会将作出对投标人不利的认定，由此产生的一切后果由投标人自行承担。</w:t>
            </w:r>
          </w:p>
          <w:p w14:paraId="43072497">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投标人提供的营业执照、资质证书、安全生产许可证、安全生产考核合格证书、注册建造师证书、安全生产考核合格证书等证书证件应在有效期内，若法律法规或发证机构或相关主管部门另有规定的，从其规定。投标人在投标文件中提供了相关证明材料，或经询标被评标委员会认定符合相关规定的，评标委员会应予以认可。</w:t>
            </w:r>
          </w:p>
          <w:p w14:paraId="1B03E10A">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在编制投标文件时，如投标人提供的证书显示的相关信息不能满足评审需要的，投标人应在投标文件中提供满足评审要求的直接证明材料。如需要通过查询验证的（如扫描证书上的二维码等），投标人须自行查询验证，并将查询验证后的相关信息或界面通过“其他材料”窗口上传，评标过程中，评委会不作任何查询。</w:t>
            </w:r>
          </w:p>
          <w:p w14:paraId="73D4CC08">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投标人在参与招标采购活动时可直接使用电子交易系统提供的电子证照。投标人应当自行核验政务数据的准确性，并对引用的政务数据承担责任。招标人、评标委员会不得因政务数据非实质性的格式、形式等问题限制和影响投标人参与招标采购活动。</w:t>
            </w:r>
          </w:p>
          <w:p w14:paraId="0979961D">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（6）采用一级建造师投标的应符合《住房和城乡建设部办公厅关于全面实行一级建造师电子注册证书的通知》(建办市〔2021〕40 号)规定，投标文件应提供一级建造师电子注册证书，且应在个人签名处手写本人签名，未手写签名或与签名图像笔迹不一致的，该电子证书无效。</w:t>
            </w:r>
          </w:p>
          <w:p w14:paraId="2530503B">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（7）具体资料以第三章“评标办法”和第八章“投标文件格式”要求为准。</w:t>
            </w:r>
          </w:p>
        </w:tc>
      </w:tr>
      <w:tr w14:paraId="1F81D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CAFC2E3">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3</w:t>
            </w:r>
          </w:p>
        </w:tc>
        <w:tc>
          <w:tcPr>
            <w:tcW w:w="1121" w:type="pct"/>
            <w:vAlign w:val="center"/>
          </w:tcPr>
          <w:p w14:paraId="08B3CDCD">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相关政策要求</w:t>
            </w:r>
          </w:p>
        </w:tc>
        <w:tc>
          <w:tcPr>
            <w:tcW w:w="3335" w:type="pct"/>
            <w:gridSpan w:val="2"/>
            <w:vAlign w:val="center"/>
          </w:tcPr>
          <w:p w14:paraId="0C3E477C">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（1）承包人在工程实施过程中的用工行为，必须严格按照《保障农民工工资支付条例》（国令第 724 号）《工程建设领域农民工工资专用账户管理暂行办法》（人社部发〔2021〕53 号）及安徽省、合肥市等文件精神的有关规定，依法与招用的农民工签订劳动合同，并按规定及时足额支付工资。承包人必须按照合肥市相关文件设立农民工工资专用账户，专户资金使用、监管严格按照合肥市相关文件执行。</w:t>
            </w:r>
          </w:p>
          <w:p w14:paraId="64CE6FC0">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（2）工程质量保证金执行《关于以保函等方式替代工程质量保证金的通知》（合建〔2020〕29号文件）。</w:t>
            </w:r>
          </w:p>
          <w:p w14:paraId="16EF0F33">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（3）农民工工资保证金保函严格执行转发《关于印发〈安徽省工程建设领域农民工工资保证金实施办法〉的通知》的通知（合治欠办〔2022〕5号），支持以银行保函、保险机构保单保函方式存储。</w:t>
            </w:r>
          </w:p>
          <w:p w14:paraId="4956727A">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（4）劳资专管员执行《关于加强建设领域劳资专管员管理工作的通知》（合治欠发〔2021〕6号文件）。</w:t>
            </w:r>
          </w:p>
          <w:p w14:paraId="0C73510D">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（5）保证保险产品应按《中国银保监会办公厅关于进一步加强和改进财产保险公司产品监管有关问题的通知》执行。</w:t>
            </w:r>
          </w:p>
          <w:p w14:paraId="7EDC1AB4">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（6）采用一级建造师投标的应按《住房和城乡建设部办公厅关于全面实行一级建造师电子注册证书的通知》(建办市〔2021〕40号)执行。</w:t>
            </w:r>
          </w:p>
          <w:p w14:paraId="7A8E8F07">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7）工程建设领域农民工工资专用账户执行安徽省人社厅等部门印发的《贯彻落实〈工程建设领域农民工工资专用账户管理暂行办法〉的通知》（皖人社发〔2022〕5号）及《贯彻落实&lt;工程建设领域农民工工资专用账户管理暂行办法&gt;的通知》的通知（合治欠办〔2022〕7 号。</w:t>
            </w:r>
          </w:p>
          <w:p w14:paraId="5FF87BCC">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snapToGrid w:val="0"/>
                <w:color w:val="auto"/>
                <w:kern w:val="0"/>
                <w:sz w:val="21"/>
                <w:szCs w:val="21"/>
                <w:highlight w:val="none"/>
                <w:lang w:val="en-US" w:eastAsia="zh-CN" w:bidi="ar"/>
              </w:rPr>
              <w:t>（8）为切实保障建筑行业农民工工资支付、加快培育新时代建筑产业工人队伍、有效破解拖欠工程款问题，严格执行《关于建立长效机制切实保障建筑行业农民工工资支付工作的通知》（建市函〔2022〕490 号）、《关于加快培育和壮大我省建筑产业工人队伍的意见》（建市规〔2023〕1 号）。</w:t>
            </w:r>
          </w:p>
          <w:p w14:paraId="6C803336">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kern w:val="0"/>
                <w:sz w:val="21"/>
                <w:szCs w:val="21"/>
                <w:highlight w:val="none"/>
                <w:lang w:val="en-US"/>
              </w:rPr>
            </w:pPr>
            <w:r>
              <w:rPr>
                <w:rFonts w:hint="eastAsia" w:asciiTheme="minorEastAsia" w:hAnsiTheme="minorEastAsia" w:eastAsiaTheme="minorEastAsia" w:cstheme="minorEastAsia"/>
                <w:bCs/>
                <w:snapToGrid w:val="0"/>
                <w:color w:val="auto"/>
                <w:kern w:val="0"/>
                <w:sz w:val="21"/>
                <w:szCs w:val="21"/>
                <w:highlight w:val="none"/>
                <w:lang w:val="en-US" w:eastAsia="zh-CN" w:bidi="ar"/>
              </w:rPr>
              <w:t>（9）投标保证金、履约保证金、预付款担保、质量保证金缴纳执行安徽合肥公共资源交易中心发布的《关于全面推行投标保证金、履约保证金、预付款担保、质量保证金电子保函的通知》。</w:t>
            </w:r>
          </w:p>
          <w:p w14:paraId="54216AEA">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注：</w:t>
            </w:r>
          </w:p>
          <w:p w14:paraId="4CE394F3">
            <w:pPr>
              <w:keepNext w:val="0"/>
              <w:keepLines w:val="0"/>
              <w:widowControl w:val="0"/>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①未列明的按照国家、省、市相关政策执行。</w:t>
            </w:r>
          </w:p>
          <w:p w14:paraId="25637A1E">
            <w:pPr>
              <w:keepNext w:val="0"/>
              <w:keepLines w:val="0"/>
              <w:widowControl w:val="0"/>
              <w:suppressLineNumbers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②如有相关政策文件更新，按照最新政策文件执行。</w:t>
            </w:r>
          </w:p>
        </w:tc>
      </w:tr>
      <w:tr w14:paraId="258C9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543" w:type="pct"/>
            <w:vAlign w:val="center"/>
          </w:tcPr>
          <w:p w14:paraId="332A2AE9">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4</w:t>
            </w:r>
          </w:p>
        </w:tc>
        <w:tc>
          <w:tcPr>
            <w:tcW w:w="1121" w:type="pct"/>
            <w:vAlign w:val="center"/>
          </w:tcPr>
          <w:p w14:paraId="4DED60C2">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本招标项目所属行业</w:t>
            </w:r>
          </w:p>
        </w:tc>
        <w:tc>
          <w:tcPr>
            <w:tcW w:w="3335" w:type="pct"/>
            <w:gridSpan w:val="2"/>
            <w:vAlign w:val="center"/>
          </w:tcPr>
          <w:p w14:paraId="7E74EA9B">
            <w:pPr>
              <w:pStyle w:val="27"/>
              <w:spacing w:before="68" w:line="221" w:lineRule="auto"/>
              <w:ind w:left="116" w:leftChars="0"/>
              <w:jc w:val="both"/>
              <w:outlineLvl w:val="9"/>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b/>
                <w:bCs/>
                <w:color w:val="auto"/>
                <w:spacing w:val="-4"/>
                <w:sz w:val="21"/>
                <w:szCs w:val="21"/>
                <w:highlight w:val="none"/>
              </w:rPr>
              <w:t>建筑业</w:t>
            </w:r>
          </w:p>
        </w:tc>
      </w:tr>
      <w:tr w14:paraId="1460B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625EEDAD">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10.1</w:t>
            </w:r>
            <w:r>
              <w:rPr>
                <w:rFonts w:hint="eastAsia" w:asciiTheme="minorEastAsia" w:hAnsiTheme="minorEastAsia" w:eastAsiaTheme="minorEastAsia" w:cstheme="minorEastAsia"/>
                <w:color w:val="auto"/>
                <w:spacing w:val="-4"/>
                <w:sz w:val="21"/>
                <w:szCs w:val="21"/>
                <w:highlight w:val="none"/>
                <w:lang w:val="en-US" w:eastAsia="zh-CN"/>
              </w:rPr>
              <w:t>5</w:t>
            </w:r>
          </w:p>
        </w:tc>
        <w:tc>
          <w:tcPr>
            <w:tcW w:w="1121" w:type="pct"/>
            <w:vAlign w:val="center"/>
          </w:tcPr>
          <w:p w14:paraId="6DA350F0">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招标人补充的</w:t>
            </w:r>
          </w:p>
          <w:p w14:paraId="541EA7B6">
            <w:pPr>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其他内容</w:t>
            </w:r>
          </w:p>
        </w:tc>
        <w:tc>
          <w:tcPr>
            <w:tcW w:w="3335" w:type="pct"/>
            <w:gridSpan w:val="2"/>
            <w:vAlign w:val="center"/>
          </w:tcPr>
          <w:p w14:paraId="723AEF49">
            <w:pPr>
              <w:keepNext w:val="0"/>
              <w:keepLines w:val="0"/>
              <w:widowControl/>
              <w:suppressLineNumbers w:val="0"/>
              <w:snapToGrid w:val="0"/>
              <w:spacing w:before="0" w:beforeAutospacing="0" w:after="0" w:afterAutospacing="0" w:line="360" w:lineRule="auto"/>
              <w:ind w:left="0" w:right="0"/>
              <w:jc w:val="both"/>
              <w:outlineLvl w:val="9"/>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1.因电子服务系统或电子交易系统出现软件设计或功能缺陷、运行异常等情况，可能影响招投标活动公平、公正进行的，招标人（或招标代理机构）有权中止或终止招投标活动，招投标各方免责。</w:t>
            </w:r>
          </w:p>
          <w:p w14:paraId="69A2354F">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 投标人、中标人提交投标保证金、履约保证金、预付款担保、质量保证金的，鼓励优先使用电子保函形式，采用电子保函的，可登陆安徽合肥公共资源交易电子服务系统进入合肥市电子保函平台，自主选择金融机构在线办理电子保函，电子保函与银行转账、银行电汇、纸质保函（银行保函、担保机构担保、保证保险）具有同等效力，具体操作流程见操作手册。</w:t>
            </w:r>
          </w:p>
          <w:p w14:paraId="1BE4D875">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en-US" w:bidi="ar"/>
              </w:rPr>
            </w:pPr>
            <w:r>
              <w:rPr>
                <w:rFonts w:hint="eastAsia" w:asciiTheme="minorEastAsia" w:hAnsiTheme="minorEastAsia" w:eastAsiaTheme="minorEastAsia" w:cstheme="minorEastAsia"/>
                <w:b/>
                <w:bCs w:val="0"/>
                <w:snapToGrid w:val="0"/>
                <w:color w:val="auto"/>
                <w:kern w:val="2"/>
                <w:sz w:val="21"/>
                <w:szCs w:val="21"/>
                <w:highlight w:val="none"/>
                <w:lang w:val="en-US" w:eastAsia="zh-CN" w:bidi="ar"/>
              </w:rPr>
              <w:t>3.若投标人须知总则3.5资格审查资料要求中，投标人提供的类似项目证明材料未能完整或充分反映评审因素的，应另附合同甲方证明材料（须加盖合同甲方单位章）予以明确说明，否则评标委员会不予认可。</w:t>
            </w:r>
          </w:p>
        </w:tc>
      </w:tr>
      <w:tr w14:paraId="1CF14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E20FEDE">
            <w:pPr>
              <w:pStyle w:val="27"/>
              <w:spacing w:before="69"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10.16</w:t>
            </w:r>
          </w:p>
        </w:tc>
        <w:tc>
          <w:tcPr>
            <w:tcW w:w="1121" w:type="pct"/>
            <w:vAlign w:val="center"/>
          </w:tcPr>
          <w:p w14:paraId="69065364">
            <w:pPr>
              <w:keepNext w:val="0"/>
              <w:keepLines w:val="0"/>
              <w:widowControl w:val="0"/>
              <w:suppressLineNumbers w:val="0"/>
              <w:spacing w:before="0" w:beforeAutospacing="0" w:after="0" w:afterAutospacing="0" w:line="400" w:lineRule="atLeast"/>
              <w:ind w:left="0" w:leftChars="0" w:right="0" w:rightChars="0"/>
              <w:jc w:val="center"/>
              <w:outlineLvl w:val="9"/>
              <w:rPr>
                <w:rFonts w:hint="eastAsia" w:asciiTheme="minorEastAsia" w:hAnsiTheme="minorEastAsia" w:eastAsiaTheme="minorEastAsia" w:cstheme="minorEastAsia"/>
                <w:snapToGrid w:val="0"/>
                <w:color w:val="auto"/>
                <w:kern w:val="0"/>
                <w:sz w:val="21"/>
                <w:szCs w:val="21"/>
                <w:highlight w:val="none"/>
                <w:lang w:val="en-US" w:eastAsia="zh-CN" w:bidi="ar"/>
              </w:rPr>
            </w:pPr>
            <w:r>
              <w:rPr>
                <w:rFonts w:hint="eastAsia" w:asciiTheme="minorEastAsia" w:hAnsiTheme="minorEastAsia" w:eastAsiaTheme="minorEastAsia" w:cstheme="minorEastAsia"/>
                <w:b/>
                <w:bCs w:val="0"/>
                <w:snapToGrid w:val="0"/>
                <w:color w:val="auto"/>
                <w:kern w:val="2"/>
                <w:sz w:val="21"/>
                <w:szCs w:val="21"/>
                <w:highlight w:val="none"/>
                <w:lang w:val="en-US" w:eastAsia="zh-CN" w:bidi="ar"/>
              </w:rPr>
              <w:t>报价文件编制格式要求</w:t>
            </w:r>
          </w:p>
        </w:tc>
        <w:tc>
          <w:tcPr>
            <w:tcW w:w="3335" w:type="pct"/>
            <w:gridSpan w:val="2"/>
            <w:vAlign w:val="center"/>
          </w:tcPr>
          <w:p w14:paraId="34F762C2">
            <w:pPr>
              <w:keepNext w:val="0"/>
              <w:keepLines w:val="0"/>
              <w:widowControl w:val="0"/>
              <w:suppressLineNumbers w:val="0"/>
              <w:spacing w:before="0" w:beforeAutospacing="0" w:after="0" w:afterAutospacing="0" w:line="400" w:lineRule="atLeast"/>
              <w:ind w:left="0" w:right="0"/>
              <w:jc w:val="both"/>
              <w:outlineLvl w:val="9"/>
              <w:rPr>
                <w:rFonts w:hint="eastAsia" w:asciiTheme="minorEastAsia" w:hAnsiTheme="minorEastAsia" w:eastAsiaTheme="minorEastAsia" w:cstheme="minorEastAsia"/>
                <w:b/>
                <w:bCs w:val="0"/>
                <w:color w:val="auto"/>
                <w:sz w:val="21"/>
                <w:szCs w:val="21"/>
                <w:highlight w:val="none"/>
                <w:lang w:val="en-US"/>
              </w:rPr>
            </w:pPr>
            <w:r>
              <w:rPr>
                <w:rFonts w:hint="eastAsia" w:asciiTheme="minorEastAsia" w:hAnsiTheme="minorEastAsia" w:eastAsiaTheme="minorEastAsia" w:cstheme="minorEastAsia"/>
                <w:b/>
                <w:bCs w:val="0"/>
                <w:snapToGrid w:val="0"/>
                <w:color w:val="auto"/>
                <w:kern w:val="2"/>
                <w:sz w:val="21"/>
                <w:szCs w:val="21"/>
                <w:highlight w:val="none"/>
                <w:lang w:val="en-US" w:eastAsia="zh-CN" w:bidi="ar"/>
              </w:rPr>
              <w:t>1、投标人已标价的工程量清单采用文件导入的方式，导入电子投标文件，具体导入须知及注意事项详见须知附录1。</w:t>
            </w:r>
          </w:p>
          <w:p w14:paraId="62A1F4E3">
            <w:pPr>
              <w:keepNext w:val="0"/>
              <w:keepLines w:val="0"/>
              <w:widowControl w:val="0"/>
              <w:suppressLineNumbers w:val="0"/>
              <w:spacing w:before="0" w:beforeAutospacing="0" w:after="0" w:afterAutospacing="0" w:line="400" w:lineRule="atLeast"/>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
                <w:bCs w:val="0"/>
                <w:snapToGrid w:val="0"/>
                <w:color w:val="auto"/>
                <w:kern w:val="2"/>
                <w:sz w:val="21"/>
                <w:szCs w:val="21"/>
                <w:highlight w:val="none"/>
                <w:lang w:val="en-US" w:eastAsia="zh-CN" w:bidi="ar"/>
              </w:rPr>
              <w:t>2、工程量清单格式和内容按照招标人提供的工程量清单填写</w:t>
            </w:r>
            <w:r>
              <w:rPr>
                <w:rFonts w:hint="eastAsia" w:asciiTheme="minorEastAsia" w:hAnsiTheme="minorEastAsia" w:eastAsiaTheme="minorEastAsia" w:cstheme="minorEastAsia"/>
                <w:b/>
                <w:bCs/>
                <w:snapToGrid w:val="0"/>
                <w:color w:val="auto"/>
                <w:kern w:val="2"/>
                <w:sz w:val="21"/>
                <w:szCs w:val="21"/>
                <w:highlight w:val="none"/>
                <w:lang w:val="en-US" w:eastAsia="zh-CN" w:bidi="ar"/>
              </w:rPr>
              <w:t>，请投标人自行登录系统下载本项目附件。</w:t>
            </w:r>
          </w:p>
        </w:tc>
      </w:tr>
      <w:tr w14:paraId="22187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0B183EE9">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10.17</w:t>
            </w:r>
          </w:p>
        </w:tc>
        <w:tc>
          <w:tcPr>
            <w:tcW w:w="1869" w:type="dxa"/>
            <w:vAlign w:val="center"/>
          </w:tcPr>
          <w:p w14:paraId="72EF2CC2">
            <w:pPr>
              <w:keepNext w:val="0"/>
              <w:keepLines w:val="0"/>
              <w:widowControl w:val="0"/>
              <w:suppressLineNumbers w:val="0"/>
              <w:wordWrap w:val="0"/>
              <w:spacing w:before="0" w:beforeAutospacing="0" w:after="0" w:afterAutospacing="0" w:line="360" w:lineRule="auto"/>
              <w:ind w:left="0" w:right="0"/>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snapToGrid w:val="0"/>
                <w:color w:val="auto"/>
                <w:kern w:val="2"/>
                <w:sz w:val="21"/>
                <w:szCs w:val="21"/>
                <w:highlight w:val="none"/>
                <w:lang w:val="en-US" w:eastAsia="zh-CN" w:bidi="ar"/>
              </w:rPr>
              <w:t>投标文件内容不一致的确认</w:t>
            </w:r>
          </w:p>
        </w:tc>
        <w:tc>
          <w:tcPr>
            <w:tcW w:w="5561" w:type="dxa"/>
            <w:gridSpan w:val="2"/>
            <w:vAlign w:val="center"/>
          </w:tcPr>
          <w:p w14:paraId="5678E7B0">
            <w:pPr>
              <w:keepNext w:val="0"/>
              <w:keepLines w:val="0"/>
              <w:widowControl w:val="0"/>
              <w:suppressLineNumbers w:val="0"/>
              <w:wordWrap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snapToGrid w:val="0"/>
                <w:color w:val="auto"/>
                <w:kern w:val="2"/>
                <w:sz w:val="21"/>
                <w:szCs w:val="21"/>
                <w:highlight w:val="none"/>
                <w:lang w:val="en-US" w:eastAsia="zh-CN" w:bidi="ar"/>
              </w:rPr>
              <w:t>投标文件中的内容与投标函及投标函附录不一致的，以投标函及投标函附录为准；投标函与投标函附录不一致的，以投标函为准；小写数字与大写数字不一致的，以大写数字为准；其他内容不一致的，以不利于投标人的解释为准。</w:t>
            </w:r>
          </w:p>
        </w:tc>
      </w:tr>
      <w:tr w14:paraId="0789B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14:paraId="3C5ABA19">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10.18</w:t>
            </w:r>
          </w:p>
        </w:tc>
        <w:tc>
          <w:tcPr>
            <w:tcW w:w="1121" w:type="pct"/>
            <w:vAlign w:val="center"/>
          </w:tcPr>
          <w:p w14:paraId="695A2D45">
            <w:pPr>
              <w:pStyle w:val="27"/>
              <w:spacing w:before="211" w:line="183" w:lineRule="auto"/>
              <w:jc w:val="center"/>
              <w:outlineLvl w:val="9"/>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重要提示</w:t>
            </w:r>
          </w:p>
        </w:tc>
        <w:tc>
          <w:tcPr>
            <w:tcW w:w="3335" w:type="pct"/>
            <w:gridSpan w:val="2"/>
            <w:vAlign w:val="center"/>
          </w:tcPr>
          <w:p w14:paraId="13FD9C3E">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1.安徽省二级建造师电子证书右上角增加使用时限的标注，查看和下载电子证书时，本人应确认该证书的使用时限。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w:t>
            </w:r>
          </w:p>
          <w:p w14:paraId="6892FA9C">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2.安徽省自2024年9月1日起，旧二级建造师电子证书失效。二级建造师打印电子证书后，应在个人签名处手写本人签名，未手写签名或与签名图像笔迹不一致的，该电子证书无效。</w:t>
            </w:r>
          </w:p>
          <w:p w14:paraId="43FE2D11">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 xml:space="preserve">注： </w:t>
            </w:r>
          </w:p>
          <w:p w14:paraId="6359E691">
            <w:pPr>
              <w:keepNext w:val="0"/>
              <w:keepLines w:val="0"/>
              <w:widowControl/>
              <w:suppressLineNumbers w:val="0"/>
              <w:snapToGrid w:val="0"/>
              <w:spacing w:before="0" w:beforeAutospacing="0" w:after="0" w:afterAutospacing="0" w:line="360" w:lineRule="auto"/>
              <w:ind w:left="0" w:leftChars="0" w:right="0" w:rightChars="0"/>
              <w:jc w:val="both"/>
              <w:outlineLvl w:val="9"/>
              <w:rPr>
                <w:rFonts w:hint="eastAsia" w:asciiTheme="minorEastAsia" w:hAnsiTheme="minorEastAsia" w:eastAsiaTheme="minorEastAsia" w:cstheme="minorEastAsia"/>
                <w:bCs/>
                <w:snapToGrid w:val="0"/>
                <w:color w:val="auto"/>
                <w:kern w:val="2"/>
                <w:sz w:val="21"/>
                <w:szCs w:val="21"/>
                <w:highlight w:val="none"/>
                <w:lang w:val="en-US" w:eastAsia="zh-CN" w:bidi="ar"/>
              </w:rPr>
            </w:pPr>
            <w:r>
              <w:rPr>
                <w:rFonts w:hint="eastAsia" w:asciiTheme="minorEastAsia" w:hAnsiTheme="minorEastAsia" w:eastAsiaTheme="minorEastAsia" w:cstheme="minorEastAsia"/>
                <w:bCs/>
                <w:snapToGrid w:val="0"/>
                <w:color w:val="auto"/>
                <w:kern w:val="2"/>
                <w:sz w:val="21"/>
                <w:szCs w:val="21"/>
                <w:highlight w:val="none"/>
                <w:lang w:val="en-US" w:eastAsia="zh-CN" w:bidi="ar"/>
              </w:rPr>
              <w:t>相关政策详见安徽省住房和城乡建设厅《关于加强二级建造师事中事后监管工作的通知》（建市函〔2024〕137 号）。</w:t>
            </w:r>
          </w:p>
        </w:tc>
      </w:tr>
    </w:tbl>
    <w:p w14:paraId="0C935B0F">
      <w:pPr>
        <w:outlineLvl w:val="9"/>
        <w:rPr>
          <w:rFonts w:hint="eastAsia" w:ascii="黑体" w:hAnsi="宋体" w:eastAsia="宋体" w:cs="宋体"/>
          <w:color w:val="auto"/>
          <w:sz w:val="28"/>
          <w:szCs w:val="28"/>
          <w:highlight w:val="none"/>
          <w:lang w:eastAsia="zh-CN"/>
        </w:rPr>
      </w:pPr>
      <w:r>
        <w:rPr>
          <w:rFonts w:hint="eastAsia" w:ascii="黑体" w:hAnsi="宋体" w:eastAsia="宋体" w:cs="宋体"/>
          <w:color w:val="auto"/>
          <w:sz w:val="28"/>
          <w:szCs w:val="28"/>
          <w:highlight w:val="none"/>
          <w:lang w:eastAsia="zh-CN"/>
        </w:rPr>
        <w:br w:type="page"/>
      </w:r>
    </w:p>
    <w:p w14:paraId="5E1CF229">
      <w:pPr>
        <w:pStyle w:val="33"/>
        <w:pageBreakBefore w:val="0"/>
        <w:widowControl w:val="0"/>
        <w:kinsoku/>
        <w:overflowPunct/>
        <w:topLinePunct/>
        <w:autoSpaceDE/>
        <w:autoSpaceDN/>
        <w:bidi w:val="0"/>
        <w:adjustRightInd/>
        <w:snapToGrid/>
        <w:spacing w:before="240" w:after="240" w:line="360" w:lineRule="auto"/>
        <w:jc w:val="both"/>
        <w:textAlignment w:val="auto"/>
        <w:outlineLvl w:val="9"/>
        <w:rPr>
          <w:rFonts w:hint="eastAsia" w:ascii="黑体" w:hAnsi="黑体" w:eastAsia="黑体" w:cs="黑体"/>
          <w:b/>
          <w:bCs w:val="0"/>
          <w:snapToGrid/>
          <w:color w:val="auto"/>
          <w:kern w:val="2"/>
          <w:sz w:val="32"/>
          <w:highlight w:val="none"/>
          <w:lang w:val="en-US" w:eastAsia="zh-CN"/>
        </w:rPr>
      </w:pPr>
      <w:bookmarkStart w:id="30" w:name="_Toc29856"/>
      <w:bookmarkStart w:id="31" w:name="_Toc26709"/>
      <w:bookmarkStart w:id="32" w:name="_Toc12530"/>
      <w:r>
        <w:rPr>
          <w:rFonts w:hint="eastAsia" w:ascii="黑体" w:hAnsi="黑体" w:eastAsia="黑体" w:cs="黑体"/>
          <w:b/>
          <w:bCs w:val="0"/>
          <w:snapToGrid/>
          <w:color w:val="auto"/>
          <w:kern w:val="2"/>
          <w:sz w:val="32"/>
          <w:highlight w:val="none"/>
          <w:lang w:eastAsia="zh-CN"/>
        </w:rPr>
        <w:t>附件</w:t>
      </w:r>
      <w:r>
        <w:rPr>
          <w:rFonts w:hint="eastAsia" w:ascii="黑体" w:hAnsi="黑体" w:eastAsia="黑体" w:cs="黑体"/>
          <w:b/>
          <w:bCs w:val="0"/>
          <w:snapToGrid/>
          <w:color w:val="auto"/>
          <w:kern w:val="2"/>
          <w:sz w:val="32"/>
          <w:highlight w:val="none"/>
          <w:lang w:val="en-US" w:eastAsia="zh-CN"/>
        </w:rPr>
        <w:t>1</w:t>
      </w:r>
      <w:bookmarkEnd w:id="30"/>
      <w:bookmarkEnd w:id="31"/>
      <w:bookmarkEnd w:id="32"/>
    </w:p>
    <w:tbl>
      <w:tblPr>
        <w:tblStyle w:val="11"/>
        <w:tblW w:w="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706"/>
        <w:gridCol w:w="461"/>
        <w:gridCol w:w="825"/>
        <w:gridCol w:w="780"/>
        <w:gridCol w:w="840"/>
        <w:gridCol w:w="804"/>
        <w:gridCol w:w="761"/>
        <w:gridCol w:w="850"/>
        <w:gridCol w:w="851"/>
        <w:gridCol w:w="992"/>
        <w:gridCol w:w="992"/>
        <w:gridCol w:w="4144"/>
      </w:tblGrid>
      <w:tr w14:paraId="3B70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801" w:hRule="atLeast"/>
        </w:trPr>
        <w:tc>
          <w:tcPr>
            <w:tcW w:w="9322" w:type="dxa"/>
            <w:gridSpan w:val="12"/>
            <w:shd w:val="clear" w:color="auto" w:fill="auto"/>
            <w:vAlign w:val="center"/>
          </w:tcPr>
          <w:p w14:paraId="430257F7">
            <w:pPr>
              <w:keepNext w:val="0"/>
              <w:keepLines w:val="0"/>
              <w:widowControl/>
              <w:suppressLineNumbers w:val="0"/>
              <w:snapToGrid w:val="0"/>
              <w:spacing w:before="0" w:beforeAutospacing="0" w:after="0" w:afterAutospacing="0"/>
              <w:ind w:left="0" w:right="0" w:firstLine="482"/>
              <w:jc w:val="center"/>
              <w:outlineLvl w:val="9"/>
              <w:rPr>
                <w:rFonts w:hint="default" w:cs="宋体"/>
                <w:b/>
                <w:bCs/>
                <w:color w:val="auto"/>
                <w:sz w:val="24"/>
                <w:szCs w:val="24"/>
                <w:highlight w:val="none"/>
                <w:lang w:val="en-US"/>
              </w:rPr>
            </w:pPr>
            <w:r>
              <w:rPr>
                <w:rFonts w:hint="eastAsia" w:ascii="宋体" w:hAnsi="宋体" w:eastAsia="宋体" w:cs="宋体"/>
                <w:b/>
                <w:bCs/>
                <w:snapToGrid w:val="0"/>
                <w:color w:val="auto"/>
                <w:kern w:val="0"/>
                <w:sz w:val="21"/>
                <w:szCs w:val="24"/>
                <w:highlight w:val="none"/>
                <w:lang w:val="en-US" w:eastAsia="zh-CN" w:bidi="ar"/>
              </w:rPr>
              <w:t>造价咨询工作服务费收费标准</w:t>
            </w:r>
          </w:p>
          <w:p w14:paraId="060F462C">
            <w:pPr>
              <w:keepNext w:val="0"/>
              <w:keepLines w:val="0"/>
              <w:widowControl/>
              <w:suppressLineNumbers w:val="0"/>
              <w:snapToGrid w:val="0"/>
              <w:spacing w:before="0" w:beforeAutospacing="0" w:after="0" w:afterAutospacing="0"/>
              <w:ind w:left="0" w:right="0" w:firstLine="480"/>
              <w:jc w:val="center"/>
              <w:outlineLvl w:val="9"/>
              <w:rPr>
                <w:rFonts w:hint="default" w:hAnsi="宋体" w:cs="宋体"/>
                <w:color w:val="auto"/>
                <w:sz w:val="40"/>
                <w:szCs w:val="40"/>
                <w:highlight w:val="none"/>
                <w:lang w:val="en-US"/>
              </w:rPr>
            </w:pPr>
            <w:r>
              <w:rPr>
                <w:rFonts w:hint="eastAsia" w:ascii="宋体" w:hAnsi="宋体" w:eastAsia="宋体" w:cs="宋体"/>
                <w:snapToGrid w:val="0"/>
                <w:color w:val="auto"/>
                <w:kern w:val="0"/>
                <w:sz w:val="21"/>
                <w:szCs w:val="24"/>
                <w:highlight w:val="none"/>
                <w:lang w:val="en-US" w:eastAsia="zh-CN" w:bidi="ar"/>
              </w:rPr>
              <w:t>费率：  ‰</w:t>
            </w:r>
          </w:p>
        </w:tc>
      </w:tr>
      <w:tr w14:paraId="550E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6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1D8E70A4">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序号</w:t>
            </w:r>
          </w:p>
        </w:tc>
        <w:tc>
          <w:tcPr>
            <w:tcW w:w="706" w:type="dxa"/>
            <w:vMerge w:val="restart"/>
            <w:tcBorders>
              <w:top w:val="single" w:color="auto" w:sz="4" w:space="0"/>
              <w:left w:val="nil"/>
              <w:bottom w:val="single" w:color="auto" w:sz="4" w:space="0"/>
              <w:right w:val="single" w:color="auto" w:sz="4" w:space="0"/>
            </w:tcBorders>
            <w:shd w:val="clear" w:color="auto" w:fill="auto"/>
            <w:vAlign w:val="center"/>
          </w:tcPr>
          <w:p w14:paraId="107C5127">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咨询项目</w:t>
            </w:r>
          </w:p>
        </w:tc>
        <w:tc>
          <w:tcPr>
            <w:tcW w:w="461" w:type="dxa"/>
            <w:vMerge w:val="restart"/>
            <w:tcBorders>
              <w:top w:val="single" w:color="auto" w:sz="4" w:space="0"/>
              <w:left w:val="nil"/>
              <w:bottom w:val="single" w:color="auto" w:sz="4" w:space="0"/>
              <w:right w:val="single" w:color="auto" w:sz="4" w:space="0"/>
            </w:tcBorders>
            <w:shd w:val="clear" w:color="auto" w:fill="auto"/>
            <w:vAlign w:val="center"/>
          </w:tcPr>
          <w:p w14:paraId="5EA18EEE">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收费基础</w:t>
            </w:r>
          </w:p>
        </w:tc>
        <w:tc>
          <w:tcPr>
            <w:tcW w:w="825" w:type="dxa"/>
            <w:vMerge w:val="restart"/>
            <w:tcBorders>
              <w:top w:val="single" w:color="auto" w:sz="4" w:space="0"/>
              <w:left w:val="nil"/>
              <w:bottom w:val="single" w:color="auto" w:sz="4" w:space="0"/>
              <w:right w:val="single" w:color="auto" w:sz="4" w:space="0"/>
            </w:tcBorders>
            <w:shd w:val="clear" w:color="auto" w:fill="auto"/>
            <w:vAlign w:val="center"/>
          </w:tcPr>
          <w:p w14:paraId="36495BD3">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工程类型</w:t>
            </w:r>
          </w:p>
        </w:tc>
        <w:tc>
          <w:tcPr>
            <w:tcW w:w="6870" w:type="dxa"/>
            <w:gridSpan w:val="8"/>
            <w:tcBorders>
              <w:top w:val="single" w:color="auto" w:sz="4" w:space="0"/>
              <w:left w:val="nil"/>
              <w:bottom w:val="single" w:color="auto" w:sz="4" w:space="0"/>
              <w:right w:val="single" w:color="auto" w:sz="4" w:space="0"/>
            </w:tcBorders>
            <w:shd w:val="clear" w:color="auto" w:fill="auto"/>
            <w:vAlign w:val="center"/>
          </w:tcPr>
          <w:p w14:paraId="2FE30FEE">
            <w:pPr>
              <w:keepNext w:val="0"/>
              <w:keepLines w:val="0"/>
              <w:widowControl/>
              <w:suppressLineNumbers w:val="0"/>
              <w:spacing w:before="0" w:beforeAutospacing="0" w:after="0" w:afterAutospacing="0"/>
              <w:ind w:left="0" w:right="0" w:firstLine="48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中标金额（万元）</w:t>
            </w:r>
          </w:p>
        </w:tc>
        <w:tc>
          <w:tcPr>
            <w:tcW w:w="4144" w:type="dxa"/>
            <w:shd w:val="clear" w:color="auto" w:fill="auto"/>
            <w:vAlign w:val="center"/>
          </w:tcPr>
          <w:p w14:paraId="28348EC4">
            <w:pPr>
              <w:keepNext w:val="0"/>
              <w:keepLines w:val="0"/>
              <w:widowControl/>
              <w:suppressLineNumbers w:val="0"/>
              <w:spacing w:before="0" w:beforeAutospacing="0" w:after="0" w:afterAutospacing="0"/>
              <w:ind w:left="0" w:right="0" w:firstLine="480"/>
              <w:jc w:val="center"/>
              <w:outlineLvl w:val="9"/>
              <w:rPr>
                <w:rFonts w:hint="default" w:hAnsi="宋体" w:cs="宋体"/>
                <w:color w:val="auto"/>
                <w:highlight w:val="none"/>
                <w:lang w:val="en-US"/>
              </w:rPr>
            </w:pPr>
          </w:p>
        </w:tc>
      </w:tr>
      <w:tr w14:paraId="26E3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696" w:hRule="atLeast"/>
        </w:trPr>
        <w:tc>
          <w:tcPr>
            <w:tcW w:w="46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09BD89C">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706" w:type="dxa"/>
            <w:vMerge w:val="continue"/>
            <w:tcBorders>
              <w:top w:val="single" w:color="auto" w:sz="4" w:space="0"/>
              <w:left w:val="nil"/>
              <w:bottom w:val="single" w:color="auto" w:sz="4" w:space="0"/>
              <w:right w:val="single" w:color="auto" w:sz="4" w:space="0"/>
            </w:tcBorders>
            <w:shd w:val="clear" w:color="auto" w:fill="auto"/>
            <w:vAlign w:val="center"/>
          </w:tcPr>
          <w:p w14:paraId="745A956B">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461" w:type="dxa"/>
            <w:vMerge w:val="continue"/>
            <w:tcBorders>
              <w:top w:val="single" w:color="auto" w:sz="4" w:space="0"/>
              <w:left w:val="nil"/>
              <w:bottom w:val="single" w:color="auto" w:sz="4" w:space="0"/>
              <w:right w:val="single" w:color="auto" w:sz="4" w:space="0"/>
            </w:tcBorders>
            <w:shd w:val="clear" w:color="auto" w:fill="auto"/>
            <w:vAlign w:val="center"/>
          </w:tcPr>
          <w:p w14:paraId="7AFD068A">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825" w:type="dxa"/>
            <w:vMerge w:val="continue"/>
            <w:tcBorders>
              <w:top w:val="single" w:color="auto" w:sz="4" w:space="0"/>
              <w:left w:val="nil"/>
              <w:bottom w:val="single" w:color="auto" w:sz="4" w:space="0"/>
              <w:right w:val="single" w:color="auto" w:sz="4" w:space="0"/>
            </w:tcBorders>
            <w:shd w:val="clear" w:color="auto" w:fill="auto"/>
            <w:vAlign w:val="center"/>
          </w:tcPr>
          <w:p w14:paraId="788B0B59">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780" w:type="dxa"/>
            <w:tcBorders>
              <w:top w:val="single" w:color="auto" w:sz="4" w:space="0"/>
              <w:left w:val="nil"/>
              <w:bottom w:val="single" w:color="auto" w:sz="4" w:space="0"/>
              <w:right w:val="single" w:color="auto" w:sz="4" w:space="0"/>
            </w:tcBorders>
            <w:shd w:val="clear" w:color="auto" w:fill="auto"/>
            <w:vAlign w:val="center"/>
          </w:tcPr>
          <w:p w14:paraId="12562179">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100以内</w:t>
            </w:r>
          </w:p>
        </w:tc>
        <w:tc>
          <w:tcPr>
            <w:tcW w:w="840" w:type="dxa"/>
            <w:tcBorders>
              <w:top w:val="single" w:color="auto" w:sz="4" w:space="0"/>
              <w:left w:val="nil"/>
              <w:bottom w:val="single" w:color="auto" w:sz="4" w:space="0"/>
              <w:right w:val="single" w:color="auto" w:sz="4" w:space="0"/>
            </w:tcBorders>
            <w:shd w:val="clear" w:color="auto" w:fill="auto"/>
            <w:vAlign w:val="center"/>
          </w:tcPr>
          <w:p w14:paraId="4C4251DF">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200以内</w:t>
            </w:r>
          </w:p>
        </w:tc>
        <w:tc>
          <w:tcPr>
            <w:tcW w:w="804" w:type="dxa"/>
            <w:tcBorders>
              <w:top w:val="single" w:color="auto" w:sz="4" w:space="0"/>
              <w:left w:val="nil"/>
              <w:bottom w:val="single" w:color="auto" w:sz="4" w:space="0"/>
              <w:right w:val="single" w:color="auto" w:sz="4" w:space="0"/>
            </w:tcBorders>
            <w:shd w:val="clear" w:color="auto" w:fill="auto"/>
            <w:vAlign w:val="center"/>
          </w:tcPr>
          <w:p w14:paraId="7717DC1A">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500以内</w:t>
            </w:r>
          </w:p>
        </w:tc>
        <w:tc>
          <w:tcPr>
            <w:tcW w:w="761" w:type="dxa"/>
            <w:tcBorders>
              <w:top w:val="single" w:color="auto" w:sz="4" w:space="0"/>
              <w:left w:val="nil"/>
              <w:bottom w:val="single" w:color="auto" w:sz="4" w:space="0"/>
              <w:right w:val="single" w:color="auto" w:sz="4" w:space="0"/>
            </w:tcBorders>
            <w:shd w:val="clear" w:color="auto" w:fill="auto"/>
            <w:vAlign w:val="center"/>
          </w:tcPr>
          <w:p w14:paraId="3119690B">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1000以内</w:t>
            </w:r>
          </w:p>
        </w:tc>
        <w:tc>
          <w:tcPr>
            <w:tcW w:w="850" w:type="dxa"/>
            <w:tcBorders>
              <w:top w:val="single" w:color="auto" w:sz="4" w:space="0"/>
              <w:left w:val="nil"/>
              <w:bottom w:val="single" w:color="auto" w:sz="4" w:space="0"/>
              <w:right w:val="single" w:color="auto" w:sz="4" w:space="0"/>
            </w:tcBorders>
            <w:shd w:val="clear" w:color="auto" w:fill="auto"/>
            <w:vAlign w:val="center"/>
          </w:tcPr>
          <w:p w14:paraId="3812EE68">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2000以内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12161FEE">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5000以内</w:t>
            </w:r>
          </w:p>
        </w:tc>
        <w:tc>
          <w:tcPr>
            <w:tcW w:w="992" w:type="dxa"/>
            <w:tcBorders>
              <w:top w:val="single" w:color="auto" w:sz="4" w:space="0"/>
              <w:left w:val="nil"/>
              <w:bottom w:val="single" w:color="auto" w:sz="4" w:space="0"/>
              <w:right w:val="single" w:color="auto" w:sz="4" w:space="0"/>
            </w:tcBorders>
            <w:shd w:val="clear" w:color="auto" w:fill="auto"/>
            <w:vAlign w:val="center"/>
          </w:tcPr>
          <w:p w14:paraId="19386357">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10000以内</w:t>
            </w:r>
          </w:p>
        </w:tc>
        <w:tc>
          <w:tcPr>
            <w:tcW w:w="992" w:type="dxa"/>
            <w:tcBorders>
              <w:top w:val="single" w:color="auto" w:sz="4" w:space="0"/>
              <w:left w:val="nil"/>
              <w:bottom w:val="single" w:color="auto" w:sz="4" w:space="0"/>
              <w:right w:val="single" w:color="auto" w:sz="4" w:space="0"/>
            </w:tcBorders>
            <w:shd w:val="clear" w:color="auto" w:fill="auto"/>
            <w:vAlign w:val="center"/>
          </w:tcPr>
          <w:p w14:paraId="2F83E1DB">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10000以上</w:t>
            </w:r>
          </w:p>
        </w:tc>
      </w:tr>
      <w:tr w14:paraId="1300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470" w:hRule="atLeast"/>
        </w:trPr>
        <w:tc>
          <w:tcPr>
            <w:tcW w:w="460" w:type="dxa"/>
            <w:vMerge w:val="restart"/>
            <w:tcBorders>
              <w:top w:val="nil"/>
              <w:left w:val="single" w:color="000000" w:sz="4" w:space="0"/>
              <w:bottom w:val="single" w:color="000000" w:sz="4" w:space="0"/>
              <w:right w:val="single" w:color="000000" w:sz="4" w:space="0"/>
            </w:tcBorders>
            <w:shd w:val="clear" w:color="auto" w:fill="auto"/>
            <w:vAlign w:val="center"/>
          </w:tcPr>
          <w:p w14:paraId="7B546CB3">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1</w:t>
            </w:r>
          </w:p>
        </w:tc>
        <w:tc>
          <w:tcPr>
            <w:tcW w:w="706" w:type="dxa"/>
            <w:vMerge w:val="restart"/>
            <w:tcBorders>
              <w:top w:val="nil"/>
              <w:left w:val="nil"/>
              <w:bottom w:val="single" w:color="000000" w:sz="4" w:space="0"/>
              <w:right w:val="single" w:color="000000" w:sz="4" w:space="0"/>
            </w:tcBorders>
            <w:shd w:val="clear" w:color="auto" w:fill="auto"/>
            <w:vAlign w:val="center"/>
          </w:tcPr>
          <w:p w14:paraId="1E6E7C73">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招标工程量清单</w:t>
            </w:r>
          </w:p>
        </w:tc>
        <w:tc>
          <w:tcPr>
            <w:tcW w:w="461" w:type="dxa"/>
            <w:vMerge w:val="restart"/>
            <w:tcBorders>
              <w:top w:val="nil"/>
              <w:left w:val="nil"/>
              <w:bottom w:val="single" w:color="000000" w:sz="4" w:space="0"/>
              <w:right w:val="single" w:color="000000" w:sz="4" w:space="0"/>
            </w:tcBorders>
            <w:shd w:val="clear" w:color="auto" w:fill="auto"/>
            <w:vAlign w:val="center"/>
          </w:tcPr>
          <w:p w14:paraId="7545399C">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中标价</w:t>
            </w:r>
          </w:p>
        </w:tc>
        <w:tc>
          <w:tcPr>
            <w:tcW w:w="825" w:type="dxa"/>
            <w:tcBorders>
              <w:top w:val="single" w:color="auto" w:sz="4" w:space="0"/>
              <w:left w:val="nil"/>
              <w:bottom w:val="single" w:color="000000" w:sz="4" w:space="0"/>
              <w:right w:val="single" w:color="000000" w:sz="4" w:space="0"/>
            </w:tcBorders>
            <w:shd w:val="clear" w:color="auto" w:fill="auto"/>
            <w:vAlign w:val="center"/>
          </w:tcPr>
          <w:p w14:paraId="46C969B6">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建筑工程</w:t>
            </w:r>
          </w:p>
        </w:tc>
        <w:tc>
          <w:tcPr>
            <w:tcW w:w="780" w:type="dxa"/>
            <w:tcBorders>
              <w:top w:val="single" w:color="auto" w:sz="4" w:space="0"/>
              <w:left w:val="nil"/>
              <w:bottom w:val="single" w:color="000000" w:sz="4" w:space="0"/>
              <w:right w:val="single" w:color="000000" w:sz="4" w:space="0"/>
            </w:tcBorders>
            <w:shd w:val="clear" w:color="auto" w:fill="auto"/>
            <w:vAlign w:val="center"/>
          </w:tcPr>
          <w:p w14:paraId="1478AE0A">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4.80</w:t>
            </w:r>
          </w:p>
        </w:tc>
        <w:tc>
          <w:tcPr>
            <w:tcW w:w="840" w:type="dxa"/>
            <w:tcBorders>
              <w:top w:val="single" w:color="auto" w:sz="4" w:space="0"/>
              <w:left w:val="nil"/>
              <w:bottom w:val="single" w:color="000000" w:sz="4" w:space="0"/>
              <w:right w:val="single" w:color="000000" w:sz="4" w:space="0"/>
            </w:tcBorders>
            <w:shd w:val="clear" w:color="auto" w:fill="auto"/>
            <w:vAlign w:val="center"/>
          </w:tcPr>
          <w:p w14:paraId="435E7999">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4.30</w:t>
            </w:r>
          </w:p>
        </w:tc>
        <w:tc>
          <w:tcPr>
            <w:tcW w:w="804" w:type="dxa"/>
            <w:tcBorders>
              <w:top w:val="single" w:color="auto" w:sz="4" w:space="0"/>
              <w:left w:val="nil"/>
              <w:bottom w:val="single" w:color="000000" w:sz="4" w:space="0"/>
              <w:right w:val="single" w:color="000000" w:sz="4" w:space="0"/>
            </w:tcBorders>
            <w:shd w:val="clear" w:color="auto" w:fill="auto"/>
            <w:vAlign w:val="center"/>
          </w:tcPr>
          <w:p w14:paraId="006BEFB1">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3.80</w:t>
            </w:r>
          </w:p>
        </w:tc>
        <w:tc>
          <w:tcPr>
            <w:tcW w:w="761" w:type="dxa"/>
            <w:tcBorders>
              <w:top w:val="single" w:color="auto" w:sz="4" w:space="0"/>
              <w:left w:val="nil"/>
              <w:bottom w:val="single" w:color="000000" w:sz="4" w:space="0"/>
              <w:right w:val="single" w:color="000000" w:sz="4" w:space="0"/>
            </w:tcBorders>
            <w:shd w:val="clear" w:color="auto" w:fill="auto"/>
            <w:vAlign w:val="center"/>
          </w:tcPr>
          <w:p w14:paraId="00A1AFA7">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3.40</w:t>
            </w:r>
          </w:p>
        </w:tc>
        <w:tc>
          <w:tcPr>
            <w:tcW w:w="850" w:type="dxa"/>
            <w:tcBorders>
              <w:top w:val="single" w:color="auto" w:sz="4" w:space="0"/>
              <w:left w:val="nil"/>
              <w:bottom w:val="single" w:color="000000" w:sz="4" w:space="0"/>
              <w:right w:val="single" w:color="000000" w:sz="4" w:space="0"/>
            </w:tcBorders>
            <w:shd w:val="clear" w:color="auto" w:fill="auto"/>
            <w:vAlign w:val="center"/>
          </w:tcPr>
          <w:p w14:paraId="54680AEF">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3.00</w:t>
            </w:r>
          </w:p>
        </w:tc>
        <w:tc>
          <w:tcPr>
            <w:tcW w:w="851" w:type="dxa"/>
            <w:tcBorders>
              <w:top w:val="single" w:color="auto" w:sz="4" w:space="0"/>
              <w:left w:val="nil"/>
              <w:bottom w:val="single" w:color="000000" w:sz="4" w:space="0"/>
              <w:right w:val="single" w:color="000000" w:sz="4" w:space="0"/>
            </w:tcBorders>
            <w:shd w:val="clear" w:color="auto" w:fill="auto"/>
            <w:vAlign w:val="center"/>
          </w:tcPr>
          <w:p w14:paraId="608CB2DD">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2.80</w:t>
            </w:r>
          </w:p>
        </w:tc>
        <w:tc>
          <w:tcPr>
            <w:tcW w:w="992" w:type="dxa"/>
            <w:tcBorders>
              <w:top w:val="single" w:color="auto" w:sz="4" w:space="0"/>
              <w:left w:val="nil"/>
              <w:bottom w:val="single" w:color="000000" w:sz="4" w:space="0"/>
              <w:right w:val="single" w:color="000000" w:sz="4" w:space="0"/>
            </w:tcBorders>
            <w:shd w:val="clear" w:color="auto" w:fill="auto"/>
            <w:vAlign w:val="center"/>
          </w:tcPr>
          <w:p w14:paraId="3FED28F3">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2.50</w:t>
            </w:r>
          </w:p>
        </w:tc>
        <w:tc>
          <w:tcPr>
            <w:tcW w:w="992" w:type="dxa"/>
            <w:tcBorders>
              <w:top w:val="single" w:color="auto" w:sz="4" w:space="0"/>
              <w:left w:val="nil"/>
              <w:bottom w:val="single" w:color="000000" w:sz="4" w:space="0"/>
              <w:right w:val="single" w:color="000000" w:sz="4" w:space="0"/>
            </w:tcBorders>
            <w:shd w:val="clear" w:color="auto" w:fill="auto"/>
            <w:vAlign w:val="center"/>
          </w:tcPr>
          <w:p w14:paraId="6C0B850B">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2.30</w:t>
            </w:r>
          </w:p>
        </w:tc>
      </w:tr>
      <w:tr w14:paraId="7E1E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434" w:hRule="atLeast"/>
        </w:trPr>
        <w:tc>
          <w:tcPr>
            <w:tcW w:w="460" w:type="dxa"/>
            <w:vMerge w:val="continue"/>
            <w:tcBorders>
              <w:top w:val="nil"/>
              <w:left w:val="single" w:color="000000" w:sz="4" w:space="0"/>
              <w:bottom w:val="single" w:color="000000" w:sz="4" w:space="0"/>
              <w:right w:val="single" w:color="000000" w:sz="4" w:space="0"/>
            </w:tcBorders>
            <w:shd w:val="clear" w:color="auto" w:fill="auto"/>
            <w:vAlign w:val="center"/>
          </w:tcPr>
          <w:p w14:paraId="47DCEC91">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706" w:type="dxa"/>
            <w:vMerge w:val="continue"/>
            <w:tcBorders>
              <w:top w:val="nil"/>
              <w:left w:val="nil"/>
              <w:bottom w:val="single" w:color="000000" w:sz="4" w:space="0"/>
              <w:right w:val="single" w:color="000000" w:sz="4" w:space="0"/>
            </w:tcBorders>
            <w:shd w:val="clear" w:color="auto" w:fill="auto"/>
            <w:vAlign w:val="center"/>
          </w:tcPr>
          <w:p w14:paraId="7C78985F">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461" w:type="dxa"/>
            <w:vMerge w:val="continue"/>
            <w:tcBorders>
              <w:top w:val="nil"/>
              <w:left w:val="nil"/>
              <w:bottom w:val="single" w:color="000000" w:sz="4" w:space="0"/>
              <w:right w:val="single" w:color="000000" w:sz="4" w:space="0"/>
            </w:tcBorders>
            <w:shd w:val="clear" w:color="auto" w:fill="auto"/>
            <w:vAlign w:val="center"/>
          </w:tcPr>
          <w:p w14:paraId="11EBE396">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14:paraId="7FCAE1D4">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安装工程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5FCC431">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5.00</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1D8F257E">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4.60</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6DBCCF08">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4.00</w:t>
            </w:r>
          </w:p>
        </w:tc>
        <w:tc>
          <w:tcPr>
            <w:tcW w:w="761" w:type="dxa"/>
            <w:tcBorders>
              <w:top w:val="single" w:color="000000" w:sz="4" w:space="0"/>
              <w:left w:val="nil"/>
              <w:bottom w:val="single" w:color="000000" w:sz="4" w:space="0"/>
              <w:right w:val="single" w:color="000000" w:sz="4" w:space="0"/>
            </w:tcBorders>
            <w:shd w:val="clear" w:color="auto" w:fill="auto"/>
            <w:vAlign w:val="center"/>
          </w:tcPr>
          <w:p w14:paraId="31D64947">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3.60</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3F1F7BBD">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3.10</w:t>
            </w:r>
          </w:p>
        </w:tc>
        <w:tc>
          <w:tcPr>
            <w:tcW w:w="851" w:type="dxa"/>
            <w:tcBorders>
              <w:top w:val="single" w:color="000000" w:sz="4" w:space="0"/>
              <w:left w:val="nil"/>
              <w:bottom w:val="single" w:color="000000" w:sz="4" w:space="0"/>
              <w:right w:val="single" w:color="000000" w:sz="4" w:space="0"/>
            </w:tcBorders>
            <w:shd w:val="clear" w:color="auto" w:fill="auto"/>
            <w:vAlign w:val="center"/>
          </w:tcPr>
          <w:p w14:paraId="68AD3EED">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2.90</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4A65EE46">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2.60</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5A606F22">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2.40</w:t>
            </w:r>
          </w:p>
        </w:tc>
      </w:tr>
      <w:tr w14:paraId="3AD4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720" w:hRule="atLeast"/>
        </w:trPr>
        <w:tc>
          <w:tcPr>
            <w:tcW w:w="460" w:type="dxa"/>
            <w:vMerge w:val="restart"/>
            <w:tcBorders>
              <w:top w:val="nil"/>
              <w:left w:val="single" w:color="000000" w:sz="4" w:space="0"/>
              <w:bottom w:val="single" w:color="000000" w:sz="4" w:space="0"/>
              <w:right w:val="single" w:color="000000" w:sz="4" w:space="0"/>
            </w:tcBorders>
            <w:shd w:val="clear" w:color="auto" w:fill="auto"/>
            <w:vAlign w:val="center"/>
          </w:tcPr>
          <w:p w14:paraId="5286F991">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2</w:t>
            </w:r>
          </w:p>
        </w:tc>
        <w:tc>
          <w:tcPr>
            <w:tcW w:w="706" w:type="dxa"/>
            <w:vMerge w:val="restart"/>
            <w:tcBorders>
              <w:top w:val="nil"/>
              <w:left w:val="nil"/>
              <w:bottom w:val="single" w:color="000000" w:sz="4" w:space="0"/>
              <w:right w:val="single" w:color="000000" w:sz="4" w:space="0"/>
            </w:tcBorders>
            <w:shd w:val="clear" w:color="auto" w:fill="auto"/>
            <w:vAlign w:val="center"/>
          </w:tcPr>
          <w:p w14:paraId="6E7966D6">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最高投标限价（招标控价）</w:t>
            </w:r>
          </w:p>
        </w:tc>
        <w:tc>
          <w:tcPr>
            <w:tcW w:w="461" w:type="dxa"/>
            <w:vMerge w:val="restart"/>
            <w:tcBorders>
              <w:top w:val="nil"/>
              <w:left w:val="nil"/>
              <w:bottom w:val="single" w:color="000000" w:sz="4" w:space="0"/>
              <w:right w:val="single" w:color="000000" w:sz="4" w:space="0"/>
            </w:tcBorders>
            <w:shd w:val="clear" w:color="auto" w:fill="auto"/>
            <w:vAlign w:val="center"/>
          </w:tcPr>
          <w:p w14:paraId="7F0F3589">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中标价</w:t>
            </w:r>
          </w:p>
        </w:tc>
        <w:tc>
          <w:tcPr>
            <w:tcW w:w="825" w:type="dxa"/>
            <w:tcBorders>
              <w:top w:val="single" w:color="000000" w:sz="4" w:space="0"/>
              <w:left w:val="nil"/>
              <w:bottom w:val="single" w:color="000000" w:sz="4" w:space="0"/>
              <w:right w:val="single" w:color="000000" w:sz="4" w:space="0"/>
            </w:tcBorders>
            <w:shd w:val="clear" w:color="auto" w:fill="auto"/>
            <w:vAlign w:val="center"/>
          </w:tcPr>
          <w:p w14:paraId="48F01C26">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建筑工程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5321913">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2.00</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45CC3E13">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1.80</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6665224B">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1.60</w:t>
            </w:r>
          </w:p>
        </w:tc>
        <w:tc>
          <w:tcPr>
            <w:tcW w:w="761" w:type="dxa"/>
            <w:tcBorders>
              <w:top w:val="single" w:color="000000" w:sz="4" w:space="0"/>
              <w:left w:val="nil"/>
              <w:bottom w:val="single" w:color="000000" w:sz="4" w:space="0"/>
              <w:right w:val="single" w:color="000000" w:sz="4" w:space="0"/>
            </w:tcBorders>
            <w:shd w:val="clear" w:color="auto" w:fill="auto"/>
            <w:vAlign w:val="center"/>
          </w:tcPr>
          <w:p w14:paraId="7630522F">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1.40</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2099B10F">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1.30</w:t>
            </w:r>
          </w:p>
        </w:tc>
        <w:tc>
          <w:tcPr>
            <w:tcW w:w="851" w:type="dxa"/>
            <w:tcBorders>
              <w:top w:val="single" w:color="000000" w:sz="4" w:space="0"/>
              <w:left w:val="nil"/>
              <w:bottom w:val="single" w:color="000000" w:sz="4" w:space="0"/>
              <w:right w:val="single" w:color="000000" w:sz="4" w:space="0"/>
            </w:tcBorders>
            <w:shd w:val="clear" w:color="auto" w:fill="auto"/>
            <w:vAlign w:val="center"/>
          </w:tcPr>
          <w:p w14:paraId="36512C9C">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1.20</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54D2E597">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1.10</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4F49A33A">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1.00</w:t>
            </w:r>
          </w:p>
        </w:tc>
      </w:tr>
      <w:tr w14:paraId="7CBA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646" w:hRule="atLeast"/>
        </w:trPr>
        <w:tc>
          <w:tcPr>
            <w:tcW w:w="460" w:type="dxa"/>
            <w:vMerge w:val="continue"/>
            <w:tcBorders>
              <w:top w:val="nil"/>
              <w:left w:val="single" w:color="000000" w:sz="4" w:space="0"/>
              <w:bottom w:val="single" w:color="000000" w:sz="4" w:space="0"/>
              <w:right w:val="single" w:color="000000" w:sz="4" w:space="0"/>
            </w:tcBorders>
            <w:shd w:val="clear" w:color="auto" w:fill="auto"/>
            <w:vAlign w:val="center"/>
          </w:tcPr>
          <w:p w14:paraId="700E69E1">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706" w:type="dxa"/>
            <w:vMerge w:val="continue"/>
            <w:tcBorders>
              <w:top w:val="nil"/>
              <w:left w:val="nil"/>
              <w:bottom w:val="single" w:color="000000" w:sz="4" w:space="0"/>
              <w:right w:val="single" w:color="000000" w:sz="4" w:space="0"/>
            </w:tcBorders>
            <w:shd w:val="clear" w:color="auto" w:fill="auto"/>
            <w:vAlign w:val="center"/>
          </w:tcPr>
          <w:p w14:paraId="3745459B">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461" w:type="dxa"/>
            <w:vMerge w:val="continue"/>
            <w:tcBorders>
              <w:top w:val="nil"/>
              <w:left w:val="nil"/>
              <w:bottom w:val="single" w:color="000000" w:sz="4" w:space="0"/>
              <w:right w:val="single" w:color="000000" w:sz="4" w:space="0"/>
            </w:tcBorders>
            <w:shd w:val="clear" w:color="auto" w:fill="auto"/>
            <w:vAlign w:val="center"/>
          </w:tcPr>
          <w:p w14:paraId="4B410A4A">
            <w:pPr>
              <w:keepNext w:val="0"/>
              <w:keepLines w:val="0"/>
              <w:widowControl/>
              <w:suppressLineNumbers w:val="0"/>
              <w:spacing w:before="0" w:beforeAutospacing="0" w:after="0" w:afterAutospacing="0"/>
              <w:ind w:left="0" w:right="0"/>
              <w:jc w:val="center"/>
              <w:outlineLvl w:val="9"/>
              <w:rPr>
                <w:rFonts w:hint="default" w:ascii="Times New Roman" w:hAnsi="Times New Roman" w:cs="Times New Roman"/>
                <w:color w:val="auto"/>
                <w:sz w:val="20"/>
                <w:szCs w:val="20"/>
                <w:highlight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14:paraId="4C59CC1C">
            <w:pPr>
              <w:keepNext w:val="0"/>
              <w:keepLines w:val="0"/>
              <w:widowControl/>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snapToGrid w:val="0"/>
                <w:color w:val="auto"/>
                <w:kern w:val="0"/>
                <w:sz w:val="21"/>
                <w:szCs w:val="24"/>
                <w:highlight w:val="none"/>
                <w:lang w:val="en-US" w:eastAsia="zh-CN" w:bidi="ar"/>
              </w:rPr>
              <w:t>安装工程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143C68C">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2.10</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76CAAFF4">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1.90</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00A9956D">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1.70</w:t>
            </w:r>
          </w:p>
        </w:tc>
        <w:tc>
          <w:tcPr>
            <w:tcW w:w="761" w:type="dxa"/>
            <w:tcBorders>
              <w:top w:val="single" w:color="000000" w:sz="4" w:space="0"/>
              <w:left w:val="nil"/>
              <w:bottom w:val="single" w:color="000000" w:sz="4" w:space="0"/>
              <w:right w:val="single" w:color="000000" w:sz="4" w:space="0"/>
            </w:tcBorders>
            <w:shd w:val="clear" w:color="auto" w:fill="auto"/>
            <w:vAlign w:val="center"/>
          </w:tcPr>
          <w:p w14:paraId="79A1EF00">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1.60</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27DD2D85">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1.40</w:t>
            </w:r>
          </w:p>
        </w:tc>
        <w:tc>
          <w:tcPr>
            <w:tcW w:w="851" w:type="dxa"/>
            <w:tcBorders>
              <w:top w:val="single" w:color="000000" w:sz="4" w:space="0"/>
              <w:left w:val="nil"/>
              <w:bottom w:val="single" w:color="000000" w:sz="4" w:space="0"/>
              <w:right w:val="single" w:color="000000" w:sz="4" w:space="0"/>
            </w:tcBorders>
            <w:shd w:val="clear" w:color="auto" w:fill="auto"/>
            <w:vAlign w:val="center"/>
          </w:tcPr>
          <w:p w14:paraId="4E710AAA">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1.30</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1A61E9BD">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1.20</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3B8C6A96">
            <w:pPr>
              <w:keepNext w:val="0"/>
              <w:keepLines w:val="0"/>
              <w:widowControl/>
              <w:suppressLineNumbers w:val="0"/>
              <w:spacing w:before="0" w:beforeAutospacing="0" w:after="0" w:afterAutospacing="0"/>
              <w:ind w:left="0" w:right="0"/>
              <w:jc w:val="center"/>
              <w:outlineLvl w:val="9"/>
              <w:rPr>
                <w:rFonts w:hint="default" w:hAnsi="宋体" w:cs="宋体"/>
                <w:color w:val="auto"/>
                <w:highlight w:val="none"/>
                <w:lang w:val="en-US"/>
              </w:rPr>
            </w:pPr>
            <w:r>
              <w:rPr>
                <w:rFonts w:hint="eastAsia" w:ascii="宋体" w:hAnsi="宋体" w:eastAsia="宋体" w:cs="宋体"/>
                <w:snapToGrid w:val="0"/>
                <w:color w:val="auto"/>
                <w:kern w:val="0"/>
                <w:sz w:val="21"/>
                <w:szCs w:val="24"/>
                <w:highlight w:val="none"/>
                <w:lang w:val="en-US" w:eastAsia="zh-CN" w:bidi="ar"/>
              </w:rPr>
              <w:t>1.10</w:t>
            </w:r>
          </w:p>
        </w:tc>
      </w:tr>
      <w:tr w14:paraId="1851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501" w:hRule="atLeast"/>
        </w:trPr>
        <w:tc>
          <w:tcPr>
            <w:tcW w:w="932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FFE298B">
            <w:pPr>
              <w:keepNext w:val="0"/>
              <w:keepLines w:val="0"/>
              <w:widowControl w:val="0"/>
              <w:suppressLineNumbers w:val="0"/>
              <w:spacing w:before="0" w:beforeAutospacing="0" w:after="0" w:afterAutospacing="0"/>
              <w:ind w:left="0" w:right="0"/>
              <w:jc w:val="center"/>
              <w:outlineLvl w:val="9"/>
              <w:rPr>
                <w:rFonts w:hint="default" w:hAnsi="宋体" w:cs="宋体"/>
                <w:color w:val="auto"/>
                <w:sz w:val="24"/>
                <w:szCs w:val="24"/>
                <w:highlight w:val="none"/>
                <w:lang w:val="en-US"/>
              </w:rPr>
            </w:pPr>
            <w:r>
              <w:rPr>
                <w:rFonts w:hint="eastAsia" w:ascii="宋体" w:hAnsi="宋体" w:eastAsia="宋体" w:cs="宋体"/>
                <w:bCs/>
                <w:snapToGrid w:val="0"/>
                <w:color w:val="auto"/>
                <w:kern w:val="0"/>
                <w:sz w:val="21"/>
                <w:szCs w:val="24"/>
                <w:highlight w:val="none"/>
                <w:lang w:val="en-US" w:eastAsia="zh-CN" w:bidi="ar"/>
              </w:rPr>
              <w:t>注意</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本收费标准中的“建筑工程”适用建筑工程及配套的装饰工程、安装工程﹔市政工程等。“安装工程”适用单独安装工程、装饰工程（含二次装饰装修</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﹔房屋修缮</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园林绿化及仿古建筑工程等。以上中标价含本数。例如</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某造价咨询项目中标金额为</w:t>
            </w:r>
            <w:r>
              <w:rPr>
                <w:rFonts w:hint="default" w:ascii="Times New Roman" w:hAnsi="Times New Roman" w:eastAsia="宋体" w:cs="宋体"/>
                <w:bCs/>
                <w:snapToGrid w:val="0"/>
                <w:color w:val="auto"/>
                <w:kern w:val="0"/>
                <w:sz w:val="21"/>
                <w:szCs w:val="24"/>
                <w:highlight w:val="none"/>
                <w:lang w:val="en-US" w:eastAsia="zh-CN" w:bidi="ar"/>
              </w:rPr>
              <w:t>6000.00</w:t>
            </w:r>
            <w:r>
              <w:rPr>
                <w:rFonts w:hint="eastAsia" w:ascii="宋体" w:hAnsi="宋体" w:eastAsia="宋体" w:cs="宋体"/>
                <w:bCs/>
                <w:snapToGrid w:val="0"/>
                <w:color w:val="auto"/>
                <w:kern w:val="0"/>
                <w:sz w:val="21"/>
                <w:szCs w:val="24"/>
                <w:highlight w:val="none"/>
                <w:lang w:val="en-US" w:eastAsia="zh-CN" w:bidi="ar"/>
              </w:rPr>
              <w:t>万元，工程类型为建筑工程，计算工程量清单及最高投标限价</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招标控制价</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宋体" w:hAnsi="宋体" w:eastAsia="宋体" w:cs="宋体"/>
                <w:bCs/>
                <w:snapToGrid w:val="0"/>
                <w:color w:val="auto"/>
                <w:kern w:val="0"/>
                <w:sz w:val="21"/>
                <w:szCs w:val="24"/>
                <w:highlight w:val="none"/>
                <w:lang w:val="en-US" w:eastAsia="zh-CN" w:bidi="ar"/>
              </w:rPr>
              <w:t>编制费如下</w:t>
            </w:r>
            <w:r>
              <w:rPr>
                <w:rFonts w:hint="default" w:ascii="Times New Roman" w:hAnsi="Times New Roman" w:eastAsia="宋体" w:cs="宋体"/>
                <w:bCs/>
                <w:snapToGrid w:val="0"/>
                <w:color w:val="auto"/>
                <w:kern w:val="0"/>
                <w:sz w:val="21"/>
                <w:szCs w:val="24"/>
                <w:highlight w:val="none"/>
                <w:lang w:val="en-US" w:eastAsia="zh-CN" w:bidi="ar"/>
              </w:rPr>
              <w:t>:6000.00</w:t>
            </w:r>
            <w:r>
              <w:rPr>
                <w:rFonts w:hint="eastAsia" w:ascii="宋体" w:hAnsi="宋体" w:eastAsia="宋体" w:cs="宋体"/>
                <w:bCs/>
                <w:snapToGrid w:val="0"/>
                <w:color w:val="auto"/>
                <w:kern w:val="0"/>
                <w:sz w:val="21"/>
                <w:szCs w:val="24"/>
                <w:highlight w:val="none"/>
                <w:lang w:val="en-US" w:eastAsia="zh-CN" w:bidi="ar"/>
              </w:rPr>
              <w:t>万元×（</w:t>
            </w:r>
            <w:r>
              <w:rPr>
                <w:rFonts w:hint="default" w:ascii="Times New Roman" w:hAnsi="Times New Roman" w:eastAsia="宋体" w:cs="宋体"/>
                <w:bCs/>
                <w:snapToGrid w:val="0"/>
                <w:color w:val="auto"/>
                <w:kern w:val="0"/>
                <w:sz w:val="21"/>
                <w:szCs w:val="24"/>
                <w:highlight w:val="none"/>
                <w:lang w:val="en-US" w:eastAsia="zh-CN" w:bidi="ar"/>
              </w:rPr>
              <w:t>0.25%+0.11%</w:t>
            </w:r>
            <w:r>
              <w:rPr>
                <w:rFonts w:hint="eastAsia" w:ascii="宋体" w:hAnsi="宋体" w:eastAsia="宋体" w:cs="宋体"/>
                <w:bCs/>
                <w:snapToGrid w:val="0"/>
                <w:color w:val="auto"/>
                <w:kern w:val="0"/>
                <w:sz w:val="21"/>
                <w:szCs w:val="24"/>
                <w:highlight w:val="none"/>
                <w:lang w:val="en-US" w:eastAsia="zh-CN" w:bidi="ar"/>
              </w:rPr>
              <w:t>）</w:t>
            </w:r>
            <w:r>
              <w:rPr>
                <w:rFonts w:hint="default" w:ascii="Times New Roman" w:hAnsi="Times New Roman" w:eastAsia="宋体" w:cs="宋体"/>
                <w:bCs/>
                <w:snapToGrid w:val="0"/>
                <w:color w:val="auto"/>
                <w:kern w:val="0"/>
                <w:sz w:val="21"/>
                <w:szCs w:val="24"/>
                <w:highlight w:val="none"/>
                <w:lang w:val="en-US" w:eastAsia="zh-CN" w:bidi="ar"/>
              </w:rPr>
              <w:t>=</w:t>
            </w:r>
            <w:r>
              <w:rPr>
                <w:rFonts w:hint="eastAsia" w:ascii="Times New Roman" w:hAnsi="Times New Roman" w:eastAsia="宋体" w:cs="宋体"/>
                <w:bCs/>
                <w:snapToGrid w:val="0"/>
                <w:color w:val="auto"/>
                <w:kern w:val="0"/>
                <w:sz w:val="21"/>
                <w:szCs w:val="24"/>
                <w:highlight w:val="none"/>
                <w:lang w:val="en-US" w:eastAsia="zh-CN" w:bidi="ar"/>
              </w:rPr>
              <w:t>21.6</w:t>
            </w:r>
            <w:r>
              <w:rPr>
                <w:rFonts w:hint="eastAsia" w:ascii="宋体" w:hAnsi="宋体" w:eastAsia="宋体" w:cs="宋体"/>
                <w:bCs/>
                <w:snapToGrid w:val="0"/>
                <w:color w:val="auto"/>
                <w:kern w:val="0"/>
                <w:sz w:val="21"/>
                <w:szCs w:val="24"/>
                <w:highlight w:val="none"/>
                <w:lang w:val="en-US" w:eastAsia="zh-CN" w:bidi="ar"/>
              </w:rPr>
              <w:t>万元</w:t>
            </w:r>
          </w:p>
        </w:tc>
      </w:tr>
    </w:tbl>
    <w:p w14:paraId="50B02E22">
      <w:pPr>
        <w:widowControl/>
        <w:outlineLvl w:val="9"/>
        <w:rPr>
          <w:color w:val="auto"/>
          <w:highlight w:val="none"/>
          <w:lang w:val="en-US"/>
        </w:rPr>
      </w:pPr>
    </w:p>
    <w:p w14:paraId="1137AD0D">
      <w:pPr>
        <w:keepNext w:val="0"/>
        <w:keepLines w:val="0"/>
        <w:widowControl w:val="0"/>
        <w:suppressLineNumbers w:val="0"/>
        <w:spacing w:before="0" w:beforeAutospacing="0" w:after="0" w:afterAutospacing="0"/>
        <w:ind w:left="0" w:right="0"/>
        <w:jc w:val="both"/>
        <w:outlineLvl w:val="9"/>
        <w:rPr>
          <w:color w:val="auto"/>
          <w:highlight w:val="none"/>
          <w:lang w:val="en-US"/>
        </w:rPr>
      </w:pPr>
    </w:p>
    <w:p w14:paraId="6A16FA6B">
      <w:pPr>
        <w:keepNext w:val="0"/>
        <w:keepLines w:val="0"/>
        <w:widowControl w:val="0"/>
        <w:suppressLineNumbers w:val="0"/>
        <w:spacing w:before="0" w:beforeAutospacing="0" w:after="0" w:afterAutospacing="0"/>
        <w:ind w:left="0" w:right="0"/>
        <w:jc w:val="both"/>
        <w:outlineLvl w:val="9"/>
        <w:rPr>
          <w:color w:val="auto"/>
          <w:highlight w:val="none"/>
          <w:lang w:val="en-US"/>
        </w:rPr>
      </w:pPr>
    </w:p>
    <w:p w14:paraId="2AE98C05">
      <w:pPr>
        <w:keepNext/>
        <w:keepLines/>
        <w:widowControl w:val="0"/>
        <w:suppressLineNumbers w:val="0"/>
        <w:adjustRightInd w:val="0"/>
        <w:snapToGrid w:val="0"/>
        <w:spacing w:before="120" w:beforeLines="50" w:beforeAutospacing="0" w:after="120" w:afterLines="50" w:afterAutospacing="0" w:line="360" w:lineRule="auto"/>
        <w:ind w:left="0" w:right="0"/>
        <w:jc w:val="center"/>
        <w:outlineLvl w:val="9"/>
        <w:rPr>
          <w:rFonts w:hint="eastAsia" w:ascii="黑体" w:hAnsi="Arial" w:eastAsia="黑体" w:cs="黑体"/>
          <w:b/>
          <w:bCs/>
          <w:color w:val="auto"/>
          <w:sz w:val="28"/>
          <w:szCs w:val="28"/>
          <w:highlight w:val="none"/>
          <w:lang w:val="en-US"/>
        </w:rPr>
      </w:pPr>
      <w:bookmarkStart w:id="33" w:name="_Toc30301"/>
      <w:bookmarkStart w:id="34" w:name="_Toc14201206"/>
      <w:bookmarkStart w:id="35" w:name="_Toc26656936"/>
      <w:r>
        <w:rPr>
          <w:rFonts w:hint="eastAsia" w:ascii="黑体" w:hAnsi="Times New Roman" w:eastAsia="黑体" w:cs="Times New Roman"/>
          <w:color w:val="auto"/>
          <w:kern w:val="2"/>
          <w:sz w:val="28"/>
          <w:szCs w:val="28"/>
          <w:highlight w:val="none"/>
          <w:lang w:val="en-US" w:eastAsia="zh-CN" w:bidi="ar"/>
        </w:rPr>
        <w:br w:type="page"/>
      </w:r>
      <w:bookmarkStart w:id="36" w:name="_Toc8945"/>
      <w:bookmarkStart w:id="37" w:name="_Toc13038"/>
      <w:r>
        <w:rPr>
          <w:rFonts w:hint="eastAsia" w:ascii="宋体" w:hAnsi="宋体" w:eastAsia="宋体" w:cs="宋体"/>
          <w:b/>
          <w:bCs/>
          <w:snapToGrid w:val="0"/>
          <w:color w:val="auto"/>
          <w:kern w:val="2"/>
          <w:sz w:val="28"/>
          <w:szCs w:val="28"/>
          <w:highlight w:val="none"/>
          <w:lang w:val="en-US" w:eastAsia="zh-CN" w:bidi="ar"/>
        </w:rPr>
        <w:t>附录1  投标文件制作软件导入已标价工程量清单须知和注意事项</w:t>
      </w:r>
      <w:bookmarkEnd w:id="33"/>
      <w:bookmarkEnd w:id="34"/>
      <w:bookmarkEnd w:id="35"/>
      <w:bookmarkEnd w:id="36"/>
      <w:bookmarkEnd w:id="37"/>
    </w:p>
    <w:p w14:paraId="30A97210">
      <w:pPr>
        <w:keepNext w:val="0"/>
        <w:keepLines w:val="0"/>
        <w:widowControl/>
        <w:suppressLineNumbers w:val="0"/>
        <w:spacing w:before="0" w:beforeAutospacing="0" w:after="0" w:afterAutospacing="0"/>
        <w:ind w:left="0" w:right="0" w:firstLine="420"/>
        <w:jc w:val="left"/>
        <w:outlineLvl w:val="9"/>
        <w:rPr>
          <w:rFonts w:hint="eastAsia" w:ascii="宋体" w:hAnsi="宋体" w:eastAsia="宋体" w:cs="宋体"/>
          <w:color w:val="auto"/>
          <w:szCs w:val="22"/>
          <w:highlight w:val="none"/>
          <w:lang w:val="en-US"/>
        </w:rPr>
      </w:pPr>
    </w:p>
    <w:p w14:paraId="11F49D12">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outlineLvl w:val="9"/>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1、导入EXCEL</w:t>
      </w:r>
      <w:r>
        <w:rPr>
          <w:rFonts w:hint="eastAsia" w:ascii="宋体" w:hAnsi="宋体" w:eastAsia="宋体" w:cs="宋体"/>
          <w:b/>
          <w:bCs w:val="0"/>
          <w:snapToGrid w:val="0"/>
          <w:color w:val="auto"/>
          <w:kern w:val="2"/>
          <w:sz w:val="24"/>
          <w:szCs w:val="22"/>
          <w:highlight w:val="none"/>
          <w:lang w:val="en-US" w:eastAsia="zh-CN" w:bidi="ar"/>
        </w:rPr>
        <w:t>已标价工程量</w:t>
      </w:r>
      <w:r>
        <w:rPr>
          <w:rFonts w:hint="eastAsia" w:ascii="宋体" w:hAnsi="宋体" w:eastAsia="宋体" w:cs="宋体"/>
          <w:snapToGrid w:val="0"/>
          <w:color w:val="auto"/>
          <w:kern w:val="2"/>
          <w:sz w:val="24"/>
          <w:szCs w:val="22"/>
          <w:highlight w:val="none"/>
          <w:lang w:val="en-US" w:eastAsia="zh-CN" w:bidi="ar"/>
        </w:rPr>
        <w:t>清单时，请保持表格内的宽度不超过一页。超过一页部分会被切割开，并自动附到文档最后，造成内容不连贯（也可以通过打印预览查看是宽度是否超过一页）。如图所示：</w:t>
      </w:r>
    </w:p>
    <w:p w14:paraId="6241F9B0">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pict>
          <v:shape id="_x0000_i1025" o:spt="75" type="#_x0000_t75" style="height:226.8pt;width:414.6pt;" filled="f" o:preferrelative="t" stroked="f" coordsize="21600,21600">
            <v:path/>
            <v:fill on="f" focussize="0,0"/>
            <v:stroke on="f"/>
            <v:imagedata r:id="rId10" o:title=""/>
            <o:lock v:ext="edit" aspectratio="t"/>
            <w10:wrap type="none"/>
            <w10:anchorlock/>
          </v:shape>
        </w:pict>
      </w:r>
    </w:p>
    <w:p w14:paraId="7292662B">
      <w:pPr>
        <w:keepNext w:val="0"/>
        <w:keepLines w:val="0"/>
        <w:widowControl w:val="0"/>
        <w:suppressLineNumbers w:val="0"/>
        <w:adjustRightInd w:val="0"/>
        <w:snapToGrid w:val="0"/>
        <w:spacing w:before="0" w:beforeAutospacing="0" w:after="0" w:afterAutospacing="0" w:line="360" w:lineRule="auto"/>
        <w:ind w:left="0" w:right="0" w:firstLine="480"/>
        <w:jc w:val="both"/>
        <w:outlineLvl w:val="9"/>
        <w:rPr>
          <w:rFonts w:hint="eastAsia" w:ascii="宋体" w:hAnsi="宋体" w:eastAsia="宋体" w:cs="宋体"/>
          <w:color w:val="auto"/>
          <w:sz w:val="24"/>
          <w:szCs w:val="22"/>
          <w:highlight w:val="none"/>
          <w:lang w:val="en-US"/>
        </w:rPr>
      </w:pPr>
    </w:p>
    <w:p w14:paraId="315067FD">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2、导入EXCEL表格的时候，会根据页面布局（横向，纵向）自动转换成PDF。</w:t>
      </w:r>
    </w:p>
    <w:p w14:paraId="27BB4251">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3、如果EXCEL表中有多个sheet，导入EXCEL时会自动按照EXCEL表内的sheet顺序逐个导入投标工具并转换PDF。</w:t>
      </w:r>
    </w:p>
    <w:p w14:paraId="0751C332">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color w:val="auto"/>
          <w:sz w:val="24"/>
          <w:szCs w:val="22"/>
          <w:highlight w:val="none"/>
          <w:lang w:val="en-US"/>
        </w:rPr>
      </w:pPr>
      <w:bookmarkStart w:id="38" w:name="_Toc29250"/>
      <w:bookmarkStart w:id="39" w:name="_Toc14164"/>
      <w:r>
        <w:rPr>
          <w:rFonts w:hint="eastAsia" w:ascii="宋体" w:hAnsi="宋体" w:eastAsia="宋体" w:cs="宋体"/>
          <w:snapToGrid w:val="0"/>
          <w:color w:val="auto"/>
          <w:kern w:val="2"/>
          <w:sz w:val="24"/>
          <w:szCs w:val="22"/>
          <w:highlight w:val="none"/>
          <w:lang w:val="en-US" w:eastAsia="zh-CN" w:bidi="ar"/>
        </w:rPr>
        <w:t>4、投标人生成投标文件时做好检查工作，以免造成投标无效。</w:t>
      </w:r>
      <w:bookmarkEnd w:id="38"/>
      <w:bookmarkEnd w:id="39"/>
    </w:p>
    <w:p w14:paraId="487591F9">
      <w:pP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5F1ED788">
      <w:pPr>
        <w:pStyle w:val="33"/>
        <w:pageBreakBefore w:val="0"/>
        <w:widowControl w:val="0"/>
        <w:kinsoku/>
        <w:overflowPunct/>
        <w:topLinePunct/>
        <w:autoSpaceDE/>
        <w:autoSpaceDN/>
        <w:bidi w:val="0"/>
        <w:adjustRightInd/>
        <w:snapToGrid/>
        <w:spacing w:before="240" w:after="240" w:line="360" w:lineRule="auto"/>
        <w:jc w:val="center"/>
        <w:textAlignment w:val="auto"/>
        <w:outlineLvl w:val="9"/>
        <w:rPr>
          <w:rFonts w:hint="eastAsia" w:ascii="黑体" w:hAnsi="黑体" w:eastAsia="黑体" w:cs="黑体"/>
          <w:b/>
          <w:bCs w:val="0"/>
          <w:snapToGrid/>
          <w:color w:val="auto"/>
          <w:kern w:val="2"/>
          <w:sz w:val="32"/>
          <w:highlight w:val="none"/>
          <w:lang w:val="en-US" w:eastAsia="zh-CN"/>
        </w:rPr>
      </w:pPr>
      <w:bookmarkStart w:id="40" w:name="_Toc22197"/>
      <w:bookmarkStart w:id="41" w:name="_Toc16861"/>
      <w:bookmarkStart w:id="42" w:name="_Toc14360"/>
      <w:r>
        <w:rPr>
          <w:rFonts w:hint="eastAsia" w:ascii="黑体" w:hAnsi="黑体" w:eastAsia="黑体" w:cs="黑体"/>
          <w:b/>
          <w:bCs w:val="0"/>
          <w:snapToGrid/>
          <w:color w:val="auto"/>
          <w:kern w:val="2"/>
          <w:sz w:val="32"/>
          <w:highlight w:val="none"/>
          <w:lang w:eastAsia="zh-CN"/>
        </w:rPr>
        <w:t>投标人须知正文修改一览表</w:t>
      </w:r>
      <w:bookmarkEnd w:id="40"/>
      <w:bookmarkEnd w:id="41"/>
      <w:bookmarkEnd w:id="42"/>
    </w:p>
    <w:p w14:paraId="5EE04766">
      <w:pPr>
        <w:pStyle w:val="31"/>
        <w:widowControl/>
        <w:wordWrap w:val="0"/>
        <w:autoSpaceDE w:val="0"/>
        <w:autoSpaceDN w:val="0"/>
        <w:adjustRightInd w:val="0"/>
        <w:snapToGrid w:val="0"/>
        <w:spacing w:line="240" w:lineRule="atLeast"/>
        <w:jc w:val="center"/>
        <w:outlineLvl w:val="9"/>
        <w:rPr>
          <w:rFonts w:cs="宋体"/>
          <w:b/>
          <w:bCs w:val="0"/>
          <w:color w:val="auto"/>
          <w:sz w:val="31"/>
          <w:szCs w:val="49"/>
          <w:highlight w:val="none"/>
          <w:lang w:val="en-US"/>
        </w:rPr>
      </w:pPr>
    </w:p>
    <w:p w14:paraId="700E7C2B">
      <w:pPr>
        <w:pStyle w:val="31"/>
        <w:widowControl/>
        <w:wordWrap w:val="0"/>
        <w:outlineLvl w:val="9"/>
        <w:rPr>
          <w:color w:val="auto"/>
          <w:kern w:val="0"/>
          <w:szCs w:val="21"/>
          <w:highlight w:val="none"/>
          <w:lang w:val="en-US"/>
        </w:rPr>
      </w:pPr>
      <w:r>
        <w:rPr>
          <w:rFonts w:hint="eastAsia" w:ascii="Times New Roman" w:hAnsi="Times New Roman" w:eastAsia="宋体" w:cs="宋体"/>
          <w:color w:val="auto"/>
          <w:kern w:val="0"/>
          <w:szCs w:val="21"/>
          <w:highlight w:val="none"/>
          <w:lang w:eastAsia="zh-CN"/>
        </w:rPr>
        <w:t>投标人须知正文条款内容修改如下：</w:t>
      </w:r>
    </w:p>
    <w:p w14:paraId="356D0A2E">
      <w:pPr>
        <w:pStyle w:val="31"/>
        <w:widowControl/>
        <w:wordWrap w:val="0"/>
        <w:autoSpaceDE w:val="0"/>
        <w:autoSpaceDN w:val="0"/>
        <w:adjustRightInd w:val="0"/>
        <w:snapToGrid w:val="0"/>
        <w:spacing w:line="240" w:lineRule="atLeast"/>
        <w:ind w:left="0" w:firstLine="190" w:firstLineChars="100"/>
        <w:outlineLvl w:val="9"/>
        <w:rPr>
          <w:rFonts w:cs="宋体"/>
          <w:color w:val="auto"/>
          <w:spacing w:val="-10"/>
          <w:kern w:val="0"/>
          <w:highlight w:val="none"/>
          <w:lang w:val="en-US"/>
        </w:rPr>
      </w:pPr>
    </w:p>
    <w:tbl>
      <w:tblPr>
        <w:tblStyle w:val="11"/>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47"/>
        <w:gridCol w:w="3150"/>
        <w:gridCol w:w="5225"/>
      </w:tblGrid>
      <w:tr w14:paraId="2EFB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7796BAF6">
            <w:pPr>
              <w:pStyle w:val="31"/>
              <w:widowControl/>
              <w:wordWrap w:val="0"/>
              <w:jc w:val="center"/>
              <w:outlineLvl w:val="9"/>
              <w:rPr>
                <w:b/>
                <w:bCs w:val="0"/>
                <w:color w:val="auto"/>
                <w:highlight w:val="none"/>
                <w:lang w:val="en-US"/>
              </w:rPr>
            </w:pPr>
            <w:r>
              <w:rPr>
                <w:rFonts w:hint="eastAsia" w:ascii="Times New Roman" w:hAnsi="Times New Roman" w:eastAsia="宋体" w:cs="宋体"/>
                <w:b/>
                <w:bCs w:val="0"/>
                <w:color w:val="auto"/>
                <w:highlight w:val="none"/>
              </w:rPr>
              <w:t>条款</w:t>
            </w:r>
          </w:p>
          <w:p w14:paraId="590CB10A">
            <w:pPr>
              <w:pStyle w:val="31"/>
              <w:widowControl/>
              <w:wordWrap w:val="0"/>
              <w:jc w:val="center"/>
              <w:outlineLvl w:val="9"/>
              <w:rPr>
                <w:b/>
                <w:bCs w:val="0"/>
                <w:color w:val="auto"/>
                <w:highlight w:val="none"/>
                <w:lang w:val="en-US"/>
              </w:rPr>
            </w:pPr>
            <w:r>
              <w:rPr>
                <w:rFonts w:hint="eastAsia" w:ascii="Times New Roman" w:hAnsi="Times New Roman" w:eastAsia="宋体" w:cs="宋体"/>
                <w:b/>
                <w:bCs w:val="0"/>
                <w:color w:val="auto"/>
                <w:highlight w:val="none"/>
              </w:rPr>
              <w:t>编号</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1086F183">
            <w:pPr>
              <w:pStyle w:val="31"/>
              <w:widowControl/>
              <w:wordWrap w:val="0"/>
              <w:jc w:val="center"/>
              <w:outlineLvl w:val="9"/>
              <w:rPr>
                <w:b/>
                <w:bCs w:val="0"/>
                <w:color w:val="auto"/>
                <w:highlight w:val="none"/>
                <w:lang w:val="en-US"/>
              </w:rPr>
            </w:pPr>
            <w:r>
              <w:rPr>
                <w:rFonts w:hint="eastAsia" w:ascii="Times New Roman" w:hAnsi="Times New Roman" w:eastAsia="宋体" w:cs="宋体"/>
                <w:b/>
                <w:bCs w:val="0"/>
                <w:color w:val="auto"/>
                <w:highlight w:val="none"/>
              </w:rPr>
              <w:t>示范文本中条款内容</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4749C9A4">
            <w:pPr>
              <w:pStyle w:val="31"/>
              <w:widowControl/>
              <w:wordWrap w:val="0"/>
              <w:jc w:val="center"/>
              <w:outlineLvl w:val="9"/>
              <w:rPr>
                <w:b/>
                <w:bCs w:val="0"/>
                <w:color w:val="auto"/>
                <w:highlight w:val="none"/>
                <w:lang w:val="en-US"/>
              </w:rPr>
            </w:pPr>
            <w:r>
              <w:rPr>
                <w:rFonts w:hint="eastAsia" w:ascii="Times New Roman" w:hAnsi="Times New Roman" w:eastAsia="宋体" w:cs="宋体"/>
                <w:b/>
                <w:bCs w:val="0"/>
                <w:color w:val="auto"/>
                <w:highlight w:val="none"/>
              </w:rPr>
              <w:t>修改后条款内容</w:t>
            </w:r>
          </w:p>
        </w:tc>
      </w:tr>
      <w:tr w14:paraId="4E58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2B531572">
            <w:pPr>
              <w:keepNext w:val="0"/>
              <w:keepLines w:val="0"/>
              <w:widowControl w:val="0"/>
              <w:suppressLineNumbers w:val="0"/>
              <w:spacing w:before="0" w:beforeAutospacing="0" w:after="0" w:afterAutospacing="0" w:line="360" w:lineRule="auto"/>
              <w:ind w:left="0" w:right="0"/>
              <w:jc w:val="center"/>
              <w:textAlignment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pacing w:val="-2"/>
                <w:sz w:val="21"/>
                <w:szCs w:val="21"/>
                <w:highlight w:val="none"/>
                <w:lang w:val="en-US" w:eastAsia="zh-CN"/>
              </w:rPr>
              <w:t>第</w:t>
            </w:r>
            <w:r>
              <w:rPr>
                <w:rFonts w:hint="eastAsia" w:ascii="宋体" w:hAnsi="宋体" w:eastAsia="宋体" w:cs="宋体"/>
                <w:color w:val="auto"/>
                <w:spacing w:val="-2"/>
                <w:sz w:val="21"/>
                <w:szCs w:val="21"/>
                <w:highlight w:val="none"/>
              </w:rPr>
              <w:t>1.4.3</w:t>
            </w:r>
            <w:r>
              <w:rPr>
                <w:rFonts w:hint="eastAsia" w:ascii="宋体" w:hAnsi="宋体" w:eastAsia="宋体" w:cs="宋体"/>
                <w:color w:val="auto"/>
                <w:spacing w:val="-2"/>
                <w:sz w:val="21"/>
                <w:szCs w:val="21"/>
                <w:highlight w:val="none"/>
                <w:lang w:val="en-US" w:eastAsia="zh-CN"/>
              </w:rPr>
              <w:t>条第14款</w:t>
            </w:r>
            <w:r>
              <w:rPr>
                <w:rFonts w:hint="eastAsia" w:ascii="宋体" w:hAnsi="宋体" w:eastAsia="宋体" w:cs="宋体"/>
                <w:color w:val="auto"/>
                <w:spacing w:val="-2"/>
                <w:sz w:val="21"/>
                <w:szCs w:val="21"/>
                <w:highlight w:val="none"/>
              </w:rPr>
              <w:t xml:space="preserve"> </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7A5CBE10">
            <w:pPr>
              <w:keepNext w:val="0"/>
              <w:keepLines w:val="0"/>
              <w:pageBreakBefore w:val="0"/>
              <w:widowControl/>
              <w:suppressLineNumbers w:val="0"/>
              <w:kinsoku w:val="0"/>
              <w:wordWrap/>
              <w:overflowPunct/>
              <w:topLinePunct/>
              <w:autoSpaceDE w:val="0"/>
              <w:autoSpaceDN w:val="0"/>
              <w:bidi w:val="0"/>
              <w:adjustRightInd w:val="0"/>
              <w:snapToGrid w:val="0"/>
              <w:spacing w:before="0" w:beforeAutospacing="0" w:after="0" w:afterAutospacing="0" w:line="360" w:lineRule="auto"/>
              <w:ind w:left="0" w:right="0"/>
              <w:textAlignment w:val="baseline"/>
              <w:outlineLvl w:val="9"/>
              <w:rPr>
                <w:rFonts w:hint="default" w:cs="楷体"/>
                <w:bCs/>
                <w:snapToGrid w:val="0"/>
                <w:color w:val="auto"/>
                <w:kern w:val="0"/>
                <w:szCs w:val="21"/>
                <w:highlight w:val="none"/>
                <w:lang w:val="en-US"/>
              </w:rPr>
            </w:pPr>
            <w:r>
              <w:rPr>
                <w:rFonts w:hint="eastAsia" w:ascii="宋体" w:hAnsi="宋体" w:eastAsia="宋体" w:cs="宋体"/>
                <w:color w:val="auto"/>
                <w:spacing w:val="-2"/>
                <w:sz w:val="21"/>
                <w:szCs w:val="21"/>
                <w:highlight w:val="none"/>
              </w:rPr>
              <w:t>（14）在近三年内有骗取中标或严重违约或重大工程质量事故或重大生产安全事故的（以相关行业主管部门的行政处罚决定或司法机关出具的有关法律文书为准）；</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top"/>
          </w:tcPr>
          <w:p w14:paraId="7072B531">
            <w:pPr>
              <w:keepNext w:val="0"/>
              <w:keepLines w:val="0"/>
              <w:widowControl w:val="0"/>
              <w:suppressLineNumbers w:val="0"/>
              <w:wordWrap w:val="0"/>
              <w:spacing w:before="0" w:beforeAutospacing="0" w:after="0" w:afterAutospacing="0" w:line="360" w:lineRule="auto"/>
              <w:ind w:left="0" w:right="0"/>
              <w:jc w:val="both"/>
              <w:textAlignment w:val="center"/>
              <w:outlineLvl w:val="9"/>
              <w:rPr>
                <w:rFonts w:hint="default" w:cs="楷体"/>
                <w:bCs/>
                <w:snapToGrid w:val="0"/>
                <w:color w:val="auto"/>
                <w:kern w:val="0"/>
                <w:szCs w:val="21"/>
                <w:highlight w:val="none"/>
                <w:lang w:val="en-US"/>
              </w:rPr>
            </w:pPr>
            <w:r>
              <w:rPr>
                <w:rFonts w:hint="eastAsia" w:ascii="宋体" w:hAnsi="宋体" w:eastAsia="宋体" w:cs="宋体"/>
                <w:color w:val="auto"/>
                <w:spacing w:val="-2"/>
                <w:sz w:val="21"/>
                <w:szCs w:val="21"/>
                <w:highlight w:val="none"/>
              </w:rPr>
              <w:t>（14）</w:t>
            </w:r>
            <w:r>
              <w:rPr>
                <w:rFonts w:hint="eastAsia" w:ascii="Times New Roman" w:hAnsi="Times New Roman" w:eastAsia="宋体" w:cs="Times New Roman"/>
                <w:color w:val="auto"/>
                <w:kern w:val="2"/>
                <w:sz w:val="21"/>
                <w:szCs w:val="21"/>
                <w:highlight w:val="none"/>
                <w:lang w:val="en-US" w:eastAsia="zh-CN" w:bidi="ar"/>
              </w:rPr>
              <w:t>在近三年内（自投标截止之日向前追溯三年）有骗取中标或串通投标或严重违约或重大工程质量问题（以相关行业主管部门的行政处罚决定或司法机关出具的有关法律文书为准），但前述行政处罚已完成信用修复的，自行政处罚作出机关或信用修复主管部门同意修复之日起满一年的，不受三年期限限制；</w:t>
            </w:r>
          </w:p>
        </w:tc>
      </w:tr>
      <w:tr w14:paraId="6AC2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32C2FA0F">
            <w:pPr>
              <w:keepNext w:val="0"/>
              <w:keepLines w:val="0"/>
              <w:widowControl w:val="0"/>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color w:val="auto"/>
                <w:szCs w:val="21"/>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27982AF8">
            <w:pPr>
              <w:keepNext w:val="0"/>
              <w:keepLines w:val="0"/>
              <w:widowControl w:val="0"/>
              <w:suppressLineNumbers w:val="0"/>
              <w:wordWrap w:val="0"/>
              <w:spacing w:before="0" w:beforeAutospacing="0" w:after="0" w:afterAutospacing="0" w:line="360" w:lineRule="auto"/>
              <w:ind w:left="0" w:right="0"/>
              <w:jc w:val="center"/>
              <w:textAlignment w:val="center"/>
              <w:outlineLvl w:val="9"/>
              <w:rPr>
                <w:rFonts w:hint="eastAsia" w:ascii="宋体" w:hAnsi="宋体" w:eastAsia="宋体" w:cs="宋体"/>
                <w:color w:val="auto"/>
                <w:szCs w:val="21"/>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top"/>
          </w:tcPr>
          <w:p w14:paraId="2434F47C">
            <w:pPr>
              <w:keepNext w:val="0"/>
              <w:keepLines w:val="0"/>
              <w:widowControl w:val="0"/>
              <w:suppressLineNumbers w:val="0"/>
              <w:wordWrap w:val="0"/>
              <w:spacing w:before="0" w:beforeAutospacing="0" w:after="0" w:afterAutospacing="0" w:line="360" w:lineRule="auto"/>
              <w:ind w:left="0" w:right="0"/>
              <w:jc w:val="left"/>
              <w:textAlignment w:val="center"/>
              <w:outlineLvl w:val="9"/>
              <w:rPr>
                <w:rFonts w:hint="eastAsia" w:ascii="宋体" w:hAnsi="宋体" w:eastAsia="宋体" w:cs="宋体"/>
                <w:color w:val="auto"/>
                <w:szCs w:val="21"/>
                <w:highlight w:val="none"/>
                <w:lang w:val="en-US"/>
              </w:rPr>
            </w:pPr>
          </w:p>
        </w:tc>
      </w:tr>
      <w:tr w14:paraId="5609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4F99F801">
            <w:pPr>
              <w:pStyle w:val="31"/>
              <w:widowControl/>
              <w:wordWrap w:val="0"/>
              <w:jc w:val="center"/>
              <w:outlineLvl w:val="9"/>
              <w:rPr>
                <w:rFonts w:hint="eastAsia" w:ascii="宋体" w:hAnsi="宋体" w:eastAsia="宋体" w:cs="宋体"/>
                <w:color w:val="auto"/>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10D70344">
            <w:pPr>
              <w:pStyle w:val="31"/>
              <w:widowControl/>
              <w:wordWrap w:val="0"/>
              <w:jc w:val="center"/>
              <w:outlineLvl w:val="9"/>
              <w:rPr>
                <w:color w:val="auto"/>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1542811B">
            <w:pPr>
              <w:pStyle w:val="31"/>
              <w:widowControl/>
              <w:wordWrap w:val="0"/>
              <w:jc w:val="center"/>
              <w:outlineLvl w:val="9"/>
              <w:rPr>
                <w:rFonts w:hint="eastAsia" w:ascii="宋体" w:hAnsi="宋体" w:eastAsia="宋体" w:cs="宋体"/>
                <w:color w:val="auto"/>
                <w:highlight w:val="none"/>
                <w:lang w:val="en-US"/>
              </w:rPr>
            </w:pPr>
          </w:p>
        </w:tc>
      </w:tr>
      <w:tr w14:paraId="6A0B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3461222C">
            <w:pPr>
              <w:pStyle w:val="31"/>
              <w:widowControl/>
              <w:wordWrap w:val="0"/>
              <w:jc w:val="center"/>
              <w:outlineLvl w:val="9"/>
              <w:rPr>
                <w:rFonts w:hint="eastAsia" w:ascii="宋体" w:hAnsi="宋体" w:eastAsia="宋体" w:cs="宋体"/>
                <w:color w:val="auto"/>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6D9B56C9">
            <w:pPr>
              <w:pStyle w:val="31"/>
              <w:widowControl/>
              <w:wordWrap w:val="0"/>
              <w:jc w:val="center"/>
              <w:outlineLvl w:val="9"/>
              <w:rPr>
                <w:rFonts w:hint="eastAsia" w:ascii="宋体" w:hAnsi="宋体" w:eastAsia="宋体" w:cs="宋体"/>
                <w:color w:val="auto"/>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5DA5DF1C">
            <w:pPr>
              <w:pStyle w:val="31"/>
              <w:widowControl/>
              <w:wordWrap w:val="0"/>
              <w:jc w:val="center"/>
              <w:outlineLvl w:val="9"/>
              <w:rPr>
                <w:rFonts w:hint="eastAsia" w:ascii="宋体" w:hAnsi="宋体" w:eastAsia="宋体" w:cs="宋体"/>
                <w:color w:val="auto"/>
                <w:highlight w:val="none"/>
                <w:lang w:val="en-US"/>
              </w:rPr>
            </w:pPr>
          </w:p>
        </w:tc>
      </w:tr>
      <w:tr w14:paraId="7FC9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1F4BF672">
            <w:pPr>
              <w:pStyle w:val="31"/>
              <w:widowControl/>
              <w:wordWrap w:val="0"/>
              <w:jc w:val="center"/>
              <w:outlineLvl w:val="9"/>
              <w:rPr>
                <w:rFonts w:hint="eastAsia" w:ascii="宋体" w:hAnsi="宋体" w:eastAsia="宋体" w:cs="宋体"/>
                <w:color w:val="auto"/>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5C7F0B54">
            <w:pPr>
              <w:pStyle w:val="31"/>
              <w:widowControl/>
              <w:wordWrap w:val="0"/>
              <w:jc w:val="center"/>
              <w:outlineLvl w:val="9"/>
              <w:rPr>
                <w:rFonts w:hint="eastAsia" w:ascii="宋体" w:hAnsi="宋体" w:eastAsia="宋体" w:cs="宋体"/>
                <w:b/>
                <w:bCs w:val="0"/>
                <w:color w:val="auto"/>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446658BC">
            <w:pPr>
              <w:pStyle w:val="31"/>
              <w:widowControl/>
              <w:wordWrap w:val="0"/>
              <w:jc w:val="center"/>
              <w:outlineLvl w:val="9"/>
              <w:rPr>
                <w:rFonts w:hint="eastAsia" w:ascii="宋体" w:hAnsi="宋体" w:eastAsia="宋体" w:cs="宋体"/>
                <w:b/>
                <w:bCs w:val="0"/>
                <w:color w:val="auto"/>
                <w:highlight w:val="none"/>
                <w:lang w:val="en-US"/>
              </w:rPr>
            </w:pPr>
          </w:p>
        </w:tc>
      </w:tr>
      <w:tr w14:paraId="5703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12CB68B8">
            <w:pPr>
              <w:pStyle w:val="31"/>
              <w:widowControl/>
              <w:wordWrap w:val="0"/>
              <w:jc w:val="center"/>
              <w:outlineLvl w:val="9"/>
              <w:rPr>
                <w:rFonts w:hint="eastAsia" w:ascii="宋体" w:hAnsi="宋体" w:eastAsia="宋体" w:cs="宋体"/>
                <w:color w:val="auto"/>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14:paraId="6A718E5E">
            <w:pPr>
              <w:pStyle w:val="31"/>
              <w:widowControl/>
              <w:wordWrap w:val="0"/>
              <w:jc w:val="center"/>
              <w:outlineLvl w:val="9"/>
              <w:rPr>
                <w:color w:val="auto"/>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28177E0F">
            <w:pPr>
              <w:pStyle w:val="31"/>
              <w:widowControl/>
              <w:wordWrap w:val="0"/>
              <w:jc w:val="center"/>
              <w:outlineLvl w:val="9"/>
              <w:rPr>
                <w:rFonts w:hint="eastAsia" w:ascii="宋体" w:hAnsi="宋体" w:eastAsia="宋体" w:cs="宋体"/>
                <w:color w:val="auto"/>
                <w:highlight w:val="none"/>
                <w:lang w:val="en-US"/>
              </w:rPr>
            </w:pPr>
          </w:p>
        </w:tc>
      </w:tr>
    </w:tbl>
    <w:p w14:paraId="1DAF6367">
      <w:pPr>
        <w:keepNext w:val="0"/>
        <w:keepLines w:val="0"/>
        <w:widowControl w:val="0"/>
        <w:suppressLineNumbers w:val="0"/>
        <w:wordWrap w:val="0"/>
        <w:adjustRightInd w:val="0"/>
        <w:snapToGrid w:val="0"/>
        <w:spacing w:before="0" w:beforeAutospacing="0" w:after="0" w:afterAutospacing="0" w:line="300" w:lineRule="auto"/>
        <w:ind w:left="0" w:right="-512" w:rightChars="-244" w:firstLine="420" w:firstLineChars="200"/>
        <w:jc w:val="both"/>
        <w:outlineLvl w:val="9"/>
        <w:rPr>
          <w:color w:val="auto"/>
          <w:highlight w:val="none"/>
          <w:lang w:val="en-US"/>
        </w:rPr>
      </w:pPr>
    </w:p>
    <w:p w14:paraId="458CC710">
      <w:pPr>
        <w:outlineLvl w:val="9"/>
        <w:rPr>
          <w:rFonts w:hint="default" w:ascii="Times New Roman" w:hAnsi="Times New Roman" w:cs="Times New Roman"/>
          <w:bCs/>
          <w:snapToGrid/>
          <w:color w:val="auto"/>
          <w:kern w:val="2"/>
          <w:sz w:val="32"/>
          <w:highlight w:val="none"/>
          <w:lang w:eastAsia="zh-CN"/>
        </w:rPr>
      </w:pPr>
      <w:r>
        <w:rPr>
          <w:rFonts w:hint="default" w:ascii="Times New Roman" w:hAnsi="Times New Roman" w:cs="Times New Roman"/>
          <w:bCs/>
          <w:snapToGrid/>
          <w:color w:val="auto"/>
          <w:kern w:val="2"/>
          <w:sz w:val="32"/>
          <w:highlight w:val="none"/>
          <w:lang w:eastAsia="zh-CN"/>
        </w:rPr>
        <w:br w:type="page"/>
      </w:r>
    </w:p>
    <w:p w14:paraId="4BFE416B">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43" w:name="_Toc17604"/>
      <w:r>
        <w:rPr>
          <w:rFonts w:hint="eastAsia" w:ascii="黑体" w:hAnsi="黑体" w:eastAsia="黑体" w:cs="黑体"/>
          <w:b/>
          <w:bCs w:val="0"/>
          <w:snapToGrid/>
          <w:color w:val="auto"/>
          <w:kern w:val="2"/>
          <w:sz w:val="32"/>
          <w:highlight w:val="none"/>
          <w:lang w:eastAsia="zh-CN"/>
        </w:rPr>
        <w:t>1．总则</w:t>
      </w:r>
      <w:bookmarkEnd w:id="43"/>
    </w:p>
    <w:p w14:paraId="43F58C58">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44" w:name="_Toc11460"/>
      <w:bookmarkStart w:id="45" w:name="_Toc15383"/>
      <w:bookmarkStart w:id="46" w:name="_Toc12750"/>
      <w:r>
        <w:rPr>
          <w:rFonts w:hint="eastAsia" w:ascii="黑体" w:hAnsi="黑体" w:eastAsia="黑体" w:cs="黑体"/>
          <w:b/>
          <w:bCs w:val="0"/>
          <w:snapToGrid/>
          <w:color w:val="auto"/>
          <w:kern w:val="2"/>
          <w:highlight w:val="none"/>
          <w:lang w:eastAsia="zh-CN"/>
        </w:rPr>
        <w:t>1.1  项目概况</w:t>
      </w:r>
      <w:bookmarkEnd w:id="44"/>
      <w:bookmarkEnd w:id="45"/>
      <w:bookmarkEnd w:id="46"/>
    </w:p>
    <w:p w14:paraId="31656A3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1.1.1  根据《中华人民共和国招标投标法》《中华人民共和国招标</w:t>
      </w:r>
      <w:r>
        <w:rPr>
          <w:rFonts w:hint="eastAsia" w:ascii="宋体" w:hAnsi="宋体" w:eastAsia="宋体" w:cs="宋体"/>
          <w:color w:val="auto"/>
          <w:spacing w:val="-6"/>
          <w:sz w:val="21"/>
          <w:szCs w:val="21"/>
          <w:highlight w:val="none"/>
        </w:rPr>
        <w:t>投标法实施条例》《工程建设</w:t>
      </w:r>
      <w:r>
        <w:rPr>
          <w:rFonts w:hint="eastAsia" w:ascii="宋体" w:hAnsi="宋体" w:eastAsia="宋体" w:cs="宋体"/>
          <w:color w:val="auto"/>
          <w:spacing w:val="1"/>
          <w:sz w:val="21"/>
          <w:szCs w:val="21"/>
          <w:highlight w:val="none"/>
        </w:rPr>
        <w:t>项目施工招标投标办法》等有关法律法规和规章的规定，本招标项目已具备招标条件</w:t>
      </w:r>
      <w:r>
        <w:rPr>
          <w:rFonts w:hint="eastAsia" w:ascii="宋体" w:hAnsi="宋体" w:eastAsia="宋体" w:cs="宋体"/>
          <w:color w:val="auto"/>
          <w:sz w:val="21"/>
          <w:szCs w:val="21"/>
          <w:highlight w:val="none"/>
        </w:rPr>
        <w:t>，现对本标段</w:t>
      </w:r>
      <w:r>
        <w:rPr>
          <w:rFonts w:hint="eastAsia" w:ascii="宋体" w:hAnsi="宋体" w:eastAsia="宋体" w:cs="宋体"/>
          <w:color w:val="auto"/>
          <w:spacing w:val="-3"/>
          <w:sz w:val="21"/>
          <w:szCs w:val="21"/>
          <w:highlight w:val="none"/>
        </w:rPr>
        <w:t>施工进行招标。</w:t>
      </w:r>
    </w:p>
    <w:p w14:paraId="0E8CFFF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1.1.2  本招标项目招标人：见投标人须知前附表。</w:t>
      </w:r>
    </w:p>
    <w:p w14:paraId="443254C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1.1.3  本标段招标代理机构：见投标人须知前附表。</w:t>
      </w:r>
    </w:p>
    <w:p w14:paraId="2250FED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1.1.4  本招标项目名称：见投标人须知前附表。</w:t>
      </w:r>
    </w:p>
    <w:p w14:paraId="370589E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1.1.5  本标段建设地点：见投标人须知前附表。</w:t>
      </w:r>
    </w:p>
    <w:p w14:paraId="0A3E4D0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1.1.6  本招标项目现场管理机构：见</w:t>
      </w:r>
      <w:r>
        <w:rPr>
          <w:rFonts w:hint="eastAsia" w:ascii="宋体" w:hAnsi="宋体" w:eastAsia="宋体" w:cs="宋体"/>
          <w:color w:val="auto"/>
          <w:spacing w:val="-2"/>
          <w:sz w:val="21"/>
          <w:szCs w:val="21"/>
          <w:highlight w:val="none"/>
        </w:rPr>
        <w:t>投标人须知前附表。</w:t>
      </w:r>
    </w:p>
    <w:p w14:paraId="0253F44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1.1.7  本招标项目设计人：见投标人须知前附表。</w:t>
      </w:r>
    </w:p>
    <w:p w14:paraId="113CA3F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1.1.8  本招标项目监理人：见投标人须知前附表。</w:t>
      </w:r>
    </w:p>
    <w:p w14:paraId="4D70B4F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1.1.9  本招标项目代建机构：见投标人须知前附表。</w:t>
      </w:r>
    </w:p>
    <w:p w14:paraId="734EC2E6">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47" w:name="_Toc24953"/>
      <w:bookmarkStart w:id="48" w:name="_Toc21513"/>
      <w:bookmarkStart w:id="49" w:name="_Toc11693"/>
      <w:r>
        <w:rPr>
          <w:rFonts w:hint="eastAsia" w:ascii="黑体" w:hAnsi="黑体" w:eastAsia="黑体" w:cs="黑体"/>
          <w:b/>
          <w:bCs w:val="0"/>
          <w:snapToGrid/>
          <w:color w:val="auto"/>
          <w:kern w:val="2"/>
          <w:highlight w:val="none"/>
          <w:lang w:eastAsia="zh-CN"/>
        </w:rPr>
        <w:t>1.2  资金来源和落实情况</w:t>
      </w:r>
      <w:bookmarkEnd w:id="47"/>
      <w:bookmarkEnd w:id="48"/>
      <w:bookmarkEnd w:id="49"/>
    </w:p>
    <w:p w14:paraId="69762F8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1.2.1  本招标项目的资金来源和出资比例：见投标人须知前附表。</w:t>
      </w:r>
    </w:p>
    <w:p w14:paraId="0CBAE11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1.2.2  本招标项目的资金落实情况：见投标人须知前附表。</w:t>
      </w:r>
    </w:p>
    <w:p w14:paraId="7FA38487">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50" w:name="_Toc25896"/>
      <w:bookmarkStart w:id="51" w:name="_Toc4497"/>
      <w:bookmarkStart w:id="52" w:name="_Toc20968"/>
      <w:r>
        <w:rPr>
          <w:rFonts w:hint="eastAsia" w:ascii="黑体" w:hAnsi="黑体" w:eastAsia="黑体" w:cs="黑体"/>
          <w:b/>
          <w:bCs w:val="0"/>
          <w:snapToGrid/>
          <w:color w:val="auto"/>
          <w:kern w:val="2"/>
          <w:highlight w:val="none"/>
          <w:lang w:eastAsia="zh-CN"/>
        </w:rPr>
        <w:t>1.3  招标范围、计划工期、质量要求、安全目标和环保目标</w:t>
      </w:r>
      <w:bookmarkEnd w:id="50"/>
      <w:bookmarkEnd w:id="51"/>
      <w:bookmarkEnd w:id="52"/>
    </w:p>
    <w:p w14:paraId="6682CC1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1.3.1  本次招标范围：见投标人须知前附表。</w:t>
      </w:r>
    </w:p>
    <w:p w14:paraId="0E5DB1F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1.3.2  本招标项目的计划工期：见投标人须知前附表。</w:t>
      </w:r>
    </w:p>
    <w:p w14:paraId="50C99AF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1.3.3  本招标项目的质量要求：见投标人须知前附表。</w:t>
      </w:r>
    </w:p>
    <w:p w14:paraId="3F227A6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1.3.4  本招标项目的安全目标：见投标人须知前附表。</w:t>
      </w:r>
    </w:p>
    <w:p w14:paraId="28D5F06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1.3.5  本招标项目的环保目标：见投标人须知前附表。</w:t>
      </w:r>
    </w:p>
    <w:p w14:paraId="7BCD8671">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53" w:name="_Toc10876"/>
      <w:bookmarkStart w:id="54" w:name="_Toc14795"/>
      <w:bookmarkStart w:id="55" w:name="_Toc15172"/>
      <w:r>
        <w:rPr>
          <w:rFonts w:hint="eastAsia" w:ascii="黑体" w:hAnsi="黑体" w:eastAsia="黑体" w:cs="黑体"/>
          <w:b/>
          <w:bCs w:val="0"/>
          <w:snapToGrid/>
          <w:color w:val="auto"/>
          <w:kern w:val="2"/>
          <w:highlight w:val="none"/>
          <w:lang w:eastAsia="zh-CN"/>
        </w:rPr>
        <w:t>1.4  投标人资格要求</w:t>
      </w:r>
      <w:bookmarkEnd w:id="53"/>
      <w:bookmarkEnd w:id="54"/>
      <w:bookmarkEnd w:id="55"/>
    </w:p>
    <w:p w14:paraId="0C23A1E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1.4.1  投标人应具备承担本标段施工的资质条件、能力和信誉：</w:t>
      </w:r>
    </w:p>
    <w:p w14:paraId="3210CCC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（1）资质要求：见投标人须知前附表；</w:t>
      </w:r>
    </w:p>
    <w:p w14:paraId="5CB272D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（2）财务要求：见投标人须知前附表；</w:t>
      </w:r>
    </w:p>
    <w:p w14:paraId="2460403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（3）业绩要求：见投标人须知前附表；</w:t>
      </w:r>
    </w:p>
    <w:p w14:paraId="42549B7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（4）信誉要求：见投标人须知前附表；</w:t>
      </w:r>
    </w:p>
    <w:p w14:paraId="4801BE9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（5）项目经理资格：见投标人须知前附表；</w:t>
      </w:r>
    </w:p>
    <w:p w14:paraId="00013D4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（6）其他主要人员资格：见投标人须知前附表；</w:t>
      </w:r>
    </w:p>
    <w:p w14:paraId="04609D1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（7）其他要求：见投标人须知前附表。</w:t>
      </w:r>
    </w:p>
    <w:p w14:paraId="6335653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1.4.2 投标人须知前附表规定接受联合体投标的，联合体除应符合本章第 1.4.1项和投标人须知前附表的要求外，还应遵守以下规定：</w:t>
      </w:r>
    </w:p>
    <w:p w14:paraId="5828CF6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（1）联合体各方应按招标文件提供的格式签订联合体协议书，明确联合体牵头人和各方权利义务，并承诺就中标项目向招标人承担连带责任；</w:t>
      </w:r>
    </w:p>
    <w:p w14:paraId="3C62F25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（2）由同一专业的单位组成的联合体，按照资质等级较低的单位确定资质等级；</w:t>
      </w:r>
    </w:p>
    <w:p w14:paraId="460E296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（3）联合体各方不得再以自己名义单独或参加其他联合体在同一标段中投标，否则各相关投标均无效。</w:t>
      </w:r>
    </w:p>
    <w:p w14:paraId="13AC71D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1.4.3  投标人（包括联合体各成员）不得存在下列情形之一：</w:t>
      </w:r>
    </w:p>
    <w:p w14:paraId="6E84FAF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（1）为招标人不具有独立法人资格的附属机构（单位）；</w:t>
      </w:r>
    </w:p>
    <w:p w14:paraId="318DCD3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（2）与招标人存在利害关系且可能影响招标公正性；</w:t>
      </w:r>
    </w:p>
    <w:p w14:paraId="2CC4E13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（3）与本标段的其他投标人为同一个单位负责人；</w:t>
      </w:r>
    </w:p>
    <w:p w14:paraId="6ED09C9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（4）与本标段的其他投标人存在控股、管理关系；</w:t>
      </w:r>
    </w:p>
    <w:p w14:paraId="2DAFD3A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（5）为本标段前期准备提供设计或咨询服务的法人或其任何附属机构（单位），但工程总承包的除外；</w:t>
      </w:r>
    </w:p>
    <w:p w14:paraId="29965F4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（6）为本标段监理人；</w:t>
      </w:r>
    </w:p>
    <w:p w14:paraId="519DFD6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（7）为本标段代建人；</w:t>
      </w:r>
    </w:p>
    <w:p w14:paraId="754EC2B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（8）为本标段的招标代理机构；</w:t>
      </w:r>
    </w:p>
    <w:p w14:paraId="10FF665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（9）与本标段的监理人或代建人或招标代理机构同为一个法定代表人；</w:t>
      </w:r>
    </w:p>
    <w:p w14:paraId="185EE44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（10）与本标段的监理人或代建人或招标代理机构存在控股或参股关系；</w:t>
      </w:r>
    </w:p>
    <w:p w14:paraId="263F6BA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（11）被依法暂停或者取消投标资格（以相关行业主管部门的行政处理决定为准）；</w:t>
      </w:r>
    </w:p>
    <w:p w14:paraId="1566F3E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（12）被责令停业，暂扣或者吊销执照，或吊销资质证书；</w:t>
      </w:r>
    </w:p>
    <w:p w14:paraId="0D9EEE4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（13）进入清算程序，或被宣告破产，或其他丧失履约能力的情形；</w:t>
      </w:r>
    </w:p>
    <w:p w14:paraId="3E1507D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（14）在近三年内有骗取中标或严重违约或重大工程质量事故或重大生产安全事故的（以相关行业主管部门的行政处罚决定或司法机关出具的有关法律文书为准）；</w:t>
      </w:r>
    </w:p>
    <w:p w14:paraId="2682616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（15）在国家企业信用信息公示系统（</w:t>
      </w:r>
      <w:r>
        <w:rPr>
          <w:rFonts w:hint="eastAsia" w:ascii="宋体" w:hAnsi="宋体" w:eastAsia="宋体" w:cs="宋体"/>
          <w:color w:val="auto"/>
          <w:spacing w:val="-2"/>
          <w:sz w:val="21"/>
          <w:szCs w:val="21"/>
          <w:highlight w:val="none"/>
        </w:rPr>
        <w:fldChar w:fldCharType="begin"/>
      </w:r>
      <w:r>
        <w:rPr>
          <w:rFonts w:hint="eastAsia" w:ascii="宋体" w:hAnsi="宋体" w:eastAsia="宋体" w:cs="宋体"/>
          <w:color w:val="auto"/>
          <w:spacing w:val="-2"/>
          <w:sz w:val="21"/>
          <w:szCs w:val="21"/>
          <w:highlight w:val="none"/>
        </w:rPr>
        <w:instrText xml:space="preserve"> HYPERLINK "http://www.gsxt.gov.cn/" </w:instrText>
      </w:r>
      <w:r>
        <w:rPr>
          <w:rFonts w:hint="eastAsia" w:ascii="宋体" w:hAnsi="宋体" w:eastAsia="宋体" w:cs="宋体"/>
          <w:color w:val="auto"/>
          <w:spacing w:val="-2"/>
          <w:sz w:val="21"/>
          <w:szCs w:val="21"/>
          <w:highlight w:val="none"/>
        </w:rPr>
        <w:fldChar w:fldCharType="separate"/>
      </w:r>
      <w:r>
        <w:rPr>
          <w:rFonts w:hint="eastAsia" w:ascii="宋体" w:hAnsi="宋体" w:eastAsia="宋体" w:cs="宋体"/>
          <w:color w:val="auto"/>
          <w:spacing w:val="-2"/>
          <w:sz w:val="21"/>
          <w:szCs w:val="21"/>
          <w:highlight w:val="none"/>
        </w:rPr>
        <w:t>http://www.gsxt.gov.cn/</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2"/>
          <w:sz w:val="21"/>
          <w:szCs w:val="21"/>
          <w:highlight w:val="none"/>
        </w:rPr>
        <w:t xml:space="preserve"> ）中被列入严重违法失信企业名单；</w:t>
      </w:r>
    </w:p>
    <w:p w14:paraId="61801D8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（16）在“信用中国 ”网站（http://www.creditchina.gov.cn/）中被列入失信被执行人名单；</w:t>
      </w:r>
    </w:p>
    <w:p w14:paraId="42F9634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（17）在“信用中国 ”网站（http://www.creditchina.gov.cn/）中被列入重大税收违法失信主体；</w:t>
      </w:r>
    </w:p>
    <w:p w14:paraId="12C68A7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（18）在“信用中国”网站（</w:t>
      </w:r>
      <w:r>
        <w:rPr>
          <w:rFonts w:hint="eastAsia" w:ascii="宋体" w:hAnsi="宋体" w:eastAsia="宋体" w:cs="宋体"/>
          <w:color w:val="auto"/>
          <w:spacing w:val="-2"/>
          <w:sz w:val="21"/>
          <w:szCs w:val="21"/>
          <w:highlight w:val="none"/>
        </w:rPr>
        <w:fldChar w:fldCharType="begin"/>
      </w:r>
      <w:r>
        <w:rPr>
          <w:rFonts w:hint="eastAsia" w:ascii="宋体" w:hAnsi="宋体" w:eastAsia="宋体" w:cs="宋体"/>
          <w:color w:val="auto"/>
          <w:spacing w:val="-2"/>
          <w:sz w:val="21"/>
          <w:szCs w:val="21"/>
          <w:highlight w:val="none"/>
        </w:rPr>
        <w:instrText xml:space="preserve"> HYPERLINK "http://www.creditchina.gov.cn/" </w:instrText>
      </w:r>
      <w:r>
        <w:rPr>
          <w:rFonts w:hint="eastAsia" w:ascii="宋体" w:hAnsi="宋体" w:eastAsia="宋体" w:cs="宋体"/>
          <w:color w:val="auto"/>
          <w:spacing w:val="-2"/>
          <w:sz w:val="21"/>
          <w:szCs w:val="21"/>
          <w:highlight w:val="none"/>
        </w:rPr>
        <w:fldChar w:fldCharType="separate"/>
      </w:r>
      <w:r>
        <w:rPr>
          <w:rFonts w:hint="eastAsia" w:ascii="宋体" w:hAnsi="宋体" w:eastAsia="宋体" w:cs="宋体"/>
          <w:color w:val="auto"/>
          <w:spacing w:val="-2"/>
          <w:sz w:val="21"/>
          <w:szCs w:val="21"/>
          <w:highlight w:val="none"/>
        </w:rPr>
        <w:t>http://www.creditchina.gov.cn/</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2"/>
          <w:sz w:val="21"/>
          <w:szCs w:val="21"/>
          <w:highlight w:val="none"/>
        </w:rPr>
        <w:t xml:space="preserve"> ）中被列入拖欠农民工工资失信 联合惩戒对象名单；</w:t>
      </w:r>
    </w:p>
    <w:p w14:paraId="33386A3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（19）在近三年内投标人或其法定代表人、拟任项目负责人有行贿犯罪行为的；</w:t>
      </w:r>
    </w:p>
    <w:p w14:paraId="545F0F5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（20）投标时（以投标截止时间为准），有被项目所在地市级及县区各行业主管部门或公共资源交易监管部门限制投标的不良行为记录（有效期内）；</w:t>
      </w:r>
    </w:p>
    <w:p w14:paraId="7CFF904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（21）法律法规或投标人须知前附表规定的其他情形。</w:t>
      </w:r>
    </w:p>
    <w:p w14:paraId="1680270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56" w:name="_Toc23605"/>
      <w:bookmarkStart w:id="57" w:name="_Toc28836"/>
      <w:bookmarkStart w:id="58" w:name="_Toc11070"/>
      <w:r>
        <w:rPr>
          <w:rFonts w:hint="eastAsia" w:ascii="黑体" w:hAnsi="黑体" w:eastAsia="黑体" w:cs="黑体"/>
          <w:b/>
          <w:bCs w:val="0"/>
          <w:snapToGrid/>
          <w:color w:val="auto"/>
          <w:kern w:val="2"/>
          <w:highlight w:val="none"/>
          <w:lang w:eastAsia="zh-CN"/>
        </w:rPr>
        <w:t>1.5  费用承担</w:t>
      </w:r>
      <w:bookmarkEnd w:id="56"/>
      <w:bookmarkEnd w:id="57"/>
      <w:bookmarkEnd w:id="58"/>
    </w:p>
    <w:p w14:paraId="7DA70B7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投标人准备和参加投标活动发生的费用自理。</w:t>
      </w:r>
    </w:p>
    <w:p w14:paraId="66E668F8">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59" w:name="_Toc7549"/>
      <w:bookmarkStart w:id="60" w:name="_Toc1218"/>
      <w:bookmarkStart w:id="61" w:name="_Toc6949"/>
      <w:r>
        <w:rPr>
          <w:rFonts w:hint="eastAsia" w:ascii="黑体" w:hAnsi="黑体" w:eastAsia="黑体" w:cs="黑体"/>
          <w:b/>
          <w:bCs w:val="0"/>
          <w:snapToGrid/>
          <w:color w:val="auto"/>
          <w:kern w:val="2"/>
          <w:highlight w:val="none"/>
          <w:lang w:eastAsia="zh-CN"/>
        </w:rPr>
        <w:t>1.6  保密</w:t>
      </w:r>
      <w:bookmarkEnd w:id="59"/>
      <w:bookmarkEnd w:id="60"/>
      <w:bookmarkEnd w:id="61"/>
    </w:p>
    <w:p w14:paraId="668495B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参与招标投标活动的各方应对招标文件和投标文件中的商业和技术等秘密保密，否则应承担相应的法律责任。</w:t>
      </w:r>
    </w:p>
    <w:p w14:paraId="726BEEF9">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62" w:name="_Toc29929"/>
      <w:bookmarkStart w:id="63" w:name="_Toc16816"/>
      <w:bookmarkStart w:id="64" w:name="_Toc9515"/>
      <w:r>
        <w:rPr>
          <w:rFonts w:hint="eastAsia" w:ascii="黑体" w:hAnsi="黑体" w:eastAsia="黑体" w:cs="黑体"/>
          <w:b/>
          <w:bCs w:val="0"/>
          <w:snapToGrid/>
          <w:color w:val="auto"/>
          <w:kern w:val="2"/>
          <w:highlight w:val="none"/>
          <w:lang w:eastAsia="zh-CN"/>
        </w:rPr>
        <w:t>1.7  语言文字</w:t>
      </w:r>
      <w:bookmarkEnd w:id="62"/>
      <w:bookmarkEnd w:id="63"/>
      <w:bookmarkEnd w:id="64"/>
    </w:p>
    <w:p w14:paraId="72D95A2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招标投标文件使用的语言文字为中文。专用术语使用外文的，应附有中文注释。</w:t>
      </w:r>
    </w:p>
    <w:p w14:paraId="08C0017D">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65" w:name="_Toc29154"/>
      <w:bookmarkStart w:id="66" w:name="_Toc7771"/>
      <w:bookmarkStart w:id="67" w:name="_Toc7447"/>
      <w:r>
        <w:rPr>
          <w:rFonts w:hint="eastAsia" w:ascii="黑体" w:hAnsi="黑体" w:eastAsia="黑体" w:cs="黑体"/>
          <w:b/>
          <w:bCs w:val="0"/>
          <w:snapToGrid/>
          <w:color w:val="auto"/>
          <w:kern w:val="2"/>
          <w:highlight w:val="none"/>
          <w:lang w:eastAsia="zh-CN"/>
        </w:rPr>
        <w:t>1.8  计量单位</w:t>
      </w:r>
      <w:bookmarkEnd w:id="65"/>
      <w:bookmarkEnd w:id="66"/>
      <w:bookmarkEnd w:id="67"/>
    </w:p>
    <w:p w14:paraId="56B3591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所有计量均采用中华人民共和国法定计量单位。</w:t>
      </w:r>
    </w:p>
    <w:p w14:paraId="4E9FE850">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68" w:name="_Toc9300"/>
      <w:bookmarkStart w:id="69" w:name="_Toc29310"/>
      <w:bookmarkStart w:id="70" w:name="_Toc28875"/>
      <w:r>
        <w:rPr>
          <w:rFonts w:hint="eastAsia" w:ascii="黑体" w:hAnsi="黑体" w:eastAsia="黑体" w:cs="黑体"/>
          <w:b/>
          <w:bCs w:val="0"/>
          <w:snapToGrid/>
          <w:color w:val="auto"/>
          <w:kern w:val="2"/>
          <w:highlight w:val="none"/>
          <w:lang w:eastAsia="zh-CN"/>
        </w:rPr>
        <w:t>1.9  踏勘现场</w:t>
      </w:r>
      <w:bookmarkEnd w:id="68"/>
      <w:bookmarkEnd w:id="69"/>
      <w:bookmarkEnd w:id="70"/>
    </w:p>
    <w:p w14:paraId="2592EEB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1.9.1  投标人须知前附表规定组织踏勘现场的，招标人按投标人须知前附表规定的时间、地点组织投标人踏勘项目现场。部分投标人未按时参加踏勘现场的，不影响踏勘现场的正常进行。</w:t>
      </w:r>
    </w:p>
    <w:p w14:paraId="11C4529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1.9.2  投标人踏勘现场发生的费用自理。</w:t>
      </w:r>
    </w:p>
    <w:p w14:paraId="49F4212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1.9.3  除招标人的原因外，投标人自行负责在踏勘现场中所发生的人员伤亡和财产损失</w:t>
      </w:r>
      <w:r>
        <w:rPr>
          <w:rFonts w:hint="eastAsia" w:ascii="宋体" w:hAnsi="宋体" w:eastAsia="宋体" w:cs="宋体"/>
          <w:color w:val="auto"/>
          <w:spacing w:val="-2"/>
          <w:sz w:val="21"/>
          <w:szCs w:val="21"/>
          <w:highlight w:val="none"/>
          <w:lang w:eastAsia="zh-CN"/>
        </w:rPr>
        <w:t>。</w:t>
      </w:r>
    </w:p>
    <w:p w14:paraId="7A419B3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1.9.4  招标人在踏勘现场中介绍的工程场地和相关的周边环境情况，供投标人在编制投标文件时参考，招标人不对投标人据此作出的判断和决策负责。</w:t>
      </w:r>
    </w:p>
    <w:p w14:paraId="72E3DF3B">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71" w:name="_Toc8425"/>
      <w:bookmarkStart w:id="72" w:name="_Toc16597"/>
      <w:bookmarkStart w:id="73" w:name="_Toc5932"/>
      <w:r>
        <w:rPr>
          <w:rFonts w:hint="eastAsia" w:ascii="黑体" w:hAnsi="黑体" w:eastAsia="黑体" w:cs="黑体"/>
          <w:b/>
          <w:bCs w:val="0"/>
          <w:snapToGrid/>
          <w:color w:val="auto"/>
          <w:kern w:val="2"/>
          <w:highlight w:val="none"/>
          <w:lang w:eastAsia="zh-CN"/>
        </w:rPr>
        <w:t>1.10  投标预备会</w:t>
      </w:r>
      <w:bookmarkEnd w:id="71"/>
      <w:bookmarkEnd w:id="72"/>
      <w:bookmarkEnd w:id="73"/>
    </w:p>
    <w:p w14:paraId="0CDCB4C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1.10.1  投标人须知前附表规定召开投标预备会的，招标人按投标人须知前附表规定的时间和地点召开投标预备会，澄清投标人提出的问题。</w:t>
      </w:r>
    </w:p>
    <w:p w14:paraId="0102E9B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1.10.2  投标人应按投标人须知前附表规定的时间和形式将提出的问题送达招标人，以便招标人在会议期间澄清。</w:t>
      </w:r>
    </w:p>
    <w:p w14:paraId="75367C15">
      <w:pPr>
        <w:keepNext w:val="0"/>
        <w:keepLines w:val="0"/>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1.10.3  投标预备会后，招标人将对投标人所提问题的澄清，以投标人须知前附表规定的形式通知所有购买招标文件的投标人。该澄清内容为招标文件的组成部分。</w:t>
      </w:r>
    </w:p>
    <w:p w14:paraId="06130A67">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74" w:name="_Toc13974"/>
      <w:bookmarkStart w:id="75" w:name="_Toc6518"/>
      <w:bookmarkStart w:id="76" w:name="_Toc19789"/>
      <w:r>
        <w:rPr>
          <w:rFonts w:hint="eastAsia" w:ascii="黑体" w:hAnsi="黑体" w:eastAsia="黑体" w:cs="黑体"/>
          <w:b/>
          <w:bCs w:val="0"/>
          <w:snapToGrid/>
          <w:color w:val="auto"/>
          <w:kern w:val="2"/>
          <w:highlight w:val="none"/>
          <w:lang w:eastAsia="zh-CN"/>
        </w:rPr>
        <w:t>1.11  分包</w:t>
      </w:r>
      <w:bookmarkEnd w:id="74"/>
      <w:bookmarkEnd w:id="75"/>
      <w:bookmarkEnd w:id="76"/>
    </w:p>
    <w:p w14:paraId="6ECF28C8">
      <w:pPr>
        <w:keepNext/>
        <w:keepLines/>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1.11.1  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14:paraId="1422AF65">
      <w:pPr>
        <w:keepNext w:val="0"/>
        <w:keepLines w:val="0"/>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1.11.2  中标人不得向他人转让中标项目，接受分包的人不得再次分包。中标人应当就分包项目向招标人负责，接受分包的人就分包项目承担连带责任。</w:t>
      </w:r>
    </w:p>
    <w:p w14:paraId="31A45564">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77" w:name="_Toc26654"/>
      <w:bookmarkStart w:id="78" w:name="_Toc13648"/>
      <w:bookmarkStart w:id="79" w:name="_Toc32547"/>
      <w:r>
        <w:rPr>
          <w:rFonts w:hint="eastAsia" w:ascii="黑体" w:hAnsi="黑体" w:eastAsia="黑体" w:cs="黑体"/>
          <w:b/>
          <w:bCs w:val="0"/>
          <w:snapToGrid/>
          <w:color w:val="auto"/>
          <w:kern w:val="2"/>
          <w:highlight w:val="none"/>
          <w:lang w:eastAsia="zh-CN"/>
        </w:rPr>
        <w:t>1.12  响应与偏差</w:t>
      </w:r>
      <w:bookmarkEnd w:id="77"/>
      <w:bookmarkEnd w:id="78"/>
      <w:bookmarkEnd w:id="79"/>
    </w:p>
    <w:p w14:paraId="0D74C49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1.12.1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投标文件应当对招标文件的实质性要求和条件作出满足性或更有利于招标人的响应，否则，投标人的投标将被否决。实质性要求和条件见投标人须知前附表。</w:t>
      </w:r>
    </w:p>
    <w:p w14:paraId="013007B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1.12.2  投标人应根据招标文件的要求提供投标技术标准和要求等内容以对招标文件作出响应。</w:t>
      </w:r>
    </w:p>
    <w:p w14:paraId="00D1968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1.12.3  投标人须知前附表允许投标文件偏离招标文件某些要求的，偏差应当符合招标文件规定的偏差范围和幅度。</w:t>
      </w:r>
    </w:p>
    <w:p w14:paraId="05FED824">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80" w:name="_Toc24176"/>
      <w:r>
        <w:rPr>
          <w:rFonts w:hint="eastAsia" w:ascii="黑体" w:hAnsi="黑体" w:eastAsia="黑体" w:cs="黑体"/>
          <w:b/>
          <w:bCs w:val="0"/>
          <w:snapToGrid/>
          <w:color w:val="auto"/>
          <w:kern w:val="2"/>
          <w:sz w:val="32"/>
          <w:highlight w:val="none"/>
          <w:lang w:eastAsia="zh-CN"/>
        </w:rPr>
        <w:t>2．招标文件</w:t>
      </w:r>
      <w:bookmarkEnd w:id="80"/>
    </w:p>
    <w:p w14:paraId="304E032F">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color w:val="auto"/>
          <w:sz w:val="21"/>
          <w:highlight w:val="none"/>
        </w:rPr>
      </w:pPr>
      <w:bookmarkStart w:id="81" w:name="_Toc30747"/>
      <w:bookmarkStart w:id="82" w:name="_Toc1405"/>
      <w:bookmarkStart w:id="83" w:name="_Toc15284"/>
      <w:r>
        <w:rPr>
          <w:rFonts w:hint="eastAsia" w:ascii="黑体" w:hAnsi="黑体" w:eastAsia="黑体" w:cs="黑体"/>
          <w:b/>
          <w:bCs/>
          <w:snapToGrid/>
          <w:color w:val="auto"/>
          <w:kern w:val="2"/>
          <w:highlight w:val="none"/>
          <w:lang w:eastAsia="zh-CN"/>
        </w:rPr>
        <w:t>2.1  招标文件的组成</w:t>
      </w:r>
      <w:bookmarkEnd w:id="81"/>
      <w:bookmarkEnd w:id="82"/>
      <w:bookmarkEnd w:id="83"/>
    </w:p>
    <w:p w14:paraId="25EAA01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本招标文件包括：</w:t>
      </w:r>
    </w:p>
    <w:p w14:paraId="3AEF7F5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 招标公告；</w:t>
      </w:r>
    </w:p>
    <w:p w14:paraId="7B81498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 投标人须知；</w:t>
      </w:r>
    </w:p>
    <w:p w14:paraId="42C7E3B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 评标办法；</w:t>
      </w:r>
    </w:p>
    <w:p w14:paraId="6E4E017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 合同条款及格式；</w:t>
      </w:r>
    </w:p>
    <w:p w14:paraId="314F979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 工程量清单；</w:t>
      </w:r>
    </w:p>
    <w:p w14:paraId="084A40E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 图纸；</w:t>
      </w:r>
    </w:p>
    <w:p w14:paraId="3850FE8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 技术标准和要求；</w:t>
      </w:r>
    </w:p>
    <w:p w14:paraId="0F98D30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 投标文件格式；</w:t>
      </w:r>
    </w:p>
    <w:p w14:paraId="63DDB40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 投标人须知前附表规定的其他材料。</w:t>
      </w:r>
    </w:p>
    <w:p w14:paraId="647FDA3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根据本章第 1.10 款、第 2.2 款和第 2.3 款对招标文件所作的澄清、修改，构成招标文件的组成部分。</w:t>
      </w:r>
    </w:p>
    <w:p w14:paraId="79E2E496">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84" w:name="_Toc8122"/>
      <w:bookmarkStart w:id="85" w:name="_Toc14765"/>
      <w:bookmarkStart w:id="86" w:name="_Toc30996"/>
      <w:r>
        <w:rPr>
          <w:rFonts w:hint="eastAsia" w:ascii="黑体" w:hAnsi="黑体" w:eastAsia="黑体" w:cs="黑体"/>
          <w:b/>
          <w:bCs/>
          <w:snapToGrid/>
          <w:color w:val="auto"/>
          <w:kern w:val="2"/>
          <w:highlight w:val="none"/>
          <w:lang w:eastAsia="zh-CN"/>
        </w:rPr>
        <w:t>2.2  招标文件的澄清</w:t>
      </w:r>
      <w:bookmarkEnd w:id="84"/>
      <w:bookmarkEnd w:id="85"/>
      <w:bookmarkEnd w:id="86"/>
    </w:p>
    <w:p w14:paraId="4DDFF44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A9EEF5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2.2.2 招标文件的澄清以投标人须知前附表规定的形式发给所有购买招标文件的投标人，但不指明澄清问题的来源。澄清发出的时间距本章第 4.2.1 项规定的投标截止时间不足 15日的</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并且澄清内容可能影响投标文件编制的，将相应延长投标截止时间。</w:t>
      </w:r>
    </w:p>
    <w:p w14:paraId="0723A8E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2.2.3  投标人在收到澄清后，应按投标人须知前附表规定的时间和形式通知招标人，确认已收到该澄清。</w:t>
      </w:r>
    </w:p>
    <w:p w14:paraId="45EC3D5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2.2.4  除非招标人认为确有必要答复，否则，招标人有权拒绝回复投标人在本章第 2.2.1项规定的时间后提出的任何澄清要求。</w:t>
      </w:r>
    </w:p>
    <w:p w14:paraId="2C82EF91">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87" w:name="_Toc26988"/>
      <w:bookmarkStart w:id="88" w:name="_Toc16360"/>
      <w:bookmarkStart w:id="89" w:name="_Toc32449"/>
      <w:r>
        <w:rPr>
          <w:rFonts w:hint="eastAsia" w:ascii="黑体" w:hAnsi="黑体" w:eastAsia="黑体" w:cs="黑体"/>
          <w:b/>
          <w:bCs/>
          <w:snapToGrid/>
          <w:color w:val="auto"/>
          <w:kern w:val="2"/>
          <w:highlight w:val="none"/>
          <w:lang w:eastAsia="zh-CN"/>
        </w:rPr>
        <w:t>2.3  招标文件的修改</w:t>
      </w:r>
      <w:bookmarkEnd w:id="87"/>
      <w:bookmarkEnd w:id="88"/>
      <w:bookmarkEnd w:id="89"/>
    </w:p>
    <w:p w14:paraId="2555811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2.3.1 招标人以投标人须知前附表规定的形式修改招标文件，并通知所有已购买招标文件的投标人。修改招标文件的时间距本章第 4.2.1项规定的投标截止时间不足 15 日的，并且修改内容可能影响投标文件编制的，将相应延长投标截止时间。</w:t>
      </w:r>
    </w:p>
    <w:p w14:paraId="5D0EFE2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2.3.2  投标人收到修改内容后，应按投标人须知前附表规定的时间和形式通知招标人，确认已收到该修改。</w:t>
      </w:r>
    </w:p>
    <w:p w14:paraId="137C6561">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90" w:name="_Toc1189"/>
      <w:bookmarkStart w:id="91" w:name="_Toc29053"/>
      <w:bookmarkStart w:id="92" w:name="_Toc22018"/>
      <w:r>
        <w:rPr>
          <w:rFonts w:hint="eastAsia" w:ascii="黑体" w:hAnsi="黑体" w:eastAsia="黑体" w:cs="黑体"/>
          <w:b/>
          <w:bCs/>
          <w:snapToGrid/>
          <w:color w:val="auto"/>
          <w:kern w:val="2"/>
          <w:highlight w:val="none"/>
          <w:lang w:eastAsia="zh-CN"/>
        </w:rPr>
        <w:t>2.4  招标文件的异议</w:t>
      </w:r>
      <w:bookmarkEnd w:id="90"/>
      <w:bookmarkEnd w:id="91"/>
      <w:bookmarkEnd w:id="92"/>
    </w:p>
    <w:p w14:paraId="3C0CFB3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投标人或者其他利害关系人对招标文件有异议的，应当在投标截止时间 10日前以投标人须知前附表规定的形式提出。招标人将在收到异议之日起 3日内作出答复；作出答复前，将暂停招标投标活动。</w:t>
      </w:r>
    </w:p>
    <w:p w14:paraId="34FFB306">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93" w:name="_Toc17793"/>
      <w:r>
        <w:rPr>
          <w:rFonts w:hint="eastAsia" w:ascii="黑体" w:hAnsi="黑体" w:eastAsia="黑体" w:cs="黑体"/>
          <w:b/>
          <w:bCs w:val="0"/>
          <w:snapToGrid/>
          <w:color w:val="auto"/>
          <w:kern w:val="2"/>
          <w:sz w:val="32"/>
          <w:highlight w:val="none"/>
          <w:lang w:eastAsia="zh-CN"/>
        </w:rPr>
        <w:t>3．投标文件</w:t>
      </w:r>
      <w:bookmarkEnd w:id="93"/>
    </w:p>
    <w:p w14:paraId="0FD65016">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94" w:name="_Toc12300"/>
      <w:bookmarkStart w:id="95" w:name="_Toc6405"/>
      <w:bookmarkStart w:id="96" w:name="_Toc3053"/>
      <w:r>
        <w:rPr>
          <w:rFonts w:hint="eastAsia" w:ascii="黑体" w:hAnsi="黑体" w:eastAsia="黑体" w:cs="黑体"/>
          <w:b/>
          <w:bCs/>
          <w:snapToGrid/>
          <w:color w:val="auto"/>
          <w:kern w:val="2"/>
          <w:highlight w:val="none"/>
          <w:lang w:eastAsia="zh-CN"/>
        </w:rPr>
        <w:t>3.1  投标文件的组成</w:t>
      </w:r>
      <w:bookmarkEnd w:id="94"/>
      <w:bookmarkEnd w:id="95"/>
      <w:bookmarkEnd w:id="96"/>
    </w:p>
    <w:p w14:paraId="4B43327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3.1.1  投标文件应包括下列内容：</w:t>
      </w:r>
    </w:p>
    <w:p w14:paraId="0CEF094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（l）投标函及投标函附录；</w:t>
      </w:r>
    </w:p>
    <w:p w14:paraId="4B03E5A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（2）法定代表人身份证明或授权委托书；</w:t>
      </w:r>
    </w:p>
    <w:p w14:paraId="441CC94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（3）联合体协议书；</w:t>
      </w:r>
    </w:p>
    <w:p w14:paraId="23ED58B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（4）投标保证金；</w:t>
      </w:r>
    </w:p>
    <w:p w14:paraId="2B94423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（5）已标价的工程量清单；</w:t>
      </w:r>
    </w:p>
    <w:p w14:paraId="7707381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（6）施工组织设计；</w:t>
      </w:r>
    </w:p>
    <w:p w14:paraId="00EE791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（7）项目管理机构；</w:t>
      </w:r>
    </w:p>
    <w:p w14:paraId="30C5F83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（8）拟分包项目情况表；</w:t>
      </w:r>
    </w:p>
    <w:p w14:paraId="3CABC2E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（9）资格审查资料；</w:t>
      </w:r>
    </w:p>
    <w:p w14:paraId="0465C9A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（10）投标人须知前附表规定的其他资料。</w:t>
      </w:r>
    </w:p>
    <w:p w14:paraId="5EA11AF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投标人在评标过程中作出的符合法律法规和招标文件规定的澄清确认，构成投标文件的组成部 分。</w:t>
      </w:r>
    </w:p>
    <w:p w14:paraId="690FD2E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3.1.2  投标人须知前附表规定不接受联合体投标的，或投标人没有组成联合体的，投标文件不包 括本章第 3.1.1（3） 目所指的联合体协议书。</w:t>
      </w:r>
    </w:p>
    <w:p w14:paraId="3E9E2C9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3.1.3  投标人须知前附表未要求提交投标保证金的，投标文件不包括本章第 3.1.1（4） 目所指的投标保证金。</w:t>
      </w:r>
    </w:p>
    <w:p w14:paraId="48D5C84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3.1.4  投标人须知前附表规定不允许分包的，投标文件不包括本章第 3.1.1（8）目所指的拟分包项目情况表。</w:t>
      </w:r>
    </w:p>
    <w:p w14:paraId="0549DD3A">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97" w:name="_Toc2232"/>
      <w:bookmarkStart w:id="98" w:name="_Toc29470"/>
      <w:bookmarkStart w:id="99" w:name="_Toc7858"/>
      <w:r>
        <w:rPr>
          <w:rFonts w:hint="eastAsia" w:ascii="黑体" w:hAnsi="黑体" w:eastAsia="黑体" w:cs="黑体"/>
          <w:b/>
          <w:bCs/>
          <w:snapToGrid/>
          <w:color w:val="auto"/>
          <w:kern w:val="2"/>
          <w:highlight w:val="none"/>
          <w:lang w:eastAsia="zh-CN"/>
        </w:rPr>
        <w:t>3.2  投标报价</w:t>
      </w:r>
      <w:bookmarkEnd w:id="97"/>
      <w:bookmarkEnd w:id="98"/>
      <w:bookmarkEnd w:id="99"/>
    </w:p>
    <w:p w14:paraId="0A64084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3.2.1 投标人应按第五章“工程量清单”的要求填写相应表格。投标报价应包括国家规定的增值税税金，除投标人须知前附表另有规定外，增值税税金按一般计税方法计算。</w:t>
      </w:r>
    </w:p>
    <w:p w14:paraId="1697D6F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3.2.2 投标人应充分了解本标段工程的总体情况以及影响投标报价的其他要素。</w:t>
      </w:r>
    </w:p>
    <w:p w14:paraId="3ECEA4D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3.2.3  投标人在投标截止时间前修改投标函中的投标总报价，应同时修改第五章“工程量清单” 中的相应报价。此修改须符合本章第 4.3 款的有关要求。</w:t>
      </w:r>
    </w:p>
    <w:p w14:paraId="3C6D8D2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3.2.4  招标人设有最高投标限价的，投标人的投标报价不得超过最高投标限价，最高投标限价在投标人须知前附表中载明。</w:t>
      </w:r>
    </w:p>
    <w:p w14:paraId="2D12E36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3.2.5  投标报价的其他要求见投标人须知前附表。</w:t>
      </w:r>
    </w:p>
    <w:p w14:paraId="3221CC8F">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00" w:name="_Toc25107"/>
      <w:bookmarkStart w:id="101" w:name="_Toc13763"/>
      <w:bookmarkStart w:id="102" w:name="_Toc25018"/>
      <w:r>
        <w:rPr>
          <w:rFonts w:hint="eastAsia" w:ascii="黑体" w:hAnsi="黑体" w:eastAsia="黑体" w:cs="黑体"/>
          <w:b/>
          <w:bCs/>
          <w:snapToGrid/>
          <w:color w:val="auto"/>
          <w:kern w:val="2"/>
          <w:highlight w:val="none"/>
          <w:lang w:eastAsia="zh-CN"/>
        </w:rPr>
        <w:t>3.3  投标有效期</w:t>
      </w:r>
      <w:bookmarkEnd w:id="100"/>
      <w:bookmarkEnd w:id="101"/>
      <w:bookmarkEnd w:id="102"/>
    </w:p>
    <w:p w14:paraId="10975D5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3.3.1  除投标人须知前附表另有规定外，投标有效期为</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
          <w:sz w:val="21"/>
          <w:szCs w:val="21"/>
          <w:highlight w:val="none"/>
        </w:rPr>
        <w:t>90日。</w:t>
      </w:r>
    </w:p>
    <w:p w14:paraId="677FC4F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在投标有效期内，投标人撤销投标文件的，应承担招标文件和法律规定</w:t>
      </w:r>
      <w:r>
        <w:rPr>
          <w:rFonts w:hint="eastAsia" w:ascii="宋体" w:hAnsi="宋体" w:eastAsia="宋体" w:cs="宋体"/>
          <w:color w:val="auto"/>
          <w:spacing w:val="-1"/>
          <w:sz w:val="21"/>
          <w:szCs w:val="21"/>
          <w:highlight w:val="none"/>
        </w:rPr>
        <w:t>的责任</w:t>
      </w:r>
      <w:r>
        <w:rPr>
          <w:rFonts w:hint="eastAsia" w:ascii="宋体" w:hAnsi="宋体" w:eastAsia="宋体" w:cs="宋体"/>
          <w:color w:val="auto"/>
          <w:spacing w:val="-1"/>
          <w:sz w:val="21"/>
          <w:szCs w:val="21"/>
          <w:highlight w:val="none"/>
          <w:lang w:eastAsia="zh-CN"/>
        </w:rPr>
        <w:t>。</w:t>
      </w:r>
    </w:p>
    <w:p w14:paraId="78986DB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3.3.3  出现特殊情况需要延长投标有效期的，招标人以书面形式通知所有投标人延</w:t>
      </w:r>
      <w:r>
        <w:rPr>
          <w:rFonts w:hint="eastAsia" w:ascii="宋体" w:hAnsi="宋体" w:eastAsia="宋体" w:cs="宋体"/>
          <w:color w:val="auto"/>
          <w:spacing w:val="-3"/>
          <w:sz w:val="21"/>
          <w:szCs w:val="21"/>
          <w:highlight w:val="none"/>
        </w:rPr>
        <w:t>长投标有效期。</w:t>
      </w:r>
      <w:r>
        <w:rPr>
          <w:rFonts w:hint="eastAsia" w:ascii="宋体" w:hAnsi="宋体" w:eastAsia="宋体" w:cs="宋体"/>
          <w:color w:val="auto"/>
          <w:spacing w:val="1"/>
          <w:sz w:val="21"/>
          <w:szCs w:val="21"/>
          <w:highlight w:val="none"/>
        </w:rPr>
        <w:t>投标人应予以书面答复，同意延长的，应相应延长其投标保证金的有效期，</w:t>
      </w:r>
      <w:r>
        <w:rPr>
          <w:rFonts w:hint="eastAsia" w:ascii="宋体" w:hAnsi="宋体" w:eastAsia="宋体" w:cs="宋体"/>
          <w:color w:val="auto"/>
          <w:sz w:val="21"/>
          <w:szCs w:val="21"/>
          <w:highlight w:val="none"/>
        </w:rPr>
        <w:t>但不得要求或被允许修</w:t>
      </w:r>
      <w:r>
        <w:rPr>
          <w:rFonts w:hint="eastAsia" w:ascii="宋体" w:hAnsi="宋体" w:eastAsia="宋体" w:cs="宋体"/>
          <w:color w:val="auto"/>
          <w:spacing w:val="1"/>
          <w:sz w:val="21"/>
          <w:szCs w:val="21"/>
          <w:highlight w:val="none"/>
        </w:rPr>
        <w:t>改其投标文件；投标人拒绝延长的，其投标失效，但投标人有权收回其投标保</w:t>
      </w:r>
      <w:r>
        <w:rPr>
          <w:rFonts w:hint="eastAsia" w:ascii="宋体" w:hAnsi="宋体" w:eastAsia="宋体" w:cs="宋体"/>
          <w:color w:val="auto"/>
          <w:sz w:val="21"/>
          <w:szCs w:val="21"/>
          <w:highlight w:val="none"/>
        </w:rPr>
        <w:t>证金及以现金或者支</w:t>
      </w:r>
      <w:r>
        <w:rPr>
          <w:rFonts w:hint="eastAsia" w:ascii="宋体" w:hAnsi="宋体" w:eastAsia="宋体" w:cs="宋体"/>
          <w:color w:val="auto"/>
          <w:spacing w:val="-1"/>
          <w:sz w:val="21"/>
          <w:szCs w:val="21"/>
          <w:highlight w:val="none"/>
        </w:rPr>
        <w:t>票形式递交的投标保证金的银行同期存款利息。</w:t>
      </w:r>
    </w:p>
    <w:p w14:paraId="5E14FD94">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03" w:name="_Toc26787"/>
      <w:bookmarkStart w:id="104" w:name="_Toc27618"/>
      <w:bookmarkStart w:id="105" w:name="_Toc21773"/>
      <w:r>
        <w:rPr>
          <w:rFonts w:hint="eastAsia" w:ascii="黑体" w:hAnsi="黑体" w:eastAsia="黑体" w:cs="黑体"/>
          <w:b/>
          <w:bCs/>
          <w:snapToGrid/>
          <w:color w:val="auto"/>
          <w:kern w:val="2"/>
          <w:highlight w:val="none"/>
          <w:lang w:eastAsia="zh-CN"/>
        </w:rPr>
        <w:t>3.4  投标保证金</w:t>
      </w:r>
      <w:bookmarkEnd w:id="103"/>
      <w:bookmarkEnd w:id="104"/>
      <w:bookmarkEnd w:id="105"/>
    </w:p>
    <w:p w14:paraId="7A06571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rPr>
        <w:t>3.4.1  投标人在递交投标文件的同时，应</w:t>
      </w:r>
      <w:r>
        <w:rPr>
          <w:rFonts w:hint="eastAsia" w:ascii="宋体" w:hAnsi="宋体" w:eastAsia="宋体" w:cs="宋体"/>
          <w:color w:val="auto"/>
          <w:spacing w:val="-2"/>
          <w:sz w:val="21"/>
          <w:szCs w:val="21"/>
          <w:highlight w:val="none"/>
        </w:rPr>
        <w:t>按投标人须知前附表规定的金额、形式和第八章“投标</w:t>
      </w:r>
      <w:r>
        <w:rPr>
          <w:rFonts w:hint="eastAsia" w:ascii="宋体" w:hAnsi="宋体" w:eastAsia="宋体" w:cs="宋体"/>
          <w:color w:val="auto"/>
          <w:spacing w:val="1"/>
          <w:sz w:val="21"/>
          <w:szCs w:val="21"/>
          <w:highlight w:val="none"/>
        </w:rPr>
        <w:t>文件格式”规定的投标保证金格式递交投标保证金，并作为其投标文件的组</w:t>
      </w:r>
      <w:r>
        <w:rPr>
          <w:rFonts w:hint="eastAsia" w:ascii="宋体" w:hAnsi="宋体" w:eastAsia="宋体" w:cs="宋体"/>
          <w:color w:val="auto"/>
          <w:sz w:val="21"/>
          <w:szCs w:val="21"/>
          <w:highlight w:val="none"/>
        </w:rPr>
        <w:t xml:space="preserve">成部分。境内投标人以 </w:t>
      </w:r>
      <w:r>
        <w:rPr>
          <w:rFonts w:hint="eastAsia" w:ascii="宋体" w:hAnsi="宋体" w:eastAsia="宋体" w:cs="宋体"/>
          <w:color w:val="auto"/>
          <w:spacing w:val="1"/>
          <w:sz w:val="21"/>
          <w:szCs w:val="21"/>
          <w:highlight w:val="none"/>
        </w:rPr>
        <w:t>现金或者支票形式提交的投标保证金，应当从其基本账户转出并在投标文件</w:t>
      </w:r>
      <w:r>
        <w:rPr>
          <w:rFonts w:hint="eastAsia" w:ascii="宋体" w:hAnsi="宋体" w:eastAsia="宋体" w:cs="宋体"/>
          <w:color w:val="auto"/>
          <w:sz w:val="21"/>
          <w:szCs w:val="21"/>
          <w:highlight w:val="none"/>
        </w:rPr>
        <w:t>中附上基本账户开户证明。联合体投标的，其投标保证金可以由牵头人递</w:t>
      </w:r>
      <w:r>
        <w:rPr>
          <w:rFonts w:hint="eastAsia" w:ascii="宋体" w:hAnsi="宋体" w:eastAsia="宋体" w:cs="宋体"/>
          <w:color w:val="auto"/>
          <w:spacing w:val="-1"/>
          <w:sz w:val="21"/>
          <w:szCs w:val="21"/>
          <w:highlight w:val="none"/>
        </w:rPr>
        <w:t>交，并应符合投标人须知前附表的规定</w:t>
      </w:r>
      <w:r>
        <w:rPr>
          <w:rFonts w:hint="eastAsia" w:ascii="宋体" w:hAnsi="宋体" w:eastAsia="宋体" w:cs="宋体"/>
          <w:color w:val="auto"/>
          <w:spacing w:val="-1"/>
          <w:sz w:val="21"/>
          <w:szCs w:val="21"/>
          <w:highlight w:val="none"/>
          <w:lang w:eastAsia="zh-CN"/>
        </w:rPr>
        <w:t>。</w:t>
      </w:r>
    </w:p>
    <w:p w14:paraId="52B0427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3.4.2  投标人不按本章第</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
          <w:sz w:val="21"/>
          <w:szCs w:val="21"/>
          <w:highlight w:val="none"/>
        </w:rPr>
        <w:t>3.4.1 项要求提交投标保证金的，评标委员会将否决其投标</w:t>
      </w:r>
      <w:r>
        <w:rPr>
          <w:rFonts w:hint="eastAsia" w:ascii="宋体" w:hAnsi="宋体" w:eastAsia="宋体" w:cs="宋体"/>
          <w:color w:val="auto"/>
          <w:spacing w:val="-1"/>
          <w:sz w:val="21"/>
          <w:szCs w:val="21"/>
          <w:highlight w:val="none"/>
          <w:lang w:eastAsia="zh-CN"/>
        </w:rPr>
        <w:t>。</w:t>
      </w:r>
    </w:p>
    <w:p w14:paraId="150DD84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3.4.3 招标人最迟将在与中标人签订合同后</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4"/>
          <w:sz w:val="21"/>
          <w:szCs w:val="21"/>
          <w:highlight w:val="none"/>
        </w:rPr>
        <w:t>5日内，向未中标的投标人和</w:t>
      </w:r>
      <w:r>
        <w:rPr>
          <w:rFonts w:hint="eastAsia" w:ascii="宋体" w:hAnsi="宋体" w:eastAsia="宋体" w:cs="宋体"/>
          <w:color w:val="auto"/>
          <w:spacing w:val="-5"/>
          <w:sz w:val="21"/>
          <w:szCs w:val="21"/>
          <w:highlight w:val="none"/>
        </w:rPr>
        <w:t>中标人退还投标保证金。</w:t>
      </w:r>
      <w:r>
        <w:rPr>
          <w:rFonts w:hint="eastAsia" w:ascii="宋体" w:hAnsi="宋体" w:eastAsia="宋体" w:cs="宋体"/>
          <w:color w:val="auto"/>
          <w:sz w:val="21"/>
          <w:szCs w:val="21"/>
          <w:highlight w:val="none"/>
        </w:rPr>
        <w:t>投标保证金以现金或支票形式递交的，还应退还银行同期</w:t>
      </w:r>
      <w:r>
        <w:rPr>
          <w:rFonts w:hint="eastAsia" w:ascii="宋体" w:hAnsi="宋体" w:eastAsia="宋体" w:cs="宋体"/>
          <w:color w:val="auto"/>
          <w:spacing w:val="-1"/>
          <w:sz w:val="21"/>
          <w:szCs w:val="21"/>
          <w:highlight w:val="none"/>
        </w:rPr>
        <w:t>存款利息。</w:t>
      </w:r>
    </w:p>
    <w:p w14:paraId="7098804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3.4.4  有下列情形之一的，投标保证金将不</w:t>
      </w:r>
      <w:r>
        <w:rPr>
          <w:rFonts w:hint="eastAsia" w:ascii="宋体" w:hAnsi="宋体" w:eastAsia="宋体" w:cs="宋体"/>
          <w:color w:val="auto"/>
          <w:spacing w:val="-2"/>
          <w:sz w:val="21"/>
          <w:szCs w:val="21"/>
          <w:highlight w:val="none"/>
        </w:rPr>
        <w:t>予退还：</w:t>
      </w:r>
    </w:p>
    <w:p w14:paraId="4F96739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（1）投标人在投标有效期内撤销投标文件；</w:t>
      </w:r>
    </w:p>
    <w:p w14:paraId="0B7CDF1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（2）中标人在收到中标通知书后，无正当理由不与招标人订立合同，在签订合同时向招标人提出附加条件，或者不按照招标文件要求提交履约</w:t>
      </w:r>
      <w:r>
        <w:rPr>
          <w:rFonts w:hint="eastAsia" w:ascii="宋体" w:hAnsi="宋体" w:eastAsia="宋体" w:cs="宋体"/>
          <w:color w:val="auto"/>
          <w:spacing w:val="-3"/>
          <w:sz w:val="21"/>
          <w:szCs w:val="21"/>
          <w:highlight w:val="none"/>
        </w:rPr>
        <w:t>保证金；</w:t>
      </w:r>
    </w:p>
    <w:p w14:paraId="13DE4C4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（3）发生投标人须知前附表规定的其他可以不予</w:t>
      </w:r>
      <w:r>
        <w:rPr>
          <w:rFonts w:hint="eastAsia" w:ascii="宋体" w:hAnsi="宋体" w:eastAsia="宋体" w:cs="宋体"/>
          <w:color w:val="auto"/>
          <w:spacing w:val="-1"/>
          <w:sz w:val="21"/>
          <w:szCs w:val="21"/>
          <w:highlight w:val="none"/>
        </w:rPr>
        <w:t>退还投标保证金的情形。</w:t>
      </w:r>
    </w:p>
    <w:p w14:paraId="03A11EBF">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06" w:name="_Toc7967"/>
      <w:bookmarkStart w:id="107" w:name="_Toc4574"/>
      <w:bookmarkStart w:id="108" w:name="_Toc11544"/>
      <w:r>
        <w:rPr>
          <w:rFonts w:hint="eastAsia" w:ascii="黑体" w:hAnsi="黑体" w:eastAsia="黑体" w:cs="黑体"/>
          <w:b/>
          <w:bCs/>
          <w:snapToGrid/>
          <w:color w:val="auto"/>
          <w:kern w:val="2"/>
          <w:highlight w:val="none"/>
          <w:lang w:eastAsia="zh-CN"/>
        </w:rPr>
        <w:t>3.5  资格审查资料</w:t>
      </w:r>
      <w:bookmarkEnd w:id="106"/>
      <w:bookmarkEnd w:id="107"/>
      <w:bookmarkEnd w:id="108"/>
    </w:p>
    <w:p w14:paraId="51178C9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除投标人须知前附表另有规定外，投标人应按</w:t>
      </w:r>
      <w:r>
        <w:rPr>
          <w:rFonts w:hint="eastAsia" w:ascii="宋体" w:hAnsi="宋体" w:eastAsia="宋体" w:cs="宋体"/>
          <w:color w:val="auto"/>
          <w:sz w:val="21"/>
          <w:szCs w:val="21"/>
          <w:highlight w:val="none"/>
        </w:rPr>
        <w:t>下列规定提供资格审查资料，以证明其满足本章</w:t>
      </w:r>
      <w:r>
        <w:rPr>
          <w:rFonts w:hint="eastAsia" w:ascii="宋体" w:hAnsi="宋体" w:eastAsia="宋体" w:cs="宋体"/>
          <w:color w:val="auto"/>
          <w:spacing w:val="-2"/>
          <w:sz w:val="21"/>
          <w:szCs w:val="21"/>
          <w:highlight w:val="none"/>
        </w:rPr>
        <w:t>第</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2"/>
          <w:sz w:val="21"/>
          <w:szCs w:val="21"/>
          <w:highlight w:val="none"/>
        </w:rPr>
        <w:t>1.4 款规定的资质、财务、业绩、信誉等要求。</w:t>
      </w:r>
    </w:p>
    <w:p w14:paraId="6481C4C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3.5.1“投标人基本情况表”应附投标人营业执照和组织机构代码证的扫描件（按照</w:t>
      </w:r>
      <w:r>
        <w:rPr>
          <w:rFonts w:hint="eastAsia" w:ascii="宋体" w:hAnsi="宋体" w:eastAsia="宋体" w:cs="宋体"/>
          <w:color w:val="auto"/>
          <w:spacing w:val="-3"/>
          <w:sz w:val="21"/>
          <w:szCs w:val="21"/>
          <w:highlight w:val="none"/>
        </w:rPr>
        <w:t>“三证合一</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或“五证合一”登记制度进行登记的，可仅提供营业执照扫描件）、施工资质证书、安全生产许可证</w:t>
      </w:r>
      <w:r>
        <w:rPr>
          <w:rFonts w:hint="eastAsia" w:ascii="宋体" w:hAnsi="宋体" w:eastAsia="宋体" w:cs="宋体"/>
          <w:color w:val="auto"/>
          <w:spacing w:val="-1"/>
          <w:sz w:val="21"/>
          <w:szCs w:val="21"/>
          <w:highlight w:val="none"/>
        </w:rPr>
        <w:t>等材料的扫描件。</w:t>
      </w:r>
    </w:p>
    <w:p w14:paraId="2D7D7B4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3.5.2“近年财务状况表”应附经会计师事务所或审计机构审计的财</w:t>
      </w:r>
      <w:r>
        <w:rPr>
          <w:rFonts w:hint="eastAsia" w:ascii="宋体" w:hAnsi="宋体" w:eastAsia="宋体" w:cs="宋体"/>
          <w:color w:val="auto"/>
          <w:sz w:val="21"/>
          <w:szCs w:val="21"/>
          <w:highlight w:val="none"/>
        </w:rPr>
        <w:t>务会计报表，包括资产负债</w:t>
      </w:r>
      <w:r>
        <w:rPr>
          <w:rFonts w:hint="eastAsia" w:ascii="宋体" w:hAnsi="宋体" w:eastAsia="宋体" w:cs="宋体"/>
          <w:color w:val="auto"/>
          <w:spacing w:val="1"/>
          <w:sz w:val="21"/>
          <w:szCs w:val="21"/>
          <w:highlight w:val="none"/>
        </w:rPr>
        <w:t>表、现金流量表、利润表和财务情况说明书的扫描件，具体年份要求见投标人须知</w:t>
      </w:r>
      <w:r>
        <w:rPr>
          <w:rFonts w:hint="eastAsia" w:ascii="宋体" w:hAnsi="宋体" w:eastAsia="宋体" w:cs="宋体"/>
          <w:color w:val="auto"/>
          <w:sz w:val="21"/>
          <w:szCs w:val="21"/>
          <w:highlight w:val="none"/>
        </w:rPr>
        <w:t>前附表。投标人</w:t>
      </w:r>
      <w:r>
        <w:rPr>
          <w:rFonts w:hint="eastAsia" w:ascii="宋体" w:hAnsi="宋体" w:eastAsia="宋体" w:cs="宋体"/>
          <w:color w:val="auto"/>
          <w:spacing w:val="-1"/>
          <w:sz w:val="21"/>
          <w:szCs w:val="21"/>
          <w:highlight w:val="none"/>
        </w:rPr>
        <w:t>的成立时间少于投标人须知前附表规定年份的，应提供成立以来的财务状况表。</w:t>
      </w:r>
    </w:p>
    <w:p w14:paraId="6B03D3E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3.5.3</w:t>
      </w:r>
      <w:r>
        <w:rPr>
          <w:rFonts w:hint="eastAsia" w:ascii="宋体" w:hAnsi="宋体" w:eastAsia="宋体" w:cs="宋体"/>
          <w:color w:val="auto"/>
          <w:spacing w:val="40"/>
          <w:w w:val="101"/>
          <w:sz w:val="21"/>
          <w:szCs w:val="21"/>
          <w:highlight w:val="none"/>
        </w:rPr>
        <w:t xml:space="preserve"> </w:t>
      </w:r>
      <w:r>
        <w:rPr>
          <w:rFonts w:hint="eastAsia" w:ascii="宋体" w:hAnsi="宋体" w:eastAsia="宋体" w:cs="宋体"/>
          <w:color w:val="auto"/>
          <w:spacing w:val="-1"/>
          <w:sz w:val="21"/>
          <w:szCs w:val="21"/>
          <w:highlight w:val="none"/>
        </w:rPr>
        <w:t>“近年完成的类似项目情况表”应附合同协议书、工程接收</w:t>
      </w:r>
      <w:r>
        <w:rPr>
          <w:rFonts w:hint="eastAsia" w:ascii="宋体" w:hAnsi="宋体" w:eastAsia="宋体" w:cs="宋体"/>
          <w:color w:val="auto"/>
          <w:spacing w:val="-2"/>
          <w:sz w:val="21"/>
          <w:szCs w:val="21"/>
          <w:highlight w:val="none"/>
        </w:rPr>
        <w:t>证书（工程竣工验收证书）的</w:t>
      </w:r>
      <w:r>
        <w:rPr>
          <w:rFonts w:hint="eastAsia" w:ascii="宋体" w:hAnsi="宋体" w:eastAsia="宋体" w:cs="宋体"/>
          <w:color w:val="auto"/>
          <w:sz w:val="21"/>
          <w:szCs w:val="21"/>
          <w:highlight w:val="none"/>
        </w:rPr>
        <w:t>扫描件，具体时间要求见投标人须知前附表。每张表格只填写一个项目，并</w:t>
      </w:r>
      <w:r>
        <w:rPr>
          <w:rFonts w:hint="eastAsia" w:ascii="宋体" w:hAnsi="宋体" w:eastAsia="宋体" w:cs="宋体"/>
          <w:color w:val="auto"/>
          <w:spacing w:val="-1"/>
          <w:sz w:val="21"/>
          <w:szCs w:val="21"/>
          <w:highlight w:val="none"/>
        </w:rPr>
        <w:t>标明序号。</w:t>
      </w:r>
    </w:p>
    <w:p w14:paraId="3C979E7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3.5.4“拟委任的项目经理资历表”应附项目经理的身份证、职称资</w:t>
      </w:r>
      <w:r>
        <w:rPr>
          <w:rFonts w:hint="eastAsia" w:ascii="宋体" w:hAnsi="宋体" w:eastAsia="宋体" w:cs="宋体"/>
          <w:color w:val="auto"/>
          <w:sz w:val="21"/>
          <w:szCs w:val="21"/>
          <w:highlight w:val="none"/>
        </w:rPr>
        <w:t>格证书以及资格审查条件所</w:t>
      </w:r>
      <w:r>
        <w:rPr>
          <w:rFonts w:hint="eastAsia" w:ascii="宋体" w:hAnsi="宋体" w:eastAsia="宋体" w:cs="宋体"/>
          <w:color w:val="auto"/>
          <w:spacing w:val="1"/>
          <w:sz w:val="21"/>
          <w:szCs w:val="21"/>
          <w:highlight w:val="none"/>
        </w:rPr>
        <w:t>要求的其他相关证书（如建造师注册证书、安全生产考核合格证书等）的扫描</w:t>
      </w:r>
      <w:r>
        <w:rPr>
          <w:rFonts w:hint="eastAsia" w:ascii="宋体" w:hAnsi="宋体" w:eastAsia="宋体" w:cs="宋体"/>
          <w:color w:val="auto"/>
          <w:sz w:val="21"/>
          <w:szCs w:val="21"/>
          <w:highlight w:val="none"/>
        </w:rPr>
        <w:t>件，以及投标人所属</w:t>
      </w:r>
      <w:r>
        <w:rPr>
          <w:rFonts w:hint="eastAsia" w:ascii="宋体" w:hAnsi="宋体" w:eastAsia="宋体" w:cs="宋体"/>
          <w:color w:val="auto"/>
          <w:spacing w:val="1"/>
          <w:sz w:val="21"/>
          <w:szCs w:val="21"/>
          <w:highlight w:val="none"/>
        </w:rPr>
        <w:t>社保机构出具的拟委任的项目经理的社保缴费证明或其他能够证明拟委任的项</w:t>
      </w:r>
      <w:r>
        <w:rPr>
          <w:rFonts w:hint="eastAsia" w:ascii="宋体" w:hAnsi="宋体" w:eastAsia="宋体" w:cs="宋体"/>
          <w:color w:val="auto"/>
          <w:sz w:val="21"/>
          <w:szCs w:val="21"/>
          <w:highlight w:val="none"/>
        </w:rPr>
        <w:t>目经理参加社保的有</w:t>
      </w:r>
      <w:r>
        <w:rPr>
          <w:rFonts w:hint="eastAsia" w:ascii="宋体" w:hAnsi="宋体" w:eastAsia="宋体" w:cs="宋体"/>
          <w:color w:val="auto"/>
          <w:spacing w:val="-3"/>
          <w:sz w:val="21"/>
          <w:szCs w:val="21"/>
          <w:highlight w:val="none"/>
        </w:rPr>
        <w:t>效证明材料扫描件。</w:t>
      </w:r>
    </w:p>
    <w:p w14:paraId="2C033FB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3.5.5“近年发生的诉讼及仲裁情况表” </w:t>
      </w:r>
      <w:r>
        <w:rPr>
          <w:rFonts w:hint="eastAsia" w:ascii="宋体" w:hAnsi="宋体" w:eastAsia="宋体" w:cs="宋体"/>
          <w:color w:val="auto"/>
          <w:spacing w:val="-2"/>
          <w:sz w:val="21"/>
          <w:szCs w:val="21"/>
          <w:highlight w:val="none"/>
        </w:rPr>
        <w:t>应说明投标人败诉的施工合同的相关情况，并附法院或</w:t>
      </w:r>
      <w:r>
        <w:rPr>
          <w:rFonts w:hint="eastAsia" w:ascii="宋体" w:hAnsi="宋体" w:eastAsia="宋体" w:cs="宋体"/>
          <w:color w:val="auto"/>
          <w:sz w:val="21"/>
          <w:szCs w:val="21"/>
          <w:highlight w:val="none"/>
        </w:rPr>
        <w:t>仲裁机构作出的判决、裁决等有关法律文书扫描件，具体时间要求见投标人须知前附表。</w:t>
      </w:r>
    </w:p>
    <w:p w14:paraId="44ECA8B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3.5.6 投标人须知前附表规定接受联合体投标的，本章第</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2"/>
          <w:sz w:val="21"/>
          <w:szCs w:val="21"/>
          <w:highlight w:val="none"/>
        </w:rPr>
        <w:t>3.5.1 项至第</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3.5.5 项规定的表格和资料应包括联合体各方相关情况。</w:t>
      </w:r>
    </w:p>
    <w:p w14:paraId="28AEF85C">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09" w:name="_Toc14493"/>
      <w:bookmarkStart w:id="110" w:name="_Toc8589"/>
      <w:bookmarkStart w:id="111" w:name="_Toc21856"/>
      <w:r>
        <w:rPr>
          <w:rFonts w:hint="eastAsia" w:ascii="黑体" w:hAnsi="黑体" w:eastAsia="黑体" w:cs="黑体"/>
          <w:b/>
          <w:bCs/>
          <w:snapToGrid/>
          <w:color w:val="auto"/>
          <w:kern w:val="2"/>
          <w:highlight w:val="none"/>
          <w:lang w:eastAsia="zh-CN"/>
        </w:rPr>
        <w:t>3.6  备选投标方案</w:t>
      </w:r>
      <w:bookmarkEnd w:id="109"/>
      <w:bookmarkEnd w:id="110"/>
      <w:bookmarkEnd w:id="111"/>
    </w:p>
    <w:p w14:paraId="3C2B8C1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  除投标人须知前附表规定允许外，投标人不得递交备选投标方案，否则其投标将被否决。</w:t>
      </w:r>
    </w:p>
    <w:p w14:paraId="035D4B2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3.6.2  允许投标人递交备选投标方案的，只</w:t>
      </w:r>
      <w:r>
        <w:rPr>
          <w:rFonts w:hint="eastAsia" w:ascii="宋体" w:hAnsi="宋体" w:eastAsia="宋体" w:cs="宋体"/>
          <w:color w:val="auto"/>
          <w:spacing w:val="-2"/>
          <w:sz w:val="21"/>
          <w:szCs w:val="21"/>
          <w:highlight w:val="none"/>
        </w:rPr>
        <w:t>有中标人所递交的备选投标方案方可予以考虑。评标</w:t>
      </w:r>
      <w:r>
        <w:rPr>
          <w:rFonts w:hint="eastAsia" w:ascii="宋体" w:hAnsi="宋体" w:eastAsia="宋体" w:cs="宋体"/>
          <w:color w:val="auto"/>
          <w:spacing w:val="1"/>
          <w:sz w:val="21"/>
          <w:szCs w:val="21"/>
          <w:highlight w:val="none"/>
        </w:rPr>
        <w:t>委员会认为中标人的备选投标方案优于其按照招标文件要求编制的投标方案的，招</w:t>
      </w:r>
      <w:r>
        <w:rPr>
          <w:rFonts w:hint="eastAsia" w:ascii="宋体" w:hAnsi="宋体" w:eastAsia="宋体" w:cs="宋体"/>
          <w:color w:val="auto"/>
          <w:sz w:val="21"/>
          <w:szCs w:val="21"/>
          <w:highlight w:val="none"/>
        </w:rPr>
        <w:t>标人可以接受该</w:t>
      </w:r>
      <w:r>
        <w:rPr>
          <w:rFonts w:hint="eastAsia" w:ascii="宋体" w:hAnsi="宋体" w:eastAsia="宋体" w:cs="宋体"/>
          <w:color w:val="auto"/>
          <w:spacing w:val="-3"/>
          <w:sz w:val="21"/>
          <w:szCs w:val="21"/>
          <w:highlight w:val="none"/>
        </w:rPr>
        <w:t>备选投标方案。</w:t>
      </w:r>
    </w:p>
    <w:p w14:paraId="29417BC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1"/>
          <w:sz w:val="21"/>
          <w:szCs w:val="21"/>
          <w:highlight w:val="none"/>
        </w:rPr>
        <w:t>3.6.3  投标人提供两个或两个以上报价</w:t>
      </w:r>
      <w:r>
        <w:rPr>
          <w:rFonts w:hint="eastAsia" w:ascii="宋体" w:hAnsi="宋体" w:eastAsia="宋体" w:cs="宋体"/>
          <w:color w:val="auto"/>
          <w:spacing w:val="-2"/>
          <w:sz w:val="21"/>
          <w:szCs w:val="21"/>
          <w:highlight w:val="none"/>
        </w:rPr>
        <w:t>，或者在投标文件中提供一个报价，但同时提供两个或两</w:t>
      </w:r>
      <w:r>
        <w:rPr>
          <w:rFonts w:hint="eastAsia" w:ascii="宋体" w:hAnsi="宋体" w:eastAsia="宋体" w:cs="宋体"/>
          <w:color w:val="auto"/>
          <w:spacing w:val="-1"/>
          <w:sz w:val="21"/>
          <w:szCs w:val="21"/>
          <w:highlight w:val="none"/>
        </w:rPr>
        <w:t>个以上施工组织设计的，视为提供备选方案。</w:t>
      </w:r>
    </w:p>
    <w:p w14:paraId="1C0B79A2">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12" w:name="_Toc7566"/>
      <w:bookmarkStart w:id="113" w:name="_Toc7695"/>
      <w:bookmarkStart w:id="114" w:name="_Toc15586"/>
      <w:r>
        <w:rPr>
          <w:rFonts w:hint="eastAsia" w:ascii="黑体" w:hAnsi="黑体" w:eastAsia="黑体" w:cs="黑体"/>
          <w:b/>
          <w:bCs/>
          <w:snapToGrid/>
          <w:color w:val="auto"/>
          <w:kern w:val="2"/>
          <w:highlight w:val="none"/>
          <w:lang w:eastAsia="zh-CN"/>
        </w:rPr>
        <w:t>3.7  投标文件的编制</w:t>
      </w:r>
      <w:bookmarkEnd w:id="112"/>
      <w:bookmarkEnd w:id="113"/>
      <w:bookmarkEnd w:id="114"/>
    </w:p>
    <w:p w14:paraId="3D14D911">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3.7.1  投标文件应按第八章“投标文件格式</w:t>
      </w:r>
      <w:r>
        <w:rPr>
          <w:rFonts w:hint="eastAsia" w:ascii="宋体" w:hAnsi="宋体" w:eastAsia="宋体" w:cs="宋体"/>
          <w:color w:val="auto"/>
          <w:spacing w:val="-2"/>
          <w:sz w:val="21"/>
          <w:szCs w:val="21"/>
          <w:highlight w:val="none"/>
        </w:rPr>
        <w:t>”进行编写，如有必要，可以增加附页，作为投标文</w:t>
      </w:r>
      <w:r>
        <w:rPr>
          <w:rFonts w:hint="eastAsia" w:ascii="宋体" w:hAnsi="宋体" w:eastAsia="宋体" w:cs="宋体"/>
          <w:color w:val="auto"/>
          <w:spacing w:val="1"/>
          <w:sz w:val="21"/>
          <w:szCs w:val="21"/>
          <w:highlight w:val="none"/>
        </w:rPr>
        <w:t>件的组成部分。其中，投标函附录在满足招标文件实质性要求的基础上，可以提出</w:t>
      </w:r>
      <w:r>
        <w:rPr>
          <w:rFonts w:hint="eastAsia" w:ascii="宋体" w:hAnsi="宋体" w:eastAsia="宋体" w:cs="宋体"/>
          <w:color w:val="auto"/>
          <w:sz w:val="21"/>
          <w:szCs w:val="21"/>
          <w:highlight w:val="none"/>
        </w:rPr>
        <w:t xml:space="preserve">比招标文件要求 </w:t>
      </w:r>
      <w:r>
        <w:rPr>
          <w:rFonts w:hint="eastAsia" w:ascii="宋体" w:hAnsi="宋体" w:eastAsia="宋体" w:cs="宋体"/>
          <w:color w:val="auto"/>
          <w:spacing w:val="-2"/>
          <w:sz w:val="21"/>
          <w:szCs w:val="21"/>
          <w:highlight w:val="none"/>
        </w:rPr>
        <w:t>更有利于招标人的承诺。</w:t>
      </w:r>
    </w:p>
    <w:p w14:paraId="1995895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3.7.2  投标文件应当对招标文件有关</w:t>
      </w:r>
      <w:r>
        <w:rPr>
          <w:rFonts w:hint="eastAsia" w:ascii="宋体" w:hAnsi="宋体" w:eastAsia="宋体" w:cs="宋体"/>
          <w:color w:val="auto"/>
          <w:spacing w:val="-2"/>
          <w:sz w:val="21"/>
          <w:szCs w:val="21"/>
          <w:highlight w:val="none"/>
        </w:rPr>
        <w:t>工期、投标有效期、质量要求、安全目标、环保目标、技术标准和要求、招标范围等实质性内容作出响应。</w:t>
      </w:r>
    </w:p>
    <w:p w14:paraId="7268DD7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3.7.3  投标文件的制作应满足以下规定：</w:t>
      </w:r>
    </w:p>
    <w:p w14:paraId="5E120B3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（1）投标文件由投标人使用电子交易系统提供的“投标文件制作工具”制作生成。“投标文件</w:t>
      </w:r>
      <w:r>
        <w:rPr>
          <w:rFonts w:hint="eastAsia" w:ascii="宋体" w:hAnsi="宋体" w:eastAsia="宋体" w:cs="宋体"/>
          <w:color w:val="auto"/>
          <w:spacing w:val="1"/>
          <w:sz w:val="21"/>
          <w:szCs w:val="21"/>
          <w:highlight w:val="none"/>
        </w:rPr>
        <w:t>制作工具”可以通过电子交易系统下载。投标人应当在互联网络通畅状态下启</w:t>
      </w:r>
      <w:r>
        <w:rPr>
          <w:rFonts w:hint="eastAsia" w:ascii="宋体" w:hAnsi="宋体" w:eastAsia="宋体" w:cs="宋体"/>
          <w:color w:val="auto"/>
          <w:sz w:val="21"/>
          <w:szCs w:val="21"/>
          <w:highlight w:val="none"/>
        </w:rPr>
        <w:t xml:space="preserve">用最新版投标文件制 </w:t>
      </w:r>
      <w:r>
        <w:rPr>
          <w:rFonts w:hint="eastAsia" w:ascii="宋体" w:hAnsi="宋体" w:eastAsia="宋体" w:cs="宋体"/>
          <w:color w:val="auto"/>
          <w:spacing w:val="-1"/>
          <w:sz w:val="21"/>
          <w:szCs w:val="21"/>
          <w:highlight w:val="none"/>
        </w:rPr>
        <w:t>作工具制作投标文件。</w:t>
      </w:r>
    </w:p>
    <w:p w14:paraId="3F7202E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（2）第八章“投标文件格式”中要求盖单位章和（或）签字的地方，投标人均应加盖投标人单</w:t>
      </w:r>
      <w:r>
        <w:rPr>
          <w:rFonts w:hint="eastAsia" w:ascii="宋体" w:hAnsi="宋体" w:eastAsia="宋体" w:cs="宋体"/>
          <w:color w:val="auto"/>
          <w:spacing w:val="1"/>
          <w:sz w:val="21"/>
          <w:szCs w:val="21"/>
          <w:highlight w:val="none"/>
        </w:rPr>
        <w:t>位电子印章和（或）法定代表人的个人电子印章或电子签名章。联合体投标的，</w:t>
      </w:r>
      <w:r>
        <w:rPr>
          <w:rFonts w:hint="eastAsia" w:ascii="宋体" w:hAnsi="宋体" w:eastAsia="宋体" w:cs="宋体"/>
          <w:color w:val="auto"/>
          <w:sz w:val="21"/>
          <w:szCs w:val="21"/>
          <w:highlight w:val="none"/>
        </w:rPr>
        <w:t xml:space="preserve">除联合体协议书外 </w:t>
      </w:r>
      <w:r>
        <w:rPr>
          <w:rFonts w:hint="eastAsia" w:ascii="宋体" w:hAnsi="宋体" w:eastAsia="宋体" w:cs="宋体"/>
          <w:color w:val="auto"/>
          <w:spacing w:val="1"/>
          <w:sz w:val="21"/>
          <w:szCs w:val="21"/>
          <w:highlight w:val="none"/>
        </w:rPr>
        <w:t>（联合体各方均应加盖单位章并由法定代表人或其委托代理人签字），投标文件</w:t>
      </w:r>
      <w:r>
        <w:rPr>
          <w:rFonts w:hint="eastAsia" w:ascii="宋体" w:hAnsi="宋体" w:eastAsia="宋体" w:cs="宋体"/>
          <w:color w:val="auto"/>
          <w:sz w:val="21"/>
          <w:szCs w:val="21"/>
          <w:highlight w:val="none"/>
        </w:rPr>
        <w:t>由联合体牵头人按上述规定加盖联合体牵头人单位电子印章和（或）法定代表人的个人电子印章或电子签名章。</w:t>
      </w:r>
    </w:p>
    <w:p w14:paraId="520A9D3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（3）投标文件制作完成后，投标人应对投标文件进行文件加密，形成加密的投标文件。采用数</w:t>
      </w:r>
      <w:r>
        <w:rPr>
          <w:rFonts w:hint="eastAsia" w:ascii="宋体" w:hAnsi="宋体" w:eastAsia="宋体" w:cs="宋体"/>
          <w:color w:val="auto"/>
          <w:spacing w:val="1"/>
          <w:sz w:val="21"/>
          <w:szCs w:val="21"/>
          <w:highlight w:val="none"/>
        </w:rPr>
        <w:t>字证书加密的，加密时投标文件的所有内容均只能使用同一张数字证书进行加</w:t>
      </w:r>
      <w:r>
        <w:rPr>
          <w:rFonts w:hint="eastAsia" w:ascii="宋体" w:hAnsi="宋体" w:eastAsia="宋体" w:cs="宋体"/>
          <w:color w:val="auto"/>
          <w:sz w:val="21"/>
          <w:szCs w:val="21"/>
          <w:highlight w:val="none"/>
        </w:rPr>
        <w:t>密，否则引起的解密</w:t>
      </w:r>
      <w:r>
        <w:rPr>
          <w:rFonts w:hint="eastAsia" w:ascii="宋体" w:hAnsi="宋体" w:eastAsia="宋体" w:cs="宋体"/>
          <w:color w:val="auto"/>
          <w:spacing w:val="-2"/>
          <w:sz w:val="21"/>
          <w:szCs w:val="21"/>
          <w:highlight w:val="none"/>
        </w:rPr>
        <w:t>失败责任由投标人自行承担。</w:t>
      </w:r>
    </w:p>
    <w:p w14:paraId="66AA0A7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（4）投标文件制作的具体方法详见“投标文件制</w:t>
      </w:r>
      <w:r>
        <w:rPr>
          <w:rFonts w:hint="eastAsia" w:ascii="宋体" w:hAnsi="宋体" w:eastAsia="宋体" w:cs="宋体"/>
          <w:color w:val="auto"/>
          <w:spacing w:val="-1"/>
          <w:sz w:val="21"/>
          <w:szCs w:val="21"/>
          <w:highlight w:val="none"/>
        </w:rPr>
        <w:t>作工具”中的帮助文档。</w:t>
      </w:r>
    </w:p>
    <w:p w14:paraId="28D9ECD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3.7.4  投标文件制作软件生成加密投</w:t>
      </w:r>
      <w:r>
        <w:rPr>
          <w:rFonts w:hint="eastAsia" w:ascii="宋体" w:hAnsi="宋体" w:eastAsia="宋体" w:cs="宋体"/>
          <w:color w:val="auto"/>
          <w:spacing w:val="-2"/>
          <w:sz w:val="21"/>
          <w:szCs w:val="21"/>
          <w:highlight w:val="none"/>
        </w:rPr>
        <w:t>标文件时，同时生成非加密投标文件，作为加密投标文件无</w:t>
      </w:r>
      <w:r>
        <w:rPr>
          <w:rFonts w:hint="eastAsia" w:ascii="宋体" w:hAnsi="宋体" w:eastAsia="宋体" w:cs="宋体"/>
          <w:color w:val="auto"/>
          <w:sz w:val="21"/>
          <w:szCs w:val="21"/>
          <w:highlight w:val="none"/>
        </w:rPr>
        <w:t>法解密、导入时的补救措施。如递交，相关要求详见投标人须知</w:t>
      </w:r>
      <w:r>
        <w:rPr>
          <w:rFonts w:hint="eastAsia" w:ascii="宋体" w:hAnsi="宋体" w:eastAsia="宋体" w:cs="宋体"/>
          <w:color w:val="auto"/>
          <w:spacing w:val="-1"/>
          <w:sz w:val="21"/>
          <w:szCs w:val="21"/>
          <w:highlight w:val="none"/>
        </w:rPr>
        <w:t>前附表。</w:t>
      </w:r>
    </w:p>
    <w:p w14:paraId="4B5C9F1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3.7.5</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因投标人自身原因而导致投标文件无法导入电子交易系统电子开标、评标系统，该投标视</w:t>
      </w:r>
      <w:r>
        <w:rPr>
          <w:rFonts w:hint="eastAsia" w:ascii="宋体" w:hAnsi="宋体" w:eastAsia="宋体" w:cs="宋体"/>
          <w:color w:val="auto"/>
          <w:spacing w:val="1"/>
          <w:sz w:val="21"/>
          <w:szCs w:val="21"/>
          <w:highlight w:val="none"/>
        </w:rPr>
        <w:t>为无效投标，投标人自行承担由此导致的全部责任。（该投标文件是指解密</w:t>
      </w:r>
      <w:r>
        <w:rPr>
          <w:rFonts w:hint="eastAsia" w:ascii="宋体" w:hAnsi="宋体" w:eastAsia="宋体" w:cs="宋体"/>
          <w:color w:val="auto"/>
          <w:sz w:val="21"/>
          <w:szCs w:val="21"/>
          <w:highlight w:val="none"/>
        </w:rPr>
        <w:t>后的投标文件或启用补</w:t>
      </w:r>
      <w:r>
        <w:rPr>
          <w:rFonts w:hint="eastAsia" w:ascii="宋体" w:hAnsi="宋体" w:eastAsia="宋体" w:cs="宋体"/>
          <w:color w:val="auto"/>
          <w:spacing w:val="-1"/>
          <w:sz w:val="21"/>
          <w:szCs w:val="21"/>
          <w:highlight w:val="none"/>
        </w:rPr>
        <w:t>救措施下的非加密电子投标文件。）</w:t>
      </w:r>
    </w:p>
    <w:p w14:paraId="48CB360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3.7.6 施工组织设计评审采用暗标评审的，投标人应</w:t>
      </w:r>
      <w:r>
        <w:rPr>
          <w:rFonts w:hint="eastAsia" w:ascii="宋体" w:hAnsi="宋体" w:eastAsia="宋体" w:cs="宋体"/>
          <w:color w:val="auto"/>
          <w:spacing w:val="-1"/>
          <w:sz w:val="21"/>
          <w:szCs w:val="21"/>
          <w:highlight w:val="none"/>
        </w:rPr>
        <w:t>按照投标人须知前附表规定制作电子投标文</w:t>
      </w:r>
      <w:r>
        <w:rPr>
          <w:rFonts w:hint="eastAsia" w:ascii="宋体" w:hAnsi="宋体" w:eastAsia="宋体" w:cs="宋体"/>
          <w:color w:val="auto"/>
          <w:spacing w:val="-9"/>
          <w:sz w:val="21"/>
          <w:szCs w:val="21"/>
          <w:highlight w:val="none"/>
        </w:rPr>
        <w:t>件。</w:t>
      </w:r>
    </w:p>
    <w:p w14:paraId="3715FA09">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115" w:name="_Toc14587"/>
      <w:r>
        <w:rPr>
          <w:rFonts w:hint="eastAsia" w:ascii="黑体" w:hAnsi="黑体" w:eastAsia="黑体" w:cs="黑体"/>
          <w:b/>
          <w:bCs w:val="0"/>
          <w:snapToGrid/>
          <w:color w:val="auto"/>
          <w:kern w:val="2"/>
          <w:sz w:val="32"/>
          <w:highlight w:val="none"/>
          <w:lang w:eastAsia="zh-CN"/>
        </w:rPr>
        <w:t>4．投标</w:t>
      </w:r>
      <w:bookmarkEnd w:id="115"/>
    </w:p>
    <w:p w14:paraId="182842AE">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16" w:name="_Toc30539"/>
      <w:bookmarkStart w:id="117" w:name="_Toc30849"/>
      <w:bookmarkStart w:id="118" w:name="_Toc3557"/>
      <w:r>
        <w:rPr>
          <w:rFonts w:hint="eastAsia" w:ascii="黑体" w:hAnsi="黑体" w:eastAsia="黑体" w:cs="黑体"/>
          <w:b/>
          <w:bCs/>
          <w:snapToGrid/>
          <w:color w:val="auto"/>
          <w:kern w:val="2"/>
          <w:highlight w:val="none"/>
          <w:lang w:eastAsia="zh-CN"/>
        </w:rPr>
        <w:t>4.1  投标文件的加密（密封）和标记</w:t>
      </w:r>
      <w:bookmarkEnd w:id="116"/>
      <w:bookmarkEnd w:id="117"/>
      <w:bookmarkEnd w:id="118"/>
    </w:p>
    <w:p w14:paraId="55876CE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z w:val="21"/>
          <w:szCs w:val="21"/>
          <w:highlight w:val="none"/>
        </w:rPr>
        <w:t>投标文件应按照本章第 3.7.3</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项要求制作并</w:t>
      </w:r>
      <w:r>
        <w:rPr>
          <w:rFonts w:hint="eastAsia" w:ascii="宋体" w:hAnsi="宋体" w:eastAsia="宋体" w:cs="宋体"/>
          <w:color w:val="auto"/>
          <w:spacing w:val="-1"/>
          <w:sz w:val="21"/>
          <w:szCs w:val="21"/>
          <w:highlight w:val="none"/>
        </w:rPr>
        <w:t>加密，未按要求加密的投标文件，电子交易系统将拒绝接收并提示。</w:t>
      </w:r>
    </w:p>
    <w:p w14:paraId="2C755C59">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19" w:name="_Toc31099"/>
      <w:bookmarkStart w:id="120" w:name="_Toc31592"/>
      <w:bookmarkStart w:id="121" w:name="_Toc26764"/>
      <w:r>
        <w:rPr>
          <w:rFonts w:hint="eastAsia" w:ascii="黑体" w:hAnsi="黑体" w:eastAsia="黑体" w:cs="黑体"/>
          <w:b/>
          <w:bCs/>
          <w:snapToGrid/>
          <w:color w:val="auto"/>
          <w:kern w:val="2"/>
          <w:highlight w:val="none"/>
          <w:lang w:eastAsia="zh-CN"/>
        </w:rPr>
        <w:t>4.2  投标文件的递交</w:t>
      </w:r>
      <w:bookmarkEnd w:id="119"/>
      <w:bookmarkEnd w:id="120"/>
      <w:bookmarkEnd w:id="121"/>
    </w:p>
    <w:p w14:paraId="2C4A005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投标人应在投标人须知前附表规定的投标截止时间前，将</w:t>
      </w:r>
      <w:r>
        <w:rPr>
          <w:rFonts w:hint="eastAsia" w:ascii="宋体" w:hAnsi="宋体" w:eastAsia="宋体" w:cs="宋体"/>
          <w:color w:val="auto"/>
          <w:spacing w:val="-1"/>
          <w:sz w:val="21"/>
          <w:szCs w:val="21"/>
          <w:highlight w:val="none"/>
        </w:rPr>
        <w:t>加密的投标文件在电子交易系统</w:t>
      </w:r>
      <w:r>
        <w:rPr>
          <w:rFonts w:hint="eastAsia" w:ascii="宋体" w:hAnsi="宋体" w:eastAsia="宋体" w:cs="宋体"/>
          <w:color w:val="auto"/>
          <w:sz w:val="21"/>
          <w:szCs w:val="21"/>
          <w:highlight w:val="none"/>
        </w:rPr>
        <w:t>上传，并保存上传成功后系统自动生成的电子签收</w:t>
      </w:r>
      <w:r>
        <w:rPr>
          <w:rFonts w:hint="eastAsia" w:ascii="宋体" w:hAnsi="宋体" w:eastAsia="宋体" w:cs="宋体"/>
          <w:color w:val="auto"/>
          <w:spacing w:val="-1"/>
          <w:sz w:val="21"/>
          <w:szCs w:val="21"/>
          <w:highlight w:val="none"/>
        </w:rPr>
        <w:t>凭证，递交时间即为电子签收凭证时间。</w:t>
      </w:r>
    </w:p>
    <w:p w14:paraId="4D772D9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4.2.2  投标人递交非加密电子投标文件的地点：</w:t>
      </w:r>
      <w:r>
        <w:rPr>
          <w:rFonts w:hint="eastAsia" w:ascii="宋体" w:hAnsi="宋体" w:eastAsia="宋体" w:cs="宋体"/>
          <w:color w:val="auto"/>
          <w:spacing w:val="-2"/>
          <w:sz w:val="21"/>
          <w:szCs w:val="21"/>
          <w:highlight w:val="none"/>
        </w:rPr>
        <w:t>见投标人须知前附表。招标人收到非加密投标文</w:t>
      </w:r>
      <w:r>
        <w:rPr>
          <w:rFonts w:hint="eastAsia" w:ascii="宋体" w:hAnsi="宋体" w:eastAsia="宋体" w:cs="宋体"/>
          <w:color w:val="auto"/>
          <w:spacing w:val="-1"/>
          <w:sz w:val="21"/>
          <w:szCs w:val="21"/>
          <w:highlight w:val="none"/>
        </w:rPr>
        <w:t>件后由投标人代表登记或向投标人出具签收凭证。</w:t>
      </w:r>
    </w:p>
    <w:p w14:paraId="46B231E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除投标人须知前附表另有规定外，投</w:t>
      </w:r>
      <w:r>
        <w:rPr>
          <w:rFonts w:hint="eastAsia" w:ascii="宋体" w:hAnsi="宋体" w:eastAsia="宋体" w:cs="宋体"/>
          <w:color w:val="auto"/>
          <w:spacing w:val="-1"/>
          <w:sz w:val="21"/>
          <w:szCs w:val="21"/>
          <w:highlight w:val="none"/>
        </w:rPr>
        <w:t>标人所递交的投标文件不予退还。</w:t>
      </w:r>
    </w:p>
    <w:p w14:paraId="2712647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4.2.4  投标人应当在投标截止时间前完</w:t>
      </w:r>
      <w:r>
        <w:rPr>
          <w:rFonts w:hint="eastAsia" w:ascii="宋体" w:hAnsi="宋体" w:eastAsia="宋体" w:cs="宋体"/>
          <w:color w:val="auto"/>
          <w:spacing w:val="-2"/>
          <w:sz w:val="21"/>
          <w:szCs w:val="21"/>
          <w:highlight w:val="none"/>
        </w:rPr>
        <w:t>成投标文件的传输递交（以接收到电子签收凭证为准</w:t>
      </w: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5"/>
          <w:sz w:val="21"/>
          <w:szCs w:val="21"/>
          <w:highlight w:val="none"/>
        </w:rPr>
        <w:t>并可以补充、修改或者撤回投标文件。投标截止时间前未完成投标文件传输的，视为撤回投标文件。</w:t>
      </w:r>
      <w:r>
        <w:rPr>
          <w:rFonts w:hint="eastAsia" w:ascii="宋体" w:hAnsi="宋体" w:eastAsia="宋体" w:cs="宋体"/>
          <w:color w:val="auto"/>
          <w:spacing w:val="-1"/>
          <w:sz w:val="21"/>
          <w:szCs w:val="21"/>
          <w:highlight w:val="none"/>
        </w:rPr>
        <w:t>未按规定加密或投标截止时间后送达的投标文件，电子交易系统应当拒收</w:t>
      </w:r>
      <w:r>
        <w:rPr>
          <w:rFonts w:hint="eastAsia" w:ascii="宋体" w:hAnsi="宋体" w:eastAsia="宋体" w:cs="宋体"/>
          <w:color w:val="auto"/>
          <w:spacing w:val="-1"/>
          <w:sz w:val="21"/>
          <w:szCs w:val="21"/>
          <w:highlight w:val="none"/>
          <w:lang w:eastAsia="zh-CN"/>
        </w:rPr>
        <w:t>。</w:t>
      </w:r>
    </w:p>
    <w:p w14:paraId="2C67B04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 逾期送达的或者未送达指定地点的非加密投标文件电子介</w:t>
      </w:r>
      <w:r>
        <w:rPr>
          <w:rFonts w:hint="eastAsia" w:ascii="宋体" w:hAnsi="宋体" w:eastAsia="宋体" w:cs="宋体"/>
          <w:color w:val="auto"/>
          <w:spacing w:val="-1"/>
          <w:sz w:val="21"/>
          <w:szCs w:val="21"/>
          <w:highlight w:val="none"/>
        </w:rPr>
        <w:t>质，招标人不予接收，但不影响</w:t>
      </w:r>
      <w:r>
        <w:rPr>
          <w:rFonts w:hint="eastAsia" w:ascii="宋体" w:hAnsi="宋体" w:eastAsia="宋体" w:cs="宋体"/>
          <w:color w:val="auto"/>
          <w:spacing w:val="1"/>
          <w:sz w:val="21"/>
          <w:szCs w:val="21"/>
          <w:highlight w:val="none"/>
        </w:rPr>
        <w:t>其已按招标文件要求从电子交易系统递交的加密电子投标文件的有效性。未从</w:t>
      </w:r>
      <w:r>
        <w:rPr>
          <w:rFonts w:hint="eastAsia" w:ascii="宋体" w:hAnsi="宋体" w:eastAsia="宋体" w:cs="宋体"/>
          <w:color w:val="auto"/>
          <w:sz w:val="21"/>
          <w:szCs w:val="21"/>
          <w:highlight w:val="none"/>
        </w:rPr>
        <w:t>电子交易系统递交加</w:t>
      </w:r>
      <w:r>
        <w:rPr>
          <w:rFonts w:hint="eastAsia" w:ascii="宋体" w:hAnsi="宋体" w:eastAsia="宋体" w:cs="宋体"/>
          <w:color w:val="auto"/>
          <w:spacing w:val="-1"/>
          <w:sz w:val="21"/>
          <w:szCs w:val="21"/>
          <w:highlight w:val="none"/>
        </w:rPr>
        <w:t>密电子投标文件的，投标人递交的非加密投标文件电子介质将被视为无效。</w:t>
      </w:r>
    </w:p>
    <w:p w14:paraId="277809E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4.2.6  投标人在本章第</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z w:val="21"/>
          <w:szCs w:val="21"/>
          <w:highlight w:val="none"/>
        </w:rPr>
        <w:t>5.2 款规定的解密</w:t>
      </w:r>
      <w:r>
        <w:rPr>
          <w:rFonts w:hint="eastAsia" w:ascii="宋体" w:hAnsi="宋体" w:eastAsia="宋体" w:cs="宋体"/>
          <w:color w:val="auto"/>
          <w:spacing w:val="-1"/>
          <w:sz w:val="21"/>
          <w:szCs w:val="21"/>
          <w:highlight w:val="none"/>
        </w:rPr>
        <w:t>开始规定时间（以电子交易系统解密倒计时为准）内完</w:t>
      </w:r>
      <w:r>
        <w:rPr>
          <w:rFonts w:hint="eastAsia" w:ascii="宋体" w:hAnsi="宋体" w:eastAsia="宋体" w:cs="宋体"/>
          <w:color w:val="auto"/>
          <w:spacing w:val="1"/>
          <w:sz w:val="21"/>
          <w:szCs w:val="21"/>
          <w:highlight w:val="none"/>
        </w:rPr>
        <w:t>成投标文件的解密工作，未能成功解密的投标人，如投标人须知前附表允许使</w:t>
      </w:r>
      <w:r>
        <w:rPr>
          <w:rFonts w:hint="eastAsia" w:ascii="宋体" w:hAnsi="宋体" w:eastAsia="宋体" w:cs="宋体"/>
          <w:color w:val="auto"/>
          <w:sz w:val="21"/>
          <w:szCs w:val="21"/>
          <w:highlight w:val="none"/>
        </w:rPr>
        <w:t>用非加密投标文件作</w:t>
      </w:r>
      <w:r>
        <w:rPr>
          <w:rFonts w:hint="eastAsia" w:ascii="宋体" w:hAnsi="宋体" w:eastAsia="宋体" w:cs="宋体"/>
          <w:color w:val="auto"/>
          <w:spacing w:val="1"/>
          <w:sz w:val="21"/>
          <w:szCs w:val="21"/>
          <w:highlight w:val="none"/>
        </w:rPr>
        <w:t>为备份，并且投标人在投标截止时间之前到达开标现场并递交非加密投标文件</w:t>
      </w:r>
      <w:r>
        <w:rPr>
          <w:rFonts w:hint="eastAsia" w:ascii="宋体" w:hAnsi="宋体" w:eastAsia="宋体" w:cs="宋体"/>
          <w:color w:val="auto"/>
          <w:sz w:val="21"/>
          <w:szCs w:val="21"/>
          <w:highlight w:val="none"/>
        </w:rPr>
        <w:t>，则可导入非加密投</w:t>
      </w:r>
      <w:r>
        <w:rPr>
          <w:rFonts w:hint="eastAsia" w:ascii="宋体" w:hAnsi="宋体" w:eastAsia="宋体" w:cs="宋体"/>
          <w:color w:val="auto"/>
          <w:spacing w:val="1"/>
          <w:sz w:val="21"/>
          <w:szCs w:val="21"/>
          <w:highlight w:val="none"/>
        </w:rPr>
        <w:t>标文件继续开标。若电子交易系统识别出非加密投标文件和加密投标文件识别</w:t>
      </w:r>
      <w:r>
        <w:rPr>
          <w:rFonts w:hint="eastAsia" w:ascii="宋体" w:hAnsi="宋体" w:eastAsia="宋体" w:cs="宋体"/>
          <w:color w:val="auto"/>
          <w:sz w:val="21"/>
          <w:szCs w:val="21"/>
          <w:highlight w:val="none"/>
        </w:rPr>
        <w:t>码不一致，电子交易</w:t>
      </w:r>
      <w:r>
        <w:rPr>
          <w:rFonts w:hint="eastAsia" w:ascii="宋体" w:hAnsi="宋体" w:eastAsia="宋体" w:cs="宋体"/>
          <w:color w:val="auto"/>
          <w:spacing w:val="-1"/>
          <w:sz w:val="21"/>
          <w:szCs w:val="21"/>
          <w:highlight w:val="none"/>
        </w:rPr>
        <w:t>系统将拒绝导入。</w:t>
      </w:r>
    </w:p>
    <w:p w14:paraId="5084DD35">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22" w:name="_Toc22395"/>
      <w:bookmarkStart w:id="123" w:name="_Toc6134"/>
      <w:bookmarkStart w:id="124" w:name="_Toc17389"/>
      <w:r>
        <w:rPr>
          <w:rFonts w:hint="eastAsia" w:ascii="黑体" w:hAnsi="黑体" w:eastAsia="黑体" w:cs="黑体"/>
          <w:b/>
          <w:bCs/>
          <w:snapToGrid/>
          <w:color w:val="auto"/>
          <w:kern w:val="2"/>
          <w:highlight w:val="none"/>
          <w:lang w:eastAsia="zh-CN"/>
        </w:rPr>
        <w:t>4.3  投标文件的修改与撤回</w:t>
      </w:r>
      <w:bookmarkEnd w:id="122"/>
      <w:bookmarkEnd w:id="123"/>
      <w:bookmarkEnd w:id="124"/>
    </w:p>
    <w:p w14:paraId="697C9E3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在本章第</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z w:val="21"/>
          <w:szCs w:val="21"/>
          <w:highlight w:val="none"/>
        </w:rPr>
        <w:t>4.2.1</w:t>
      </w:r>
      <w:r>
        <w:rPr>
          <w:rFonts w:hint="eastAsia" w:ascii="宋体" w:hAnsi="宋体" w:eastAsia="宋体" w:cs="宋体"/>
          <w:color w:val="auto"/>
          <w:spacing w:val="31"/>
          <w:w w:val="101"/>
          <w:sz w:val="21"/>
          <w:szCs w:val="21"/>
          <w:highlight w:val="none"/>
        </w:rPr>
        <w:t xml:space="preserve"> </w:t>
      </w:r>
      <w:r>
        <w:rPr>
          <w:rFonts w:hint="eastAsia" w:ascii="宋体" w:hAnsi="宋体" w:eastAsia="宋体" w:cs="宋体"/>
          <w:color w:val="auto"/>
          <w:sz w:val="21"/>
          <w:szCs w:val="21"/>
          <w:highlight w:val="none"/>
        </w:rPr>
        <w:t>项规定的投标截止时间前，投标人可以修改</w:t>
      </w:r>
      <w:r>
        <w:rPr>
          <w:rFonts w:hint="eastAsia" w:ascii="宋体" w:hAnsi="宋体" w:eastAsia="宋体" w:cs="宋体"/>
          <w:color w:val="auto"/>
          <w:spacing w:val="-1"/>
          <w:sz w:val="21"/>
          <w:szCs w:val="21"/>
          <w:highlight w:val="none"/>
        </w:rPr>
        <w:t>或撤回已递交的投标文件。投</w:t>
      </w:r>
      <w:r>
        <w:rPr>
          <w:rFonts w:hint="eastAsia" w:ascii="宋体" w:hAnsi="宋体" w:eastAsia="宋体" w:cs="宋体"/>
          <w:color w:val="auto"/>
          <w:spacing w:val="1"/>
          <w:sz w:val="21"/>
          <w:szCs w:val="21"/>
          <w:highlight w:val="none"/>
        </w:rPr>
        <w:t>标人对加密的投标文件进行撤回的，应在电子交易系统直接进行撤回操作；投标人</w:t>
      </w:r>
      <w:r>
        <w:rPr>
          <w:rFonts w:hint="eastAsia" w:ascii="宋体" w:hAnsi="宋体" w:eastAsia="宋体" w:cs="宋体"/>
          <w:color w:val="auto"/>
          <w:sz w:val="21"/>
          <w:szCs w:val="21"/>
          <w:highlight w:val="none"/>
        </w:rPr>
        <w:t>对加密的投标文</w:t>
      </w:r>
      <w:r>
        <w:rPr>
          <w:rFonts w:hint="eastAsia" w:ascii="宋体" w:hAnsi="宋体" w:eastAsia="宋体" w:cs="宋体"/>
          <w:color w:val="auto"/>
          <w:spacing w:val="1"/>
          <w:sz w:val="21"/>
          <w:szCs w:val="21"/>
          <w:highlight w:val="none"/>
        </w:rPr>
        <w:t>件进行修改的，应在投标截止时间前完成上传。投标人修改投标文件的，应使用“</w:t>
      </w:r>
      <w:r>
        <w:rPr>
          <w:rFonts w:hint="eastAsia" w:ascii="宋体" w:hAnsi="宋体" w:eastAsia="宋体" w:cs="宋体"/>
          <w:color w:val="auto"/>
          <w:sz w:val="21"/>
          <w:szCs w:val="21"/>
          <w:highlight w:val="none"/>
        </w:rPr>
        <w:t>投标文件制作工</w:t>
      </w:r>
      <w:r>
        <w:rPr>
          <w:rFonts w:hint="eastAsia" w:ascii="宋体" w:hAnsi="宋体" w:eastAsia="宋体" w:cs="宋体"/>
          <w:color w:val="auto"/>
          <w:spacing w:val="-1"/>
          <w:sz w:val="21"/>
          <w:szCs w:val="21"/>
          <w:highlight w:val="none"/>
        </w:rPr>
        <w:t>具”制作成完整的投标文件，并按照本章第</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3 条、第</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
          <w:sz w:val="21"/>
          <w:szCs w:val="21"/>
          <w:highlight w:val="none"/>
        </w:rPr>
        <w:t>4 条规定进行编制、加密和递交。</w:t>
      </w:r>
    </w:p>
    <w:p w14:paraId="75857B5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4.3.2  投标人修改或撤回已递交的非加密投标文件的，</w:t>
      </w:r>
      <w:r>
        <w:rPr>
          <w:rFonts w:hint="eastAsia" w:ascii="宋体" w:hAnsi="宋体" w:eastAsia="宋体" w:cs="宋体"/>
          <w:color w:val="auto"/>
          <w:spacing w:val="-2"/>
          <w:sz w:val="21"/>
          <w:szCs w:val="21"/>
          <w:highlight w:val="none"/>
        </w:rPr>
        <w:t>应当以书面形式通知招标人。书面通知应</w:t>
      </w:r>
      <w:r>
        <w:rPr>
          <w:rFonts w:hint="eastAsia" w:ascii="宋体" w:hAnsi="宋体" w:eastAsia="宋体" w:cs="宋体"/>
          <w:color w:val="auto"/>
          <w:spacing w:val="1"/>
          <w:sz w:val="21"/>
          <w:szCs w:val="21"/>
          <w:highlight w:val="none"/>
        </w:rPr>
        <w:t>由投标人的法定代表人或其授权的代理人签字或盖单位章。招标人收到书面通知</w:t>
      </w:r>
      <w:r>
        <w:rPr>
          <w:rFonts w:hint="eastAsia" w:ascii="宋体" w:hAnsi="宋体" w:eastAsia="宋体" w:cs="宋体"/>
          <w:color w:val="auto"/>
          <w:sz w:val="21"/>
          <w:szCs w:val="21"/>
          <w:highlight w:val="none"/>
        </w:rPr>
        <w:t>后，向投标人出具</w:t>
      </w:r>
      <w:r>
        <w:rPr>
          <w:rFonts w:hint="eastAsia" w:ascii="宋体" w:hAnsi="宋体" w:eastAsia="宋体" w:cs="宋体"/>
          <w:color w:val="auto"/>
          <w:spacing w:val="-4"/>
          <w:sz w:val="21"/>
          <w:szCs w:val="21"/>
          <w:highlight w:val="none"/>
        </w:rPr>
        <w:t>签收凭证。</w:t>
      </w:r>
    </w:p>
    <w:p w14:paraId="3909441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color w:val="auto"/>
          <w:sz w:val="21"/>
          <w:highlight w:val="none"/>
        </w:rPr>
      </w:pPr>
      <w:bookmarkStart w:id="125" w:name="_Toc22878"/>
      <w:r>
        <w:rPr>
          <w:rFonts w:hint="eastAsia" w:ascii="黑体" w:hAnsi="黑体" w:eastAsia="黑体" w:cs="黑体"/>
          <w:b/>
          <w:bCs w:val="0"/>
          <w:snapToGrid/>
          <w:color w:val="auto"/>
          <w:kern w:val="2"/>
          <w:sz w:val="32"/>
          <w:highlight w:val="none"/>
          <w:lang w:eastAsia="zh-CN"/>
        </w:rPr>
        <w:t>5．开标</w:t>
      </w:r>
      <w:bookmarkEnd w:id="125"/>
    </w:p>
    <w:p w14:paraId="33AEF764">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26" w:name="_Toc1037"/>
      <w:bookmarkStart w:id="127" w:name="_Toc19424"/>
      <w:bookmarkStart w:id="128" w:name="_Toc21452"/>
      <w:r>
        <w:rPr>
          <w:rFonts w:hint="eastAsia" w:ascii="黑体" w:hAnsi="黑体" w:eastAsia="黑体" w:cs="黑体"/>
          <w:b/>
          <w:bCs/>
          <w:snapToGrid/>
          <w:color w:val="auto"/>
          <w:kern w:val="2"/>
          <w:highlight w:val="none"/>
          <w:lang w:eastAsia="zh-CN"/>
        </w:rPr>
        <w:t>5.1  开标时间和地点</w:t>
      </w:r>
      <w:bookmarkEnd w:id="126"/>
      <w:bookmarkEnd w:id="127"/>
      <w:bookmarkEnd w:id="128"/>
    </w:p>
    <w:p w14:paraId="4177CAE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招标人在本章第 4.2.1 项规定的投标截止时间（开标时间</w:t>
      </w:r>
      <w:r>
        <w:rPr>
          <w:rFonts w:hint="eastAsia" w:ascii="宋体" w:hAnsi="宋体" w:eastAsia="宋体" w:cs="宋体"/>
          <w:color w:val="auto"/>
          <w:spacing w:val="-52"/>
          <w:w w:val="95"/>
          <w:sz w:val="21"/>
          <w:szCs w:val="21"/>
          <w:highlight w:val="none"/>
        </w:rPr>
        <w:t>），</w:t>
      </w:r>
      <w:r>
        <w:rPr>
          <w:rFonts w:hint="eastAsia" w:ascii="宋体" w:hAnsi="宋体" w:eastAsia="宋体" w:cs="宋体"/>
          <w:color w:val="auto"/>
          <w:spacing w:val="-1"/>
          <w:sz w:val="21"/>
          <w:szCs w:val="21"/>
          <w:highlight w:val="none"/>
        </w:rPr>
        <w:t>通过电子交易系</w:t>
      </w:r>
      <w:r>
        <w:rPr>
          <w:rFonts w:hint="eastAsia" w:ascii="宋体" w:hAnsi="宋体" w:eastAsia="宋体" w:cs="宋体"/>
          <w:color w:val="auto"/>
          <w:spacing w:val="-2"/>
          <w:sz w:val="21"/>
          <w:szCs w:val="21"/>
          <w:highlight w:val="none"/>
        </w:rPr>
        <w:t>统公开开标，所有</w:t>
      </w:r>
      <w:r>
        <w:rPr>
          <w:rFonts w:hint="eastAsia" w:ascii="宋体" w:hAnsi="宋体" w:eastAsia="宋体" w:cs="宋体"/>
          <w:color w:val="auto"/>
          <w:spacing w:val="-1"/>
          <w:sz w:val="21"/>
          <w:szCs w:val="21"/>
          <w:highlight w:val="none"/>
        </w:rPr>
        <w:t>投标人的法定代表人或其委托代理人应当准时参加。</w:t>
      </w:r>
    </w:p>
    <w:p w14:paraId="13BA315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投标人若未派法定代表人或其委托代理人参</w:t>
      </w:r>
      <w:r>
        <w:rPr>
          <w:rFonts w:hint="eastAsia" w:ascii="宋体" w:hAnsi="宋体" w:eastAsia="宋体" w:cs="宋体"/>
          <w:color w:val="auto"/>
          <w:spacing w:val="-1"/>
          <w:sz w:val="21"/>
          <w:szCs w:val="21"/>
          <w:highlight w:val="none"/>
        </w:rPr>
        <w:t>加开标活动，视为该投标人默认开标结果</w:t>
      </w:r>
      <w:r>
        <w:rPr>
          <w:rFonts w:hint="eastAsia" w:ascii="宋体" w:hAnsi="宋体" w:eastAsia="宋体" w:cs="宋体"/>
          <w:color w:val="auto"/>
          <w:spacing w:val="-1"/>
          <w:sz w:val="21"/>
          <w:szCs w:val="21"/>
          <w:highlight w:val="none"/>
          <w:lang w:eastAsia="zh-CN"/>
        </w:rPr>
        <w:t>。</w:t>
      </w:r>
    </w:p>
    <w:p w14:paraId="38C0BF48">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29" w:name="_Toc10749"/>
      <w:bookmarkStart w:id="130" w:name="_Toc25817"/>
      <w:bookmarkStart w:id="131" w:name="_Toc23269"/>
      <w:r>
        <w:rPr>
          <w:rFonts w:hint="eastAsia" w:ascii="黑体" w:hAnsi="黑体" w:eastAsia="黑体" w:cs="黑体"/>
          <w:b/>
          <w:bCs/>
          <w:snapToGrid/>
          <w:color w:val="auto"/>
          <w:kern w:val="2"/>
          <w:highlight w:val="none"/>
          <w:lang w:eastAsia="zh-CN"/>
        </w:rPr>
        <w:t>5.2  开标程序</w:t>
      </w:r>
      <w:bookmarkEnd w:id="129"/>
      <w:bookmarkEnd w:id="130"/>
      <w:bookmarkEnd w:id="131"/>
    </w:p>
    <w:p w14:paraId="0427D32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主持人按下列程序进行开标：</w:t>
      </w:r>
    </w:p>
    <w:p w14:paraId="2DE5139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（1）公布在投标截止时间前通过电子交易系统完成投标文件递交的投标人名称；</w:t>
      </w:r>
    </w:p>
    <w:p w14:paraId="79B2E8E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（2）由投标人推选的代表检查非加密投标文件</w:t>
      </w:r>
      <w:r>
        <w:rPr>
          <w:rFonts w:hint="eastAsia" w:ascii="宋体" w:hAnsi="宋体" w:eastAsia="宋体" w:cs="宋体"/>
          <w:color w:val="auto"/>
          <w:sz w:val="21"/>
          <w:szCs w:val="21"/>
          <w:highlight w:val="none"/>
        </w:rPr>
        <w:t>电子介质及投标保函原件的密封情况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eastAsia="zh-CN"/>
        </w:rPr>
        <w:t>；</w:t>
      </w:r>
    </w:p>
    <w:p w14:paraId="3EF1BBC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（3）投标人在投标截止时间后在投标人须知前附表规定的解密时间内完成投标文件的解密工作；</w:t>
      </w:r>
    </w:p>
    <w:p w14:paraId="623D25A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（4）招标人完成解密工作，导入并读取所有成功解密的投标文件，或招标人成功导入现场递交</w:t>
      </w:r>
      <w:r>
        <w:rPr>
          <w:rFonts w:hint="eastAsia" w:ascii="宋体" w:hAnsi="宋体" w:eastAsia="宋体" w:cs="宋体"/>
          <w:color w:val="auto"/>
          <w:spacing w:val="-6"/>
          <w:sz w:val="21"/>
          <w:szCs w:val="21"/>
          <w:highlight w:val="none"/>
        </w:rPr>
        <w:t>的非加密投标文件；</w:t>
      </w:r>
    </w:p>
    <w:p w14:paraId="7E6FA92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（5）公布投标人名称、标段名称、投标报价、质量要求、计划工期及其他内容；</w:t>
      </w:r>
    </w:p>
    <w:p w14:paraId="470D64A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（6）开标结束。</w:t>
      </w:r>
    </w:p>
    <w:p w14:paraId="7319907D">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color w:val="auto"/>
          <w:kern w:val="2"/>
          <w:highlight w:val="none"/>
          <w:lang w:eastAsia="zh-CN"/>
        </w:rPr>
      </w:pPr>
      <w:bookmarkStart w:id="132" w:name="_Toc23010"/>
      <w:bookmarkStart w:id="133" w:name="_Toc24277"/>
      <w:bookmarkStart w:id="134" w:name="_Toc8538"/>
      <w:r>
        <w:rPr>
          <w:rFonts w:hint="eastAsia" w:ascii="黑体" w:hAnsi="黑体" w:eastAsia="黑体" w:cs="黑体"/>
          <w:b/>
          <w:bCs/>
          <w:snapToGrid/>
          <w:color w:val="auto"/>
          <w:kern w:val="2"/>
          <w:highlight w:val="none"/>
          <w:lang w:eastAsia="zh-CN"/>
        </w:rPr>
        <w:t>5.3 开标异议</w:t>
      </w:r>
      <w:bookmarkEnd w:id="132"/>
      <w:bookmarkEnd w:id="133"/>
      <w:bookmarkEnd w:id="134"/>
    </w:p>
    <w:p w14:paraId="3D7FBE5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投标人对开标有异议的，应当在开标过程中提出，招标人当场作出答</w:t>
      </w:r>
      <w:r>
        <w:rPr>
          <w:rFonts w:hint="eastAsia" w:ascii="宋体" w:hAnsi="宋体" w:eastAsia="宋体" w:cs="宋体"/>
          <w:color w:val="auto"/>
          <w:sz w:val="21"/>
          <w:szCs w:val="21"/>
          <w:highlight w:val="none"/>
        </w:rPr>
        <w:t>复，并制作记录。异议与</w:t>
      </w:r>
      <w:r>
        <w:rPr>
          <w:rFonts w:hint="eastAsia" w:ascii="宋体" w:hAnsi="宋体" w:eastAsia="宋体" w:cs="宋体"/>
          <w:color w:val="auto"/>
          <w:spacing w:val="-2"/>
          <w:sz w:val="21"/>
          <w:szCs w:val="21"/>
          <w:highlight w:val="none"/>
        </w:rPr>
        <w:t>答复应通过电子交易系统进行。</w:t>
      </w:r>
    </w:p>
    <w:p w14:paraId="4311B1A5">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135" w:name="_Toc31186"/>
      <w:r>
        <w:rPr>
          <w:rFonts w:hint="eastAsia" w:ascii="黑体" w:hAnsi="黑体" w:eastAsia="黑体" w:cs="黑体"/>
          <w:b/>
          <w:bCs w:val="0"/>
          <w:snapToGrid/>
          <w:color w:val="auto"/>
          <w:kern w:val="2"/>
          <w:sz w:val="32"/>
          <w:highlight w:val="none"/>
          <w:lang w:eastAsia="zh-CN"/>
        </w:rPr>
        <w:t>6．评标</w:t>
      </w:r>
      <w:bookmarkEnd w:id="135"/>
    </w:p>
    <w:p w14:paraId="0E2934B4">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36" w:name="_Toc2474"/>
      <w:bookmarkStart w:id="137" w:name="_Toc3325"/>
      <w:bookmarkStart w:id="138" w:name="_Toc12355"/>
      <w:r>
        <w:rPr>
          <w:rFonts w:hint="eastAsia" w:ascii="黑体" w:hAnsi="黑体" w:eastAsia="黑体" w:cs="黑体"/>
          <w:b/>
          <w:bCs w:val="0"/>
          <w:snapToGrid/>
          <w:color w:val="auto"/>
          <w:kern w:val="2"/>
          <w:highlight w:val="none"/>
          <w:lang w:eastAsia="zh-CN"/>
        </w:rPr>
        <w:t>6.1  评标委员会</w:t>
      </w:r>
      <w:bookmarkEnd w:id="136"/>
      <w:bookmarkEnd w:id="137"/>
      <w:bookmarkEnd w:id="138"/>
    </w:p>
    <w:p w14:paraId="25E0FEF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6.1.1  评标由招标人依法组建的评标委员</w:t>
      </w:r>
      <w:r>
        <w:rPr>
          <w:rFonts w:hint="eastAsia" w:ascii="宋体" w:hAnsi="宋体" w:eastAsia="宋体" w:cs="宋体"/>
          <w:color w:val="auto"/>
          <w:spacing w:val="-2"/>
          <w:sz w:val="21"/>
          <w:szCs w:val="21"/>
          <w:highlight w:val="none"/>
        </w:rPr>
        <w:t>会负责。评标委员会由招标人或其委托的招标代理机构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熟悉相关业务的代表，以及有关技术、经济等方面的专家组成。评标委员会成</w:t>
      </w:r>
      <w:r>
        <w:rPr>
          <w:rFonts w:hint="eastAsia" w:ascii="宋体" w:hAnsi="宋体" w:eastAsia="宋体" w:cs="宋体"/>
          <w:color w:val="auto"/>
          <w:sz w:val="21"/>
          <w:szCs w:val="21"/>
          <w:highlight w:val="none"/>
        </w:rPr>
        <w:t>员人数以及技术、经</w:t>
      </w:r>
      <w:r>
        <w:rPr>
          <w:rFonts w:hint="eastAsia" w:ascii="宋体" w:hAnsi="宋体" w:eastAsia="宋体" w:cs="宋体"/>
          <w:color w:val="auto"/>
          <w:spacing w:val="-1"/>
          <w:sz w:val="21"/>
          <w:szCs w:val="21"/>
          <w:highlight w:val="none"/>
        </w:rPr>
        <w:t>济等方面专家的确定方式见投标人须知前附表。</w:t>
      </w:r>
    </w:p>
    <w:p w14:paraId="59D1FED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评标委员会成员有下列情形之一</w:t>
      </w:r>
      <w:r>
        <w:rPr>
          <w:rFonts w:hint="eastAsia" w:ascii="宋体" w:hAnsi="宋体" w:eastAsia="宋体" w:cs="宋体"/>
          <w:color w:val="auto"/>
          <w:spacing w:val="-1"/>
          <w:sz w:val="21"/>
          <w:szCs w:val="21"/>
          <w:highlight w:val="none"/>
        </w:rPr>
        <w:t>的，应当回避：</w:t>
      </w:r>
    </w:p>
    <w:p w14:paraId="1B15067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（1）投标人或投标人主要负责人的近亲属；</w:t>
      </w:r>
    </w:p>
    <w:p w14:paraId="4DBCC21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（2）项目主管部门或者行政监督部门的人员；</w:t>
      </w:r>
    </w:p>
    <w:p w14:paraId="1249CEC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（3）参加招标活动前三年内，与投标人存在劳动关系；</w:t>
      </w:r>
    </w:p>
    <w:p w14:paraId="325263E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（4）与投标人有经济利益关系，可能影响对</w:t>
      </w:r>
      <w:r>
        <w:rPr>
          <w:rFonts w:hint="eastAsia" w:ascii="宋体" w:hAnsi="宋体" w:eastAsia="宋体" w:cs="宋体"/>
          <w:color w:val="auto"/>
          <w:spacing w:val="-2"/>
          <w:sz w:val="21"/>
          <w:szCs w:val="21"/>
          <w:highlight w:val="none"/>
        </w:rPr>
        <w:t>投标公正评审的；</w:t>
      </w:r>
    </w:p>
    <w:p w14:paraId="3E9A3C2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（5）曾因在招标、评标以及其他与招标投标有关活动中从事违法行为而受过行政处罚或刑事处</w:t>
      </w:r>
      <w:r>
        <w:rPr>
          <w:rFonts w:hint="eastAsia" w:ascii="宋体" w:hAnsi="宋体" w:eastAsia="宋体" w:cs="宋体"/>
          <w:color w:val="auto"/>
          <w:spacing w:val="-14"/>
          <w:sz w:val="21"/>
          <w:szCs w:val="21"/>
          <w:highlight w:val="none"/>
        </w:rPr>
        <w:t>罚的；</w:t>
      </w:r>
    </w:p>
    <w:p w14:paraId="57EB1C7A">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（6）与投标人有其他利害关系。</w:t>
      </w:r>
    </w:p>
    <w:p w14:paraId="6FFF2D5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6.1.3  评标过程中，评标委员会成员有回避事由、擅离职守或者</w:t>
      </w:r>
      <w:r>
        <w:rPr>
          <w:rFonts w:hint="eastAsia" w:ascii="宋体" w:hAnsi="宋体" w:eastAsia="宋体" w:cs="宋体"/>
          <w:color w:val="auto"/>
          <w:spacing w:val="-1"/>
          <w:sz w:val="21"/>
          <w:szCs w:val="21"/>
          <w:highlight w:val="none"/>
        </w:rPr>
        <w:t>因健康等原因不能继续评标的，</w:t>
      </w:r>
      <w:r>
        <w:rPr>
          <w:rFonts w:hint="eastAsia" w:ascii="宋体" w:hAnsi="宋体" w:eastAsia="宋体" w:cs="宋体"/>
          <w:color w:val="auto"/>
          <w:spacing w:val="1"/>
          <w:sz w:val="21"/>
          <w:szCs w:val="21"/>
          <w:highlight w:val="none"/>
        </w:rPr>
        <w:t>招标人有权更换。被更换的评标委员会成员作出的评审结论无效，由更换后的评标委</w:t>
      </w:r>
      <w:r>
        <w:rPr>
          <w:rFonts w:hint="eastAsia" w:ascii="宋体" w:hAnsi="宋体" w:eastAsia="宋体" w:cs="宋体"/>
          <w:color w:val="auto"/>
          <w:sz w:val="21"/>
          <w:szCs w:val="21"/>
          <w:highlight w:val="none"/>
        </w:rPr>
        <w:t>员会成员重新</w:t>
      </w:r>
      <w:r>
        <w:rPr>
          <w:rFonts w:hint="eastAsia" w:ascii="宋体" w:hAnsi="宋体" w:eastAsia="宋体" w:cs="宋体"/>
          <w:color w:val="auto"/>
          <w:spacing w:val="-4"/>
          <w:sz w:val="21"/>
          <w:szCs w:val="21"/>
          <w:highlight w:val="none"/>
        </w:rPr>
        <w:t>进行评审。</w:t>
      </w:r>
    </w:p>
    <w:p w14:paraId="61D5BCD6">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39" w:name="_Toc15198"/>
      <w:bookmarkStart w:id="140" w:name="_Toc2957"/>
      <w:bookmarkStart w:id="141" w:name="_Toc23927"/>
      <w:r>
        <w:rPr>
          <w:rFonts w:hint="eastAsia" w:ascii="黑体" w:hAnsi="黑体" w:eastAsia="黑体" w:cs="黑体"/>
          <w:b/>
          <w:bCs w:val="0"/>
          <w:snapToGrid/>
          <w:color w:val="auto"/>
          <w:kern w:val="2"/>
          <w:highlight w:val="none"/>
          <w:lang w:eastAsia="zh-CN"/>
        </w:rPr>
        <w:t>6.2  评标原则</w:t>
      </w:r>
      <w:bookmarkEnd w:id="139"/>
      <w:bookmarkEnd w:id="140"/>
      <w:bookmarkEnd w:id="141"/>
    </w:p>
    <w:p w14:paraId="42DCD198">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评标活动遵循公平、公正、科学和择优的原则。</w:t>
      </w:r>
    </w:p>
    <w:p w14:paraId="64A9E620">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42" w:name="_Toc14879"/>
      <w:bookmarkStart w:id="143" w:name="_Toc202"/>
      <w:bookmarkStart w:id="144" w:name="_Toc25925"/>
      <w:r>
        <w:rPr>
          <w:rFonts w:hint="eastAsia" w:ascii="黑体" w:hAnsi="黑体" w:eastAsia="黑体" w:cs="黑体"/>
          <w:b/>
          <w:bCs w:val="0"/>
          <w:snapToGrid/>
          <w:color w:val="auto"/>
          <w:kern w:val="2"/>
          <w:highlight w:val="none"/>
          <w:lang w:eastAsia="zh-CN"/>
        </w:rPr>
        <w:t>6.3  评标</w:t>
      </w:r>
      <w:bookmarkEnd w:id="142"/>
      <w:bookmarkEnd w:id="143"/>
      <w:bookmarkEnd w:id="144"/>
    </w:p>
    <w:p w14:paraId="571692F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 评标委员会按照第三章“评标办法”规定的</w:t>
      </w:r>
      <w:r>
        <w:rPr>
          <w:rFonts w:hint="eastAsia" w:ascii="宋体" w:hAnsi="宋体" w:eastAsia="宋体" w:cs="宋体"/>
          <w:color w:val="auto"/>
          <w:spacing w:val="-1"/>
          <w:sz w:val="21"/>
          <w:szCs w:val="21"/>
          <w:highlight w:val="none"/>
        </w:rPr>
        <w:t>方法、评审因素、标准和程序对投标文件进行评审。第三章“评标办法”没有规定的方法、评审因素和标准，不作为评标依据</w:t>
      </w:r>
      <w:r>
        <w:rPr>
          <w:rFonts w:hint="eastAsia" w:ascii="宋体" w:hAnsi="宋体" w:eastAsia="宋体" w:cs="宋体"/>
          <w:color w:val="auto"/>
          <w:spacing w:val="-1"/>
          <w:sz w:val="21"/>
          <w:szCs w:val="21"/>
          <w:highlight w:val="none"/>
          <w:lang w:eastAsia="zh-CN"/>
        </w:rPr>
        <w:t>。</w:t>
      </w:r>
    </w:p>
    <w:p w14:paraId="46905BBD">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 评标完成后，评标委员会应当向招标人提交书面评</w:t>
      </w:r>
      <w:r>
        <w:rPr>
          <w:rFonts w:hint="eastAsia" w:ascii="宋体" w:hAnsi="宋体" w:eastAsia="宋体" w:cs="宋体"/>
          <w:color w:val="auto"/>
          <w:spacing w:val="-1"/>
          <w:sz w:val="21"/>
          <w:szCs w:val="21"/>
          <w:highlight w:val="none"/>
        </w:rPr>
        <w:t>标报告和中标候选人名单。评标委员会推荐中标候选人的人数见投标人须知前附表。</w:t>
      </w:r>
    </w:p>
    <w:p w14:paraId="08FDD24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145" w:name="_Toc23704"/>
      <w:r>
        <w:rPr>
          <w:rFonts w:hint="eastAsia" w:ascii="黑体" w:hAnsi="黑体" w:eastAsia="黑体" w:cs="黑体"/>
          <w:b/>
          <w:bCs w:val="0"/>
          <w:snapToGrid/>
          <w:color w:val="auto"/>
          <w:kern w:val="2"/>
          <w:sz w:val="32"/>
          <w:highlight w:val="none"/>
          <w:lang w:eastAsia="zh-CN"/>
        </w:rPr>
        <w:t>7．合同授予</w:t>
      </w:r>
      <w:bookmarkEnd w:id="145"/>
    </w:p>
    <w:p w14:paraId="7B0C2201">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46" w:name="_Toc7915"/>
      <w:bookmarkStart w:id="147" w:name="_Toc6938"/>
      <w:bookmarkStart w:id="148" w:name="_Toc15239"/>
      <w:r>
        <w:rPr>
          <w:rFonts w:hint="eastAsia" w:ascii="黑体" w:hAnsi="黑体" w:eastAsia="黑体" w:cs="黑体"/>
          <w:b/>
          <w:bCs w:val="0"/>
          <w:snapToGrid/>
          <w:color w:val="auto"/>
          <w:kern w:val="2"/>
          <w:highlight w:val="none"/>
          <w:lang w:eastAsia="zh-CN"/>
        </w:rPr>
        <w:t>7.1  中标候选人公示</w:t>
      </w:r>
      <w:bookmarkEnd w:id="146"/>
      <w:bookmarkEnd w:id="147"/>
      <w:bookmarkEnd w:id="148"/>
    </w:p>
    <w:p w14:paraId="363AEEA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招标人在收到评标报告之日起</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3日内，按照投标人须知前附表规定的公示媒介和期限公示</w:t>
      </w:r>
      <w:r>
        <w:rPr>
          <w:rFonts w:hint="eastAsia" w:ascii="宋体" w:hAnsi="宋体" w:eastAsia="宋体" w:cs="宋体"/>
          <w:color w:val="auto"/>
          <w:spacing w:val="-2"/>
          <w:sz w:val="21"/>
          <w:szCs w:val="21"/>
          <w:highlight w:val="none"/>
        </w:rPr>
        <w:t>中标</w:t>
      </w:r>
      <w:r>
        <w:rPr>
          <w:rFonts w:hint="eastAsia" w:ascii="宋体" w:hAnsi="宋体" w:eastAsia="宋体" w:cs="宋体"/>
          <w:color w:val="auto"/>
          <w:spacing w:val="-3"/>
          <w:sz w:val="21"/>
          <w:szCs w:val="21"/>
          <w:highlight w:val="none"/>
        </w:rPr>
        <w:t>候选人，公示期不得少于</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3"/>
          <w:sz w:val="21"/>
          <w:szCs w:val="21"/>
          <w:highlight w:val="none"/>
        </w:rPr>
        <w:t>3日，公示内容包括：</w:t>
      </w:r>
    </w:p>
    <w:p w14:paraId="61F59FAB">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（1）中标候选人排序、名称、投标报价、质量、安全、环保、工</w:t>
      </w:r>
      <w:r>
        <w:rPr>
          <w:rFonts w:hint="eastAsia" w:ascii="宋体" w:hAnsi="宋体" w:eastAsia="宋体" w:cs="宋体"/>
          <w:color w:val="auto"/>
          <w:spacing w:val="-1"/>
          <w:sz w:val="21"/>
          <w:szCs w:val="21"/>
          <w:highlight w:val="none"/>
        </w:rPr>
        <w:t>期，以及评标情况；</w:t>
      </w:r>
    </w:p>
    <w:p w14:paraId="48BF02E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（2）中标候选人在投标文件中承诺的项目经理姓名及</w:t>
      </w:r>
      <w:r>
        <w:rPr>
          <w:rFonts w:hint="eastAsia" w:ascii="宋体" w:hAnsi="宋体" w:eastAsia="宋体" w:cs="宋体"/>
          <w:color w:val="auto"/>
          <w:spacing w:val="-1"/>
          <w:sz w:val="21"/>
          <w:szCs w:val="21"/>
          <w:highlight w:val="none"/>
        </w:rPr>
        <w:t>其相关证书名称和编号；</w:t>
      </w:r>
    </w:p>
    <w:p w14:paraId="142ED6C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（3）中标候选人响应招标文件要求的资格能力条件；</w:t>
      </w:r>
    </w:p>
    <w:p w14:paraId="6F3AB3B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（4）被否决投标的投标人名称、否决依据和原因；</w:t>
      </w:r>
    </w:p>
    <w:p w14:paraId="25A2E02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（5）提出异议的渠道和方式；</w:t>
      </w:r>
    </w:p>
    <w:p w14:paraId="3882201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（6）投标人须知前附表规定公示的其他内容。</w:t>
      </w:r>
    </w:p>
    <w:p w14:paraId="3A856B4B">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49" w:name="_Toc30834"/>
      <w:bookmarkStart w:id="150" w:name="_Toc16405"/>
      <w:bookmarkStart w:id="151" w:name="_Toc11576"/>
      <w:r>
        <w:rPr>
          <w:rFonts w:hint="eastAsia" w:ascii="黑体" w:hAnsi="黑体" w:eastAsia="黑体" w:cs="黑体"/>
          <w:b/>
          <w:bCs w:val="0"/>
          <w:snapToGrid/>
          <w:color w:val="auto"/>
          <w:kern w:val="2"/>
          <w:highlight w:val="none"/>
          <w:lang w:eastAsia="zh-CN"/>
        </w:rPr>
        <w:t>7.2  评标结果异议</w:t>
      </w:r>
      <w:bookmarkEnd w:id="149"/>
      <w:bookmarkEnd w:id="150"/>
      <w:bookmarkEnd w:id="151"/>
    </w:p>
    <w:p w14:paraId="17610A47">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投标人或者其他利害关系人对评标结果有异议的，应当在中标候选人</w:t>
      </w:r>
      <w:r>
        <w:rPr>
          <w:rFonts w:hint="eastAsia" w:ascii="宋体" w:hAnsi="宋体" w:eastAsia="宋体" w:cs="宋体"/>
          <w:color w:val="auto"/>
          <w:sz w:val="21"/>
          <w:szCs w:val="21"/>
          <w:highlight w:val="none"/>
        </w:rPr>
        <w:t>公示期间提出。招标人将</w:t>
      </w:r>
      <w:r>
        <w:rPr>
          <w:rFonts w:hint="eastAsia" w:ascii="宋体" w:hAnsi="宋体" w:eastAsia="宋体" w:cs="宋体"/>
          <w:color w:val="auto"/>
          <w:spacing w:val="-2"/>
          <w:sz w:val="21"/>
          <w:szCs w:val="21"/>
          <w:highlight w:val="none"/>
        </w:rPr>
        <w:t>在收到异议之日起</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2"/>
          <w:sz w:val="21"/>
          <w:szCs w:val="21"/>
          <w:highlight w:val="none"/>
        </w:rPr>
        <w:t>3日内作出答复；作出答复前，将暂停招标投标活动。</w:t>
      </w:r>
    </w:p>
    <w:p w14:paraId="22B76801">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52" w:name="_Toc16134"/>
      <w:bookmarkStart w:id="153" w:name="_Toc1493"/>
      <w:bookmarkStart w:id="154" w:name="_Toc28221"/>
      <w:r>
        <w:rPr>
          <w:rFonts w:hint="eastAsia" w:ascii="黑体" w:hAnsi="黑体" w:eastAsia="黑体" w:cs="黑体"/>
          <w:b/>
          <w:bCs w:val="0"/>
          <w:snapToGrid/>
          <w:color w:val="auto"/>
          <w:kern w:val="2"/>
          <w:highlight w:val="none"/>
          <w:lang w:eastAsia="zh-CN"/>
        </w:rPr>
        <w:t>7.3  中标候选人履约能力审查</w:t>
      </w:r>
      <w:bookmarkEnd w:id="152"/>
      <w:bookmarkEnd w:id="153"/>
      <w:bookmarkEnd w:id="154"/>
    </w:p>
    <w:p w14:paraId="2114C5C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中标候选人的经营、财务状况发生较大变化或存在违法行为，招标人认为可能影响其履约能力的，将在发出中标通知书前提请原评标委员会按照</w:t>
      </w:r>
      <w:r>
        <w:rPr>
          <w:rFonts w:hint="eastAsia" w:ascii="宋体" w:hAnsi="宋体" w:eastAsia="宋体" w:cs="宋体"/>
          <w:color w:val="auto"/>
          <w:spacing w:val="-1"/>
          <w:sz w:val="21"/>
          <w:szCs w:val="21"/>
          <w:highlight w:val="none"/>
        </w:rPr>
        <w:t>招标文件规定的标准和方法进行审查确认。</w:t>
      </w:r>
    </w:p>
    <w:p w14:paraId="78CA041E">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55" w:name="_Toc2790"/>
      <w:bookmarkStart w:id="156" w:name="_Toc21491"/>
      <w:bookmarkStart w:id="157" w:name="_Toc26479"/>
      <w:r>
        <w:rPr>
          <w:rFonts w:hint="eastAsia" w:ascii="黑体" w:hAnsi="黑体" w:eastAsia="黑体" w:cs="黑体"/>
          <w:b/>
          <w:bCs w:val="0"/>
          <w:snapToGrid/>
          <w:color w:val="auto"/>
          <w:kern w:val="2"/>
          <w:highlight w:val="none"/>
          <w:lang w:eastAsia="zh-CN"/>
        </w:rPr>
        <w:t>7.4  定标</w:t>
      </w:r>
      <w:bookmarkEnd w:id="155"/>
      <w:bookmarkEnd w:id="156"/>
      <w:bookmarkEnd w:id="157"/>
    </w:p>
    <w:p w14:paraId="7853C2F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按照投标人须知前附表的规定，招标人或招标人授权的评标委员会依法确定中</w:t>
      </w:r>
      <w:r>
        <w:rPr>
          <w:rFonts w:hint="eastAsia" w:ascii="宋体" w:hAnsi="宋体" w:eastAsia="宋体" w:cs="宋体"/>
          <w:color w:val="auto"/>
          <w:spacing w:val="-1"/>
          <w:sz w:val="21"/>
          <w:szCs w:val="21"/>
          <w:highlight w:val="none"/>
        </w:rPr>
        <w:t>标人。</w:t>
      </w:r>
    </w:p>
    <w:p w14:paraId="2A91595A">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58" w:name="_Toc4910"/>
      <w:bookmarkStart w:id="159" w:name="_Toc28610"/>
      <w:bookmarkStart w:id="160" w:name="_Toc22761"/>
      <w:r>
        <w:rPr>
          <w:rFonts w:hint="eastAsia" w:ascii="黑体" w:hAnsi="黑体" w:eastAsia="黑体" w:cs="黑体"/>
          <w:b/>
          <w:bCs w:val="0"/>
          <w:snapToGrid/>
          <w:color w:val="auto"/>
          <w:kern w:val="2"/>
          <w:highlight w:val="none"/>
          <w:lang w:eastAsia="zh-CN"/>
        </w:rPr>
        <w:t>7.5  中标结果公示</w:t>
      </w:r>
      <w:bookmarkEnd w:id="158"/>
      <w:bookmarkEnd w:id="159"/>
      <w:bookmarkEnd w:id="160"/>
    </w:p>
    <w:p w14:paraId="66452EE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4"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招标人在确定中标人之日起</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3 日内，按照投标人须知前附表规定的公示媒介依法公示中标结果。</w:t>
      </w:r>
    </w:p>
    <w:p w14:paraId="1656137D">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61" w:name="_Toc30666"/>
      <w:bookmarkStart w:id="162" w:name="_Toc428"/>
      <w:bookmarkStart w:id="163" w:name="_Toc12762"/>
      <w:r>
        <w:rPr>
          <w:rFonts w:hint="eastAsia" w:ascii="黑体" w:hAnsi="黑体" w:eastAsia="黑体" w:cs="黑体"/>
          <w:b/>
          <w:bCs w:val="0"/>
          <w:snapToGrid/>
          <w:color w:val="auto"/>
          <w:kern w:val="2"/>
          <w:highlight w:val="none"/>
          <w:lang w:eastAsia="zh-CN"/>
        </w:rPr>
        <w:t>7.6  中标通知</w:t>
      </w:r>
      <w:bookmarkEnd w:id="161"/>
      <w:bookmarkEnd w:id="162"/>
      <w:bookmarkEnd w:id="163"/>
    </w:p>
    <w:p w14:paraId="165D903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款规定的投标有效期内，招标人以书面形式</w:t>
      </w:r>
      <w:r>
        <w:rPr>
          <w:rFonts w:hint="eastAsia" w:ascii="宋体" w:hAnsi="宋体" w:eastAsia="宋体" w:cs="宋体"/>
          <w:color w:val="auto"/>
          <w:spacing w:val="-1"/>
          <w:sz w:val="21"/>
          <w:szCs w:val="21"/>
          <w:highlight w:val="none"/>
        </w:rPr>
        <w:t>向中标人发出中标通知书，同时将中</w:t>
      </w:r>
      <w:r>
        <w:rPr>
          <w:rFonts w:hint="eastAsia" w:ascii="宋体" w:hAnsi="宋体" w:eastAsia="宋体" w:cs="宋体"/>
          <w:color w:val="auto"/>
          <w:spacing w:val="-2"/>
          <w:sz w:val="21"/>
          <w:szCs w:val="21"/>
          <w:highlight w:val="none"/>
        </w:rPr>
        <w:t>标结果通知未中标的投标人。</w:t>
      </w:r>
    </w:p>
    <w:p w14:paraId="640DFC87">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64" w:name="_Toc30205"/>
      <w:bookmarkStart w:id="165" w:name="_Toc26348"/>
      <w:bookmarkStart w:id="166" w:name="_Toc30420"/>
      <w:r>
        <w:rPr>
          <w:rFonts w:hint="eastAsia" w:ascii="黑体" w:hAnsi="黑体" w:eastAsia="黑体" w:cs="黑体"/>
          <w:b/>
          <w:bCs w:val="0"/>
          <w:snapToGrid/>
          <w:color w:val="auto"/>
          <w:kern w:val="2"/>
          <w:highlight w:val="none"/>
          <w:lang w:eastAsia="zh-CN"/>
        </w:rPr>
        <w:t>7.7  履约保证金</w:t>
      </w:r>
      <w:bookmarkEnd w:id="164"/>
      <w:bookmarkEnd w:id="165"/>
      <w:bookmarkEnd w:id="166"/>
    </w:p>
    <w:p w14:paraId="6AF60E2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7.7.1  在签订合同前，中标人应按投标人须</w:t>
      </w:r>
      <w:r>
        <w:rPr>
          <w:rFonts w:hint="eastAsia" w:ascii="宋体" w:hAnsi="宋体" w:eastAsia="宋体" w:cs="宋体"/>
          <w:color w:val="auto"/>
          <w:spacing w:val="-2"/>
          <w:sz w:val="21"/>
          <w:szCs w:val="21"/>
          <w:highlight w:val="none"/>
        </w:rPr>
        <w:t>知前附表规定的形式、金额和招标文件第四章“合同</w:t>
      </w:r>
      <w:r>
        <w:rPr>
          <w:rFonts w:hint="eastAsia" w:ascii="宋体" w:hAnsi="宋体" w:eastAsia="宋体" w:cs="宋体"/>
          <w:color w:val="auto"/>
          <w:spacing w:val="1"/>
          <w:sz w:val="21"/>
          <w:szCs w:val="21"/>
          <w:highlight w:val="none"/>
        </w:rPr>
        <w:t>条款及格式”规定的或者事先经过招标人书面认可的履约保证金格式向招标</w:t>
      </w:r>
      <w:r>
        <w:rPr>
          <w:rFonts w:hint="eastAsia" w:ascii="宋体" w:hAnsi="宋体" w:eastAsia="宋体" w:cs="宋体"/>
          <w:color w:val="auto"/>
          <w:sz w:val="21"/>
          <w:szCs w:val="21"/>
          <w:highlight w:val="none"/>
        </w:rPr>
        <w:t>人提交履约保证金。除</w:t>
      </w:r>
      <w:r>
        <w:rPr>
          <w:rFonts w:hint="eastAsia" w:ascii="宋体" w:hAnsi="宋体" w:eastAsia="宋体" w:cs="宋体"/>
          <w:color w:val="auto"/>
          <w:spacing w:val="-1"/>
          <w:sz w:val="21"/>
          <w:szCs w:val="21"/>
          <w:highlight w:val="none"/>
        </w:rPr>
        <w:t>投标人须知前附表另有规定外，履约保证金为中标合同金额的 10%。联合体中标的，其履约保证金以联合体各方或者联合体中牵头人的名义提交。</w:t>
      </w:r>
    </w:p>
    <w:p w14:paraId="513B72C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highlight w:val="none"/>
        </w:rPr>
      </w:pPr>
      <w:r>
        <w:rPr>
          <w:rFonts w:hint="eastAsia" w:ascii="宋体" w:hAnsi="宋体" w:eastAsia="宋体" w:cs="宋体"/>
          <w:color w:val="auto"/>
          <w:spacing w:val="-1"/>
          <w:sz w:val="21"/>
          <w:szCs w:val="21"/>
          <w:highlight w:val="none"/>
        </w:rPr>
        <w:t>7.7.2</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中标人不能按本章第</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7.7.1项要求提交履约保证金的，视为放弃中标，其投标保证金不予</w:t>
      </w:r>
      <w:r>
        <w:rPr>
          <w:rFonts w:hint="eastAsia" w:ascii="宋体" w:hAnsi="宋体" w:eastAsia="宋体" w:cs="宋体"/>
          <w:color w:val="auto"/>
          <w:sz w:val="21"/>
          <w:szCs w:val="21"/>
          <w:highlight w:val="none"/>
        </w:rPr>
        <w:t>退还，给招标人造成的损失超过投标保证金数额的，中标人还应当对超过部分予以赔</w:t>
      </w:r>
      <w:r>
        <w:rPr>
          <w:rFonts w:hint="eastAsia" w:ascii="宋体" w:hAnsi="宋体" w:eastAsia="宋体" w:cs="宋体"/>
          <w:color w:val="auto"/>
          <w:spacing w:val="-1"/>
          <w:sz w:val="21"/>
          <w:szCs w:val="21"/>
          <w:highlight w:val="none"/>
        </w:rPr>
        <w:t>偿。</w:t>
      </w:r>
    </w:p>
    <w:p w14:paraId="451260B6">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67" w:name="_Toc1315"/>
      <w:bookmarkStart w:id="168" w:name="_Toc17895"/>
      <w:bookmarkStart w:id="169" w:name="_Toc13570"/>
      <w:r>
        <w:rPr>
          <w:rFonts w:hint="eastAsia" w:ascii="黑体" w:hAnsi="黑体" w:eastAsia="黑体" w:cs="黑体"/>
          <w:b/>
          <w:bCs w:val="0"/>
          <w:snapToGrid/>
          <w:color w:val="auto"/>
          <w:kern w:val="2"/>
          <w:highlight w:val="none"/>
          <w:lang w:eastAsia="zh-CN"/>
        </w:rPr>
        <w:t>7.8  签订合同</w:t>
      </w:r>
      <w:bookmarkEnd w:id="167"/>
      <w:bookmarkEnd w:id="168"/>
      <w:bookmarkEnd w:id="169"/>
    </w:p>
    <w:p w14:paraId="140D77A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7.8.1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
          <w:sz w:val="21"/>
          <w:szCs w:val="21"/>
          <w:highlight w:val="none"/>
        </w:rPr>
        <w:t>招标人和中标人应当在中标通知书发出之日起 30 日内，根据招标文</w:t>
      </w:r>
      <w:r>
        <w:rPr>
          <w:rFonts w:hint="eastAsia" w:ascii="宋体" w:hAnsi="宋体" w:eastAsia="宋体" w:cs="宋体"/>
          <w:color w:val="auto"/>
          <w:spacing w:val="-2"/>
          <w:sz w:val="21"/>
          <w:szCs w:val="21"/>
          <w:highlight w:val="none"/>
        </w:rPr>
        <w:t>件和中标人的投标文</w:t>
      </w:r>
      <w:r>
        <w:rPr>
          <w:rFonts w:hint="eastAsia" w:ascii="宋体" w:hAnsi="宋体" w:eastAsia="宋体" w:cs="宋体"/>
          <w:color w:val="auto"/>
          <w:spacing w:val="1"/>
          <w:sz w:val="21"/>
          <w:szCs w:val="21"/>
          <w:highlight w:val="none"/>
        </w:rPr>
        <w:t>件订立书面合同。中标人无正当理由拒签合同，在签订合同时向招标人提出附加条</w:t>
      </w:r>
      <w:r>
        <w:rPr>
          <w:rFonts w:hint="eastAsia" w:ascii="宋体" w:hAnsi="宋体" w:eastAsia="宋体" w:cs="宋体"/>
          <w:color w:val="auto"/>
          <w:sz w:val="21"/>
          <w:szCs w:val="21"/>
          <w:highlight w:val="none"/>
        </w:rPr>
        <w:t>件，或者不按照</w:t>
      </w:r>
      <w:r>
        <w:rPr>
          <w:rFonts w:hint="eastAsia" w:ascii="宋体" w:hAnsi="宋体" w:eastAsia="宋体" w:cs="宋体"/>
          <w:color w:val="auto"/>
          <w:spacing w:val="1"/>
          <w:sz w:val="21"/>
          <w:szCs w:val="21"/>
          <w:highlight w:val="none"/>
        </w:rPr>
        <w:t>招标文件要求提交履约保证金的，招标人有权取消其中标资格，其投标保证金不予</w:t>
      </w:r>
      <w:r>
        <w:rPr>
          <w:rFonts w:hint="eastAsia" w:ascii="宋体" w:hAnsi="宋体" w:eastAsia="宋体" w:cs="宋体"/>
          <w:color w:val="auto"/>
          <w:sz w:val="21"/>
          <w:szCs w:val="21"/>
          <w:highlight w:val="none"/>
        </w:rPr>
        <w:t>退还；给招标人造成的损失超过投标保证金数额的，中标人还应当对超过部分予以赔</w:t>
      </w:r>
      <w:r>
        <w:rPr>
          <w:rFonts w:hint="eastAsia" w:ascii="宋体" w:hAnsi="宋体" w:eastAsia="宋体" w:cs="宋体"/>
          <w:color w:val="auto"/>
          <w:spacing w:val="-1"/>
          <w:sz w:val="21"/>
          <w:szCs w:val="21"/>
          <w:highlight w:val="none"/>
        </w:rPr>
        <w:t>偿。</w:t>
      </w:r>
    </w:p>
    <w:p w14:paraId="2CC739F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7.8.2  发出中标通知书后，招标人无正当理</w:t>
      </w:r>
      <w:r>
        <w:rPr>
          <w:rFonts w:hint="eastAsia" w:ascii="宋体" w:hAnsi="宋体" w:eastAsia="宋体" w:cs="宋体"/>
          <w:color w:val="auto"/>
          <w:spacing w:val="-2"/>
          <w:sz w:val="21"/>
          <w:szCs w:val="21"/>
          <w:highlight w:val="none"/>
        </w:rPr>
        <w:t>由拒签合同，或者在签订合同时向中标人提出附加条</w:t>
      </w:r>
      <w:r>
        <w:rPr>
          <w:rFonts w:hint="eastAsia" w:ascii="宋体" w:hAnsi="宋体" w:eastAsia="宋体" w:cs="宋体"/>
          <w:color w:val="auto"/>
          <w:spacing w:val="-1"/>
          <w:sz w:val="21"/>
          <w:szCs w:val="21"/>
          <w:highlight w:val="none"/>
        </w:rPr>
        <w:t>件的，招标人向中标人退还投标保证金；给中标人造成损失的，还应当赔偿损失</w:t>
      </w:r>
      <w:r>
        <w:rPr>
          <w:rFonts w:hint="eastAsia" w:ascii="宋体" w:hAnsi="宋体" w:eastAsia="宋体" w:cs="宋体"/>
          <w:color w:val="auto"/>
          <w:spacing w:val="-1"/>
          <w:sz w:val="21"/>
          <w:szCs w:val="21"/>
          <w:highlight w:val="none"/>
          <w:lang w:eastAsia="zh-CN"/>
        </w:rPr>
        <w:t>。</w:t>
      </w:r>
    </w:p>
    <w:p w14:paraId="1A3F787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7.8.3 联合体中标的，联合体各方应当共同与招标人签订合</w:t>
      </w:r>
      <w:r>
        <w:rPr>
          <w:rFonts w:hint="eastAsia" w:ascii="宋体" w:hAnsi="宋体" w:eastAsia="宋体" w:cs="宋体"/>
          <w:color w:val="auto"/>
          <w:spacing w:val="-1"/>
          <w:sz w:val="21"/>
          <w:szCs w:val="21"/>
          <w:highlight w:val="none"/>
        </w:rPr>
        <w:t>同，就中标项目向招标人承担连带责</w:t>
      </w:r>
      <w:r>
        <w:rPr>
          <w:rFonts w:hint="eastAsia" w:ascii="宋体" w:hAnsi="宋体" w:eastAsia="宋体" w:cs="宋体"/>
          <w:color w:val="auto"/>
          <w:spacing w:val="-9"/>
          <w:sz w:val="21"/>
          <w:szCs w:val="21"/>
          <w:highlight w:val="none"/>
        </w:rPr>
        <w:t>任。</w:t>
      </w:r>
    </w:p>
    <w:p w14:paraId="0BCC77DA">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170" w:name="_Toc15291"/>
      <w:r>
        <w:rPr>
          <w:rFonts w:hint="eastAsia" w:ascii="黑体" w:hAnsi="黑体" w:eastAsia="黑体" w:cs="黑体"/>
          <w:b/>
          <w:bCs w:val="0"/>
          <w:snapToGrid/>
          <w:color w:val="auto"/>
          <w:kern w:val="2"/>
          <w:sz w:val="32"/>
          <w:highlight w:val="none"/>
          <w:lang w:eastAsia="zh-CN"/>
        </w:rPr>
        <w:t>8．重新招标和不再招标</w:t>
      </w:r>
      <w:bookmarkEnd w:id="170"/>
    </w:p>
    <w:p w14:paraId="5C674353">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71" w:name="_Toc6952"/>
      <w:bookmarkStart w:id="172" w:name="_Toc12037"/>
      <w:bookmarkStart w:id="173" w:name="_Toc9480"/>
      <w:r>
        <w:rPr>
          <w:rFonts w:hint="eastAsia" w:ascii="黑体" w:hAnsi="黑体" w:eastAsia="黑体" w:cs="黑体"/>
          <w:b/>
          <w:bCs w:val="0"/>
          <w:snapToGrid/>
          <w:color w:val="auto"/>
          <w:kern w:val="2"/>
          <w:highlight w:val="none"/>
          <w:lang w:eastAsia="zh-CN"/>
        </w:rPr>
        <w:t>8.1  重新招标</w:t>
      </w:r>
      <w:bookmarkEnd w:id="171"/>
      <w:bookmarkEnd w:id="172"/>
      <w:bookmarkEnd w:id="173"/>
    </w:p>
    <w:p w14:paraId="2F15219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有下列情形之一的，招标人将重新招标：</w:t>
      </w:r>
    </w:p>
    <w:p w14:paraId="6696F014">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（l）投标截止时间止，投标人少于</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3个</w:t>
      </w:r>
      <w:r>
        <w:rPr>
          <w:rFonts w:hint="eastAsia" w:ascii="宋体" w:hAnsi="宋体" w:eastAsia="宋体" w:cs="宋体"/>
          <w:color w:val="auto"/>
          <w:spacing w:val="-3"/>
          <w:sz w:val="21"/>
          <w:szCs w:val="21"/>
          <w:highlight w:val="none"/>
        </w:rPr>
        <w:t>的；</w:t>
      </w:r>
    </w:p>
    <w:p w14:paraId="4E7FD5B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（2）经评标委员会评审后否决所有投标的；</w:t>
      </w:r>
    </w:p>
    <w:p w14:paraId="0DEBDC99">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（3）评标委员会否决不合格投标后，因有效投标不足三个使得投标明显缺乏竞争，评标委员会决定否决全部投标的；</w:t>
      </w:r>
    </w:p>
    <w:p w14:paraId="022F941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（4）同意延长投标有效期的投标人少于</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3 个的；</w:t>
      </w:r>
    </w:p>
    <w:p w14:paraId="513B25F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（5）中标候选人均未与招标人签订合同的；</w:t>
      </w:r>
    </w:p>
    <w:p w14:paraId="2C14620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（6）经查实，中标候选人均不具备中标资格或存在违规行为的。</w:t>
      </w:r>
    </w:p>
    <w:p w14:paraId="68653A20">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74" w:name="_Toc32574"/>
      <w:bookmarkStart w:id="175" w:name="_Toc21505"/>
      <w:bookmarkStart w:id="176" w:name="_Toc27887"/>
      <w:r>
        <w:rPr>
          <w:rFonts w:hint="eastAsia" w:ascii="黑体" w:hAnsi="黑体" w:eastAsia="黑体" w:cs="黑体"/>
          <w:b/>
          <w:bCs w:val="0"/>
          <w:snapToGrid/>
          <w:color w:val="auto"/>
          <w:kern w:val="2"/>
          <w:highlight w:val="none"/>
          <w:lang w:eastAsia="zh-CN"/>
        </w:rPr>
        <w:t>8.2  不再招标</w:t>
      </w:r>
      <w:bookmarkEnd w:id="174"/>
      <w:bookmarkEnd w:id="175"/>
      <w:bookmarkEnd w:id="176"/>
    </w:p>
    <w:p w14:paraId="35B1EAA2">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重新招标后，仍出现本章第</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z w:val="21"/>
          <w:szCs w:val="21"/>
          <w:highlight w:val="none"/>
        </w:rPr>
        <w:t>8.1</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z w:val="21"/>
          <w:szCs w:val="21"/>
          <w:highlight w:val="none"/>
        </w:rPr>
        <w:t>款规定情形</w:t>
      </w:r>
      <w:r>
        <w:rPr>
          <w:rFonts w:hint="eastAsia" w:ascii="宋体" w:hAnsi="宋体" w:eastAsia="宋体" w:cs="宋体"/>
          <w:color w:val="auto"/>
          <w:spacing w:val="-1"/>
          <w:sz w:val="21"/>
          <w:szCs w:val="21"/>
          <w:highlight w:val="none"/>
        </w:rPr>
        <w:t>之一的，属于必须审批、核准的工程建设项目，报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经原审批、核准部门审批、核准后可以不再进行招标。涉及政府采购的，按</w:t>
      </w:r>
      <w:r>
        <w:rPr>
          <w:rFonts w:hint="eastAsia" w:ascii="宋体" w:hAnsi="宋体" w:eastAsia="宋体" w:cs="宋体"/>
          <w:color w:val="auto"/>
          <w:sz w:val="21"/>
          <w:szCs w:val="21"/>
          <w:highlight w:val="none"/>
        </w:rPr>
        <w:t>照政府采购法律法规规</w:t>
      </w:r>
      <w:r>
        <w:rPr>
          <w:rFonts w:hint="eastAsia" w:ascii="宋体" w:hAnsi="宋体" w:eastAsia="宋体" w:cs="宋体"/>
          <w:color w:val="auto"/>
          <w:spacing w:val="-2"/>
          <w:sz w:val="21"/>
          <w:szCs w:val="21"/>
          <w:highlight w:val="none"/>
        </w:rPr>
        <w:t>定执行。</w:t>
      </w:r>
    </w:p>
    <w:p w14:paraId="75950780">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color w:val="auto"/>
          <w:sz w:val="21"/>
          <w:highlight w:val="none"/>
        </w:rPr>
      </w:pPr>
      <w:bookmarkStart w:id="177" w:name="_Toc7488"/>
      <w:r>
        <w:rPr>
          <w:rFonts w:hint="eastAsia" w:ascii="黑体" w:hAnsi="黑体" w:eastAsia="黑体" w:cs="黑体"/>
          <w:b/>
          <w:bCs w:val="0"/>
          <w:snapToGrid/>
          <w:color w:val="auto"/>
          <w:kern w:val="2"/>
          <w:sz w:val="32"/>
          <w:highlight w:val="none"/>
          <w:lang w:eastAsia="zh-CN"/>
        </w:rPr>
        <w:t>9．纪律和监督</w:t>
      </w:r>
      <w:bookmarkEnd w:id="177"/>
    </w:p>
    <w:p w14:paraId="72324FBF">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78" w:name="_Toc11080"/>
      <w:bookmarkStart w:id="179" w:name="_Toc31213"/>
      <w:bookmarkStart w:id="180" w:name="_Toc28597"/>
      <w:r>
        <w:rPr>
          <w:rFonts w:hint="eastAsia" w:ascii="黑体" w:hAnsi="黑体" w:eastAsia="黑体" w:cs="黑体"/>
          <w:b/>
          <w:bCs w:val="0"/>
          <w:snapToGrid/>
          <w:color w:val="auto"/>
          <w:kern w:val="2"/>
          <w:highlight w:val="none"/>
          <w:lang w:eastAsia="zh-CN"/>
        </w:rPr>
        <w:t>9.1  对招标人的纪律要求</w:t>
      </w:r>
      <w:bookmarkEnd w:id="178"/>
      <w:bookmarkEnd w:id="179"/>
      <w:bookmarkEnd w:id="180"/>
    </w:p>
    <w:p w14:paraId="36A4439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招标人不得泄露招标投标活动中应当保密的情况和资料，不得与投标人串</w:t>
      </w:r>
      <w:r>
        <w:rPr>
          <w:rFonts w:hint="eastAsia" w:ascii="宋体" w:hAnsi="宋体" w:eastAsia="宋体" w:cs="宋体"/>
          <w:color w:val="auto"/>
          <w:sz w:val="21"/>
          <w:szCs w:val="21"/>
          <w:highlight w:val="none"/>
        </w:rPr>
        <w:t>通损害国家利益、社</w:t>
      </w:r>
      <w:r>
        <w:rPr>
          <w:rFonts w:hint="eastAsia" w:ascii="宋体" w:hAnsi="宋体" w:eastAsia="宋体" w:cs="宋体"/>
          <w:color w:val="auto"/>
          <w:spacing w:val="-2"/>
          <w:sz w:val="21"/>
          <w:szCs w:val="21"/>
          <w:highlight w:val="none"/>
        </w:rPr>
        <w:t>会公共利益或者他人合法权益。</w:t>
      </w:r>
    </w:p>
    <w:p w14:paraId="1E450527">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81" w:name="_Toc16271"/>
      <w:bookmarkStart w:id="182" w:name="_Toc18936"/>
      <w:bookmarkStart w:id="183" w:name="_Toc3303"/>
      <w:r>
        <w:rPr>
          <w:rFonts w:hint="eastAsia" w:ascii="黑体" w:hAnsi="黑体" w:eastAsia="黑体" w:cs="黑体"/>
          <w:b/>
          <w:bCs w:val="0"/>
          <w:snapToGrid/>
          <w:color w:val="auto"/>
          <w:kern w:val="2"/>
          <w:highlight w:val="none"/>
          <w:lang w:eastAsia="zh-CN"/>
        </w:rPr>
        <w:t>9.2  对投标人的纪律要求</w:t>
      </w:r>
      <w:bookmarkEnd w:id="181"/>
      <w:bookmarkEnd w:id="182"/>
      <w:bookmarkEnd w:id="183"/>
    </w:p>
    <w:p w14:paraId="63E6CBE0">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投标人不得相互串通投标或者与招标人串通投标，不得向招标人或者</w:t>
      </w:r>
      <w:r>
        <w:rPr>
          <w:rFonts w:hint="eastAsia" w:ascii="宋体" w:hAnsi="宋体" w:eastAsia="宋体" w:cs="宋体"/>
          <w:color w:val="auto"/>
          <w:sz w:val="21"/>
          <w:szCs w:val="21"/>
          <w:highlight w:val="none"/>
        </w:rPr>
        <w:t>评标委员会成员行贿谋取</w:t>
      </w:r>
      <w:r>
        <w:rPr>
          <w:rFonts w:hint="eastAsia" w:ascii="宋体" w:hAnsi="宋体" w:eastAsia="宋体" w:cs="宋体"/>
          <w:color w:val="auto"/>
          <w:spacing w:val="1"/>
          <w:sz w:val="21"/>
          <w:szCs w:val="21"/>
          <w:highlight w:val="none"/>
        </w:rPr>
        <w:t>中标，不得以他人名义投标或者以其他方式弄虚作假骗取中标；投标人不得以任何</w:t>
      </w:r>
      <w:r>
        <w:rPr>
          <w:rFonts w:hint="eastAsia" w:ascii="宋体" w:hAnsi="宋体" w:eastAsia="宋体" w:cs="宋体"/>
          <w:color w:val="auto"/>
          <w:sz w:val="21"/>
          <w:szCs w:val="21"/>
          <w:highlight w:val="none"/>
        </w:rPr>
        <w:t xml:space="preserve">方式干扰、影响 </w:t>
      </w:r>
      <w:r>
        <w:rPr>
          <w:rFonts w:hint="eastAsia" w:ascii="宋体" w:hAnsi="宋体" w:eastAsia="宋体" w:cs="宋体"/>
          <w:color w:val="auto"/>
          <w:spacing w:val="-4"/>
          <w:sz w:val="21"/>
          <w:szCs w:val="21"/>
          <w:highlight w:val="none"/>
        </w:rPr>
        <w:t>评标工作。</w:t>
      </w:r>
    </w:p>
    <w:p w14:paraId="1688E479">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84" w:name="_Toc27024"/>
      <w:bookmarkStart w:id="185" w:name="_Toc23247"/>
      <w:bookmarkStart w:id="186" w:name="_Toc5252"/>
      <w:r>
        <w:rPr>
          <w:rFonts w:hint="eastAsia" w:ascii="黑体" w:hAnsi="黑体" w:eastAsia="黑体" w:cs="黑体"/>
          <w:b/>
          <w:bCs w:val="0"/>
          <w:snapToGrid/>
          <w:color w:val="auto"/>
          <w:kern w:val="2"/>
          <w:highlight w:val="none"/>
          <w:lang w:eastAsia="zh-CN"/>
        </w:rPr>
        <w:t>9.3  对评标委员会成员的纪律要求</w:t>
      </w:r>
      <w:bookmarkEnd w:id="184"/>
      <w:bookmarkEnd w:id="185"/>
      <w:bookmarkEnd w:id="186"/>
    </w:p>
    <w:p w14:paraId="3497B05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评标委员会成员不得收受他人的财物或者其他好处，不得向他人透露对投标文件的评审和比较、</w:t>
      </w:r>
      <w:r>
        <w:rPr>
          <w:rFonts w:hint="eastAsia" w:ascii="宋体" w:hAnsi="宋体" w:eastAsia="宋体" w:cs="宋体"/>
          <w:color w:val="auto"/>
          <w:spacing w:val="1"/>
          <w:sz w:val="21"/>
          <w:szCs w:val="21"/>
          <w:highlight w:val="none"/>
        </w:rPr>
        <w:t>中标候选人的推荐情况以及评标有关的其他情况。在评标活动中，评标委员会成</w:t>
      </w:r>
      <w:r>
        <w:rPr>
          <w:rFonts w:hint="eastAsia" w:ascii="宋体" w:hAnsi="宋体" w:eastAsia="宋体" w:cs="宋体"/>
          <w:color w:val="auto"/>
          <w:sz w:val="21"/>
          <w:szCs w:val="21"/>
          <w:highlight w:val="none"/>
        </w:rPr>
        <w:t xml:space="preserve">员应当客观、公正  </w:t>
      </w:r>
      <w:r>
        <w:rPr>
          <w:rFonts w:hint="eastAsia" w:ascii="宋体" w:hAnsi="宋体" w:eastAsia="宋体" w:cs="宋体"/>
          <w:color w:val="auto"/>
          <w:spacing w:val="-2"/>
          <w:sz w:val="21"/>
          <w:szCs w:val="21"/>
          <w:highlight w:val="none"/>
        </w:rPr>
        <w:t>地履行职责，遵守职业道德，不得擅离职守，影响评标程序正常进行，不得使用第三章“评标办法”</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没有规定的评审因素和标准进行评标。</w:t>
      </w:r>
    </w:p>
    <w:p w14:paraId="6CFFA6CA">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87" w:name="_Toc26870"/>
      <w:bookmarkStart w:id="188" w:name="_Toc19414"/>
      <w:bookmarkStart w:id="189" w:name="_Toc19398"/>
      <w:r>
        <w:rPr>
          <w:rFonts w:hint="eastAsia" w:ascii="黑体" w:hAnsi="黑体" w:eastAsia="黑体" w:cs="黑体"/>
          <w:b/>
          <w:bCs w:val="0"/>
          <w:snapToGrid/>
          <w:color w:val="auto"/>
          <w:kern w:val="2"/>
          <w:highlight w:val="none"/>
          <w:lang w:eastAsia="zh-CN"/>
        </w:rPr>
        <w:t>9.4  对与评标活动有关的工作人员的纪律要求</w:t>
      </w:r>
      <w:bookmarkEnd w:id="187"/>
      <w:bookmarkEnd w:id="188"/>
      <w:bookmarkEnd w:id="189"/>
    </w:p>
    <w:p w14:paraId="685F56DF">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与评标活动有关的工作人员不得收受他人的财物或者其他好处，</w:t>
      </w:r>
      <w:r>
        <w:rPr>
          <w:rFonts w:hint="eastAsia" w:ascii="宋体" w:hAnsi="宋体" w:eastAsia="宋体" w:cs="宋体"/>
          <w:color w:val="auto"/>
          <w:sz w:val="21"/>
          <w:szCs w:val="21"/>
          <w:highlight w:val="none"/>
        </w:rPr>
        <w:t>不得向他人透露对投标文件的</w:t>
      </w:r>
      <w:r>
        <w:rPr>
          <w:rFonts w:hint="eastAsia" w:ascii="宋体" w:hAnsi="宋体" w:eastAsia="宋体" w:cs="宋体"/>
          <w:color w:val="auto"/>
          <w:spacing w:val="1"/>
          <w:sz w:val="21"/>
          <w:szCs w:val="21"/>
          <w:highlight w:val="none"/>
        </w:rPr>
        <w:t>评审和比较、中标候选人的推荐情况以及评标有关的其他情况。在评标活动中，与</w:t>
      </w:r>
      <w:r>
        <w:rPr>
          <w:rFonts w:hint="eastAsia" w:ascii="宋体" w:hAnsi="宋体" w:eastAsia="宋体" w:cs="宋体"/>
          <w:color w:val="auto"/>
          <w:sz w:val="21"/>
          <w:szCs w:val="21"/>
          <w:highlight w:val="none"/>
        </w:rPr>
        <w:t>评标活动有关的</w:t>
      </w:r>
      <w:r>
        <w:rPr>
          <w:rFonts w:hint="eastAsia" w:ascii="宋体" w:hAnsi="宋体" w:eastAsia="宋体" w:cs="宋体"/>
          <w:color w:val="auto"/>
          <w:spacing w:val="-1"/>
          <w:sz w:val="21"/>
          <w:szCs w:val="21"/>
          <w:highlight w:val="none"/>
        </w:rPr>
        <w:t>工作人员不得擅离职守，影响评标程序正常进行。</w:t>
      </w:r>
    </w:p>
    <w:p w14:paraId="1DA4E06D">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highlight w:val="none"/>
          <w:lang w:eastAsia="zh-CN"/>
        </w:rPr>
      </w:pPr>
      <w:bookmarkStart w:id="190" w:name="_Toc23246"/>
      <w:bookmarkStart w:id="191" w:name="_Toc15817"/>
      <w:bookmarkStart w:id="192" w:name="_Toc6045"/>
      <w:r>
        <w:rPr>
          <w:rFonts w:hint="eastAsia" w:ascii="黑体" w:hAnsi="黑体" w:eastAsia="黑体" w:cs="黑体"/>
          <w:b/>
          <w:bCs w:val="0"/>
          <w:snapToGrid/>
          <w:color w:val="auto"/>
          <w:kern w:val="2"/>
          <w:highlight w:val="none"/>
          <w:lang w:eastAsia="zh-CN"/>
        </w:rPr>
        <w:t>9.5 异议、投诉的解决</w:t>
      </w:r>
      <w:bookmarkEnd w:id="190"/>
      <w:bookmarkEnd w:id="191"/>
      <w:bookmarkEnd w:id="192"/>
    </w:p>
    <w:p w14:paraId="1B72E49E">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9.5.1  投标人或者其他利害关系人认为招</w:t>
      </w:r>
      <w:r>
        <w:rPr>
          <w:rFonts w:hint="eastAsia" w:ascii="宋体" w:hAnsi="宋体" w:eastAsia="宋体" w:cs="宋体"/>
          <w:color w:val="auto"/>
          <w:spacing w:val="-2"/>
          <w:sz w:val="21"/>
          <w:szCs w:val="21"/>
          <w:highlight w:val="none"/>
        </w:rPr>
        <w:t>标投标活动不符合法律、行政法规规定的，可以自知道</w:t>
      </w:r>
      <w:r>
        <w:rPr>
          <w:rFonts w:hint="eastAsia" w:ascii="宋体" w:hAnsi="宋体" w:eastAsia="宋体" w:cs="宋体"/>
          <w:color w:val="auto"/>
          <w:sz w:val="21"/>
          <w:szCs w:val="21"/>
          <w:highlight w:val="none"/>
        </w:rPr>
        <w:t>或者应当知道之日起 10 日内通过网上投诉系统或以</w:t>
      </w:r>
      <w:r>
        <w:rPr>
          <w:rFonts w:hint="eastAsia" w:ascii="宋体" w:hAnsi="宋体" w:eastAsia="宋体" w:cs="宋体"/>
          <w:color w:val="auto"/>
          <w:spacing w:val="-1"/>
          <w:sz w:val="21"/>
          <w:szCs w:val="21"/>
          <w:highlight w:val="none"/>
        </w:rPr>
        <w:t>其他书面形式向投标人须知前附表规定的招标</w:t>
      </w:r>
      <w:r>
        <w:rPr>
          <w:rFonts w:hint="eastAsia" w:ascii="宋体" w:hAnsi="宋体" w:eastAsia="宋体" w:cs="宋体"/>
          <w:color w:val="auto"/>
          <w:sz w:val="21"/>
          <w:szCs w:val="21"/>
          <w:highlight w:val="none"/>
        </w:rPr>
        <w:t xml:space="preserve"> 投标行政监督部门投诉。投诉应当有明确的请求和必要的</w:t>
      </w:r>
      <w:r>
        <w:rPr>
          <w:rFonts w:hint="eastAsia" w:ascii="宋体" w:hAnsi="宋体" w:eastAsia="宋体" w:cs="宋体"/>
          <w:color w:val="auto"/>
          <w:spacing w:val="-1"/>
          <w:sz w:val="21"/>
          <w:szCs w:val="21"/>
          <w:highlight w:val="none"/>
        </w:rPr>
        <w:t>证明材料。</w:t>
      </w:r>
    </w:p>
    <w:p w14:paraId="2B5EBE35">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9.5.2  投标人或者其他利害关系人对</w:t>
      </w:r>
      <w:r>
        <w:rPr>
          <w:rFonts w:hint="eastAsia" w:ascii="宋体" w:hAnsi="宋体" w:eastAsia="宋体" w:cs="宋体"/>
          <w:color w:val="auto"/>
          <w:spacing w:val="-2"/>
          <w:sz w:val="21"/>
          <w:szCs w:val="21"/>
          <w:highlight w:val="none"/>
        </w:rPr>
        <w:t>招标文件、开标和评标结果提出投诉的，应当按照投标人须</w:t>
      </w:r>
      <w:r>
        <w:rPr>
          <w:rFonts w:hint="eastAsia" w:ascii="宋体" w:hAnsi="宋体" w:eastAsia="宋体" w:cs="宋体"/>
          <w:color w:val="auto"/>
          <w:spacing w:val="-1"/>
          <w:sz w:val="21"/>
          <w:szCs w:val="21"/>
          <w:highlight w:val="none"/>
        </w:rPr>
        <w:t>知第</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
          <w:sz w:val="21"/>
          <w:szCs w:val="21"/>
          <w:highlight w:val="none"/>
        </w:rPr>
        <w:t>2.4</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款、第</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
          <w:sz w:val="21"/>
          <w:szCs w:val="21"/>
          <w:highlight w:val="none"/>
        </w:rPr>
        <w:t>5.3</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1"/>
          <w:sz w:val="21"/>
          <w:szCs w:val="21"/>
          <w:highlight w:val="none"/>
        </w:rPr>
        <w:t>款和第</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7.2</w:t>
      </w:r>
      <w:r>
        <w:rPr>
          <w:rFonts w:hint="eastAsia" w:ascii="宋体" w:hAnsi="宋体" w:eastAsia="宋体" w:cs="宋体"/>
          <w:color w:val="auto"/>
          <w:spacing w:val="21"/>
          <w:w w:val="101"/>
          <w:sz w:val="21"/>
          <w:szCs w:val="21"/>
          <w:highlight w:val="none"/>
        </w:rPr>
        <w:t xml:space="preserve"> </w:t>
      </w:r>
      <w:r>
        <w:rPr>
          <w:rFonts w:hint="eastAsia" w:ascii="宋体" w:hAnsi="宋体" w:eastAsia="宋体" w:cs="宋体"/>
          <w:color w:val="auto"/>
          <w:spacing w:val="-1"/>
          <w:sz w:val="21"/>
          <w:szCs w:val="21"/>
          <w:highlight w:val="none"/>
        </w:rPr>
        <w:t>款的</w:t>
      </w:r>
      <w:r>
        <w:rPr>
          <w:rFonts w:hint="eastAsia" w:ascii="宋体" w:hAnsi="宋体" w:eastAsia="宋体" w:cs="宋体"/>
          <w:color w:val="auto"/>
          <w:spacing w:val="-2"/>
          <w:sz w:val="21"/>
          <w:szCs w:val="21"/>
          <w:highlight w:val="none"/>
        </w:rPr>
        <w:t>规定先向招标人提出异议。异议答复期间不计算在第</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2"/>
          <w:sz w:val="21"/>
          <w:szCs w:val="21"/>
          <w:highlight w:val="none"/>
        </w:rPr>
        <w:t>9.5.1项规定的期限内。</w:t>
      </w:r>
    </w:p>
    <w:p w14:paraId="1C4FE526">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9.5.3 当事人对招标投标行政监督部门的投诉处理决定不</w:t>
      </w:r>
      <w:r>
        <w:rPr>
          <w:rFonts w:hint="eastAsia" w:ascii="宋体" w:hAnsi="宋体" w:eastAsia="宋体" w:cs="宋体"/>
          <w:color w:val="auto"/>
          <w:spacing w:val="-1"/>
          <w:sz w:val="21"/>
          <w:szCs w:val="21"/>
          <w:highlight w:val="none"/>
        </w:rPr>
        <w:t>服或者招标投标行政监督部门逾期未作</w:t>
      </w:r>
      <w:r>
        <w:rPr>
          <w:rFonts w:hint="eastAsia" w:ascii="宋体" w:hAnsi="宋体" w:eastAsia="宋体" w:cs="宋体"/>
          <w:color w:val="auto"/>
          <w:sz w:val="21"/>
          <w:szCs w:val="21"/>
          <w:highlight w:val="none"/>
        </w:rPr>
        <w:t>处理的，可以依法向行政复议机关申请行政复议或者向项目所在地人民法院</w:t>
      </w:r>
      <w:r>
        <w:rPr>
          <w:rFonts w:hint="eastAsia" w:ascii="宋体" w:hAnsi="宋体" w:eastAsia="宋体" w:cs="宋体"/>
          <w:color w:val="auto"/>
          <w:spacing w:val="-1"/>
          <w:sz w:val="21"/>
          <w:szCs w:val="21"/>
          <w:highlight w:val="none"/>
        </w:rPr>
        <w:t>提起行政诉讼。</w:t>
      </w:r>
    </w:p>
    <w:p w14:paraId="0FCA804B">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color w:val="auto"/>
          <w:kern w:val="2"/>
          <w:sz w:val="32"/>
          <w:highlight w:val="none"/>
          <w:lang w:eastAsia="zh-CN"/>
        </w:rPr>
      </w:pPr>
      <w:bookmarkStart w:id="193" w:name="_Toc25005"/>
      <w:r>
        <w:rPr>
          <w:rFonts w:hint="eastAsia" w:ascii="黑体" w:hAnsi="黑体" w:eastAsia="黑体" w:cs="黑体"/>
          <w:b/>
          <w:bCs w:val="0"/>
          <w:snapToGrid/>
          <w:color w:val="auto"/>
          <w:kern w:val="2"/>
          <w:sz w:val="32"/>
          <w:highlight w:val="none"/>
          <w:lang w:eastAsia="zh-CN"/>
        </w:rPr>
        <w:t>10．需要补充的其他内容</w:t>
      </w:r>
      <w:bookmarkEnd w:id="193"/>
    </w:p>
    <w:p w14:paraId="559EECC3">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需要补充的其他内容：见投标人须知前附表。</w:t>
      </w:r>
    </w:p>
    <w:p w14:paraId="6DC03AFF">
      <w:pPr>
        <w:outlineLvl w:val="9"/>
        <w:rPr>
          <w:rFonts w:hint="eastAsia" w:ascii="宋体" w:hAnsi="宋体" w:eastAsia="宋体" w:cs="宋体"/>
          <w:b/>
          <w:bCs/>
          <w:color w:val="auto"/>
          <w:spacing w:val="-6"/>
          <w:sz w:val="28"/>
          <w:szCs w:val="28"/>
          <w:highlight w:val="none"/>
        </w:rPr>
      </w:pPr>
      <w:r>
        <w:rPr>
          <w:rFonts w:hint="eastAsia" w:ascii="宋体" w:hAnsi="宋体" w:eastAsia="宋体" w:cs="宋体"/>
          <w:b/>
          <w:bCs/>
          <w:color w:val="auto"/>
          <w:spacing w:val="-6"/>
          <w:sz w:val="28"/>
          <w:szCs w:val="28"/>
          <w:highlight w:val="none"/>
        </w:rPr>
        <w:br w:type="page"/>
      </w:r>
    </w:p>
    <w:p w14:paraId="3DA991B7">
      <w:pPr>
        <w:spacing w:before="147" w:line="219" w:lineRule="auto"/>
        <w:outlineLvl w:val="9"/>
        <w:rPr>
          <w:rFonts w:ascii="宋体" w:hAnsi="宋体" w:eastAsia="宋体" w:cs="宋体"/>
          <w:color w:val="auto"/>
          <w:sz w:val="28"/>
          <w:szCs w:val="28"/>
          <w:highlight w:val="none"/>
        </w:rPr>
      </w:pPr>
      <w:bookmarkStart w:id="194" w:name="_Toc25579"/>
      <w:r>
        <w:rPr>
          <w:rFonts w:ascii="宋体" w:hAnsi="宋体" w:eastAsia="宋体" w:cs="宋体"/>
          <w:b/>
          <w:bCs/>
          <w:color w:val="auto"/>
          <w:spacing w:val="-6"/>
          <w:sz w:val="28"/>
          <w:szCs w:val="28"/>
          <w:highlight w:val="none"/>
        </w:rPr>
        <w:t>附件一：电子招标投标操作要求</w:t>
      </w:r>
      <w:bookmarkEnd w:id="194"/>
    </w:p>
    <w:p w14:paraId="73698A32">
      <w:pPr>
        <w:spacing w:line="468" w:lineRule="auto"/>
        <w:outlineLvl w:val="9"/>
        <w:rPr>
          <w:rFonts w:ascii="Arial"/>
          <w:color w:val="auto"/>
          <w:sz w:val="21"/>
          <w:highlight w:val="none"/>
        </w:rPr>
      </w:pPr>
    </w:p>
    <w:p w14:paraId="7759469D">
      <w:pPr>
        <w:spacing w:before="147" w:line="219" w:lineRule="auto"/>
        <w:jc w:val="center"/>
        <w:outlineLvl w:val="9"/>
        <w:rPr>
          <w:rFonts w:hint="eastAsia" w:ascii="宋体" w:hAnsi="宋体" w:eastAsia="宋体" w:cs="宋体"/>
          <w:b/>
          <w:bCs/>
          <w:color w:val="auto"/>
          <w:spacing w:val="-6"/>
          <w:sz w:val="28"/>
          <w:szCs w:val="28"/>
          <w:highlight w:val="none"/>
          <w:lang w:eastAsia="zh-CN"/>
        </w:rPr>
      </w:pPr>
      <w:bookmarkStart w:id="195" w:name="_Toc9545"/>
      <w:bookmarkStart w:id="196" w:name="_Toc14629"/>
      <w:r>
        <w:rPr>
          <w:rFonts w:hint="eastAsia" w:ascii="宋体" w:hAnsi="宋体" w:eastAsia="宋体" w:cs="宋体"/>
          <w:b/>
          <w:bCs/>
          <w:color w:val="auto"/>
          <w:spacing w:val="-6"/>
          <w:sz w:val="28"/>
          <w:szCs w:val="28"/>
          <w:highlight w:val="none"/>
          <w:lang w:eastAsia="zh-CN"/>
        </w:rPr>
        <w:t>合肥市公共资源交易电子招标投标操作规程</w:t>
      </w:r>
      <w:bookmarkEnd w:id="195"/>
      <w:bookmarkEnd w:id="196"/>
    </w:p>
    <w:p w14:paraId="63A584FD">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第一条  为进一步规范招标投标行为，提高招标投标效率，充分利用信息网络技术，根据《中华人民共和国招标投标法》《中华人民共和国政府采购法》《中华人民共和国电子签名法》《合肥市公共资源交易管理条例》和《电子招标投标办法》（八部委20号令）等有关规定，结合工作实际，制定本规程。</w:t>
      </w:r>
    </w:p>
    <w:p w14:paraId="7B95747C">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第二条  本规程适用于进入安徽合肥公共资源交易平台交易的项目。行业主管部门另有规定的，从其规定。</w:t>
      </w:r>
    </w:p>
    <w:p w14:paraId="59AACF8A">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第三条  本规程所称的电子招标投标，是指以数据电文形式，依托电子交易系统和电子服务系统完成的全部或者部分招标投标交易活动。</w:t>
      </w:r>
    </w:p>
    <w:p w14:paraId="0531BDAF">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第四条  电子交易系统是招标投标当事人通过数据电文形式完成招标投标交易活动的系统。</w:t>
      </w:r>
    </w:p>
    <w:p w14:paraId="5E4DD322">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电子交易系统要具备在线完成招标投标全部交易过程，编辑、生成、对接、交换和发布有关招标投标数据信息的功能，并为行政监督部门依法实施监督和受理投诉提供所需的信息通道。</w:t>
      </w:r>
    </w:p>
    <w:p w14:paraId="7F1E0460">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第五条  电子服务系统是满足与各电子交易系统之间电子招标投标信息对接交换、资源共享需要，并为市场主体、行政监督部门和社会公众提供信息交换、整合和发布的系统。</w:t>
      </w:r>
    </w:p>
    <w:p w14:paraId="4EAC5FF5">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电子服务系统要具备与各电子交易系统之间招标投标相关信息对接、交换、发布、资格信誉和业绩公开、行业统计分析、连接评标专家库、提供行政监督通道等服务功能。</w:t>
      </w:r>
    </w:p>
    <w:p w14:paraId="5DAC2F7F">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第六条  招标人或招标代理机构负责电子招标投标的组织实施，电子交易系统建设单位负责电子交易系统的服务保障，电子服务系统建设单位负责电子服务系统的服务保障。</w:t>
      </w:r>
    </w:p>
    <w:p w14:paraId="1E4EE6C3">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第七条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14:paraId="6E76350E">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投标人应妥善保管数字证书，由于数字证书遗失、损坏、更换、续期等情况导致投标文件无法上传或解密，由投标人自行承担责任。</w:t>
      </w:r>
    </w:p>
    <w:p w14:paraId="61469A0F">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 xml:space="preserve">第八条  招标人或招标代理机构应在招标公告和招标文件中明确招标项目采取电子招标投标方式，并按相关流程通过电子交易系统制作招标文件。 </w:t>
      </w:r>
    </w:p>
    <w:p w14:paraId="71DE8938">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第九条  招标公告、招标文件应由招标人或招标代理机构通过电子服务系统在安徽合肥公共资源交易中心网站发布，其中招标文件须加盖电子签章。</w:t>
      </w:r>
    </w:p>
    <w:p w14:paraId="0DC13B9C">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第十条  投标人登录安徽合肥公共资源交易中心电子服务系统获取招标文件。</w:t>
      </w:r>
    </w:p>
    <w:p w14:paraId="5D35D396">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第十一条  澄清、修改文件应由招标人或招标代理机构通过电子服务系统在安徽合肥公共资源交易中心网站发布，投标人应及时查阅相关澄清、修改信息。</w:t>
      </w:r>
    </w:p>
    <w:p w14:paraId="65E96BFF">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第十二条  投标人应使用电子标书制作软件制作投标文件，电子标书制作软件应允许投标人离线制作投标文件，并且具备分段或整体加密、解密功能。</w:t>
      </w:r>
    </w:p>
    <w:p w14:paraId="5BB28FB2">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第十三条  投标人必须对投标文件进行电子签章并使用数字证书加密，并于招标文件规定的投标截止时间前通过电子交易系统完成上传。</w:t>
      </w:r>
    </w:p>
    <w:p w14:paraId="5D62EF38">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投标人对加密的投标文件进行撤回的，应通过电子交易系统在投标截止时间前进行撤回操作；投标人对加密的投标文件进行修改的，应在投标截止时间前完成上传。</w:t>
      </w:r>
    </w:p>
    <w:p w14:paraId="38FAF2BB">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第十四条  投标截止时间以电子交易系统显示的时间为准，逾期系统将自动关闭, 未完成上传的投标文件将被拒绝。</w:t>
      </w:r>
    </w:p>
    <w:p w14:paraId="111DDDD2">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第十五条  投标人在投标截止时间后按招标文件规定的解密时间完成投标文件解密，加密和解密须用同一数字证书。投标人未在招标文件规定的时间内完成解密的视为其放弃投标。</w:t>
      </w:r>
    </w:p>
    <w:p w14:paraId="797E8D96">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招标人或招标代理机构完成解密，导入并读取所有成功解密的投标文件，电子交易系统应自动记录开标过程。</w:t>
      </w:r>
    </w:p>
    <w:p w14:paraId="248D6702">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招标文件约定须到达指定地点或线上进行演示、答辩、磋商、谈判等情形的，投标人应按照招标文件规定的时间到达指定地点或登录电子交易系统保持在线。</w:t>
      </w:r>
    </w:p>
    <w:p w14:paraId="100C515F">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第十六条  未能成功解密的投标文件，如招标文件中允许使用电子光盘或U盘作为投标文件解密失败的补救方案，并且投标人在投标截止时间之前到达开标现场并成功递交，招标人或招标代理机构可导入电子光盘或U盘中非加密投标文件继续开标。若系统识别出电子光盘或U盘中未加密的投标文件和网上递交的加密投标文件识别码不一致，电子交易系统应拒绝导入。</w:t>
      </w:r>
    </w:p>
    <w:p w14:paraId="47B14A03">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第十七条  招标人或招标代理机构组织评标，评标委员会依据招标文件规定的评标办法进行电子评标，并对评标结果签字或电子签名确认。</w:t>
      </w:r>
    </w:p>
    <w:p w14:paraId="67E85633">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多次报价应按招标文件的要求提交。</w:t>
      </w:r>
    </w:p>
    <w:p w14:paraId="4F5FBF87">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第十八条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14:paraId="69CF70ED">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第十九条  评标委员会完成评标后，应通过电子交易系统提交评标报告。招标人或招标代理机构将评标报告及时交互至电子服务系统。</w:t>
      </w:r>
    </w:p>
    <w:p w14:paraId="2BEE361B">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第二十条  招标人或招标代理机构应通过电子服务系统在安徽合肥公共资源交易中心网站公示和公布中标候选人及中标结果。</w:t>
      </w:r>
    </w:p>
    <w:p w14:paraId="5E118920">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第二十一条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14:paraId="5C0273F7">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 xml:space="preserve">第二十二条  招标人确定中标人后，应通过电子交易系统向中标人发出中标通知书，中标通知书发出即视为送达。 </w:t>
      </w:r>
    </w:p>
    <w:p w14:paraId="04943B23">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第二十三条  出现下列情形导致电子服务系统或电子交易系统无法正常运行，影响招标投标过程的公平、公正和信息安全，经第三方机构认定后，各方当事人免责：</w:t>
      </w:r>
    </w:p>
    <w:p w14:paraId="506CD502">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bookmarkStart w:id="197" w:name="_Toc12908"/>
      <w:bookmarkStart w:id="198" w:name="_Toc10788"/>
      <w:r>
        <w:rPr>
          <w:rFonts w:hint="eastAsia" w:ascii="宋体" w:hAnsi="宋体" w:eastAsia="宋体" w:cs="宋体"/>
          <w:snapToGrid w:val="0"/>
          <w:color w:val="auto"/>
          <w:kern w:val="2"/>
          <w:sz w:val="21"/>
          <w:szCs w:val="21"/>
          <w:highlight w:val="none"/>
          <w:lang w:val="en-US" w:eastAsia="zh-CN" w:bidi="ar"/>
        </w:rPr>
        <w:t>（一）网络、服务器、数据库发生故障造成无法访问或使用的；</w:t>
      </w:r>
      <w:bookmarkEnd w:id="197"/>
      <w:bookmarkEnd w:id="198"/>
    </w:p>
    <w:p w14:paraId="554E65DD">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（二）电力系统发生故障导致电子服务系统或电子交易系统无法运行的；</w:t>
      </w:r>
    </w:p>
    <w:p w14:paraId="6821970C">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（三）出现网络攻击、病毒入侵以及电子服务系统或电子交易系统安全漏洞导致无法正常提供服务的；</w:t>
      </w:r>
    </w:p>
    <w:p w14:paraId="16799955">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bookmarkStart w:id="199" w:name="_Toc13984"/>
      <w:bookmarkStart w:id="200" w:name="_Toc21695"/>
      <w:r>
        <w:rPr>
          <w:rFonts w:hint="eastAsia" w:ascii="宋体" w:hAnsi="宋体" w:eastAsia="宋体" w:cs="宋体"/>
          <w:snapToGrid w:val="0"/>
          <w:color w:val="auto"/>
          <w:kern w:val="2"/>
          <w:sz w:val="21"/>
          <w:szCs w:val="21"/>
          <w:highlight w:val="none"/>
          <w:lang w:val="en-US" w:eastAsia="zh-CN" w:bidi="ar"/>
        </w:rPr>
        <w:t>（四）其他无法保证招标投标过程公平、公正和信息安全的情形。</w:t>
      </w:r>
      <w:bookmarkEnd w:id="199"/>
      <w:bookmarkEnd w:id="200"/>
    </w:p>
    <w:p w14:paraId="399B7BD8">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第二十四条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14:paraId="286E2D64">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w:t>
      </w:r>
    </w:p>
    <w:p w14:paraId="5D622590">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二）项目恢复，导致项目中止的情形消除后，招标人或招标代理机构应当尽快恢复招投标程序，向投标人发出恢复交易通知，并在安徽合肥公共资源交易中心网站进行公布；已发出延长中止期限通知的，按通知执行。</w:t>
      </w:r>
    </w:p>
    <w:p w14:paraId="653FD253">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第二十五条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w:t>
      </w:r>
    </w:p>
    <w:p w14:paraId="4E22A8E0">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color w:val="auto"/>
          <w:szCs w:val="21"/>
          <w:highlight w:val="none"/>
          <w:lang w:val="en-US"/>
        </w:rPr>
      </w:pPr>
      <w:r>
        <w:rPr>
          <w:rFonts w:hint="eastAsia" w:ascii="宋体" w:hAnsi="宋体" w:eastAsia="宋体" w:cs="宋体"/>
          <w:snapToGrid w:val="0"/>
          <w:color w:val="auto"/>
          <w:kern w:val="2"/>
          <w:sz w:val="21"/>
          <w:szCs w:val="21"/>
          <w:highlight w:val="none"/>
          <w:lang w:val="en-US" w:eastAsia="zh-CN" w:bidi="ar"/>
        </w:rPr>
        <w:t>第二十六条  本规程由合肥市公共资源交易监督管理局负责解释。</w:t>
      </w:r>
    </w:p>
    <w:p w14:paraId="29C6FA40">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仿宋_GB2312" w:eastAsia="仿宋_GB2312" w:cs="仿宋_GB2312"/>
          <w:color w:val="auto"/>
          <w:sz w:val="24"/>
          <w:szCs w:val="24"/>
          <w:highlight w:val="none"/>
          <w:lang w:val="en-US"/>
        </w:rPr>
      </w:pPr>
      <w:r>
        <w:rPr>
          <w:rFonts w:hint="eastAsia" w:ascii="宋体" w:hAnsi="宋体" w:eastAsia="宋体" w:cs="宋体"/>
          <w:snapToGrid w:val="0"/>
          <w:color w:val="auto"/>
          <w:kern w:val="2"/>
          <w:sz w:val="21"/>
          <w:szCs w:val="21"/>
          <w:highlight w:val="none"/>
          <w:lang w:val="en-US" w:eastAsia="zh-CN" w:bidi="ar"/>
        </w:rPr>
        <w:t>第二十七条  本规程自发布之日起施行，有效期2年。原《合肥市公共资源交易电子招标投标操作规程》（合公法〔2020〕16号）同时废止。</w:t>
      </w:r>
    </w:p>
    <w:p w14:paraId="75D66549">
      <w:pPr>
        <w:spacing w:line="296" w:lineRule="auto"/>
        <w:outlineLvl w:val="9"/>
        <w:rPr>
          <w:rFonts w:ascii="Arial"/>
          <w:color w:val="auto"/>
          <w:sz w:val="21"/>
          <w:highlight w:val="none"/>
        </w:rPr>
      </w:pPr>
    </w:p>
    <w:p w14:paraId="3D96DB35">
      <w:pPr>
        <w:outlineLvl w:val="9"/>
        <w:rPr>
          <w:rFonts w:ascii="宋体" w:hAnsi="宋体" w:eastAsia="宋体" w:cs="宋体"/>
          <w:b/>
          <w:bCs/>
          <w:color w:val="auto"/>
          <w:spacing w:val="-7"/>
          <w:sz w:val="43"/>
          <w:szCs w:val="43"/>
          <w:highlight w:val="none"/>
        </w:rPr>
      </w:pPr>
      <w:bookmarkStart w:id="201" w:name="bookmark219"/>
      <w:bookmarkEnd w:id="201"/>
      <w:r>
        <w:rPr>
          <w:rFonts w:ascii="宋体" w:hAnsi="宋体" w:eastAsia="宋体" w:cs="宋体"/>
          <w:b/>
          <w:bCs/>
          <w:color w:val="auto"/>
          <w:spacing w:val="-7"/>
          <w:sz w:val="43"/>
          <w:szCs w:val="43"/>
          <w:highlight w:val="none"/>
        </w:rPr>
        <w:br w:type="page"/>
      </w:r>
    </w:p>
    <w:p w14:paraId="08794CC4">
      <w:pPr>
        <w:spacing w:before="87" w:line="222" w:lineRule="auto"/>
        <w:ind w:left="84"/>
        <w:outlineLvl w:val="0"/>
        <w:rPr>
          <w:rFonts w:ascii="宋体" w:hAnsi="宋体" w:eastAsia="宋体" w:cs="宋体"/>
          <w:color w:val="auto"/>
          <w:sz w:val="43"/>
          <w:szCs w:val="43"/>
          <w:highlight w:val="none"/>
        </w:rPr>
      </w:pPr>
      <w:bookmarkStart w:id="202" w:name="_Toc13366"/>
      <w:r>
        <w:rPr>
          <w:rFonts w:ascii="宋体" w:hAnsi="宋体" w:eastAsia="宋体" w:cs="宋体"/>
          <w:b/>
          <w:bCs/>
          <w:color w:val="auto"/>
          <w:spacing w:val="-6"/>
          <w:sz w:val="43"/>
          <w:szCs w:val="43"/>
          <w:highlight w:val="none"/>
        </w:rPr>
        <w:t>第三章</w:t>
      </w:r>
      <w:r>
        <w:rPr>
          <w:rFonts w:ascii="宋体" w:hAnsi="宋体" w:eastAsia="宋体" w:cs="宋体"/>
          <w:color w:val="auto"/>
          <w:spacing w:val="-6"/>
          <w:sz w:val="43"/>
          <w:szCs w:val="43"/>
          <w:highlight w:val="none"/>
        </w:rPr>
        <w:t xml:space="preserve">  </w:t>
      </w:r>
      <w:r>
        <w:rPr>
          <w:rFonts w:ascii="宋体" w:hAnsi="宋体" w:eastAsia="宋体" w:cs="宋体"/>
          <w:b/>
          <w:bCs/>
          <w:color w:val="auto"/>
          <w:spacing w:val="-6"/>
          <w:sz w:val="43"/>
          <w:szCs w:val="43"/>
          <w:highlight w:val="none"/>
        </w:rPr>
        <w:t>评标办法（综合评估法（合理低价</w:t>
      </w:r>
      <w:r>
        <w:rPr>
          <w:rFonts w:ascii="宋体" w:hAnsi="宋体" w:eastAsia="宋体" w:cs="宋体"/>
          <w:b/>
          <w:bCs/>
          <w:color w:val="auto"/>
          <w:spacing w:val="-1"/>
          <w:sz w:val="43"/>
          <w:szCs w:val="43"/>
          <w:highlight w:val="none"/>
        </w:rPr>
        <w:t>））</w:t>
      </w:r>
      <w:bookmarkEnd w:id="202"/>
    </w:p>
    <w:p w14:paraId="01C21AC5">
      <w:pPr>
        <w:spacing w:before="39" w:line="213" w:lineRule="auto"/>
        <w:ind w:left="3346"/>
        <w:outlineLvl w:val="9"/>
        <w:rPr>
          <w:rFonts w:ascii="宋体" w:hAnsi="宋体" w:eastAsia="宋体" w:cs="宋体"/>
          <w:color w:val="auto"/>
          <w:sz w:val="36"/>
          <w:szCs w:val="36"/>
          <w:highlight w:val="none"/>
        </w:rPr>
      </w:pPr>
      <w:r>
        <w:rPr>
          <w:rFonts w:ascii="宋体" w:hAnsi="宋体" w:eastAsia="宋体" w:cs="宋体"/>
          <w:color w:val="auto"/>
          <w:spacing w:val="-2"/>
          <w:sz w:val="36"/>
          <w:szCs w:val="36"/>
          <w:highlight w:val="none"/>
        </w:rPr>
        <w:t>评标办法前附表</w:t>
      </w:r>
    </w:p>
    <w:tbl>
      <w:tblPr>
        <w:tblStyle w:val="2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144"/>
        <w:gridCol w:w="5015"/>
      </w:tblGrid>
      <w:tr w14:paraId="657FA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27" w:type="dxa"/>
            <w:gridSpan w:val="2"/>
            <w:vAlign w:val="top"/>
          </w:tcPr>
          <w:p w14:paraId="5F7382E8">
            <w:pPr>
              <w:pStyle w:val="27"/>
              <w:spacing w:before="175" w:line="221" w:lineRule="auto"/>
              <w:ind w:left="703"/>
              <w:outlineLvl w:val="9"/>
              <w:rPr>
                <w:color w:val="auto"/>
                <w:highlight w:val="none"/>
              </w:rPr>
            </w:pPr>
            <w:r>
              <w:rPr>
                <w:b/>
                <w:bCs/>
                <w:color w:val="auto"/>
                <w:spacing w:val="-4"/>
                <w:highlight w:val="none"/>
              </w:rPr>
              <w:t>条款号</w:t>
            </w:r>
          </w:p>
        </w:tc>
        <w:tc>
          <w:tcPr>
            <w:tcW w:w="2144" w:type="dxa"/>
            <w:vAlign w:val="top"/>
          </w:tcPr>
          <w:p w14:paraId="36A28515">
            <w:pPr>
              <w:pStyle w:val="27"/>
              <w:spacing w:before="175" w:line="221" w:lineRule="auto"/>
              <w:ind w:left="819"/>
              <w:outlineLvl w:val="9"/>
              <w:rPr>
                <w:color w:val="auto"/>
                <w:highlight w:val="none"/>
              </w:rPr>
            </w:pPr>
            <w:r>
              <w:rPr>
                <w:b/>
                <w:bCs/>
                <w:color w:val="auto"/>
                <w:spacing w:val="-3"/>
                <w:highlight w:val="none"/>
              </w:rPr>
              <w:t>评审因素</w:t>
            </w:r>
          </w:p>
        </w:tc>
        <w:tc>
          <w:tcPr>
            <w:tcW w:w="5015" w:type="dxa"/>
            <w:vAlign w:val="top"/>
          </w:tcPr>
          <w:p w14:paraId="32875B8A">
            <w:pPr>
              <w:pStyle w:val="27"/>
              <w:spacing w:before="176" w:line="221" w:lineRule="auto"/>
              <w:ind w:left="1922"/>
              <w:outlineLvl w:val="9"/>
              <w:rPr>
                <w:color w:val="auto"/>
                <w:highlight w:val="none"/>
              </w:rPr>
            </w:pPr>
            <w:r>
              <w:rPr>
                <w:b/>
                <w:bCs/>
                <w:color w:val="auto"/>
                <w:spacing w:val="-3"/>
                <w:highlight w:val="none"/>
              </w:rPr>
              <w:t>评审标准</w:t>
            </w:r>
          </w:p>
        </w:tc>
      </w:tr>
      <w:tr w14:paraId="49CC4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904" w:type="dxa"/>
            <w:vMerge w:val="restart"/>
            <w:tcBorders>
              <w:bottom w:val="nil"/>
            </w:tcBorders>
            <w:vAlign w:val="top"/>
          </w:tcPr>
          <w:p w14:paraId="01D939F1">
            <w:pPr>
              <w:spacing w:line="274" w:lineRule="auto"/>
              <w:outlineLvl w:val="9"/>
              <w:rPr>
                <w:rFonts w:ascii="Arial"/>
                <w:color w:val="auto"/>
                <w:sz w:val="21"/>
                <w:highlight w:val="none"/>
              </w:rPr>
            </w:pPr>
          </w:p>
          <w:p w14:paraId="2970F793">
            <w:pPr>
              <w:spacing w:line="274" w:lineRule="auto"/>
              <w:outlineLvl w:val="9"/>
              <w:rPr>
                <w:rFonts w:ascii="Arial"/>
                <w:color w:val="auto"/>
                <w:sz w:val="21"/>
                <w:highlight w:val="none"/>
              </w:rPr>
            </w:pPr>
          </w:p>
          <w:p w14:paraId="72CB7BFE">
            <w:pPr>
              <w:spacing w:line="275" w:lineRule="auto"/>
              <w:outlineLvl w:val="9"/>
              <w:rPr>
                <w:rFonts w:ascii="Arial"/>
                <w:color w:val="auto"/>
                <w:sz w:val="21"/>
                <w:highlight w:val="none"/>
              </w:rPr>
            </w:pPr>
          </w:p>
          <w:p w14:paraId="2FB7EFA7">
            <w:pPr>
              <w:pStyle w:val="27"/>
              <w:spacing w:before="68" w:line="183" w:lineRule="auto"/>
              <w:ind w:left="419"/>
              <w:outlineLvl w:val="9"/>
              <w:rPr>
                <w:color w:val="auto"/>
                <w:highlight w:val="none"/>
              </w:rPr>
            </w:pPr>
            <w:r>
              <w:rPr>
                <w:color w:val="auto"/>
                <w:highlight w:val="none"/>
              </w:rPr>
              <w:t>1</w:t>
            </w:r>
          </w:p>
        </w:tc>
        <w:tc>
          <w:tcPr>
            <w:tcW w:w="1123" w:type="dxa"/>
            <w:vMerge w:val="restart"/>
            <w:tcBorders>
              <w:bottom w:val="nil"/>
            </w:tcBorders>
            <w:vAlign w:val="top"/>
          </w:tcPr>
          <w:p w14:paraId="4420894F">
            <w:pPr>
              <w:spacing w:line="263" w:lineRule="auto"/>
              <w:outlineLvl w:val="9"/>
              <w:rPr>
                <w:rFonts w:ascii="Arial"/>
                <w:color w:val="auto"/>
                <w:sz w:val="21"/>
                <w:highlight w:val="none"/>
              </w:rPr>
            </w:pPr>
          </w:p>
          <w:p w14:paraId="6AE30FA0">
            <w:pPr>
              <w:spacing w:line="263" w:lineRule="auto"/>
              <w:outlineLvl w:val="9"/>
              <w:rPr>
                <w:rFonts w:ascii="Arial"/>
                <w:color w:val="auto"/>
                <w:sz w:val="21"/>
                <w:highlight w:val="none"/>
              </w:rPr>
            </w:pPr>
          </w:p>
          <w:p w14:paraId="630D4F1C">
            <w:pPr>
              <w:spacing w:line="263" w:lineRule="auto"/>
              <w:outlineLvl w:val="9"/>
              <w:rPr>
                <w:rFonts w:ascii="Arial"/>
                <w:color w:val="auto"/>
                <w:sz w:val="21"/>
                <w:highlight w:val="none"/>
              </w:rPr>
            </w:pPr>
          </w:p>
          <w:p w14:paraId="3433C5BA">
            <w:pPr>
              <w:pStyle w:val="27"/>
              <w:spacing w:before="68" w:line="221" w:lineRule="auto"/>
              <w:ind w:left="144"/>
              <w:outlineLvl w:val="9"/>
              <w:rPr>
                <w:color w:val="auto"/>
                <w:highlight w:val="none"/>
              </w:rPr>
            </w:pPr>
            <w:r>
              <w:rPr>
                <w:color w:val="auto"/>
                <w:spacing w:val="-1"/>
                <w:highlight w:val="none"/>
              </w:rPr>
              <w:t>评标方法</w:t>
            </w:r>
          </w:p>
        </w:tc>
        <w:tc>
          <w:tcPr>
            <w:tcW w:w="2144" w:type="dxa"/>
            <w:vAlign w:val="top"/>
          </w:tcPr>
          <w:p w14:paraId="0142EA9D">
            <w:pPr>
              <w:pStyle w:val="27"/>
              <w:spacing w:before="121" w:line="265" w:lineRule="auto"/>
              <w:ind w:left="118" w:right="167"/>
              <w:jc w:val="center"/>
              <w:outlineLvl w:val="9"/>
              <w:rPr>
                <w:color w:val="auto"/>
                <w:sz w:val="21"/>
                <w:szCs w:val="21"/>
                <w:highlight w:val="none"/>
              </w:rPr>
            </w:pPr>
            <w:r>
              <w:rPr>
                <w:color w:val="auto"/>
                <w:spacing w:val="-2"/>
                <w:sz w:val="21"/>
                <w:szCs w:val="21"/>
                <w:highlight w:val="none"/>
              </w:rPr>
              <w:t>（1）得分相等时确定评审顺序的方法</w:t>
            </w:r>
          </w:p>
        </w:tc>
        <w:tc>
          <w:tcPr>
            <w:tcW w:w="5015" w:type="dxa"/>
            <w:vAlign w:val="top"/>
          </w:tcPr>
          <w:p w14:paraId="41A67D8B">
            <w:pPr>
              <w:pStyle w:val="27"/>
              <w:spacing w:before="72" w:line="219" w:lineRule="auto"/>
              <w:outlineLvl w:val="9"/>
              <w:rPr>
                <w:color w:val="auto"/>
                <w:spacing w:val="-1"/>
                <w:highlight w:val="none"/>
              </w:rPr>
            </w:pPr>
            <w:r>
              <w:rPr>
                <w:rFonts w:hint="eastAsia"/>
                <w:color w:val="auto"/>
                <w:spacing w:val="-1"/>
                <w:highlight w:val="none"/>
                <w:lang w:val="en-US" w:eastAsia="zh-CN"/>
              </w:rPr>
              <w:t>由评标委员会根据投标文件投票，按照少数服从多数的原则确定中标候选人顺序。</w:t>
            </w:r>
          </w:p>
        </w:tc>
      </w:tr>
      <w:tr w14:paraId="12586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14:paraId="6253DF3F">
            <w:pPr>
              <w:outlineLvl w:val="9"/>
              <w:rPr>
                <w:rFonts w:ascii="Arial"/>
                <w:color w:val="auto"/>
                <w:sz w:val="21"/>
                <w:highlight w:val="none"/>
              </w:rPr>
            </w:pPr>
          </w:p>
        </w:tc>
        <w:tc>
          <w:tcPr>
            <w:tcW w:w="1123" w:type="dxa"/>
            <w:vMerge w:val="continue"/>
            <w:tcBorders>
              <w:top w:val="nil"/>
              <w:bottom w:val="nil"/>
            </w:tcBorders>
            <w:vAlign w:val="top"/>
          </w:tcPr>
          <w:p w14:paraId="2B163948">
            <w:pPr>
              <w:outlineLvl w:val="9"/>
              <w:rPr>
                <w:rFonts w:ascii="Arial"/>
                <w:color w:val="auto"/>
                <w:sz w:val="21"/>
                <w:highlight w:val="none"/>
              </w:rPr>
            </w:pPr>
          </w:p>
        </w:tc>
        <w:tc>
          <w:tcPr>
            <w:tcW w:w="2144" w:type="dxa"/>
            <w:vAlign w:val="top"/>
          </w:tcPr>
          <w:p w14:paraId="2B6998CE">
            <w:pPr>
              <w:pStyle w:val="27"/>
              <w:numPr>
                <w:ilvl w:val="0"/>
                <w:numId w:val="2"/>
              </w:numPr>
              <w:spacing w:before="75" w:line="246" w:lineRule="auto"/>
              <w:ind w:left="826" w:right="148" w:hanging="682"/>
              <w:jc w:val="center"/>
              <w:outlineLvl w:val="9"/>
              <w:rPr>
                <w:color w:val="auto"/>
                <w:spacing w:val="-3"/>
                <w:sz w:val="21"/>
                <w:szCs w:val="21"/>
                <w:highlight w:val="none"/>
              </w:rPr>
            </w:pPr>
            <w:r>
              <w:rPr>
                <w:color w:val="auto"/>
                <w:spacing w:val="-3"/>
                <w:sz w:val="21"/>
                <w:szCs w:val="21"/>
                <w:highlight w:val="none"/>
              </w:rPr>
              <w:t>推荐中标候选</w:t>
            </w:r>
          </w:p>
          <w:p w14:paraId="06164104">
            <w:pPr>
              <w:pStyle w:val="27"/>
              <w:numPr>
                <w:ilvl w:val="0"/>
                <w:numId w:val="0"/>
              </w:numPr>
              <w:spacing w:before="75" w:line="246" w:lineRule="auto"/>
              <w:ind w:right="148" w:rightChars="0"/>
              <w:jc w:val="center"/>
              <w:outlineLvl w:val="9"/>
              <w:rPr>
                <w:color w:val="auto"/>
                <w:sz w:val="21"/>
                <w:szCs w:val="21"/>
                <w:highlight w:val="none"/>
              </w:rPr>
            </w:pPr>
            <w:r>
              <w:rPr>
                <w:color w:val="auto"/>
                <w:spacing w:val="-3"/>
                <w:sz w:val="21"/>
                <w:szCs w:val="21"/>
                <w:highlight w:val="none"/>
              </w:rPr>
              <w:t>人的先后顺序</w:t>
            </w:r>
          </w:p>
        </w:tc>
        <w:tc>
          <w:tcPr>
            <w:tcW w:w="5015" w:type="dxa"/>
            <w:vAlign w:val="top"/>
          </w:tcPr>
          <w:p w14:paraId="03154116">
            <w:pPr>
              <w:pStyle w:val="27"/>
              <w:spacing w:before="72" w:line="219" w:lineRule="auto"/>
              <w:outlineLvl w:val="9"/>
              <w:rPr>
                <w:color w:val="auto"/>
                <w:spacing w:val="-1"/>
                <w:highlight w:val="none"/>
              </w:rPr>
            </w:pPr>
            <w:r>
              <w:rPr>
                <w:rFonts w:hint="eastAsia"/>
                <w:color w:val="auto"/>
                <w:spacing w:val="-1"/>
                <w:highlight w:val="none"/>
              </w:rPr>
              <w:t>仅适用于多标段项目（本招标项目仅1个标段，本条不适用）</w:t>
            </w:r>
          </w:p>
        </w:tc>
      </w:tr>
      <w:tr w14:paraId="3C360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04" w:type="dxa"/>
            <w:vMerge w:val="continue"/>
            <w:tcBorders>
              <w:top w:val="nil"/>
            </w:tcBorders>
            <w:vAlign w:val="top"/>
          </w:tcPr>
          <w:p w14:paraId="4FBF2B9B">
            <w:pPr>
              <w:outlineLvl w:val="9"/>
              <w:rPr>
                <w:rFonts w:ascii="Arial"/>
                <w:color w:val="auto"/>
                <w:sz w:val="21"/>
                <w:highlight w:val="none"/>
              </w:rPr>
            </w:pPr>
          </w:p>
        </w:tc>
        <w:tc>
          <w:tcPr>
            <w:tcW w:w="1123" w:type="dxa"/>
            <w:vMerge w:val="continue"/>
            <w:tcBorders>
              <w:top w:val="nil"/>
            </w:tcBorders>
            <w:vAlign w:val="top"/>
          </w:tcPr>
          <w:p w14:paraId="47CEDBF9">
            <w:pPr>
              <w:outlineLvl w:val="9"/>
              <w:rPr>
                <w:rFonts w:ascii="Arial"/>
                <w:color w:val="auto"/>
                <w:sz w:val="21"/>
                <w:highlight w:val="none"/>
              </w:rPr>
            </w:pPr>
          </w:p>
        </w:tc>
        <w:tc>
          <w:tcPr>
            <w:tcW w:w="2144" w:type="dxa"/>
            <w:vAlign w:val="top"/>
          </w:tcPr>
          <w:p w14:paraId="2CB68948">
            <w:pPr>
              <w:pStyle w:val="27"/>
              <w:spacing w:before="168" w:line="221" w:lineRule="auto"/>
              <w:ind w:left="144"/>
              <w:jc w:val="center"/>
              <w:outlineLvl w:val="9"/>
              <w:rPr>
                <w:color w:val="auto"/>
                <w:sz w:val="21"/>
                <w:szCs w:val="21"/>
                <w:highlight w:val="none"/>
              </w:rPr>
            </w:pPr>
            <w:r>
              <w:rPr>
                <w:color w:val="auto"/>
                <w:spacing w:val="-2"/>
                <w:sz w:val="21"/>
                <w:szCs w:val="21"/>
                <w:highlight w:val="none"/>
              </w:rPr>
              <w:t>（3）最多可中标段数量</w:t>
            </w:r>
          </w:p>
        </w:tc>
        <w:tc>
          <w:tcPr>
            <w:tcW w:w="5015" w:type="dxa"/>
            <w:vAlign w:val="top"/>
          </w:tcPr>
          <w:p w14:paraId="20567047">
            <w:pPr>
              <w:pStyle w:val="27"/>
              <w:spacing w:before="168" w:line="221" w:lineRule="auto"/>
              <w:outlineLvl w:val="9"/>
              <w:rPr>
                <w:rFonts w:hint="default" w:eastAsia="宋体"/>
                <w:color w:val="auto"/>
                <w:sz w:val="21"/>
                <w:szCs w:val="21"/>
                <w:highlight w:val="none"/>
                <w:lang w:val="en-US" w:eastAsia="zh-CN"/>
              </w:rPr>
            </w:pPr>
            <w:r>
              <w:rPr>
                <w:rFonts w:hint="eastAsia"/>
                <w:color w:val="auto"/>
                <w:spacing w:val="-1"/>
                <w:highlight w:val="none"/>
              </w:rPr>
              <w:t>仅适用于多标段项目（本招标项目仅1个标段，本条不适用）</w:t>
            </w:r>
          </w:p>
        </w:tc>
      </w:tr>
      <w:tr w14:paraId="5CDDF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027" w:type="dxa"/>
            <w:gridSpan w:val="2"/>
            <w:vAlign w:val="top"/>
          </w:tcPr>
          <w:p w14:paraId="4D411327">
            <w:pPr>
              <w:pStyle w:val="27"/>
              <w:spacing w:before="168" w:line="221" w:lineRule="auto"/>
              <w:ind w:left="703"/>
              <w:outlineLvl w:val="9"/>
              <w:rPr>
                <w:color w:val="auto"/>
                <w:highlight w:val="none"/>
              </w:rPr>
            </w:pPr>
            <w:r>
              <w:rPr>
                <w:b/>
                <w:bCs/>
                <w:color w:val="auto"/>
                <w:spacing w:val="-4"/>
                <w:highlight w:val="none"/>
              </w:rPr>
              <w:t>条款号</w:t>
            </w:r>
          </w:p>
        </w:tc>
        <w:tc>
          <w:tcPr>
            <w:tcW w:w="2144" w:type="dxa"/>
            <w:vAlign w:val="top"/>
          </w:tcPr>
          <w:p w14:paraId="7F9E7174">
            <w:pPr>
              <w:pStyle w:val="27"/>
              <w:spacing w:before="168" w:line="221" w:lineRule="auto"/>
              <w:ind w:left="822"/>
              <w:outlineLvl w:val="9"/>
              <w:rPr>
                <w:color w:val="auto"/>
                <w:sz w:val="21"/>
                <w:szCs w:val="21"/>
                <w:highlight w:val="none"/>
              </w:rPr>
            </w:pPr>
            <w:r>
              <w:rPr>
                <w:b/>
                <w:bCs/>
                <w:color w:val="auto"/>
                <w:spacing w:val="-4"/>
                <w:sz w:val="21"/>
                <w:szCs w:val="21"/>
                <w:highlight w:val="none"/>
              </w:rPr>
              <w:t>条款内容</w:t>
            </w:r>
          </w:p>
        </w:tc>
        <w:tc>
          <w:tcPr>
            <w:tcW w:w="5015" w:type="dxa"/>
            <w:vAlign w:val="top"/>
          </w:tcPr>
          <w:p w14:paraId="00CC7105">
            <w:pPr>
              <w:pStyle w:val="27"/>
              <w:spacing w:before="168" w:line="221" w:lineRule="auto"/>
              <w:ind w:left="1925"/>
              <w:outlineLvl w:val="9"/>
              <w:rPr>
                <w:color w:val="auto"/>
                <w:sz w:val="21"/>
                <w:szCs w:val="21"/>
                <w:highlight w:val="none"/>
              </w:rPr>
            </w:pPr>
            <w:r>
              <w:rPr>
                <w:b/>
                <w:bCs/>
                <w:color w:val="auto"/>
                <w:spacing w:val="-4"/>
                <w:sz w:val="21"/>
                <w:szCs w:val="21"/>
                <w:highlight w:val="none"/>
              </w:rPr>
              <w:t>编列内容</w:t>
            </w:r>
          </w:p>
        </w:tc>
      </w:tr>
      <w:tr w14:paraId="2DEA7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6" w:hRule="atLeast"/>
        </w:trPr>
        <w:tc>
          <w:tcPr>
            <w:tcW w:w="2027" w:type="dxa"/>
            <w:gridSpan w:val="2"/>
            <w:vAlign w:val="top"/>
          </w:tcPr>
          <w:p w14:paraId="11A085D6">
            <w:pPr>
              <w:spacing w:line="249" w:lineRule="auto"/>
              <w:outlineLvl w:val="9"/>
              <w:rPr>
                <w:rFonts w:ascii="Arial"/>
                <w:color w:val="auto"/>
                <w:sz w:val="21"/>
                <w:highlight w:val="none"/>
              </w:rPr>
            </w:pPr>
          </w:p>
          <w:p w14:paraId="75433A89">
            <w:pPr>
              <w:spacing w:line="249" w:lineRule="auto"/>
              <w:outlineLvl w:val="9"/>
              <w:rPr>
                <w:rFonts w:ascii="Arial"/>
                <w:color w:val="auto"/>
                <w:sz w:val="21"/>
                <w:highlight w:val="none"/>
              </w:rPr>
            </w:pPr>
          </w:p>
          <w:p w14:paraId="1874DF81">
            <w:pPr>
              <w:spacing w:line="249" w:lineRule="auto"/>
              <w:outlineLvl w:val="9"/>
              <w:rPr>
                <w:rFonts w:ascii="Arial"/>
                <w:color w:val="auto"/>
                <w:sz w:val="21"/>
                <w:highlight w:val="none"/>
              </w:rPr>
            </w:pPr>
          </w:p>
          <w:p w14:paraId="0DE56F47">
            <w:pPr>
              <w:spacing w:line="249" w:lineRule="auto"/>
              <w:outlineLvl w:val="9"/>
              <w:rPr>
                <w:rFonts w:ascii="Arial"/>
                <w:color w:val="auto"/>
                <w:sz w:val="21"/>
                <w:highlight w:val="none"/>
              </w:rPr>
            </w:pPr>
          </w:p>
          <w:p w14:paraId="11DB0153">
            <w:pPr>
              <w:pStyle w:val="27"/>
              <w:spacing w:before="68" w:line="183" w:lineRule="auto"/>
              <w:ind w:left="759"/>
              <w:outlineLvl w:val="9"/>
              <w:rPr>
                <w:color w:val="auto"/>
                <w:highlight w:val="none"/>
              </w:rPr>
            </w:pPr>
            <w:r>
              <w:rPr>
                <w:color w:val="auto"/>
                <w:spacing w:val="-2"/>
                <w:highlight w:val="none"/>
              </w:rPr>
              <w:t>2.1.1</w:t>
            </w:r>
          </w:p>
        </w:tc>
        <w:tc>
          <w:tcPr>
            <w:tcW w:w="2144" w:type="dxa"/>
            <w:vAlign w:val="top"/>
          </w:tcPr>
          <w:p w14:paraId="3658D405">
            <w:pPr>
              <w:spacing w:line="242" w:lineRule="auto"/>
              <w:outlineLvl w:val="9"/>
              <w:rPr>
                <w:rFonts w:ascii="Arial"/>
                <w:color w:val="auto"/>
                <w:sz w:val="21"/>
                <w:szCs w:val="21"/>
                <w:highlight w:val="none"/>
              </w:rPr>
            </w:pPr>
          </w:p>
          <w:p w14:paraId="5D699F96">
            <w:pPr>
              <w:spacing w:line="242" w:lineRule="auto"/>
              <w:outlineLvl w:val="9"/>
              <w:rPr>
                <w:rFonts w:ascii="Arial"/>
                <w:color w:val="auto"/>
                <w:sz w:val="21"/>
                <w:szCs w:val="21"/>
                <w:highlight w:val="none"/>
              </w:rPr>
            </w:pPr>
          </w:p>
          <w:p w14:paraId="10A00D68">
            <w:pPr>
              <w:pStyle w:val="27"/>
              <w:spacing w:before="68" w:line="221" w:lineRule="auto"/>
              <w:ind w:firstLine="618" w:firstLineChars="300"/>
              <w:outlineLvl w:val="9"/>
              <w:rPr>
                <w:color w:val="auto"/>
                <w:sz w:val="21"/>
                <w:szCs w:val="21"/>
                <w:highlight w:val="none"/>
              </w:rPr>
            </w:pPr>
            <w:r>
              <w:rPr>
                <w:color w:val="auto"/>
                <w:spacing w:val="-2"/>
                <w:sz w:val="21"/>
                <w:szCs w:val="21"/>
                <w:highlight w:val="none"/>
              </w:rPr>
              <w:t>分值构成</w:t>
            </w:r>
          </w:p>
          <w:p w14:paraId="7FBED49C">
            <w:pPr>
              <w:pStyle w:val="27"/>
              <w:spacing w:before="67" w:line="221" w:lineRule="auto"/>
              <w:ind w:left="175"/>
              <w:outlineLvl w:val="9"/>
              <w:rPr>
                <w:color w:val="auto"/>
                <w:sz w:val="21"/>
                <w:szCs w:val="21"/>
                <w:highlight w:val="none"/>
              </w:rPr>
            </w:pPr>
            <w:r>
              <w:rPr>
                <w:color w:val="auto"/>
                <w:spacing w:val="-7"/>
                <w:sz w:val="21"/>
                <w:szCs w:val="21"/>
                <w:highlight w:val="none"/>
              </w:rPr>
              <w:t>(总分100</w:t>
            </w:r>
            <w:r>
              <w:rPr>
                <w:color w:val="auto"/>
                <w:spacing w:val="-44"/>
                <w:sz w:val="21"/>
                <w:szCs w:val="21"/>
                <w:highlight w:val="none"/>
              </w:rPr>
              <w:t xml:space="preserve"> </w:t>
            </w:r>
            <w:r>
              <w:rPr>
                <w:color w:val="auto"/>
                <w:spacing w:val="-7"/>
                <w:sz w:val="21"/>
                <w:szCs w:val="21"/>
                <w:highlight w:val="none"/>
              </w:rPr>
              <w:t>分，在总分得</w:t>
            </w:r>
            <w:r>
              <w:rPr>
                <w:color w:val="auto"/>
                <w:spacing w:val="-1"/>
                <w:sz w:val="21"/>
                <w:szCs w:val="21"/>
                <w:highlight w:val="none"/>
              </w:rPr>
              <w:t>分基础上单独进行不良</w:t>
            </w:r>
            <w:r>
              <w:rPr>
                <w:color w:val="auto"/>
                <w:spacing w:val="-3"/>
                <w:sz w:val="21"/>
                <w:szCs w:val="21"/>
                <w:highlight w:val="none"/>
              </w:rPr>
              <w:t>行为记录扣分）</w:t>
            </w:r>
          </w:p>
        </w:tc>
        <w:tc>
          <w:tcPr>
            <w:tcW w:w="5015" w:type="dxa"/>
            <w:vAlign w:val="center"/>
          </w:tcPr>
          <w:p w14:paraId="55F341EF">
            <w:pPr>
              <w:pStyle w:val="27"/>
              <w:spacing w:before="76" w:line="219" w:lineRule="auto"/>
              <w:ind w:left="112"/>
              <w:jc w:val="both"/>
              <w:outlineLvl w:val="9"/>
              <w:rPr>
                <w:color w:val="auto"/>
                <w:sz w:val="21"/>
                <w:szCs w:val="21"/>
                <w:highlight w:val="none"/>
              </w:rPr>
            </w:pPr>
            <w:r>
              <w:rPr>
                <w:color w:val="auto"/>
                <w:spacing w:val="-4"/>
                <w:sz w:val="21"/>
                <w:szCs w:val="21"/>
                <w:highlight w:val="none"/>
              </w:rPr>
              <w:t>评标价：100</w:t>
            </w:r>
            <w:r>
              <w:rPr>
                <w:color w:val="auto"/>
                <w:spacing w:val="-42"/>
                <w:sz w:val="21"/>
                <w:szCs w:val="21"/>
                <w:highlight w:val="none"/>
              </w:rPr>
              <w:t xml:space="preserve"> </w:t>
            </w:r>
            <w:r>
              <w:rPr>
                <w:color w:val="auto"/>
                <w:spacing w:val="-4"/>
                <w:sz w:val="21"/>
                <w:szCs w:val="21"/>
                <w:highlight w:val="none"/>
              </w:rPr>
              <w:t>分；</w:t>
            </w:r>
          </w:p>
          <w:p w14:paraId="2DB42C72">
            <w:pPr>
              <w:pStyle w:val="27"/>
              <w:spacing w:before="73" w:line="254" w:lineRule="auto"/>
              <w:ind w:left="103" w:right="44" w:firstLine="1"/>
              <w:jc w:val="both"/>
              <w:outlineLvl w:val="9"/>
              <w:rPr>
                <w:color w:val="auto"/>
                <w:sz w:val="21"/>
                <w:szCs w:val="21"/>
                <w:highlight w:val="none"/>
              </w:rPr>
            </w:pPr>
            <w:r>
              <w:rPr>
                <w:color w:val="auto"/>
                <w:spacing w:val="-3"/>
                <w:sz w:val="21"/>
                <w:szCs w:val="21"/>
                <w:highlight w:val="none"/>
              </w:rPr>
              <w:t>不良行为记录扣分：每项扣</w:t>
            </w:r>
            <w:r>
              <w:rPr>
                <w:color w:val="auto"/>
                <w:spacing w:val="-93"/>
                <w:sz w:val="21"/>
                <w:szCs w:val="21"/>
                <w:highlight w:val="none"/>
              </w:rPr>
              <w:t xml:space="preserve"> </w:t>
            </w:r>
            <w:r>
              <w:rPr>
                <w:color w:val="auto"/>
                <w:sz w:val="21"/>
                <w:szCs w:val="21"/>
                <w:highlight w:val="none"/>
                <w:u w:val="single" w:color="auto"/>
              </w:rPr>
              <w:t xml:space="preserve">  </w:t>
            </w:r>
            <w:r>
              <w:rPr>
                <w:rFonts w:hint="eastAsia"/>
                <w:color w:val="auto"/>
                <w:sz w:val="21"/>
                <w:szCs w:val="21"/>
                <w:highlight w:val="none"/>
                <w:u w:val="single" w:color="auto"/>
                <w:lang w:val="en-US" w:eastAsia="zh-CN"/>
              </w:rPr>
              <w:t>/</w:t>
            </w:r>
            <w:r>
              <w:rPr>
                <w:color w:val="auto"/>
                <w:sz w:val="21"/>
                <w:szCs w:val="21"/>
                <w:highlight w:val="none"/>
                <w:u w:val="single" w:color="auto"/>
              </w:rPr>
              <w:t xml:space="preserve">  </w:t>
            </w:r>
            <w:r>
              <w:rPr>
                <w:color w:val="auto"/>
                <w:spacing w:val="-94"/>
                <w:sz w:val="21"/>
                <w:szCs w:val="21"/>
                <w:highlight w:val="none"/>
              </w:rPr>
              <w:t xml:space="preserve"> </w:t>
            </w:r>
            <w:r>
              <w:rPr>
                <w:color w:val="auto"/>
                <w:spacing w:val="-3"/>
                <w:sz w:val="21"/>
                <w:szCs w:val="21"/>
                <w:highlight w:val="none"/>
              </w:rPr>
              <w:t>分。</w:t>
            </w:r>
          </w:p>
        </w:tc>
      </w:tr>
      <w:tr w14:paraId="65D32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9" w:hRule="atLeast"/>
        </w:trPr>
        <w:tc>
          <w:tcPr>
            <w:tcW w:w="2027" w:type="dxa"/>
            <w:gridSpan w:val="2"/>
            <w:vAlign w:val="top"/>
          </w:tcPr>
          <w:p w14:paraId="20F47F9A">
            <w:pPr>
              <w:spacing w:line="246" w:lineRule="auto"/>
              <w:outlineLvl w:val="9"/>
              <w:rPr>
                <w:rFonts w:ascii="Arial"/>
                <w:color w:val="auto"/>
                <w:sz w:val="21"/>
                <w:highlight w:val="none"/>
              </w:rPr>
            </w:pPr>
          </w:p>
          <w:p w14:paraId="6F96DD54">
            <w:pPr>
              <w:spacing w:line="246" w:lineRule="auto"/>
              <w:outlineLvl w:val="9"/>
              <w:rPr>
                <w:rFonts w:ascii="Arial"/>
                <w:color w:val="auto"/>
                <w:sz w:val="21"/>
                <w:highlight w:val="none"/>
              </w:rPr>
            </w:pPr>
          </w:p>
          <w:p w14:paraId="30CF46B7">
            <w:pPr>
              <w:spacing w:line="246" w:lineRule="auto"/>
              <w:outlineLvl w:val="9"/>
              <w:rPr>
                <w:rFonts w:ascii="Arial"/>
                <w:color w:val="auto"/>
                <w:sz w:val="21"/>
                <w:highlight w:val="none"/>
              </w:rPr>
            </w:pPr>
          </w:p>
          <w:p w14:paraId="3EA9DBE6">
            <w:pPr>
              <w:spacing w:line="247" w:lineRule="auto"/>
              <w:outlineLvl w:val="9"/>
              <w:rPr>
                <w:rFonts w:ascii="Arial"/>
                <w:color w:val="auto"/>
                <w:sz w:val="21"/>
                <w:highlight w:val="none"/>
              </w:rPr>
            </w:pPr>
          </w:p>
          <w:p w14:paraId="78AE7072">
            <w:pPr>
              <w:spacing w:line="247" w:lineRule="auto"/>
              <w:outlineLvl w:val="9"/>
              <w:rPr>
                <w:rFonts w:ascii="Arial"/>
                <w:color w:val="auto"/>
                <w:sz w:val="21"/>
                <w:highlight w:val="none"/>
              </w:rPr>
            </w:pPr>
          </w:p>
          <w:p w14:paraId="3463ADC6">
            <w:pPr>
              <w:spacing w:line="247" w:lineRule="auto"/>
              <w:outlineLvl w:val="9"/>
              <w:rPr>
                <w:rFonts w:ascii="Arial"/>
                <w:color w:val="auto"/>
                <w:sz w:val="21"/>
                <w:highlight w:val="none"/>
              </w:rPr>
            </w:pPr>
          </w:p>
          <w:p w14:paraId="6D1C57A9">
            <w:pPr>
              <w:spacing w:line="247" w:lineRule="auto"/>
              <w:outlineLvl w:val="9"/>
              <w:rPr>
                <w:rFonts w:ascii="Arial"/>
                <w:color w:val="auto"/>
                <w:sz w:val="21"/>
                <w:highlight w:val="none"/>
              </w:rPr>
            </w:pPr>
          </w:p>
          <w:p w14:paraId="787A0F1F">
            <w:pPr>
              <w:spacing w:line="247" w:lineRule="auto"/>
              <w:outlineLvl w:val="9"/>
              <w:rPr>
                <w:rFonts w:ascii="Arial"/>
                <w:color w:val="auto"/>
                <w:sz w:val="21"/>
                <w:highlight w:val="none"/>
              </w:rPr>
            </w:pPr>
          </w:p>
          <w:p w14:paraId="1A1C2185">
            <w:pPr>
              <w:spacing w:line="247" w:lineRule="auto"/>
              <w:outlineLvl w:val="9"/>
              <w:rPr>
                <w:rFonts w:ascii="Arial"/>
                <w:color w:val="auto"/>
                <w:sz w:val="21"/>
                <w:highlight w:val="none"/>
              </w:rPr>
            </w:pPr>
          </w:p>
          <w:p w14:paraId="691BD598">
            <w:pPr>
              <w:spacing w:line="247" w:lineRule="auto"/>
              <w:outlineLvl w:val="9"/>
              <w:rPr>
                <w:rFonts w:ascii="Arial"/>
                <w:color w:val="auto"/>
                <w:sz w:val="21"/>
                <w:highlight w:val="none"/>
              </w:rPr>
            </w:pPr>
          </w:p>
          <w:p w14:paraId="776054E1">
            <w:pPr>
              <w:spacing w:line="247" w:lineRule="auto"/>
              <w:outlineLvl w:val="9"/>
              <w:rPr>
                <w:rFonts w:ascii="Arial"/>
                <w:color w:val="auto"/>
                <w:sz w:val="21"/>
                <w:highlight w:val="none"/>
              </w:rPr>
            </w:pPr>
          </w:p>
          <w:p w14:paraId="546A12B0">
            <w:pPr>
              <w:spacing w:line="247" w:lineRule="auto"/>
              <w:outlineLvl w:val="9"/>
              <w:rPr>
                <w:rFonts w:ascii="Arial"/>
                <w:color w:val="auto"/>
                <w:sz w:val="21"/>
                <w:highlight w:val="none"/>
              </w:rPr>
            </w:pPr>
          </w:p>
          <w:p w14:paraId="074B4DD0">
            <w:pPr>
              <w:spacing w:line="247" w:lineRule="auto"/>
              <w:outlineLvl w:val="9"/>
              <w:rPr>
                <w:rFonts w:ascii="Arial"/>
                <w:color w:val="auto"/>
                <w:sz w:val="21"/>
                <w:highlight w:val="none"/>
              </w:rPr>
            </w:pPr>
          </w:p>
          <w:p w14:paraId="53F0174F">
            <w:pPr>
              <w:spacing w:line="247" w:lineRule="auto"/>
              <w:outlineLvl w:val="9"/>
              <w:rPr>
                <w:rFonts w:ascii="Arial"/>
                <w:color w:val="auto"/>
                <w:sz w:val="21"/>
                <w:highlight w:val="none"/>
              </w:rPr>
            </w:pPr>
          </w:p>
          <w:p w14:paraId="4A92B505">
            <w:pPr>
              <w:spacing w:line="247" w:lineRule="auto"/>
              <w:outlineLvl w:val="9"/>
              <w:rPr>
                <w:rFonts w:ascii="Arial"/>
                <w:color w:val="auto"/>
                <w:sz w:val="21"/>
                <w:highlight w:val="none"/>
              </w:rPr>
            </w:pPr>
          </w:p>
          <w:p w14:paraId="62A432D2">
            <w:pPr>
              <w:pStyle w:val="27"/>
              <w:spacing w:before="68" w:line="183" w:lineRule="auto"/>
              <w:ind w:left="759"/>
              <w:outlineLvl w:val="9"/>
              <w:rPr>
                <w:color w:val="auto"/>
                <w:highlight w:val="none"/>
              </w:rPr>
            </w:pPr>
            <w:r>
              <w:rPr>
                <w:color w:val="auto"/>
                <w:spacing w:val="-2"/>
                <w:highlight w:val="none"/>
              </w:rPr>
              <w:t>2.1.2</w:t>
            </w:r>
          </w:p>
        </w:tc>
        <w:tc>
          <w:tcPr>
            <w:tcW w:w="2144" w:type="dxa"/>
            <w:vAlign w:val="top"/>
          </w:tcPr>
          <w:p w14:paraId="5EC19E3D">
            <w:pPr>
              <w:spacing w:line="244" w:lineRule="auto"/>
              <w:outlineLvl w:val="9"/>
              <w:rPr>
                <w:rFonts w:ascii="Arial"/>
                <w:color w:val="auto"/>
                <w:sz w:val="21"/>
                <w:highlight w:val="none"/>
              </w:rPr>
            </w:pPr>
          </w:p>
          <w:p w14:paraId="3BAFE456">
            <w:pPr>
              <w:spacing w:line="244" w:lineRule="auto"/>
              <w:outlineLvl w:val="9"/>
              <w:rPr>
                <w:rFonts w:ascii="Arial"/>
                <w:color w:val="auto"/>
                <w:sz w:val="21"/>
                <w:highlight w:val="none"/>
              </w:rPr>
            </w:pPr>
          </w:p>
          <w:p w14:paraId="47B65D80">
            <w:pPr>
              <w:spacing w:line="244" w:lineRule="auto"/>
              <w:outlineLvl w:val="9"/>
              <w:rPr>
                <w:rFonts w:ascii="Arial"/>
                <w:color w:val="auto"/>
                <w:sz w:val="21"/>
                <w:highlight w:val="none"/>
              </w:rPr>
            </w:pPr>
          </w:p>
          <w:p w14:paraId="58391E9C">
            <w:pPr>
              <w:spacing w:line="244" w:lineRule="auto"/>
              <w:outlineLvl w:val="9"/>
              <w:rPr>
                <w:rFonts w:ascii="Arial"/>
                <w:color w:val="auto"/>
                <w:sz w:val="21"/>
                <w:highlight w:val="none"/>
              </w:rPr>
            </w:pPr>
          </w:p>
          <w:p w14:paraId="32C600D8">
            <w:pPr>
              <w:spacing w:line="244" w:lineRule="auto"/>
              <w:outlineLvl w:val="9"/>
              <w:rPr>
                <w:rFonts w:ascii="Arial"/>
                <w:color w:val="auto"/>
                <w:sz w:val="21"/>
                <w:highlight w:val="none"/>
              </w:rPr>
            </w:pPr>
          </w:p>
          <w:p w14:paraId="1E9C088B">
            <w:pPr>
              <w:spacing w:line="244" w:lineRule="auto"/>
              <w:outlineLvl w:val="9"/>
              <w:rPr>
                <w:rFonts w:ascii="Arial"/>
                <w:color w:val="auto"/>
                <w:sz w:val="21"/>
                <w:highlight w:val="none"/>
              </w:rPr>
            </w:pPr>
          </w:p>
          <w:p w14:paraId="7E216058">
            <w:pPr>
              <w:spacing w:line="244" w:lineRule="auto"/>
              <w:outlineLvl w:val="9"/>
              <w:rPr>
                <w:rFonts w:ascii="Arial"/>
                <w:color w:val="auto"/>
                <w:sz w:val="21"/>
                <w:highlight w:val="none"/>
              </w:rPr>
            </w:pPr>
          </w:p>
          <w:p w14:paraId="09B6AD07">
            <w:pPr>
              <w:spacing w:line="245" w:lineRule="auto"/>
              <w:outlineLvl w:val="9"/>
              <w:rPr>
                <w:rFonts w:ascii="Arial"/>
                <w:color w:val="auto"/>
                <w:sz w:val="21"/>
                <w:highlight w:val="none"/>
              </w:rPr>
            </w:pPr>
          </w:p>
          <w:p w14:paraId="7334A162">
            <w:pPr>
              <w:spacing w:line="245" w:lineRule="auto"/>
              <w:outlineLvl w:val="9"/>
              <w:rPr>
                <w:rFonts w:ascii="Arial"/>
                <w:color w:val="auto"/>
                <w:sz w:val="21"/>
                <w:highlight w:val="none"/>
              </w:rPr>
            </w:pPr>
          </w:p>
          <w:p w14:paraId="085A14A0">
            <w:pPr>
              <w:spacing w:line="245" w:lineRule="auto"/>
              <w:outlineLvl w:val="9"/>
              <w:rPr>
                <w:rFonts w:ascii="Arial"/>
                <w:color w:val="auto"/>
                <w:sz w:val="21"/>
                <w:highlight w:val="none"/>
              </w:rPr>
            </w:pPr>
          </w:p>
          <w:p w14:paraId="5F0467BA">
            <w:pPr>
              <w:spacing w:line="245" w:lineRule="auto"/>
              <w:outlineLvl w:val="9"/>
              <w:rPr>
                <w:rFonts w:ascii="Arial"/>
                <w:color w:val="auto"/>
                <w:sz w:val="21"/>
                <w:highlight w:val="none"/>
              </w:rPr>
            </w:pPr>
          </w:p>
          <w:p w14:paraId="7D46D85F">
            <w:pPr>
              <w:spacing w:line="245" w:lineRule="auto"/>
              <w:outlineLvl w:val="9"/>
              <w:rPr>
                <w:rFonts w:ascii="Arial"/>
                <w:color w:val="auto"/>
                <w:sz w:val="21"/>
                <w:highlight w:val="none"/>
              </w:rPr>
            </w:pPr>
          </w:p>
          <w:p w14:paraId="5572FAC6">
            <w:pPr>
              <w:spacing w:line="245" w:lineRule="auto"/>
              <w:outlineLvl w:val="9"/>
              <w:rPr>
                <w:rFonts w:ascii="Arial"/>
                <w:color w:val="auto"/>
                <w:sz w:val="21"/>
                <w:highlight w:val="none"/>
              </w:rPr>
            </w:pPr>
          </w:p>
          <w:p w14:paraId="2228F1DB">
            <w:pPr>
              <w:spacing w:line="245" w:lineRule="auto"/>
              <w:outlineLvl w:val="9"/>
              <w:rPr>
                <w:rFonts w:ascii="Arial"/>
                <w:color w:val="auto"/>
                <w:sz w:val="21"/>
                <w:highlight w:val="none"/>
              </w:rPr>
            </w:pPr>
          </w:p>
          <w:p w14:paraId="49E99653">
            <w:pPr>
              <w:spacing w:line="245" w:lineRule="auto"/>
              <w:outlineLvl w:val="9"/>
              <w:rPr>
                <w:rFonts w:ascii="Arial"/>
                <w:color w:val="auto"/>
                <w:sz w:val="21"/>
                <w:highlight w:val="none"/>
              </w:rPr>
            </w:pPr>
          </w:p>
          <w:p w14:paraId="16B4E2A1">
            <w:pPr>
              <w:pStyle w:val="27"/>
              <w:spacing w:before="68" w:line="219" w:lineRule="auto"/>
              <w:ind w:left="296"/>
              <w:jc w:val="center"/>
              <w:outlineLvl w:val="9"/>
              <w:rPr>
                <w:color w:val="auto"/>
                <w:highlight w:val="none"/>
              </w:rPr>
            </w:pPr>
            <w:r>
              <w:rPr>
                <w:color w:val="auto"/>
                <w:spacing w:val="-1"/>
                <w:highlight w:val="none"/>
              </w:rPr>
              <w:t>评标基准价计算方法</w:t>
            </w:r>
          </w:p>
        </w:tc>
        <w:tc>
          <w:tcPr>
            <w:tcW w:w="5015" w:type="dxa"/>
            <w:vAlign w:val="top"/>
          </w:tcPr>
          <w:p w14:paraId="6B54A13C">
            <w:pPr>
              <w:pStyle w:val="27"/>
              <w:spacing w:before="77" w:line="219" w:lineRule="auto"/>
              <w:ind w:left="119"/>
              <w:outlineLvl w:val="9"/>
              <w:rPr>
                <w:color w:val="auto"/>
                <w:highlight w:val="none"/>
              </w:rPr>
            </w:pPr>
            <w:r>
              <w:rPr>
                <w:color w:val="auto"/>
                <w:spacing w:val="-1"/>
                <w:highlight w:val="none"/>
              </w:rPr>
              <w:t>（1）评标价=投标函文字报价；</w:t>
            </w:r>
          </w:p>
          <w:p w14:paraId="43951D28">
            <w:pPr>
              <w:pStyle w:val="27"/>
              <w:spacing w:before="72" w:line="219" w:lineRule="auto"/>
              <w:ind w:left="119"/>
              <w:outlineLvl w:val="9"/>
              <w:rPr>
                <w:color w:val="auto"/>
                <w:highlight w:val="none"/>
              </w:rPr>
            </w:pPr>
            <w:r>
              <w:rPr>
                <w:color w:val="auto"/>
                <w:spacing w:val="-1"/>
                <w:highlight w:val="none"/>
              </w:rPr>
              <w:t>（2）评标价平均值的计算：</w:t>
            </w:r>
          </w:p>
          <w:p w14:paraId="7F241C0D">
            <w:pPr>
              <w:pStyle w:val="27"/>
              <w:spacing w:before="77" w:line="219" w:lineRule="auto"/>
              <w:ind w:left="119" w:firstLine="416" w:firstLineChars="200"/>
              <w:outlineLvl w:val="9"/>
              <w:rPr>
                <w:color w:val="auto"/>
                <w:spacing w:val="-1"/>
                <w:highlight w:val="none"/>
              </w:rPr>
            </w:pPr>
            <w:r>
              <w:rPr>
                <w:rFonts w:hint="eastAsia"/>
                <w:color w:val="auto"/>
                <w:spacing w:val="-1"/>
                <w:highlight w:val="none"/>
                <w:lang w:eastAsia="zh-CN"/>
              </w:rPr>
              <w:t>☑</w:t>
            </w:r>
            <w:r>
              <w:rPr>
                <w:color w:val="auto"/>
                <w:spacing w:val="-1"/>
                <w:highlight w:val="none"/>
              </w:rPr>
              <w:t>方法一 纳入评标价平均值计算范围需满足以下条件：</w:t>
            </w:r>
          </w:p>
          <w:p w14:paraId="4D8CC92B">
            <w:pPr>
              <w:pStyle w:val="27"/>
              <w:spacing w:before="77" w:line="219" w:lineRule="auto"/>
              <w:ind w:left="119" w:firstLine="416" w:firstLineChars="200"/>
              <w:outlineLvl w:val="9"/>
              <w:rPr>
                <w:color w:val="auto"/>
                <w:spacing w:val="-1"/>
                <w:highlight w:val="none"/>
              </w:rPr>
            </w:pPr>
            <w:r>
              <w:rPr>
                <w:color w:val="auto"/>
                <w:spacing w:val="-1"/>
                <w:highlight w:val="none"/>
              </w:rPr>
              <w:t>1）评标价位于招标人编制的最高投标限价的</w:t>
            </w:r>
            <w:r>
              <w:rPr>
                <w:color w:val="auto"/>
                <w:spacing w:val="-2"/>
                <w:highlight w:val="none"/>
              </w:rPr>
              <w:t>A</w:t>
            </w:r>
            <w:r>
              <w:rPr>
                <w:color w:val="auto"/>
                <w:spacing w:val="-2"/>
                <w:sz w:val="15"/>
                <w:szCs w:val="15"/>
                <w:highlight w:val="none"/>
              </w:rPr>
              <w:t>1</w:t>
            </w:r>
            <w:r>
              <w:rPr>
                <w:color w:val="auto"/>
                <w:spacing w:val="-2"/>
                <w:highlight w:val="none"/>
              </w:rPr>
              <w:t>～A</w:t>
            </w:r>
            <w:r>
              <w:rPr>
                <w:color w:val="auto"/>
                <w:spacing w:val="-2"/>
                <w:sz w:val="15"/>
                <w:szCs w:val="15"/>
                <w:highlight w:val="none"/>
              </w:rPr>
              <w:t>2</w:t>
            </w:r>
            <w:r>
              <w:rPr>
                <w:color w:val="auto"/>
                <w:spacing w:val="-1"/>
                <w:highlight w:val="none"/>
              </w:rPr>
              <w:t>范围内；</w:t>
            </w:r>
          </w:p>
          <w:p w14:paraId="74058108">
            <w:pPr>
              <w:pStyle w:val="27"/>
              <w:spacing w:before="69" w:line="260" w:lineRule="auto"/>
              <w:ind w:left="115" w:right="30" w:firstLine="420"/>
              <w:outlineLvl w:val="9"/>
              <w:rPr>
                <w:color w:val="auto"/>
                <w:sz w:val="22"/>
                <w:szCs w:val="22"/>
                <w:highlight w:val="none"/>
              </w:rPr>
            </w:pPr>
            <w:r>
              <w:rPr>
                <w:color w:val="auto"/>
                <w:spacing w:val="-10"/>
                <w:highlight w:val="none"/>
              </w:rPr>
              <w:t>2）</w:t>
            </w:r>
            <w:r>
              <w:rPr>
                <w:color w:val="auto"/>
                <w:spacing w:val="-1"/>
                <w:highlight w:val="none"/>
              </w:rPr>
              <w:t>投标人资质、投标人业绩、项目经理资格符合本章第2.2.2项要求。</w:t>
            </w:r>
          </w:p>
          <w:p w14:paraId="7DD61CB3">
            <w:pPr>
              <w:pStyle w:val="27"/>
              <w:spacing w:before="70" w:line="251" w:lineRule="auto"/>
              <w:ind w:left="130" w:right="110" w:firstLine="418"/>
              <w:outlineLvl w:val="9"/>
              <w:rPr>
                <w:color w:val="auto"/>
                <w:spacing w:val="7"/>
                <w:highlight w:val="none"/>
              </w:rPr>
            </w:pPr>
            <w:r>
              <w:rPr>
                <w:color w:val="auto"/>
                <w:spacing w:val="7"/>
                <w:highlight w:val="none"/>
              </w:rPr>
              <w:t>将纳入评标价平均值计算范围的评标价按照 由低到高进行排序，去除n个较高评标价和n个较低评标价，取其他评标价进行算术平均得出评标价平均值。设符合上款1）条件的投标人数量为</w:t>
            </w:r>
            <w:r>
              <w:rPr>
                <w:color w:val="auto"/>
                <w:spacing w:val="-4"/>
                <w:highlight w:val="none"/>
              </w:rPr>
              <w:t>X</w:t>
            </w:r>
            <w:r>
              <w:rPr>
                <w:color w:val="auto"/>
                <w:spacing w:val="-4"/>
                <w:sz w:val="15"/>
                <w:szCs w:val="15"/>
                <w:highlight w:val="none"/>
              </w:rPr>
              <w:t>0</w:t>
            </w:r>
            <w:r>
              <w:rPr>
                <w:color w:val="auto"/>
                <w:spacing w:val="-32"/>
                <w:sz w:val="11"/>
                <w:szCs w:val="11"/>
                <w:highlight w:val="none"/>
              </w:rPr>
              <w:t xml:space="preserve"> </w:t>
            </w:r>
            <w:r>
              <w:rPr>
                <w:color w:val="auto"/>
                <w:spacing w:val="7"/>
                <w:highlight w:val="none"/>
              </w:rPr>
              <w:t>，同时符合上款1）和2）条件的投标人数量为 X，当</w:t>
            </w:r>
            <w:r>
              <w:rPr>
                <w:color w:val="auto"/>
                <w:spacing w:val="-4"/>
                <w:highlight w:val="none"/>
              </w:rPr>
              <w:t>X</w:t>
            </w:r>
            <w:r>
              <w:rPr>
                <w:color w:val="auto"/>
                <w:spacing w:val="-4"/>
                <w:sz w:val="15"/>
                <w:szCs w:val="15"/>
                <w:highlight w:val="none"/>
              </w:rPr>
              <w:t>0</w:t>
            </w:r>
            <w:r>
              <w:rPr>
                <w:color w:val="auto"/>
                <w:spacing w:val="-32"/>
                <w:sz w:val="11"/>
                <w:szCs w:val="11"/>
                <w:highlight w:val="none"/>
              </w:rPr>
              <w:t xml:space="preserve"> </w:t>
            </w:r>
            <w:r>
              <w:rPr>
                <w:color w:val="auto"/>
                <w:spacing w:val="7"/>
                <w:highlight w:val="none"/>
              </w:rPr>
              <w:t>≤30时，按照上款2）的规定进行资格审查求出X；当</w:t>
            </w:r>
            <w:r>
              <w:rPr>
                <w:color w:val="auto"/>
                <w:spacing w:val="-4"/>
                <w:highlight w:val="none"/>
              </w:rPr>
              <w:t>X</w:t>
            </w:r>
            <w:r>
              <w:rPr>
                <w:color w:val="auto"/>
                <w:spacing w:val="-4"/>
                <w:sz w:val="15"/>
                <w:szCs w:val="15"/>
                <w:highlight w:val="none"/>
              </w:rPr>
              <w:t>0</w:t>
            </w:r>
            <w:r>
              <w:rPr>
                <w:color w:val="auto"/>
                <w:spacing w:val="-32"/>
                <w:sz w:val="11"/>
                <w:szCs w:val="11"/>
                <w:highlight w:val="none"/>
              </w:rPr>
              <w:t xml:space="preserve"> </w:t>
            </w:r>
            <w:r>
              <w:rPr>
                <w:color w:val="auto"/>
                <w:spacing w:val="7"/>
                <w:highlight w:val="none"/>
              </w:rPr>
              <w:t>&gt;30时，按照评标价由低到高顺序对前30个投标人进行资格审查，如前30个投标人中有不符合上款2）条件的，按照评标价由低到高的顺序依次递补至直至全部递补并据此求出X。排序最末且评标价相等的，按照投标文件递交的时间先后顺序依次进行递补</w:t>
            </w:r>
            <w:r>
              <w:rPr>
                <w:rFonts w:hint="eastAsia"/>
                <w:color w:val="auto"/>
                <w:spacing w:val="7"/>
                <w:highlight w:val="none"/>
                <w:lang w:eastAsia="zh-CN"/>
              </w:rPr>
              <w:t>（</w:t>
            </w:r>
            <w:r>
              <w:rPr>
                <w:rFonts w:hint="eastAsia"/>
                <w:color w:val="auto"/>
                <w:spacing w:val="7"/>
                <w:highlight w:val="none"/>
                <w:lang w:val="en-US" w:eastAsia="zh-CN"/>
              </w:rPr>
              <w:t>选取</w:t>
            </w:r>
            <w:r>
              <w:rPr>
                <w:rFonts w:hint="eastAsia"/>
                <w:color w:val="auto"/>
                <w:spacing w:val="7"/>
                <w:highlight w:val="none"/>
                <w:lang w:eastAsia="zh-CN"/>
              </w:rPr>
              <w:t>），</w:t>
            </w:r>
            <w:r>
              <w:rPr>
                <w:rFonts w:hint="eastAsia"/>
                <w:color w:val="auto"/>
                <w:spacing w:val="7"/>
                <w:highlight w:val="none"/>
                <w:lang w:val="en-US" w:eastAsia="zh-CN"/>
              </w:rPr>
              <w:t>投标文件递交时间相同的，按照系统随机产生的签号由小到大的顺序依次进行递补（选取）</w:t>
            </w:r>
            <w:r>
              <w:rPr>
                <w:color w:val="auto"/>
                <w:spacing w:val="7"/>
                <w:highlight w:val="none"/>
              </w:rPr>
              <w:t>。</w:t>
            </w:r>
          </w:p>
          <w:p w14:paraId="4F724C78">
            <w:pPr>
              <w:pStyle w:val="27"/>
              <w:spacing w:before="70" w:line="251" w:lineRule="auto"/>
              <w:ind w:left="130" w:right="110" w:firstLine="418"/>
              <w:outlineLvl w:val="9"/>
              <w:rPr>
                <w:rFonts w:hint="eastAsia"/>
                <w:b/>
                <w:bCs/>
                <w:color w:val="auto"/>
                <w:spacing w:val="7"/>
                <w:highlight w:val="none"/>
                <w:lang w:val="en-US" w:eastAsia="zh-CN"/>
              </w:rPr>
            </w:pPr>
            <w:r>
              <w:rPr>
                <w:rFonts w:hint="eastAsia"/>
                <w:b/>
                <w:bCs/>
                <w:color w:val="auto"/>
                <w:spacing w:val="7"/>
                <w:highlight w:val="none"/>
                <w:lang w:val="en-US" w:eastAsia="zh-CN"/>
              </w:rPr>
              <w:t>注：系统随机产生的各投标人签号具体为：对投标截止时间后系统成功接收投标文件的投标人随机一次性发放签号，签号为1~A, A为投标截止时间后系统成功接收投标文件的投标人数量,并公布给各投标人，无论投标人是否成功解密都将进行签号的发放）。</w:t>
            </w:r>
          </w:p>
          <w:p w14:paraId="7763638C">
            <w:pPr>
              <w:pStyle w:val="27"/>
              <w:spacing w:before="160" w:line="220" w:lineRule="auto"/>
              <w:ind w:left="1" w:firstLine="412" w:firstLineChars="200"/>
              <w:jc w:val="left"/>
              <w:outlineLvl w:val="9"/>
              <w:rPr>
                <w:color w:val="auto"/>
                <w:spacing w:val="-2"/>
                <w:highlight w:val="none"/>
              </w:rPr>
            </w:pPr>
            <w:r>
              <w:rPr>
                <w:color w:val="auto"/>
                <w:spacing w:val="-2"/>
                <w:highlight w:val="none"/>
              </w:rPr>
              <w:t>n 按照以下规定取值：</w:t>
            </w:r>
          </w:p>
          <w:p w14:paraId="25CEAB5C">
            <w:pPr>
              <w:pStyle w:val="27"/>
              <w:spacing w:before="160" w:line="220" w:lineRule="auto"/>
              <w:ind w:left="1" w:firstLine="412" w:firstLineChars="200"/>
              <w:jc w:val="left"/>
              <w:outlineLvl w:val="9"/>
              <w:rPr>
                <w:color w:val="auto"/>
                <w:spacing w:val="-2"/>
                <w:highlight w:val="none"/>
              </w:rPr>
            </w:pPr>
            <w:r>
              <w:rPr>
                <w:color w:val="auto"/>
                <w:spacing w:val="-2"/>
                <w:highlight w:val="none"/>
              </w:rPr>
              <w:t>①当 3≤X≤5，n=0；</w:t>
            </w:r>
          </w:p>
          <w:p w14:paraId="5B507C09">
            <w:pPr>
              <w:pStyle w:val="27"/>
              <w:spacing w:before="160" w:line="220" w:lineRule="auto"/>
              <w:ind w:left="1" w:firstLine="412" w:firstLineChars="200"/>
              <w:jc w:val="left"/>
              <w:outlineLvl w:val="9"/>
              <w:rPr>
                <w:color w:val="auto"/>
                <w:spacing w:val="-2"/>
                <w:highlight w:val="none"/>
              </w:rPr>
            </w:pPr>
            <w:r>
              <w:rPr>
                <w:color w:val="auto"/>
                <w:spacing w:val="-2"/>
                <w:highlight w:val="none"/>
              </w:rPr>
              <w:t>②当 5＜X≤10，n=1；</w:t>
            </w:r>
          </w:p>
          <w:p w14:paraId="3B14181E">
            <w:pPr>
              <w:pStyle w:val="27"/>
              <w:spacing w:before="160" w:line="220" w:lineRule="auto"/>
              <w:ind w:left="1" w:firstLine="412" w:firstLineChars="200"/>
              <w:jc w:val="left"/>
              <w:outlineLvl w:val="9"/>
              <w:rPr>
                <w:color w:val="auto"/>
                <w:spacing w:val="-2"/>
                <w:highlight w:val="none"/>
              </w:rPr>
            </w:pPr>
            <w:r>
              <w:rPr>
                <w:color w:val="auto"/>
                <w:spacing w:val="-2"/>
                <w:highlight w:val="none"/>
              </w:rPr>
              <w:t>③当 10＜X≤20，n=2；</w:t>
            </w:r>
          </w:p>
          <w:p w14:paraId="4C1EA64D">
            <w:pPr>
              <w:pStyle w:val="27"/>
              <w:spacing w:before="160" w:line="220" w:lineRule="auto"/>
              <w:ind w:left="1" w:firstLine="412" w:firstLineChars="200"/>
              <w:jc w:val="left"/>
              <w:outlineLvl w:val="9"/>
              <w:rPr>
                <w:color w:val="auto"/>
                <w:spacing w:val="-2"/>
                <w:highlight w:val="none"/>
              </w:rPr>
            </w:pPr>
            <w:r>
              <w:rPr>
                <w:color w:val="auto"/>
                <w:spacing w:val="-2"/>
                <w:highlight w:val="none"/>
              </w:rPr>
              <w:t>④当 20＜X≤30，n=3。</w:t>
            </w:r>
          </w:p>
          <w:p w14:paraId="30265A7D">
            <w:pPr>
              <w:pStyle w:val="27"/>
              <w:spacing w:before="160" w:line="220" w:lineRule="auto"/>
              <w:ind w:left="1" w:firstLine="412" w:firstLineChars="200"/>
              <w:jc w:val="left"/>
              <w:outlineLvl w:val="9"/>
              <w:rPr>
                <w:color w:val="auto"/>
                <w:spacing w:val="-2"/>
                <w:highlight w:val="none"/>
              </w:rPr>
            </w:pPr>
            <w:r>
              <w:rPr>
                <w:color w:val="auto"/>
                <w:spacing w:val="-2"/>
                <w:highlight w:val="none"/>
              </w:rPr>
              <w:t>如出现 X＜3 的，评标委员会将否决所有投标。</w:t>
            </w:r>
          </w:p>
          <w:p w14:paraId="6C0FB314">
            <w:pPr>
              <w:pStyle w:val="27"/>
              <w:spacing w:before="160" w:line="220" w:lineRule="auto"/>
              <w:ind w:left="1" w:firstLine="414" w:firstLineChars="200"/>
              <w:jc w:val="left"/>
              <w:outlineLvl w:val="9"/>
              <w:rPr>
                <w:b/>
                <w:bCs/>
                <w:color w:val="auto"/>
                <w:spacing w:val="-2"/>
                <w:highlight w:val="none"/>
              </w:rPr>
            </w:pPr>
            <w:r>
              <w:rPr>
                <w:rFonts w:hint="eastAsia"/>
                <w:b/>
                <w:bCs/>
                <w:color w:val="auto"/>
                <w:spacing w:val="-2"/>
                <w:highlight w:val="none"/>
                <w:lang w:val="en-US" w:eastAsia="zh-CN"/>
              </w:rPr>
              <w:t>注：</w:t>
            </w:r>
            <w:r>
              <w:rPr>
                <w:b/>
                <w:bCs/>
                <w:color w:val="auto"/>
                <w:spacing w:val="-2"/>
                <w:highlight w:val="none"/>
              </w:rPr>
              <w:t>A1值为0.98、A2值</w:t>
            </w:r>
            <w:r>
              <w:rPr>
                <w:rFonts w:hint="eastAsia" w:ascii="_x000B__x000C_" w:hAnsi="_x000B__x000C_"/>
                <w:b/>
                <w:bCs/>
                <w:color w:val="auto"/>
                <w:szCs w:val="21"/>
                <w:highlight w:val="none"/>
              </w:rPr>
              <w:t>由系统从备选范围（0.80、0.81、0.82、0.83、0.84、0.85）中随机抽取</w:t>
            </w:r>
            <w:r>
              <w:rPr>
                <w:rFonts w:hint="eastAsia" w:ascii="_x000B__x000C_" w:hAnsi="_x000B__x000C_"/>
                <w:b/>
                <w:bCs/>
                <w:color w:val="auto"/>
                <w:szCs w:val="21"/>
                <w:highlight w:val="none"/>
                <w:lang w:eastAsia="zh-CN"/>
              </w:rPr>
              <w:t>。</w:t>
            </w:r>
          </w:p>
          <w:p w14:paraId="2A2C9227">
            <w:pPr>
              <w:pStyle w:val="27"/>
              <w:spacing w:before="67" w:line="219" w:lineRule="auto"/>
              <w:ind w:left="119"/>
              <w:outlineLvl w:val="9"/>
              <w:rPr>
                <w:color w:val="auto"/>
                <w:highlight w:val="none"/>
              </w:rPr>
            </w:pPr>
            <w:r>
              <w:rPr>
                <w:color w:val="auto"/>
                <w:spacing w:val="-1"/>
                <w:highlight w:val="none"/>
              </w:rPr>
              <w:t>（3）评标基准价的确定：</w:t>
            </w:r>
          </w:p>
          <w:p w14:paraId="45118F6A">
            <w:pPr>
              <w:pStyle w:val="27"/>
              <w:spacing w:before="71" w:line="219" w:lineRule="auto"/>
              <w:ind w:left="555"/>
              <w:outlineLvl w:val="9"/>
              <w:rPr>
                <w:color w:val="auto"/>
                <w:highlight w:val="none"/>
              </w:rPr>
            </w:pPr>
            <w:r>
              <w:rPr>
                <w:color w:val="auto"/>
                <w:spacing w:val="-3"/>
                <w:highlight w:val="none"/>
              </w:rPr>
              <w:t>□将评标价平均值直接作为评标基准价。</w:t>
            </w:r>
          </w:p>
          <w:p w14:paraId="7B982A9C">
            <w:pPr>
              <w:pStyle w:val="27"/>
              <w:spacing w:before="72" w:line="250" w:lineRule="auto"/>
              <w:ind w:left="114" w:right="115" w:firstLine="440"/>
              <w:outlineLvl w:val="9"/>
              <w:rPr>
                <w:color w:val="auto"/>
                <w:highlight w:val="none"/>
              </w:rPr>
            </w:pPr>
            <w:r>
              <w:rPr>
                <w:color w:val="auto"/>
                <w:spacing w:val="-3"/>
                <w:highlight w:val="none"/>
              </w:rPr>
              <w:t>□将评标价平均值下浮</w:t>
            </w:r>
            <w:r>
              <w:rPr>
                <w:color w:val="auto"/>
                <w:spacing w:val="-3"/>
                <w:highlight w:val="none"/>
                <w:u w:val="single" w:color="auto"/>
              </w:rPr>
              <w:t xml:space="preserve">   </w:t>
            </w:r>
            <w:r>
              <w:rPr>
                <w:color w:val="auto"/>
                <w:spacing w:val="-16"/>
                <w:highlight w:val="none"/>
              </w:rPr>
              <w:t>％，</w:t>
            </w:r>
            <w:r>
              <w:rPr>
                <w:color w:val="auto"/>
                <w:spacing w:val="-3"/>
                <w:highlight w:val="none"/>
              </w:rPr>
              <w:t>作为评标基准</w:t>
            </w:r>
            <w:r>
              <w:rPr>
                <w:color w:val="auto"/>
                <w:spacing w:val="-10"/>
                <w:highlight w:val="none"/>
              </w:rPr>
              <w:t>价。</w:t>
            </w:r>
          </w:p>
          <w:p w14:paraId="3F6ABC1B">
            <w:pPr>
              <w:pStyle w:val="27"/>
              <w:spacing w:before="70" w:line="251" w:lineRule="auto"/>
              <w:ind w:left="130" w:right="110" w:firstLine="418"/>
              <w:outlineLvl w:val="9"/>
              <w:rPr>
                <w:color w:val="auto"/>
                <w:spacing w:val="7"/>
                <w:highlight w:val="none"/>
              </w:rPr>
            </w:pPr>
            <w:r>
              <w:rPr>
                <w:rFonts w:hint="eastAsia"/>
                <w:color w:val="auto"/>
                <w:spacing w:val="7"/>
                <w:highlight w:val="none"/>
                <w:lang w:eastAsia="zh-CN"/>
              </w:rPr>
              <w:t>☑</w:t>
            </w:r>
            <w:r>
              <w:rPr>
                <w:color w:val="auto"/>
                <w:spacing w:val="7"/>
                <w:highlight w:val="none"/>
              </w:rPr>
              <w:t>招标人设置评标基准价系数C值，评标价平均值乘以评标基准价系数作为评标基准价。C值的计算方法如下：设在投标截止时间后系统成功接收投标文件的投标人总数为 Y（无论是否成功解密），将 Y 除以5，根据余数对应取 C 值，见下表（多标段按各自标段X值计算选取）。</w:t>
            </w:r>
          </w:p>
          <w:tbl>
            <w:tblPr>
              <w:tblStyle w:val="26"/>
              <w:tblW w:w="4457"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3"/>
              <w:gridCol w:w="2594"/>
            </w:tblGrid>
            <w:tr w14:paraId="2AF22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863" w:type="dxa"/>
                  <w:tcBorders>
                    <w:tl2br w:val="single" w:color="000000" w:sz="2" w:space="0"/>
                  </w:tcBorders>
                  <w:vAlign w:val="top"/>
                </w:tcPr>
                <w:p w14:paraId="555ACF20">
                  <w:pPr>
                    <w:pStyle w:val="27"/>
                    <w:spacing w:before="141" w:line="289" w:lineRule="auto"/>
                    <w:ind w:left="313" w:right="103" w:firstLine="430"/>
                    <w:outlineLvl w:val="9"/>
                    <w:rPr>
                      <w:color w:val="auto"/>
                      <w:highlight w:val="none"/>
                    </w:rPr>
                  </w:pPr>
                  <w:r>
                    <w:rPr>
                      <w:b/>
                      <w:bCs/>
                      <w:color w:val="auto"/>
                      <w:spacing w:val="10"/>
                      <w:highlight w:val="none"/>
                    </w:rPr>
                    <w:t>对应的C值</w:t>
                  </w:r>
                  <w:r>
                    <w:rPr>
                      <w:color w:val="auto"/>
                      <w:spacing w:val="3"/>
                      <w:highlight w:val="none"/>
                    </w:rPr>
                    <w:t xml:space="preserve"> </w:t>
                  </w:r>
                  <w:r>
                    <w:rPr>
                      <w:b/>
                      <w:bCs/>
                      <w:color w:val="auto"/>
                      <w:spacing w:val="-4"/>
                      <w:highlight w:val="none"/>
                    </w:rPr>
                    <w:t>余数</w:t>
                  </w:r>
                </w:p>
              </w:tc>
              <w:tc>
                <w:tcPr>
                  <w:tcW w:w="2594" w:type="dxa"/>
                  <w:vAlign w:val="top"/>
                </w:tcPr>
                <w:p w14:paraId="56607BC3">
                  <w:pPr>
                    <w:spacing w:line="273" w:lineRule="auto"/>
                    <w:outlineLvl w:val="9"/>
                    <w:rPr>
                      <w:rFonts w:ascii="Arial"/>
                      <w:color w:val="auto"/>
                      <w:sz w:val="21"/>
                      <w:highlight w:val="none"/>
                    </w:rPr>
                  </w:pPr>
                </w:p>
                <w:p w14:paraId="0332CE55">
                  <w:pPr>
                    <w:pStyle w:val="27"/>
                    <w:spacing w:before="68" w:line="221" w:lineRule="auto"/>
                    <w:ind w:left="1112"/>
                    <w:outlineLvl w:val="9"/>
                    <w:rPr>
                      <w:color w:val="auto"/>
                      <w:highlight w:val="none"/>
                    </w:rPr>
                  </w:pPr>
                  <w:r>
                    <w:rPr>
                      <w:b/>
                      <w:bCs/>
                      <w:color w:val="auto"/>
                      <w:spacing w:val="-6"/>
                      <w:highlight w:val="none"/>
                    </w:rPr>
                    <w:t>C</w:t>
                  </w:r>
                  <w:r>
                    <w:rPr>
                      <w:color w:val="auto"/>
                      <w:spacing w:val="-44"/>
                      <w:highlight w:val="none"/>
                    </w:rPr>
                    <w:t xml:space="preserve"> </w:t>
                  </w:r>
                  <w:r>
                    <w:rPr>
                      <w:b/>
                      <w:bCs/>
                      <w:color w:val="auto"/>
                      <w:spacing w:val="-6"/>
                      <w:highlight w:val="none"/>
                    </w:rPr>
                    <w:t>值</w:t>
                  </w:r>
                </w:p>
              </w:tc>
            </w:tr>
            <w:tr w14:paraId="77251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863" w:type="dxa"/>
                  <w:vAlign w:val="top"/>
                </w:tcPr>
                <w:p w14:paraId="37525944">
                  <w:pPr>
                    <w:pStyle w:val="27"/>
                    <w:spacing w:before="244" w:line="182" w:lineRule="auto"/>
                    <w:ind w:left="886"/>
                    <w:outlineLvl w:val="9"/>
                    <w:rPr>
                      <w:color w:val="auto"/>
                      <w:highlight w:val="none"/>
                    </w:rPr>
                  </w:pPr>
                  <w:r>
                    <w:rPr>
                      <w:b/>
                      <w:bCs/>
                      <w:color w:val="auto"/>
                      <w:spacing w:val="-3"/>
                      <w:highlight w:val="none"/>
                    </w:rPr>
                    <w:t>0</w:t>
                  </w:r>
                </w:p>
              </w:tc>
              <w:tc>
                <w:tcPr>
                  <w:tcW w:w="2594" w:type="dxa"/>
                  <w:vAlign w:val="top"/>
                </w:tcPr>
                <w:p w14:paraId="22715DDA">
                  <w:pPr>
                    <w:pStyle w:val="27"/>
                    <w:spacing w:before="244" w:line="182" w:lineRule="auto"/>
                    <w:ind w:left="1036"/>
                    <w:outlineLvl w:val="9"/>
                    <w:rPr>
                      <w:color w:val="auto"/>
                      <w:highlight w:val="none"/>
                    </w:rPr>
                  </w:pPr>
                  <w:r>
                    <w:rPr>
                      <w:b/>
                      <w:bCs/>
                      <w:color w:val="auto"/>
                      <w:spacing w:val="-4"/>
                      <w:highlight w:val="none"/>
                    </w:rPr>
                    <w:t>0.980</w:t>
                  </w:r>
                </w:p>
              </w:tc>
            </w:tr>
            <w:tr w14:paraId="7942A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63" w:type="dxa"/>
                  <w:vAlign w:val="top"/>
                </w:tcPr>
                <w:p w14:paraId="5CDD9BFE">
                  <w:pPr>
                    <w:pStyle w:val="27"/>
                    <w:spacing w:before="174" w:line="183" w:lineRule="auto"/>
                    <w:ind w:left="900"/>
                    <w:outlineLvl w:val="9"/>
                    <w:rPr>
                      <w:color w:val="auto"/>
                      <w:highlight w:val="none"/>
                    </w:rPr>
                  </w:pPr>
                  <w:r>
                    <w:rPr>
                      <w:b/>
                      <w:bCs/>
                      <w:color w:val="auto"/>
                      <w:spacing w:val="-3"/>
                      <w:highlight w:val="none"/>
                    </w:rPr>
                    <w:t>1</w:t>
                  </w:r>
                </w:p>
              </w:tc>
              <w:tc>
                <w:tcPr>
                  <w:tcW w:w="2594" w:type="dxa"/>
                  <w:vAlign w:val="top"/>
                </w:tcPr>
                <w:p w14:paraId="0693A569">
                  <w:pPr>
                    <w:pStyle w:val="27"/>
                    <w:spacing w:before="175" w:line="182" w:lineRule="auto"/>
                    <w:ind w:left="1036"/>
                    <w:outlineLvl w:val="9"/>
                    <w:rPr>
                      <w:color w:val="auto"/>
                      <w:highlight w:val="none"/>
                    </w:rPr>
                  </w:pPr>
                  <w:r>
                    <w:rPr>
                      <w:b/>
                      <w:bCs/>
                      <w:color w:val="auto"/>
                      <w:spacing w:val="-4"/>
                      <w:highlight w:val="none"/>
                    </w:rPr>
                    <w:t>0.985</w:t>
                  </w:r>
                </w:p>
              </w:tc>
            </w:tr>
            <w:tr w14:paraId="5C6A7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63" w:type="dxa"/>
                  <w:vAlign w:val="top"/>
                </w:tcPr>
                <w:p w14:paraId="2A1E41F1">
                  <w:pPr>
                    <w:pStyle w:val="27"/>
                    <w:spacing w:before="176" w:line="182" w:lineRule="auto"/>
                    <w:ind w:left="886"/>
                    <w:outlineLvl w:val="9"/>
                    <w:rPr>
                      <w:color w:val="auto"/>
                      <w:highlight w:val="none"/>
                    </w:rPr>
                  </w:pPr>
                  <w:r>
                    <w:rPr>
                      <w:b/>
                      <w:bCs/>
                      <w:color w:val="auto"/>
                      <w:spacing w:val="-3"/>
                      <w:highlight w:val="none"/>
                    </w:rPr>
                    <w:t>2</w:t>
                  </w:r>
                </w:p>
              </w:tc>
              <w:tc>
                <w:tcPr>
                  <w:tcW w:w="2594" w:type="dxa"/>
                  <w:vAlign w:val="top"/>
                </w:tcPr>
                <w:p w14:paraId="0E1C3EB5">
                  <w:pPr>
                    <w:pStyle w:val="27"/>
                    <w:spacing w:before="176" w:line="182" w:lineRule="auto"/>
                    <w:ind w:left="1036"/>
                    <w:outlineLvl w:val="9"/>
                    <w:rPr>
                      <w:color w:val="auto"/>
                      <w:highlight w:val="none"/>
                    </w:rPr>
                  </w:pPr>
                  <w:r>
                    <w:rPr>
                      <w:b/>
                      <w:bCs/>
                      <w:color w:val="auto"/>
                      <w:spacing w:val="-4"/>
                      <w:highlight w:val="none"/>
                    </w:rPr>
                    <w:t>0.990</w:t>
                  </w:r>
                </w:p>
              </w:tc>
            </w:tr>
            <w:tr w14:paraId="41BFD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63" w:type="dxa"/>
                  <w:vAlign w:val="top"/>
                </w:tcPr>
                <w:p w14:paraId="342B3AC8">
                  <w:pPr>
                    <w:pStyle w:val="27"/>
                    <w:spacing w:before="180" w:line="182" w:lineRule="auto"/>
                    <w:ind w:left="883"/>
                    <w:outlineLvl w:val="9"/>
                    <w:rPr>
                      <w:rFonts w:hint="eastAsia" w:ascii="Arial" w:eastAsia="宋体"/>
                      <w:color w:val="auto"/>
                      <w:sz w:val="21"/>
                      <w:highlight w:val="none"/>
                      <w:lang w:val="en-US" w:eastAsia="zh-CN"/>
                    </w:rPr>
                  </w:pPr>
                  <w:r>
                    <w:rPr>
                      <w:rFonts w:hint="eastAsia"/>
                      <w:b/>
                      <w:bCs/>
                      <w:color w:val="auto"/>
                      <w:highlight w:val="none"/>
                      <w:lang w:val="en-US" w:eastAsia="zh-CN"/>
                    </w:rPr>
                    <w:t>3</w:t>
                  </w:r>
                </w:p>
              </w:tc>
              <w:tc>
                <w:tcPr>
                  <w:tcW w:w="2594" w:type="dxa"/>
                  <w:vAlign w:val="top"/>
                </w:tcPr>
                <w:p w14:paraId="252E6DD8">
                  <w:pPr>
                    <w:pStyle w:val="27"/>
                    <w:spacing w:before="176" w:line="182" w:lineRule="auto"/>
                    <w:ind w:left="1036"/>
                    <w:outlineLvl w:val="9"/>
                    <w:rPr>
                      <w:color w:val="auto"/>
                      <w:highlight w:val="none"/>
                    </w:rPr>
                  </w:pPr>
                  <w:r>
                    <w:rPr>
                      <w:b/>
                      <w:bCs/>
                      <w:color w:val="auto"/>
                      <w:spacing w:val="-4"/>
                      <w:highlight w:val="none"/>
                    </w:rPr>
                    <w:t>0.995</w:t>
                  </w:r>
                </w:p>
              </w:tc>
            </w:tr>
            <w:tr w14:paraId="080D5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863" w:type="dxa"/>
                  <w:vAlign w:val="top"/>
                </w:tcPr>
                <w:p w14:paraId="662CF6A9">
                  <w:pPr>
                    <w:pStyle w:val="27"/>
                    <w:spacing w:before="180" w:line="182" w:lineRule="auto"/>
                    <w:ind w:left="883"/>
                    <w:outlineLvl w:val="9"/>
                    <w:rPr>
                      <w:color w:val="auto"/>
                      <w:highlight w:val="none"/>
                    </w:rPr>
                  </w:pPr>
                  <w:r>
                    <w:rPr>
                      <w:b/>
                      <w:bCs/>
                      <w:color w:val="auto"/>
                      <w:spacing w:val="-3"/>
                      <w:highlight w:val="none"/>
                    </w:rPr>
                    <w:t>4</w:t>
                  </w:r>
                </w:p>
              </w:tc>
              <w:tc>
                <w:tcPr>
                  <w:tcW w:w="2594" w:type="dxa"/>
                  <w:vAlign w:val="top"/>
                </w:tcPr>
                <w:p w14:paraId="332AE973">
                  <w:pPr>
                    <w:pStyle w:val="27"/>
                    <w:spacing w:before="179" w:line="183" w:lineRule="auto"/>
                    <w:ind w:left="1050"/>
                    <w:outlineLvl w:val="9"/>
                    <w:rPr>
                      <w:color w:val="auto"/>
                      <w:highlight w:val="none"/>
                    </w:rPr>
                  </w:pPr>
                  <w:r>
                    <w:rPr>
                      <w:b/>
                      <w:bCs/>
                      <w:color w:val="auto"/>
                      <w:spacing w:val="-6"/>
                      <w:highlight w:val="none"/>
                    </w:rPr>
                    <w:t>1.000</w:t>
                  </w:r>
                </w:p>
              </w:tc>
            </w:tr>
          </w:tbl>
          <w:p w14:paraId="05F79900">
            <w:pPr>
              <w:pStyle w:val="27"/>
              <w:spacing w:before="4" w:line="387" w:lineRule="auto"/>
              <w:ind w:left="102" w:right="47" w:firstLine="2"/>
              <w:jc w:val="both"/>
              <w:outlineLvl w:val="9"/>
              <w:rPr>
                <w:color w:val="auto"/>
                <w:spacing w:val="-3"/>
                <w:highlight w:val="none"/>
              </w:rPr>
            </w:pPr>
            <w:r>
              <w:rPr>
                <w:rFonts w:hint="eastAsia" w:eastAsia="宋体"/>
                <w:b/>
                <w:bCs/>
                <w:color w:val="auto"/>
                <w:spacing w:val="3"/>
                <w:highlight w:val="none"/>
                <w:lang w:val="en-US" w:eastAsia="zh-CN"/>
              </w:rPr>
              <w:t>注：评标价平均值及</w:t>
            </w:r>
            <w:r>
              <w:rPr>
                <w:b/>
                <w:bCs/>
                <w:color w:val="auto"/>
                <w:spacing w:val="3"/>
                <w:highlight w:val="none"/>
              </w:rPr>
              <w:t>评标基准价</w:t>
            </w:r>
            <w:r>
              <w:rPr>
                <w:rFonts w:hint="eastAsia"/>
                <w:b/>
                <w:bCs/>
                <w:color w:val="auto"/>
                <w:spacing w:val="3"/>
                <w:highlight w:val="none"/>
                <w:lang w:val="en-US" w:eastAsia="zh-CN"/>
              </w:rPr>
              <w:t>计算结果保留小数点后两位，小数点后第三位“四舍五入”。</w:t>
            </w:r>
            <w:r>
              <w:rPr>
                <w:b/>
                <w:bCs/>
                <w:color w:val="auto"/>
                <w:spacing w:val="3"/>
                <w:highlight w:val="none"/>
              </w:rPr>
              <w:t>评标基准价除存在计算错误之外，不随任何因素发生变</w:t>
            </w:r>
            <w:r>
              <w:rPr>
                <w:b/>
                <w:bCs/>
                <w:color w:val="auto"/>
                <w:spacing w:val="-12"/>
                <w:highlight w:val="none"/>
              </w:rPr>
              <w:t>化。</w:t>
            </w:r>
          </w:p>
        </w:tc>
      </w:tr>
    </w:tbl>
    <w:p w14:paraId="5F5CA5D7">
      <w:pPr>
        <w:pStyle w:val="5"/>
        <w:spacing w:line="185" w:lineRule="exact"/>
        <w:outlineLvl w:val="9"/>
        <w:rPr>
          <w:color w:val="auto"/>
          <w:sz w:val="16"/>
          <w:highlight w:val="none"/>
        </w:rPr>
      </w:pPr>
    </w:p>
    <w:p w14:paraId="42144A56">
      <w:pPr>
        <w:spacing w:line="185" w:lineRule="exact"/>
        <w:outlineLvl w:val="9"/>
        <w:rPr>
          <w:color w:val="auto"/>
          <w:sz w:val="16"/>
          <w:szCs w:val="16"/>
          <w:highlight w:val="none"/>
        </w:rPr>
        <w:sectPr>
          <w:headerReference r:id="rId5" w:type="default"/>
          <w:footerReference r:id="rId6" w:type="default"/>
          <w:pgSz w:w="11907" w:h="16839"/>
          <w:pgMar w:top="1395" w:right="1356" w:bottom="1362" w:left="1358" w:header="0" w:footer="1202" w:gutter="0"/>
          <w:pgNumType w:fmt="decimal"/>
          <w:cols w:space="720" w:num="1"/>
        </w:sectPr>
      </w:pPr>
    </w:p>
    <w:tbl>
      <w:tblPr>
        <w:tblStyle w:val="2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1882"/>
        <w:gridCol w:w="5277"/>
      </w:tblGrid>
      <w:tr w14:paraId="65AEC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2027" w:type="dxa"/>
            <w:gridSpan w:val="2"/>
            <w:vAlign w:val="top"/>
          </w:tcPr>
          <w:p w14:paraId="701C1F15">
            <w:pPr>
              <w:spacing w:line="262" w:lineRule="auto"/>
              <w:outlineLvl w:val="9"/>
              <w:rPr>
                <w:rFonts w:ascii="Arial"/>
                <w:color w:val="auto"/>
                <w:sz w:val="21"/>
                <w:highlight w:val="none"/>
              </w:rPr>
            </w:pPr>
          </w:p>
          <w:p w14:paraId="7CB82553">
            <w:pPr>
              <w:spacing w:line="263" w:lineRule="auto"/>
              <w:outlineLvl w:val="9"/>
              <w:rPr>
                <w:rFonts w:ascii="Arial"/>
                <w:color w:val="auto"/>
                <w:sz w:val="21"/>
                <w:highlight w:val="none"/>
              </w:rPr>
            </w:pPr>
          </w:p>
          <w:p w14:paraId="36927CF8">
            <w:pPr>
              <w:pStyle w:val="27"/>
              <w:spacing w:before="68" w:line="183" w:lineRule="auto"/>
              <w:ind w:left="759"/>
              <w:outlineLvl w:val="9"/>
              <w:rPr>
                <w:color w:val="auto"/>
                <w:highlight w:val="none"/>
              </w:rPr>
            </w:pPr>
            <w:r>
              <w:rPr>
                <w:color w:val="auto"/>
                <w:spacing w:val="-2"/>
                <w:highlight w:val="none"/>
              </w:rPr>
              <w:t>2.1.3</w:t>
            </w:r>
          </w:p>
        </w:tc>
        <w:tc>
          <w:tcPr>
            <w:tcW w:w="1882" w:type="dxa"/>
            <w:vAlign w:val="top"/>
          </w:tcPr>
          <w:p w14:paraId="6D314345">
            <w:pPr>
              <w:spacing w:line="245" w:lineRule="auto"/>
              <w:outlineLvl w:val="9"/>
              <w:rPr>
                <w:rFonts w:ascii="Arial"/>
                <w:color w:val="auto"/>
                <w:sz w:val="21"/>
                <w:highlight w:val="none"/>
              </w:rPr>
            </w:pPr>
          </w:p>
          <w:p w14:paraId="53F866FC">
            <w:pPr>
              <w:spacing w:line="246" w:lineRule="auto"/>
              <w:outlineLvl w:val="9"/>
              <w:rPr>
                <w:rFonts w:ascii="Arial"/>
                <w:color w:val="auto"/>
                <w:sz w:val="21"/>
                <w:highlight w:val="none"/>
              </w:rPr>
            </w:pPr>
          </w:p>
          <w:p w14:paraId="1C00148C">
            <w:pPr>
              <w:pStyle w:val="27"/>
              <w:spacing w:before="68" w:line="219" w:lineRule="auto"/>
              <w:ind w:left="193"/>
              <w:jc w:val="center"/>
              <w:outlineLvl w:val="9"/>
              <w:rPr>
                <w:color w:val="auto"/>
                <w:highlight w:val="none"/>
              </w:rPr>
            </w:pPr>
            <w:r>
              <w:rPr>
                <w:color w:val="auto"/>
                <w:spacing w:val="-1"/>
                <w:highlight w:val="none"/>
              </w:rPr>
              <w:t>投标报价的偏差率公式</w:t>
            </w:r>
          </w:p>
        </w:tc>
        <w:tc>
          <w:tcPr>
            <w:tcW w:w="5277" w:type="dxa"/>
            <w:vAlign w:val="top"/>
          </w:tcPr>
          <w:p w14:paraId="4B6CE151">
            <w:pPr>
              <w:pStyle w:val="27"/>
              <w:spacing w:before="70" w:line="251" w:lineRule="auto"/>
              <w:ind w:right="110"/>
              <w:outlineLvl w:val="9"/>
              <w:rPr>
                <w:color w:val="auto"/>
                <w:spacing w:val="7"/>
                <w:highlight w:val="none"/>
              </w:rPr>
            </w:pPr>
            <w:r>
              <w:rPr>
                <w:color w:val="auto"/>
                <w:spacing w:val="7"/>
                <w:highlight w:val="none"/>
              </w:rPr>
              <w:t>偏差率=100%*（投标人评标价－评标基准价）/评标基准价；</w:t>
            </w:r>
          </w:p>
          <w:p w14:paraId="7D62B0F5">
            <w:pPr>
              <w:pStyle w:val="27"/>
              <w:spacing w:before="70" w:line="251" w:lineRule="auto"/>
              <w:ind w:right="110"/>
              <w:outlineLvl w:val="9"/>
              <w:rPr>
                <w:color w:val="auto"/>
                <w:highlight w:val="none"/>
              </w:rPr>
            </w:pPr>
            <w:r>
              <w:rPr>
                <w:color w:val="auto"/>
                <w:spacing w:val="7"/>
                <w:highlight w:val="none"/>
              </w:rPr>
              <w:t>偏差率保留两位小数（小数点后第三位“四舍五入”），即为*.**%。</w:t>
            </w:r>
          </w:p>
        </w:tc>
      </w:tr>
      <w:tr w14:paraId="35F1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2027" w:type="dxa"/>
            <w:gridSpan w:val="2"/>
            <w:shd w:val="clear" w:color="auto" w:fill="auto"/>
            <w:vAlign w:val="top"/>
          </w:tcPr>
          <w:p w14:paraId="0076D9F0">
            <w:pPr>
              <w:spacing w:line="254" w:lineRule="auto"/>
              <w:outlineLvl w:val="9"/>
              <w:rPr>
                <w:rFonts w:ascii="Arial"/>
                <w:color w:val="auto"/>
                <w:sz w:val="21"/>
                <w:highlight w:val="none"/>
              </w:rPr>
            </w:pPr>
          </w:p>
          <w:p w14:paraId="1C34474E">
            <w:pPr>
              <w:spacing w:line="254" w:lineRule="auto"/>
              <w:outlineLvl w:val="9"/>
              <w:rPr>
                <w:rFonts w:ascii="Arial"/>
                <w:color w:val="auto"/>
                <w:sz w:val="21"/>
                <w:highlight w:val="none"/>
              </w:rPr>
            </w:pPr>
          </w:p>
          <w:p w14:paraId="5477A064">
            <w:pPr>
              <w:spacing w:line="254" w:lineRule="auto"/>
              <w:outlineLvl w:val="9"/>
              <w:rPr>
                <w:rFonts w:ascii="Arial"/>
                <w:color w:val="auto"/>
                <w:sz w:val="21"/>
                <w:highlight w:val="none"/>
              </w:rPr>
            </w:pPr>
          </w:p>
          <w:p w14:paraId="2C69F542">
            <w:pPr>
              <w:spacing w:line="255" w:lineRule="auto"/>
              <w:outlineLvl w:val="9"/>
              <w:rPr>
                <w:rFonts w:ascii="Arial"/>
                <w:color w:val="auto"/>
                <w:sz w:val="21"/>
                <w:highlight w:val="none"/>
              </w:rPr>
            </w:pPr>
          </w:p>
          <w:p w14:paraId="37DD8E55">
            <w:pPr>
              <w:spacing w:line="255" w:lineRule="auto"/>
              <w:outlineLvl w:val="9"/>
              <w:rPr>
                <w:rFonts w:ascii="Arial"/>
                <w:color w:val="auto"/>
                <w:sz w:val="21"/>
                <w:highlight w:val="none"/>
              </w:rPr>
            </w:pPr>
          </w:p>
          <w:p w14:paraId="67C4667F">
            <w:pPr>
              <w:spacing w:line="255" w:lineRule="auto"/>
              <w:outlineLvl w:val="9"/>
              <w:rPr>
                <w:rFonts w:ascii="Arial"/>
                <w:color w:val="auto"/>
                <w:sz w:val="21"/>
                <w:highlight w:val="none"/>
              </w:rPr>
            </w:pPr>
          </w:p>
          <w:p w14:paraId="674BA830">
            <w:pPr>
              <w:spacing w:line="255" w:lineRule="auto"/>
              <w:outlineLvl w:val="9"/>
              <w:rPr>
                <w:rFonts w:ascii="Arial"/>
                <w:color w:val="auto"/>
                <w:sz w:val="21"/>
                <w:highlight w:val="none"/>
              </w:rPr>
            </w:pPr>
          </w:p>
          <w:p w14:paraId="37114BAB">
            <w:pPr>
              <w:spacing w:line="255" w:lineRule="auto"/>
              <w:outlineLvl w:val="9"/>
              <w:rPr>
                <w:rFonts w:ascii="Arial"/>
                <w:color w:val="auto"/>
                <w:sz w:val="21"/>
                <w:highlight w:val="none"/>
              </w:rPr>
            </w:pPr>
          </w:p>
          <w:p w14:paraId="60486041">
            <w:pPr>
              <w:spacing w:line="255" w:lineRule="auto"/>
              <w:outlineLvl w:val="9"/>
              <w:rPr>
                <w:rFonts w:ascii="Arial"/>
                <w:color w:val="auto"/>
                <w:sz w:val="21"/>
                <w:highlight w:val="none"/>
              </w:rPr>
            </w:pPr>
          </w:p>
          <w:p w14:paraId="17F4E86F">
            <w:pPr>
              <w:spacing w:line="255" w:lineRule="auto"/>
              <w:outlineLvl w:val="9"/>
              <w:rPr>
                <w:rFonts w:ascii="Arial"/>
                <w:color w:val="auto"/>
                <w:sz w:val="21"/>
                <w:highlight w:val="none"/>
              </w:rPr>
            </w:pPr>
          </w:p>
          <w:p w14:paraId="1DD11CE4">
            <w:pPr>
              <w:spacing w:line="255" w:lineRule="auto"/>
              <w:outlineLvl w:val="9"/>
              <w:rPr>
                <w:rFonts w:ascii="Arial"/>
                <w:color w:val="auto"/>
                <w:sz w:val="21"/>
                <w:highlight w:val="none"/>
              </w:rPr>
            </w:pPr>
          </w:p>
          <w:p w14:paraId="79EAAA7F">
            <w:pPr>
              <w:spacing w:line="255" w:lineRule="auto"/>
              <w:outlineLvl w:val="9"/>
              <w:rPr>
                <w:rFonts w:ascii="Arial"/>
                <w:color w:val="auto"/>
                <w:sz w:val="21"/>
                <w:highlight w:val="none"/>
              </w:rPr>
            </w:pPr>
          </w:p>
          <w:p w14:paraId="51D485E3">
            <w:pPr>
              <w:spacing w:line="255" w:lineRule="auto"/>
              <w:outlineLvl w:val="9"/>
              <w:rPr>
                <w:rFonts w:ascii="Arial"/>
                <w:color w:val="auto"/>
                <w:sz w:val="21"/>
                <w:highlight w:val="none"/>
              </w:rPr>
            </w:pPr>
          </w:p>
          <w:p w14:paraId="565548EE">
            <w:pPr>
              <w:spacing w:line="255" w:lineRule="auto"/>
              <w:outlineLvl w:val="9"/>
              <w:rPr>
                <w:rFonts w:ascii="Arial"/>
                <w:color w:val="auto"/>
                <w:sz w:val="21"/>
                <w:highlight w:val="none"/>
              </w:rPr>
            </w:pPr>
          </w:p>
          <w:p w14:paraId="699A708C">
            <w:pPr>
              <w:spacing w:line="255" w:lineRule="auto"/>
              <w:outlineLvl w:val="9"/>
              <w:rPr>
                <w:rFonts w:ascii="Arial"/>
                <w:color w:val="auto"/>
                <w:sz w:val="21"/>
                <w:highlight w:val="none"/>
              </w:rPr>
            </w:pPr>
          </w:p>
          <w:p w14:paraId="56B3C2D6">
            <w:pPr>
              <w:pStyle w:val="27"/>
              <w:spacing w:before="68" w:line="183" w:lineRule="auto"/>
              <w:ind w:left="759" w:leftChars="0"/>
              <w:outlineLvl w:val="9"/>
              <w:rPr>
                <w:rFonts w:ascii="宋体" w:hAnsi="宋体" w:eastAsia="宋体" w:cs="宋体"/>
                <w:snapToGrid w:val="0"/>
                <w:color w:val="auto"/>
                <w:kern w:val="0"/>
                <w:sz w:val="21"/>
                <w:szCs w:val="21"/>
                <w:highlight w:val="none"/>
                <w:lang w:val="en-US" w:eastAsia="en-US" w:bidi="ar-SA"/>
              </w:rPr>
            </w:pPr>
            <w:r>
              <w:rPr>
                <w:color w:val="auto"/>
                <w:spacing w:val="-2"/>
                <w:highlight w:val="none"/>
              </w:rPr>
              <w:t>2.1.4</w:t>
            </w:r>
          </w:p>
        </w:tc>
        <w:tc>
          <w:tcPr>
            <w:tcW w:w="1882" w:type="dxa"/>
            <w:shd w:val="clear" w:color="auto" w:fill="auto"/>
            <w:vAlign w:val="top"/>
          </w:tcPr>
          <w:p w14:paraId="7169AD6A">
            <w:pPr>
              <w:spacing w:line="242" w:lineRule="auto"/>
              <w:outlineLvl w:val="9"/>
              <w:rPr>
                <w:rFonts w:ascii="Arial"/>
                <w:color w:val="auto"/>
                <w:sz w:val="21"/>
                <w:highlight w:val="none"/>
              </w:rPr>
            </w:pPr>
          </w:p>
          <w:p w14:paraId="263B4BA7">
            <w:pPr>
              <w:spacing w:line="242" w:lineRule="auto"/>
              <w:outlineLvl w:val="9"/>
              <w:rPr>
                <w:rFonts w:ascii="Arial"/>
                <w:color w:val="auto"/>
                <w:sz w:val="21"/>
                <w:highlight w:val="none"/>
              </w:rPr>
            </w:pPr>
          </w:p>
          <w:p w14:paraId="406E0A76">
            <w:pPr>
              <w:spacing w:line="242" w:lineRule="auto"/>
              <w:outlineLvl w:val="9"/>
              <w:rPr>
                <w:rFonts w:ascii="Arial"/>
                <w:color w:val="auto"/>
                <w:sz w:val="21"/>
                <w:highlight w:val="none"/>
              </w:rPr>
            </w:pPr>
          </w:p>
          <w:p w14:paraId="42601EC1">
            <w:pPr>
              <w:spacing w:line="242" w:lineRule="auto"/>
              <w:outlineLvl w:val="9"/>
              <w:rPr>
                <w:rFonts w:ascii="Arial"/>
                <w:color w:val="auto"/>
                <w:sz w:val="21"/>
                <w:highlight w:val="none"/>
              </w:rPr>
            </w:pPr>
          </w:p>
          <w:p w14:paraId="56E2AA8D">
            <w:pPr>
              <w:spacing w:line="242" w:lineRule="auto"/>
              <w:outlineLvl w:val="9"/>
              <w:rPr>
                <w:rFonts w:ascii="Arial"/>
                <w:color w:val="auto"/>
                <w:sz w:val="21"/>
                <w:highlight w:val="none"/>
              </w:rPr>
            </w:pPr>
          </w:p>
          <w:p w14:paraId="09FD1BB6">
            <w:pPr>
              <w:spacing w:line="242" w:lineRule="auto"/>
              <w:outlineLvl w:val="9"/>
              <w:rPr>
                <w:rFonts w:ascii="Arial"/>
                <w:color w:val="auto"/>
                <w:sz w:val="21"/>
                <w:highlight w:val="none"/>
              </w:rPr>
            </w:pPr>
          </w:p>
          <w:p w14:paraId="6D2178DA">
            <w:pPr>
              <w:spacing w:line="242" w:lineRule="auto"/>
              <w:outlineLvl w:val="9"/>
              <w:rPr>
                <w:rFonts w:ascii="Arial"/>
                <w:color w:val="auto"/>
                <w:sz w:val="21"/>
                <w:highlight w:val="none"/>
              </w:rPr>
            </w:pPr>
          </w:p>
          <w:p w14:paraId="11945792">
            <w:pPr>
              <w:spacing w:line="242" w:lineRule="auto"/>
              <w:outlineLvl w:val="9"/>
              <w:rPr>
                <w:rFonts w:ascii="Arial"/>
                <w:color w:val="auto"/>
                <w:sz w:val="21"/>
                <w:highlight w:val="none"/>
              </w:rPr>
            </w:pPr>
          </w:p>
          <w:p w14:paraId="3C26A01F">
            <w:pPr>
              <w:spacing w:line="242" w:lineRule="auto"/>
              <w:outlineLvl w:val="9"/>
              <w:rPr>
                <w:rFonts w:ascii="Arial"/>
                <w:color w:val="auto"/>
                <w:sz w:val="21"/>
                <w:highlight w:val="none"/>
              </w:rPr>
            </w:pPr>
          </w:p>
          <w:p w14:paraId="42AA82FF">
            <w:pPr>
              <w:spacing w:line="242" w:lineRule="auto"/>
              <w:outlineLvl w:val="9"/>
              <w:rPr>
                <w:rFonts w:ascii="Arial"/>
                <w:color w:val="auto"/>
                <w:sz w:val="21"/>
                <w:highlight w:val="none"/>
              </w:rPr>
            </w:pPr>
          </w:p>
          <w:p w14:paraId="274C9F07">
            <w:pPr>
              <w:spacing w:line="242" w:lineRule="auto"/>
              <w:outlineLvl w:val="9"/>
              <w:rPr>
                <w:rFonts w:ascii="Arial"/>
                <w:color w:val="auto"/>
                <w:sz w:val="21"/>
                <w:highlight w:val="none"/>
              </w:rPr>
            </w:pPr>
          </w:p>
          <w:p w14:paraId="6540FCF1">
            <w:pPr>
              <w:spacing w:line="242" w:lineRule="auto"/>
              <w:outlineLvl w:val="9"/>
              <w:rPr>
                <w:rFonts w:ascii="Arial"/>
                <w:color w:val="auto"/>
                <w:sz w:val="21"/>
                <w:highlight w:val="none"/>
              </w:rPr>
            </w:pPr>
          </w:p>
          <w:p w14:paraId="37E5B96B">
            <w:pPr>
              <w:spacing w:line="242" w:lineRule="auto"/>
              <w:outlineLvl w:val="9"/>
              <w:rPr>
                <w:rFonts w:ascii="Arial"/>
                <w:color w:val="auto"/>
                <w:sz w:val="21"/>
                <w:highlight w:val="none"/>
              </w:rPr>
            </w:pPr>
          </w:p>
          <w:p w14:paraId="7C31AC06">
            <w:pPr>
              <w:spacing w:line="242" w:lineRule="auto"/>
              <w:outlineLvl w:val="9"/>
              <w:rPr>
                <w:rFonts w:ascii="Arial"/>
                <w:color w:val="auto"/>
                <w:sz w:val="21"/>
                <w:highlight w:val="none"/>
              </w:rPr>
            </w:pPr>
          </w:p>
          <w:p w14:paraId="052F65AE">
            <w:pPr>
              <w:spacing w:line="242" w:lineRule="auto"/>
              <w:outlineLvl w:val="9"/>
              <w:rPr>
                <w:rFonts w:ascii="Arial"/>
                <w:color w:val="auto"/>
                <w:sz w:val="21"/>
                <w:highlight w:val="none"/>
              </w:rPr>
            </w:pPr>
          </w:p>
          <w:p w14:paraId="3DB039AC">
            <w:pPr>
              <w:pStyle w:val="27"/>
              <w:spacing w:before="122" w:line="266" w:lineRule="auto"/>
              <w:ind w:left="114" w:right="106" w:firstLine="5"/>
              <w:outlineLvl w:val="9"/>
              <w:rPr>
                <w:rFonts w:ascii="宋体" w:hAnsi="宋体" w:eastAsia="宋体" w:cs="宋体"/>
                <w:snapToGrid w:val="0"/>
                <w:color w:val="auto"/>
                <w:kern w:val="0"/>
                <w:sz w:val="21"/>
                <w:szCs w:val="21"/>
                <w:highlight w:val="none"/>
                <w:lang w:val="en-US" w:eastAsia="en-US" w:bidi="ar-SA"/>
              </w:rPr>
            </w:pPr>
            <w:r>
              <w:rPr>
                <w:color w:val="auto"/>
                <w:spacing w:val="1"/>
                <w:highlight w:val="none"/>
              </w:rPr>
              <w:t>评标价 (100分)</w:t>
            </w:r>
          </w:p>
        </w:tc>
        <w:tc>
          <w:tcPr>
            <w:tcW w:w="5277" w:type="dxa"/>
            <w:shd w:val="clear" w:color="auto" w:fill="auto"/>
            <w:vAlign w:val="top"/>
          </w:tcPr>
          <w:p w14:paraId="3D5272E1">
            <w:pPr>
              <w:pStyle w:val="27"/>
              <w:spacing w:before="70" w:line="251" w:lineRule="auto"/>
              <w:ind w:right="110"/>
              <w:outlineLvl w:val="9"/>
              <w:rPr>
                <w:color w:val="auto"/>
                <w:spacing w:val="7"/>
                <w:highlight w:val="none"/>
              </w:rPr>
            </w:pPr>
            <w:r>
              <w:rPr>
                <w:color w:val="auto"/>
                <w:spacing w:val="7"/>
                <w:highlight w:val="none"/>
              </w:rPr>
              <w:t>（1）如果投标人的评标价&gt;评标基准价，则评标价得分＝100－偏差率×100×</w:t>
            </w:r>
            <w:r>
              <w:rPr>
                <w:rFonts w:ascii="Times New Roman" w:hAnsi="Times New Roman" w:eastAsia="Times New Roman" w:cs="Times New Roman"/>
                <w:color w:val="auto"/>
                <w:spacing w:val="-1"/>
                <w:highlight w:val="none"/>
              </w:rPr>
              <w:t>E</w:t>
            </w:r>
            <w:r>
              <w:rPr>
                <w:rFonts w:ascii="Times New Roman" w:hAnsi="Times New Roman" w:eastAsia="Times New Roman" w:cs="Times New Roman"/>
                <w:color w:val="auto"/>
                <w:spacing w:val="-1"/>
                <w:position w:val="-3"/>
                <w:sz w:val="13"/>
                <w:szCs w:val="13"/>
                <w:highlight w:val="none"/>
              </w:rPr>
              <w:t>1</w:t>
            </w:r>
            <w:r>
              <w:rPr>
                <w:color w:val="auto"/>
                <w:spacing w:val="7"/>
                <w:highlight w:val="none"/>
              </w:rPr>
              <w:t>；</w:t>
            </w:r>
          </w:p>
          <w:p w14:paraId="28AFBB1A">
            <w:pPr>
              <w:pStyle w:val="27"/>
              <w:spacing w:before="70" w:line="251" w:lineRule="auto"/>
              <w:ind w:right="110"/>
              <w:outlineLvl w:val="9"/>
              <w:rPr>
                <w:color w:val="auto"/>
                <w:spacing w:val="7"/>
                <w:highlight w:val="none"/>
              </w:rPr>
            </w:pPr>
            <w:r>
              <w:rPr>
                <w:color w:val="auto"/>
                <w:spacing w:val="7"/>
                <w:highlight w:val="none"/>
              </w:rPr>
              <w:t>（2）如果投标人的评标价≤评标基准价，则评标价得分＝100＋偏差率×100×</w:t>
            </w:r>
            <w:r>
              <w:rPr>
                <w:rFonts w:ascii="Times New Roman" w:hAnsi="Times New Roman" w:eastAsia="Times New Roman" w:cs="Times New Roman"/>
                <w:color w:val="auto"/>
                <w:spacing w:val="-1"/>
                <w:highlight w:val="none"/>
              </w:rPr>
              <w:t>E</w:t>
            </w:r>
            <w:r>
              <w:rPr>
                <w:rFonts w:ascii="Times New Roman" w:hAnsi="Times New Roman" w:eastAsia="Times New Roman" w:cs="Times New Roman"/>
                <w:color w:val="auto"/>
                <w:spacing w:val="-1"/>
                <w:position w:val="-3"/>
                <w:sz w:val="13"/>
                <w:szCs w:val="13"/>
                <w:highlight w:val="none"/>
              </w:rPr>
              <w:t>2</w:t>
            </w:r>
            <w:r>
              <w:rPr>
                <w:color w:val="auto"/>
                <w:spacing w:val="7"/>
                <w:highlight w:val="none"/>
              </w:rPr>
              <w:t>。</w:t>
            </w:r>
          </w:p>
          <w:p w14:paraId="2C2BF865">
            <w:pPr>
              <w:pStyle w:val="27"/>
              <w:spacing w:before="115" w:line="284" w:lineRule="auto"/>
              <w:ind w:left="101" w:right="26" w:firstLine="432"/>
              <w:jc w:val="both"/>
              <w:outlineLvl w:val="9"/>
              <w:rPr>
                <w:color w:val="auto"/>
                <w:sz w:val="22"/>
                <w:szCs w:val="22"/>
                <w:highlight w:val="none"/>
              </w:rPr>
            </w:pPr>
            <w:r>
              <w:rPr>
                <w:color w:val="auto"/>
                <w:spacing w:val="-1"/>
                <w:highlight w:val="none"/>
              </w:rPr>
              <w:t>本招标项目</w:t>
            </w:r>
            <w:r>
              <w:rPr>
                <w:color w:val="auto"/>
                <w:spacing w:val="-48"/>
                <w:highlight w:val="none"/>
              </w:rPr>
              <w:t xml:space="preserve"> </w:t>
            </w:r>
            <w:r>
              <w:rPr>
                <w:rFonts w:ascii="Times New Roman" w:hAnsi="Times New Roman" w:eastAsia="Times New Roman" w:cs="Times New Roman"/>
                <w:color w:val="auto"/>
                <w:spacing w:val="-1"/>
                <w:highlight w:val="none"/>
              </w:rPr>
              <w:t>E</w:t>
            </w:r>
            <w:r>
              <w:rPr>
                <w:rFonts w:ascii="Times New Roman" w:hAnsi="Times New Roman" w:eastAsia="Times New Roman" w:cs="Times New Roman"/>
                <w:color w:val="auto"/>
                <w:spacing w:val="-1"/>
                <w:position w:val="-3"/>
                <w:sz w:val="13"/>
                <w:szCs w:val="13"/>
                <w:highlight w:val="none"/>
              </w:rPr>
              <w:t>1</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spacing w:val="-52"/>
                <w:highlight w:val="none"/>
              </w:rPr>
              <w:t xml:space="preserve"> </w:t>
            </w:r>
            <w:r>
              <w:rPr>
                <w:rFonts w:ascii="Times New Roman" w:hAnsi="Times New Roman" w:eastAsia="Times New Roman" w:cs="Times New Roman"/>
                <w:color w:val="auto"/>
                <w:spacing w:val="4"/>
                <w:highlight w:val="none"/>
                <w:u w:val="single" w:color="auto"/>
              </w:rPr>
              <w:t xml:space="preserve">    </w:t>
            </w:r>
            <w:r>
              <w:rPr>
                <w:rFonts w:hint="eastAsia" w:ascii="Times New Roman" w:hAnsi="Times New Roman" w:eastAsia="宋体" w:cs="Times New Roman"/>
                <w:color w:val="auto"/>
                <w:spacing w:val="4"/>
                <w:highlight w:val="none"/>
                <w:u w:val="single" w:color="auto"/>
                <w:lang w:val="en-US" w:eastAsia="zh-CN"/>
              </w:rPr>
              <w:t>1</w:t>
            </w:r>
            <w:r>
              <w:rPr>
                <w:rFonts w:ascii="Times New Roman" w:hAnsi="Times New Roman" w:eastAsia="Times New Roman" w:cs="Times New Roman"/>
                <w:color w:val="auto"/>
                <w:spacing w:val="4"/>
                <w:highlight w:val="none"/>
                <w:u w:val="single" w:color="auto"/>
              </w:rPr>
              <w:t xml:space="preserve">     </w:t>
            </w:r>
            <w:r>
              <w:rPr>
                <w:rFonts w:ascii="Times New Roman" w:hAnsi="Times New Roman" w:eastAsia="Times New Roman" w:cs="Times New Roman"/>
                <w:color w:val="auto"/>
                <w:spacing w:val="-19"/>
                <w:highlight w:val="none"/>
              </w:rPr>
              <w:t xml:space="preserve"> </w:t>
            </w:r>
            <w:r>
              <w:rPr>
                <w:color w:val="auto"/>
                <w:spacing w:val="-1"/>
                <w:highlight w:val="none"/>
              </w:rPr>
              <w:t>；</w:t>
            </w:r>
            <w:r>
              <w:rPr>
                <w:rFonts w:ascii="Times New Roman" w:hAnsi="Times New Roman" w:eastAsia="Times New Roman" w:cs="Times New Roman"/>
                <w:color w:val="auto"/>
                <w:spacing w:val="-1"/>
                <w:highlight w:val="none"/>
              </w:rPr>
              <w:t>E</w:t>
            </w:r>
            <w:r>
              <w:rPr>
                <w:rFonts w:ascii="Times New Roman" w:hAnsi="Times New Roman" w:eastAsia="Times New Roman" w:cs="Times New Roman"/>
                <w:color w:val="auto"/>
                <w:spacing w:val="-1"/>
                <w:position w:val="-3"/>
                <w:sz w:val="13"/>
                <w:szCs w:val="13"/>
                <w:highlight w:val="none"/>
              </w:rPr>
              <w:t>2</w:t>
            </w:r>
            <w:r>
              <w:rPr>
                <w:rFonts w:ascii="Times New Roman" w:hAnsi="Times New Roman" w:eastAsia="Times New Roman" w:cs="Times New Roman"/>
                <w:color w:val="auto"/>
                <w:spacing w:val="-1"/>
                <w:highlight w:val="none"/>
              </w:rPr>
              <w:t>=</w:t>
            </w:r>
            <w:r>
              <w:rPr>
                <w:rFonts w:ascii="Times New Roman" w:hAnsi="Times New Roman" w:eastAsia="Times New Roman" w:cs="Times New Roman"/>
                <w:color w:val="auto"/>
                <w:spacing w:val="-51"/>
                <w:highlight w:val="none"/>
              </w:rPr>
              <w:t xml:space="preserve"> </w:t>
            </w:r>
            <w:r>
              <w:rPr>
                <w:rFonts w:ascii="Times New Roman" w:hAnsi="Times New Roman" w:eastAsia="Times New Roman" w:cs="Times New Roman"/>
                <w:color w:val="auto"/>
                <w:spacing w:val="-1"/>
                <w:highlight w:val="none"/>
                <w:u w:val="single" w:color="auto"/>
              </w:rPr>
              <w:t xml:space="preserve">     </w:t>
            </w:r>
            <w:r>
              <w:rPr>
                <w:rFonts w:hint="eastAsia" w:ascii="Times New Roman" w:hAnsi="Times New Roman" w:eastAsia="宋体" w:cs="Times New Roman"/>
                <w:color w:val="auto"/>
                <w:spacing w:val="-1"/>
                <w:highlight w:val="none"/>
                <w:u w:val="single" w:color="auto"/>
                <w:lang w:val="en-US" w:eastAsia="zh-CN"/>
              </w:rPr>
              <w:t>0.5</w:t>
            </w:r>
            <w:r>
              <w:rPr>
                <w:rFonts w:ascii="Times New Roman" w:hAnsi="Times New Roman" w:eastAsia="Times New Roman" w:cs="Times New Roman"/>
                <w:color w:val="auto"/>
                <w:spacing w:val="-1"/>
                <w:highlight w:val="none"/>
                <w:u w:val="single" w:color="auto"/>
              </w:rPr>
              <w:t xml:space="preserve">     </w:t>
            </w:r>
          </w:p>
          <w:p w14:paraId="03DFC587">
            <w:pPr>
              <w:pStyle w:val="27"/>
              <w:spacing w:before="25" w:line="307" w:lineRule="auto"/>
              <w:ind w:left="115" w:right="105" w:hanging="1"/>
              <w:jc w:val="both"/>
              <w:outlineLvl w:val="9"/>
              <w:rPr>
                <w:color w:val="auto"/>
                <w:highlight w:val="none"/>
              </w:rPr>
            </w:pPr>
            <w:r>
              <w:rPr>
                <w:color w:val="auto"/>
                <w:highlight w:val="none"/>
              </w:rPr>
              <w:t>其中：</w:t>
            </w:r>
            <w:r>
              <w:rPr>
                <w:rFonts w:ascii="Times New Roman" w:hAnsi="Times New Roman" w:eastAsia="Times New Roman" w:cs="Times New Roman"/>
                <w:color w:val="auto"/>
                <w:highlight w:val="none"/>
              </w:rPr>
              <w:t>E</w:t>
            </w:r>
            <w:r>
              <w:rPr>
                <w:rFonts w:ascii="Times New Roman" w:hAnsi="Times New Roman" w:eastAsia="Times New Roman" w:cs="Times New Roman"/>
                <w:color w:val="auto"/>
                <w:position w:val="-3"/>
                <w:sz w:val="13"/>
                <w:szCs w:val="13"/>
                <w:highlight w:val="none"/>
              </w:rPr>
              <w:t xml:space="preserve">1 </w:t>
            </w:r>
            <w:r>
              <w:rPr>
                <w:color w:val="auto"/>
                <w:highlight w:val="none"/>
              </w:rPr>
              <w:t>是评标价每高于评标基准价一个百分点的扣分值，</w:t>
            </w:r>
            <w:r>
              <w:rPr>
                <w:rFonts w:ascii="Times New Roman" w:hAnsi="Times New Roman" w:eastAsia="Times New Roman" w:cs="Times New Roman"/>
                <w:color w:val="auto"/>
                <w:highlight w:val="none"/>
              </w:rPr>
              <w:t>E</w:t>
            </w:r>
            <w:r>
              <w:rPr>
                <w:rFonts w:ascii="Times New Roman" w:hAnsi="Times New Roman" w:eastAsia="Times New Roman" w:cs="Times New Roman"/>
                <w:color w:val="auto"/>
                <w:position w:val="-3"/>
                <w:sz w:val="13"/>
                <w:szCs w:val="13"/>
                <w:highlight w:val="none"/>
              </w:rPr>
              <w:t xml:space="preserve">2 </w:t>
            </w:r>
            <w:r>
              <w:rPr>
                <w:color w:val="auto"/>
                <w:highlight w:val="none"/>
              </w:rPr>
              <w:t>是评标价每低于评标基准价</w:t>
            </w:r>
            <w:r>
              <w:rPr>
                <w:color w:val="auto"/>
                <w:spacing w:val="-1"/>
                <w:highlight w:val="none"/>
              </w:rPr>
              <w:t>一个百</w:t>
            </w:r>
            <w:r>
              <w:rPr>
                <w:color w:val="auto"/>
                <w:spacing w:val="-2"/>
                <w:highlight w:val="none"/>
              </w:rPr>
              <w:t>分点的扣分值。</w:t>
            </w:r>
          </w:p>
          <w:p w14:paraId="05BDB327">
            <w:pPr>
              <w:pStyle w:val="27"/>
              <w:spacing w:before="115" w:line="284" w:lineRule="auto"/>
              <w:ind w:left="101" w:right="26" w:firstLine="432"/>
              <w:jc w:val="both"/>
              <w:outlineLvl w:val="9"/>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当投标报价得分为负时，均按0分计算</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lang w:val="en-US" w:eastAsia="zh-CN"/>
              </w:rPr>
              <w:t>得分计算结果保留小数点后两位，小数点后第三位“四舍五入”</w:t>
            </w:r>
            <w:r>
              <w:rPr>
                <w:rFonts w:hint="eastAsia" w:ascii="宋体" w:hAnsi="宋体" w:eastAsia="宋体" w:cs="宋体"/>
                <w:color w:val="auto"/>
                <w:spacing w:val="-1"/>
                <w:highlight w:val="none"/>
              </w:rPr>
              <w:t>。</w:t>
            </w:r>
          </w:p>
          <w:p w14:paraId="1BA160DC">
            <w:pPr>
              <w:pStyle w:val="27"/>
              <w:spacing w:before="108" w:line="304" w:lineRule="auto"/>
              <w:ind w:left="111" w:leftChars="0" w:right="9" w:rightChars="0" w:firstLine="23" w:firstLineChars="0"/>
              <w:outlineLvl w:val="9"/>
              <w:rPr>
                <w:rFonts w:ascii="宋体" w:hAnsi="宋体" w:eastAsia="宋体" w:cs="宋体"/>
                <w:snapToGrid w:val="0"/>
                <w:color w:val="auto"/>
                <w:kern w:val="0"/>
                <w:sz w:val="21"/>
                <w:szCs w:val="21"/>
                <w:highlight w:val="none"/>
                <w:lang w:val="en-US" w:eastAsia="en-US" w:bidi="ar-SA"/>
              </w:rPr>
            </w:pPr>
            <w:r>
              <w:rPr>
                <w:color w:val="auto"/>
                <w:spacing w:val="5"/>
                <w:highlight w:val="none"/>
              </w:rPr>
              <w:t>□符合《政府采购促进中小企业发展管理办法》</w:t>
            </w:r>
            <w:r>
              <w:rPr>
                <w:color w:val="auto"/>
                <w:spacing w:val="17"/>
                <w:highlight w:val="none"/>
              </w:rPr>
              <w:t xml:space="preserve"> </w:t>
            </w:r>
            <w:r>
              <w:rPr>
                <w:color w:val="auto"/>
                <w:spacing w:val="-1"/>
                <w:highlight w:val="none"/>
              </w:rPr>
              <w:t>（财库〔</w:t>
            </w:r>
            <w:r>
              <w:rPr>
                <w:rFonts w:ascii="Times New Roman" w:hAnsi="Times New Roman" w:eastAsia="Times New Roman" w:cs="Times New Roman"/>
                <w:color w:val="auto"/>
                <w:spacing w:val="-1"/>
                <w:highlight w:val="none"/>
              </w:rPr>
              <w:t>2020</w:t>
            </w:r>
            <w:r>
              <w:rPr>
                <w:color w:val="auto"/>
                <w:spacing w:val="-1"/>
                <w:highlight w:val="none"/>
              </w:rPr>
              <w:t>〕</w:t>
            </w:r>
            <w:r>
              <w:rPr>
                <w:rFonts w:ascii="Times New Roman" w:hAnsi="Times New Roman" w:eastAsia="Times New Roman" w:cs="Times New Roman"/>
                <w:color w:val="auto"/>
                <w:spacing w:val="-1"/>
                <w:highlight w:val="none"/>
              </w:rPr>
              <w:t>46</w:t>
            </w:r>
            <w:r>
              <w:rPr>
                <w:rFonts w:ascii="Times New Roman" w:hAnsi="Times New Roman" w:eastAsia="Times New Roman" w:cs="Times New Roman"/>
                <w:color w:val="auto"/>
                <w:spacing w:val="21"/>
                <w:highlight w:val="none"/>
              </w:rPr>
              <w:t xml:space="preserve"> </w:t>
            </w:r>
            <w:r>
              <w:rPr>
                <w:color w:val="auto"/>
                <w:spacing w:val="-1"/>
                <w:highlight w:val="none"/>
              </w:rPr>
              <w:t>号）第九条第一款情形时，对</w:t>
            </w:r>
            <w:r>
              <w:rPr>
                <w:color w:val="auto"/>
                <w:spacing w:val="2"/>
                <w:highlight w:val="none"/>
              </w:rPr>
              <w:t>于小微企业，评标时应当在采用原报价进行评分</w:t>
            </w:r>
            <w:r>
              <w:rPr>
                <w:color w:val="auto"/>
                <w:spacing w:val="1"/>
                <w:highlight w:val="none"/>
              </w:rPr>
              <w:t>的基础上增加其价格得分的</w:t>
            </w:r>
            <w:r>
              <w:rPr>
                <w:color w:val="auto"/>
                <w:spacing w:val="-94"/>
                <w:highlight w:val="none"/>
              </w:rPr>
              <w:t xml:space="preserve"> </w:t>
            </w:r>
            <w:r>
              <w:rPr>
                <w:rFonts w:ascii="Times New Roman" w:hAnsi="Times New Roman" w:eastAsia="Times New Roman" w:cs="Times New Roman"/>
                <w:color w:val="auto"/>
                <w:spacing w:val="1"/>
                <w:highlight w:val="none"/>
                <w:u w:val="single" w:color="auto"/>
              </w:rPr>
              <w:t xml:space="preserve">          %</w:t>
            </w:r>
            <w:r>
              <w:rPr>
                <w:rFonts w:ascii="Times New Roman" w:hAnsi="Times New Roman" w:eastAsia="Times New Roman" w:cs="Times New Roman"/>
                <w:color w:val="auto"/>
                <w:spacing w:val="-32"/>
                <w:highlight w:val="none"/>
              </w:rPr>
              <w:t xml:space="preserve"> </w:t>
            </w:r>
            <w:r>
              <w:rPr>
                <w:b/>
                <w:bCs/>
                <w:i/>
                <w:iCs/>
                <w:color w:val="auto"/>
                <w:spacing w:val="1"/>
                <w:sz w:val="22"/>
                <w:szCs w:val="22"/>
                <w:highlight w:val="none"/>
              </w:rPr>
              <w:t>（</w:t>
            </w:r>
            <w:r>
              <w:rPr>
                <w:rFonts w:ascii="Times New Roman" w:hAnsi="Times New Roman" w:eastAsia="Times New Roman" w:cs="Times New Roman"/>
                <w:b/>
                <w:bCs/>
                <w:i/>
                <w:iCs/>
                <w:color w:val="auto"/>
                <w:spacing w:val="1"/>
                <w:highlight w:val="none"/>
              </w:rPr>
              <w:t>3%</w:t>
            </w:r>
            <w:r>
              <w:rPr>
                <w:b/>
                <w:bCs/>
                <w:i/>
                <w:iCs/>
                <w:color w:val="auto"/>
                <w:spacing w:val="1"/>
                <w:sz w:val="22"/>
                <w:szCs w:val="22"/>
                <w:highlight w:val="none"/>
              </w:rPr>
              <w:t>—</w:t>
            </w:r>
            <w:r>
              <w:rPr>
                <w:rFonts w:ascii="Times New Roman" w:hAnsi="Times New Roman" w:eastAsia="Times New Roman" w:cs="Times New Roman"/>
                <w:b/>
                <w:bCs/>
                <w:i/>
                <w:iCs/>
                <w:color w:val="auto"/>
                <w:spacing w:val="1"/>
                <w:highlight w:val="none"/>
              </w:rPr>
              <w:t>5%</w:t>
            </w:r>
            <w:r>
              <w:rPr>
                <w:b/>
                <w:bCs/>
                <w:i/>
                <w:iCs/>
                <w:color w:val="auto"/>
                <w:spacing w:val="1"/>
                <w:sz w:val="22"/>
                <w:szCs w:val="22"/>
                <w:highlight w:val="none"/>
              </w:rPr>
              <w:t>）</w:t>
            </w:r>
            <w:r>
              <w:rPr>
                <w:color w:val="auto"/>
                <w:sz w:val="22"/>
                <w:szCs w:val="22"/>
                <w:highlight w:val="none"/>
              </w:rPr>
              <w:t xml:space="preserve"> </w:t>
            </w:r>
            <w:r>
              <w:rPr>
                <w:color w:val="auto"/>
                <w:spacing w:val="2"/>
                <w:highlight w:val="none"/>
              </w:rPr>
              <w:t>作为其价格分；符合《政府采购促进中小企业发</w:t>
            </w:r>
            <w:r>
              <w:rPr>
                <w:color w:val="auto"/>
                <w:spacing w:val="-9"/>
                <w:highlight w:val="none"/>
              </w:rPr>
              <w:t>展管理办法》（财库〔</w:t>
            </w:r>
            <w:r>
              <w:rPr>
                <w:rFonts w:ascii="Times New Roman" w:hAnsi="Times New Roman" w:eastAsia="Times New Roman" w:cs="Times New Roman"/>
                <w:color w:val="auto"/>
                <w:spacing w:val="-9"/>
                <w:highlight w:val="none"/>
              </w:rPr>
              <w:t>2020</w:t>
            </w:r>
            <w:r>
              <w:rPr>
                <w:color w:val="auto"/>
                <w:spacing w:val="-9"/>
                <w:highlight w:val="none"/>
              </w:rPr>
              <w:t>〕</w:t>
            </w:r>
            <w:r>
              <w:rPr>
                <w:rFonts w:ascii="Times New Roman" w:hAnsi="Times New Roman" w:eastAsia="Times New Roman" w:cs="Times New Roman"/>
                <w:color w:val="auto"/>
                <w:spacing w:val="-9"/>
                <w:highlight w:val="none"/>
              </w:rPr>
              <w:t>46</w:t>
            </w:r>
            <w:r>
              <w:rPr>
                <w:rFonts w:ascii="Times New Roman" w:hAnsi="Times New Roman" w:eastAsia="Times New Roman" w:cs="Times New Roman"/>
                <w:color w:val="auto"/>
                <w:spacing w:val="14"/>
                <w:highlight w:val="none"/>
              </w:rPr>
              <w:t xml:space="preserve"> </w:t>
            </w:r>
            <w:r>
              <w:rPr>
                <w:color w:val="auto"/>
                <w:spacing w:val="-9"/>
                <w:highlight w:val="none"/>
              </w:rPr>
              <w:t>号）第九条第</w:t>
            </w:r>
            <w:r>
              <w:rPr>
                <w:color w:val="auto"/>
                <w:spacing w:val="-10"/>
                <w:highlight w:val="none"/>
              </w:rPr>
              <w:t>二款</w:t>
            </w:r>
            <w:r>
              <w:rPr>
                <w:color w:val="auto"/>
                <w:spacing w:val="2"/>
                <w:highlight w:val="none"/>
              </w:rPr>
              <w:t>情形时，对于联合协议或者分包意向协议约定小</w:t>
            </w:r>
            <w:r>
              <w:rPr>
                <w:color w:val="auto"/>
                <w:spacing w:val="-1"/>
                <w:highlight w:val="none"/>
              </w:rPr>
              <w:t xml:space="preserve">微企业的合同份额占到合同总金额 </w:t>
            </w:r>
            <w:r>
              <w:rPr>
                <w:rFonts w:ascii="Times New Roman" w:hAnsi="Times New Roman" w:eastAsia="Times New Roman" w:cs="Times New Roman"/>
                <w:color w:val="auto"/>
                <w:spacing w:val="-1"/>
                <w:highlight w:val="none"/>
              </w:rPr>
              <w:t>30%</w:t>
            </w:r>
            <w:r>
              <w:rPr>
                <w:color w:val="auto"/>
                <w:spacing w:val="-1"/>
                <w:highlight w:val="none"/>
              </w:rPr>
              <w:t>以上的投</w:t>
            </w:r>
            <w:r>
              <w:rPr>
                <w:color w:val="auto"/>
                <w:spacing w:val="2"/>
                <w:highlight w:val="none"/>
              </w:rPr>
              <w:t>标人，评标时应当在采用原报价进行评分的基础</w:t>
            </w:r>
            <w:r>
              <w:rPr>
                <w:color w:val="auto"/>
                <w:spacing w:val="-1"/>
                <w:highlight w:val="none"/>
              </w:rPr>
              <w:t>上增加其价格得分的</w:t>
            </w:r>
            <w:r>
              <w:rPr>
                <w:color w:val="auto"/>
                <w:spacing w:val="-85"/>
                <w:highlight w:val="none"/>
              </w:rPr>
              <w:t xml:space="preserve"> </w:t>
            </w:r>
            <w:r>
              <w:rPr>
                <w:rFonts w:ascii="Times New Roman" w:hAnsi="Times New Roman" w:eastAsia="Times New Roman" w:cs="Times New Roman"/>
                <w:color w:val="auto"/>
                <w:spacing w:val="-1"/>
                <w:highlight w:val="none"/>
                <w:u w:val="single" w:color="auto"/>
              </w:rPr>
              <w:t xml:space="preserve">          %</w:t>
            </w:r>
            <w:r>
              <w:rPr>
                <w:rFonts w:ascii="Times New Roman" w:hAnsi="Times New Roman" w:eastAsia="Times New Roman" w:cs="Times New Roman"/>
                <w:color w:val="auto"/>
                <w:spacing w:val="-30"/>
                <w:highlight w:val="none"/>
              </w:rPr>
              <w:t xml:space="preserve"> </w:t>
            </w:r>
            <w:r>
              <w:rPr>
                <w:b/>
                <w:bCs/>
                <w:i/>
                <w:iCs/>
                <w:color w:val="auto"/>
                <w:spacing w:val="-1"/>
                <w:sz w:val="22"/>
                <w:szCs w:val="22"/>
                <w:highlight w:val="none"/>
              </w:rPr>
              <w:t>（</w:t>
            </w:r>
            <w:r>
              <w:rPr>
                <w:rFonts w:ascii="Times New Roman" w:hAnsi="Times New Roman" w:eastAsia="Times New Roman" w:cs="Times New Roman"/>
                <w:b/>
                <w:bCs/>
                <w:i/>
                <w:iCs/>
                <w:color w:val="auto"/>
                <w:spacing w:val="-1"/>
                <w:highlight w:val="none"/>
              </w:rPr>
              <w:t>1%</w:t>
            </w:r>
            <w:r>
              <w:rPr>
                <w:b/>
                <w:bCs/>
                <w:i/>
                <w:iCs/>
                <w:color w:val="auto"/>
                <w:spacing w:val="-1"/>
                <w:sz w:val="22"/>
                <w:szCs w:val="22"/>
                <w:highlight w:val="none"/>
              </w:rPr>
              <w:t>—</w:t>
            </w:r>
            <w:r>
              <w:rPr>
                <w:rFonts w:ascii="Times New Roman" w:hAnsi="Times New Roman" w:eastAsia="Times New Roman" w:cs="Times New Roman"/>
                <w:b/>
                <w:bCs/>
                <w:i/>
                <w:iCs/>
                <w:color w:val="auto"/>
                <w:spacing w:val="-1"/>
                <w:highlight w:val="none"/>
              </w:rPr>
              <w:t>2%</w:t>
            </w:r>
            <w:r>
              <w:rPr>
                <w:b/>
                <w:bCs/>
                <w:i/>
                <w:iCs/>
                <w:color w:val="auto"/>
                <w:spacing w:val="-1"/>
                <w:sz w:val="22"/>
                <w:szCs w:val="22"/>
                <w:highlight w:val="none"/>
              </w:rPr>
              <w:t>）</w:t>
            </w:r>
            <w:r>
              <w:rPr>
                <w:color w:val="auto"/>
                <w:spacing w:val="-1"/>
                <w:highlight w:val="none"/>
              </w:rPr>
              <w:t>作为其价格分。</w:t>
            </w:r>
          </w:p>
        </w:tc>
      </w:tr>
      <w:tr w14:paraId="6B798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04" w:type="dxa"/>
            <w:vMerge w:val="restart"/>
            <w:tcBorders>
              <w:bottom w:val="nil"/>
            </w:tcBorders>
            <w:vAlign w:val="top"/>
          </w:tcPr>
          <w:p w14:paraId="290E4D6D">
            <w:pPr>
              <w:spacing w:line="242" w:lineRule="auto"/>
              <w:outlineLvl w:val="9"/>
              <w:rPr>
                <w:rFonts w:ascii="Arial"/>
                <w:color w:val="auto"/>
                <w:sz w:val="21"/>
                <w:highlight w:val="none"/>
              </w:rPr>
            </w:pPr>
          </w:p>
          <w:p w14:paraId="0888FB32">
            <w:pPr>
              <w:spacing w:line="242" w:lineRule="auto"/>
              <w:outlineLvl w:val="9"/>
              <w:rPr>
                <w:rFonts w:ascii="Arial"/>
                <w:color w:val="auto"/>
                <w:sz w:val="21"/>
                <w:highlight w:val="none"/>
              </w:rPr>
            </w:pPr>
          </w:p>
          <w:p w14:paraId="2495D871">
            <w:pPr>
              <w:spacing w:line="242" w:lineRule="auto"/>
              <w:outlineLvl w:val="9"/>
              <w:rPr>
                <w:rFonts w:ascii="Arial"/>
                <w:color w:val="auto"/>
                <w:sz w:val="21"/>
                <w:highlight w:val="none"/>
              </w:rPr>
            </w:pPr>
          </w:p>
          <w:p w14:paraId="4DCCC4DB">
            <w:pPr>
              <w:spacing w:line="242" w:lineRule="auto"/>
              <w:outlineLvl w:val="9"/>
              <w:rPr>
                <w:rFonts w:ascii="Arial"/>
                <w:color w:val="auto"/>
                <w:sz w:val="21"/>
                <w:highlight w:val="none"/>
              </w:rPr>
            </w:pPr>
          </w:p>
          <w:p w14:paraId="74F3453C">
            <w:pPr>
              <w:spacing w:line="243" w:lineRule="auto"/>
              <w:outlineLvl w:val="9"/>
              <w:rPr>
                <w:rFonts w:ascii="Arial"/>
                <w:color w:val="auto"/>
                <w:sz w:val="21"/>
                <w:highlight w:val="none"/>
              </w:rPr>
            </w:pPr>
          </w:p>
          <w:p w14:paraId="216322F2">
            <w:pPr>
              <w:spacing w:line="243" w:lineRule="auto"/>
              <w:outlineLvl w:val="9"/>
              <w:rPr>
                <w:rFonts w:ascii="Arial"/>
                <w:color w:val="auto"/>
                <w:sz w:val="21"/>
                <w:highlight w:val="none"/>
              </w:rPr>
            </w:pPr>
          </w:p>
          <w:p w14:paraId="0C277426">
            <w:pPr>
              <w:spacing w:line="243" w:lineRule="auto"/>
              <w:outlineLvl w:val="9"/>
              <w:rPr>
                <w:rFonts w:ascii="Arial"/>
                <w:color w:val="auto"/>
                <w:sz w:val="21"/>
                <w:highlight w:val="none"/>
              </w:rPr>
            </w:pPr>
          </w:p>
          <w:p w14:paraId="4315C26D">
            <w:pPr>
              <w:spacing w:line="243" w:lineRule="auto"/>
              <w:outlineLvl w:val="9"/>
              <w:rPr>
                <w:rFonts w:ascii="Arial"/>
                <w:color w:val="auto"/>
                <w:sz w:val="21"/>
                <w:highlight w:val="none"/>
              </w:rPr>
            </w:pPr>
          </w:p>
          <w:p w14:paraId="109C9A38">
            <w:pPr>
              <w:pStyle w:val="27"/>
              <w:spacing w:before="68" w:line="183" w:lineRule="auto"/>
              <w:ind w:left="197"/>
              <w:outlineLvl w:val="9"/>
              <w:rPr>
                <w:color w:val="auto"/>
                <w:highlight w:val="none"/>
              </w:rPr>
            </w:pPr>
            <w:r>
              <w:rPr>
                <w:color w:val="auto"/>
                <w:spacing w:val="-2"/>
                <w:highlight w:val="none"/>
              </w:rPr>
              <w:t>2.2.1</w:t>
            </w:r>
          </w:p>
        </w:tc>
        <w:tc>
          <w:tcPr>
            <w:tcW w:w="1123" w:type="dxa"/>
            <w:vMerge w:val="restart"/>
            <w:tcBorders>
              <w:bottom w:val="nil"/>
            </w:tcBorders>
            <w:vAlign w:val="top"/>
          </w:tcPr>
          <w:p w14:paraId="00E05EB6">
            <w:pPr>
              <w:spacing w:line="249" w:lineRule="auto"/>
              <w:outlineLvl w:val="9"/>
              <w:rPr>
                <w:rFonts w:ascii="Arial"/>
                <w:color w:val="auto"/>
                <w:sz w:val="21"/>
                <w:highlight w:val="none"/>
              </w:rPr>
            </w:pPr>
          </w:p>
          <w:p w14:paraId="149DBF23">
            <w:pPr>
              <w:spacing w:line="249" w:lineRule="auto"/>
              <w:outlineLvl w:val="9"/>
              <w:rPr>
                <w:rFonts w:ascii="Arial"/>
                <w:color w:val="auto"/>
                <w:sz w:val="21"/>
                <w:highlight w:val="none"/>
              </w:rPr>
            </w:pPr>
          </w:p>
          <w:p w14:paraId="293DE933">
            <w:pPr>
              <w:spacing w:line="249" w:lineRule="auto"/>
              <w:outlineLvl w:val="9"/>
              <w:rPr>
                <w:rFonts w:ascii="Arial"/>
                <w:color w:val="auto"/>
                <w:sz w:val="21"/>
                <w:highlight w:val="none"/>
              </w:rPr>
            </w:pPr>
          </w:p>
          <w:p w14:paraId="38E0E8C6">
            <w:pPr>
              <w:spacing w:line="250" w:lineRule="auto"/>
              <w:outlineLvl w:val="9"/>
              <w:rPr>
                <w:rFonts w:ascii="Arial"/>
                <w:color w:val="auto"/>
                <w:sz w:val="21"/>
                <w:highlight w:val="none"/>
              </w:rPr>
            </w:pPr>
          </w:p>
          <w:p w14:paraId="73A8F98D">
            <w:pPr>
              <w:spacing w:line="250" w:lineRule="auto"/>
              <w:outlineLvl w:val="9"/>
              <w:rPr>
                <w:rFonts w:ascii="Arial"/>
                <w:color w:val="auto"/>
                <w:sz w:val="21"/>
                <w:highlight w:val="none"/>
              </w:rPr>
            </w:pPr>
          </w:p>
          <w:p w14:paraId="6A8AA135">
            <w:pPr>
              <w:spacing w:line="250" w:lineRule="auto"/>
              <w:outlineLvl w:val="9"/>
              <w:rPr>
                <w:rFonts w:ascii="Arial"/>
                <w:color w:val="auto"/>
                <w:sz w:val="21"/>
                <w:highlight w:val="none"/>
              </w:rPr>
            </w:pPr>
          </w:p>
          <w:p w14:paraId="4940B133">
            <w:pPr>
              <w:spacing w:line="250" w:lineRule="auto"/>
              <w:outlineLvl w:val="9"/>
              <w:rPr>
                <w:rFonts w:ascii="Arial"/>
                <w:color w:val="auto"/>
                <w:sz w:val="21"/>
                <w:highlight w:val="none"/>
              </w:rPr>
            </w:pPr>
          </w:p>
          <w:p w14:paraId="1CAE3689">
            <w:pPr>
              <w:pStyle w:val="27"/>
              <w:spacing w:before="68" w:line="267" w:lineRule="auto"/>
              <w:ind w:left="355" w:right="138" w:hanging="207"/>
              <w:outlineLvl w:val="9"/>
              <w:rPr>
                <w:color w:val="auto"/>
                <w:highlight w:val="none"/>
              </w:rPr>
            </w:pPr>
            <w:r>
              <w:rPr>
                <w:color w:val="auto"/>
                <w:spacing w:val="-3"/>
                <w:highlight w:val="none"/>
              </w:rPr>
              <w:t>形式评审</w:t>
            </w:r>
            <w:r>
              <w:rPr>
                <w:color w:val="auto"/>
                <w:spacing w:val="2"/>
                <w:highlight w:val="none"/>
              </w:rPr>
              <w:t xml:space="preserve"> </w:t>
            </w:r>
            <w:r>
              <w:rPr>
                <w:color w:val="auto"/>
                <w:spacing w:val="-2"/>
                <w:highlight w:val="none"/>
              </w:rPr>
              <w:t>标准</w:t>
            </w:r>
          </w:p>
        </w:tc>
        <w:tc>
          <w:tcPr>
            <w:tcW w:w="1882" w:type="dxa"/>
            <w:vAlign w:val="center"/>
          </w:tcPr>
          <w:p w14:paraId="26CD58FA">
            <w:pPr>
              <w:pStyle w:val="27"/>
              <w:spacing w:before="125" w:line="221" w:lineRule="auto"/>
              <w:jc w:val="center"/>
              <w:outlineLvl w:val="9"/>
              <w:rPr>
                <w:color w:val="auto"/>
                <w:highlight w:val="none"/>
              </w:rPr>
            </w:pPr>
            <w:r>
              <w:rPr>
                <w:color w:val="auto"/>
                <w:spacing w:val="-2"/>
                <w:highlight w:val="none"/>
              </w:rPr>
              <w:t>投标文件</w:t>
            </w:r>
          </w:p>
        </w:tc>
        <w:tc>
          <w:tcPr>
            <w:tcW w:w="5277" w:type="dxa"/>
            <w:vAlign w:val="top"/>
          </w:tcPr>
          <w:p w14:paraId="1A337FD9">
            <w:pPr>
              <w:pStyle w:val="27"/>
              <w:spacing w:before="125" w:line="221" w:lineRule="auto"/>
              <w:ind w:left="116"/>
              <w:outlineLvl w:val="9"/>
              <w:rPr>
                <w:color w:val="auto"/>
                <w:highlight w:val="none"/>
              </w:rPr>
            </w:pPr>
            <w:r>
              <w:rPr>
                <w:color w:val="auto"/>
                <w:spacing w:val="-1"/>
                <w:highlight w:val="none"/>
              </w:rPr>
              <w:t>投标文件能正常打开</w:t>
            </w:r>
          </w:p>
        </w:tc>
      </w:tr>
      <w:tr w14:paraId="231B4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04" w:type="dxa"/>
            <w:vMerge w:val="continue"/>
            <w:tcBorders>
              <w:top w:val="nil"/>
              <w:bottom w:val="nil"/>
            </w:tcBorders>
            <w:vAlign w:val="top"/>
          </w:tcPr>
          <w:p w14:paraId="000BD3CD">
            <w:pPr>
              <w:outlineLvl w:val="9"/>
              <w:rPr>
                <w:rFonts w:ascii="Arial"/>
                <w:color w:val="auto"/>
                <w:sz w:val="21"/>
                <w:highlight w:val="none"/>
              </w:rPr>
            </w:pPr>
          </w:p>
        </w:tc>
        <w:tc>
          <w:tcPr>
            <w:tcW w:w="1123" w:type="dxa"/>
            <w:vMerge w:val="continue"/>
            <w:tcBorders>
              <w:top w:val="nil"/>
              <w:bottom w:val="nil"/>
            </w:tcBorders>
            <w:vAlign w:val="top"/>
          </w:tcPr>
          <w:p w14:paraId="5554823A">
            <w:pPr>
              <w:outlineLvl w:val="9"/>
              <w:rPr>
                <w:rFonts w:ascii="Arial"/>
                <w:color w:val="auto"/>
                <w:sz w:val="21"/>
                <w:highlight w:val="none"/>
              </w:rPr>
            </w:pPr>
          </w:p>
        </w:tc>
        <w:tc>
          <w:tcPr>
            <w:tcW w:w="1882" w:type="dxa"/>
            <w:vAlign w:val="center"/>
          </w:tcPr>
          <w:p w14:paraId="08729391">
            <w:pPr>
              <w:pStyle w:val="27"/>
              <w:spacing w:before="127" w:line="221" w:lineRule="auto"/>
              <w:jc w:val="center"/>
              <w:outlineLvl w:val="9"/>
              <w:rPr>
                <w:color w:val="auto"/>
                <w:highlight w:val="none"/>
              </w:rPr>
            </w:pPr>
            <w:r>
              <w:rPr>
                <w:color w:val="auto"/>
                <w:spacing w:val="-2"/>
                <w:highlight w:val="none"/>
              </w:rPr>
              <w:t>投标人名称</w:t>
            </w:r>
          </w:p>
        </w:tc>
        <w:tc>
          <w:tcPr>
            <w:tcW w:w="5277" w:type="dxa"/>
            <w:vAlign w:val="top"/>
          </w:tcPr>
          <w:p w14:paraId="721D0BBE">
            <w:pPr>
              <w:pStyle w:val="27"/>
              <w:spacing w:before="126" w:line="220" w:lineRule="auto"/>
              <w:ind w:left="117"/>
              <w:outlineLvl w:val="9"/>
              <w:rPr>
                <w:color w:val="auto"/>
                <w:highlight w:val="none"/>
              </w:rPr>
            </w:pPr>
            <w:r>
              <w:rPr>
                <w:color w:val="auto"/>
                <w:spacing w:val="-1"/>
                <w:highlight w:val="none"/>
              </w:rPr>
              <w:t>与营业执照、资质证书、安全生产许可证一致</w:t>
            </w:r>
          </w:p>
        </w:tc>
      </w:tr>
      <w:tr w14:paraId="798D9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14:paraId="4ED9FD26">
            <w:pPr>
              <w:outlineLvl w:val="9"/>
              <w:rPr>
                <w:rFonts w:ascii="Arial"/>
                <w:color w:val="auto"/>
                <w:sz w:val="21"/>
                <w:highlight w:val="none"/>
              </w:rPr>
            </w:pPr>
          </w:p>
        </w:tc>
        <w:tc>
          <w:tcPr>
            <w:tcW w:w="1123" w:type="dxa"/>
            <w:vMerge w:val="continue"/>
            <w:tcBorders>
              <w:top w:val="nil"/>
              <w:bottom w:val="nil"/>
            </w:tcBorders>
            <w:vAlign w:val="top"/>
          </w:tcPr>
          <w:p w14:paraId="6748A3B5">
            <w:pPr>
              <w:outlineLvl w:val="9"/>
              <w:rPr>
                <w:rFonts w:ascii="Arial"/>
                <w:color w:val="auto"/>
                <w:sz w:val="21"/>
                <w:highlight w:val="none"/>
              </w:rPr>
            </w:pPr>
          </w:p>
        </w:tc>
        <w:tc>
          <w:tcPr>
            <w:tcW w:w="1882" w:type="dxa"/>
            <w:vAlign w:val="center"/>
          </w:tcPr>
          <w:p w14:paraId="5F559AC1">
            <w:pPr>
              <w:pStyle w:val="27"/>
              <w:spacing w:before="78" w:line="209" w:lineRule="auto"/>
              <w:jc w:val="center"/>
              <w:outlineLvl w:val="9"/>
              <w:rPr>
                <w:color w:val="auto"/>
                <w:highlight w:val="none"/>
              </w:rPr>
            </w:pPr>
            <w:r>
              <w:rPr>
                <w:color w:val="auto"/>
                <w:spacing w:val="-2"/>
                <w:highlight w:val="none"/>
              </w:rPr>
              <w:t>签字盖章</w:t>
            </w:r>
          </w:p>
        </w:tc>
        <w:tc>
          <w:tcPr>
            <w:tcW w:w="5277" w:type="dxa"/>
            <w:vAlign w:val="top"/>
          </w:tcPr>
          <w:p w14:paraId="1F8E3959">
            <w:pPr>
              <w:pStyle w:val="27"/>
              <w:spacing w:before="78" w:line="209" w:lineRule="auto"/>
              <w:ind w:left="113"/>
              <w:outlineLvl w:val="9"/>
              <w:rPr>
                <w:color w:val="auto"/>
                <w:highlight w:val="none"/>
              </w:rPr>
            </w:pPr>
            <w:r>
              <w:rPr>
                <w:color w:val="auto"/>
                <w:spacing w:val="-1"/>
                <w:highlight w:val="none"/>
              </w:rPr>
              <w:t>签字盖章符合第二章投标人须知第</w:t>
            </w:r>
            <w:r>
              <w:rPr>
                <w:color w:val="auto"/>
                <w:spacing w:val="-39"/>
                <w:highlight w:val="none"/>
              </w:rPr>
              <w:t xml:space="preserve"> </w:t>
            </w:r>
            <w:r>
              <w:rPr>
                <w:color w:val="auto"/>
                <w:spacing w:val="-1"/>
                <w:highlight w:val="none"/>
              </w:rPr>
              <w:t>3.7.</w:t>
            </w:r>
            <w:r>
              <w:rPr>
                <w:color w:val="auto"/>
                <w:spacing w:val="-2"/>
                <w:highlight w:val="none"/>
              </w:rPr>
              <w:t>3</w:t>
            </w:r>
            <w:r>
              <w:rPr>
                <w:color w:val="auto"/>
                <w:spacing w:val="-43"/>
                <w:highlight w:val="none"/>
              </w:rPr>
              <w:t xml:space="preserve"> </w:t>
            </w:r>
            <w:r>
              <w:rPr>
                <w:color w:val="auto"/>
                <w:spacing w:val="-2"/>
                <w:highlight w:val="none"/>
              </w:rPr>
              <w:t>项规定</w:t>
            </w:r>
          </w:p>
        </w:tc>
      </w:tr>
      <w:tr w14:paraId="3E6FA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04" w:type="dxa"/>
            <w:vMerge w:val="continue"/>
            <w:tcBorders>
              <w:top w:val="nil"/>
              <w:bottom w:val="nil"/>
            </w:tcBorders>
            <w:vAlign w:val="top"/>
          </w:tcPr>
          <w:p w14:paraId="23C7CE62">
            <w:pPr>
              <w:outlineLvl w:val="9"/>
              <w:rPr>
                <w:rFonts w:ascii="Arial"/>
                <w:color w:val="auto"/>
                <w:sz w:val="21"/>
                <w:highlight w:val="none"/>
              </w:rPr>
            </w:pPr>
          </w:p>
        </w:tc>
        <w:tc>
          <w:tcPr>
            <w:tcW w:w="1123" w:type="dxa"/>
            <w:vMerge w:val="continue"/>
            <w:tcBorders>
              <w:top w:val="nil"/>
              <w:bottom w:val="nil"/>
            </w:tcBorders>
            <w:vAlign w:val="top"/>
          </w:tcPr>
          <w:p w14:paraId="582C952A">
            <w:pPr>
              <w:outlineLvl w:val="9"/>
              <w:rPr>
                <w:rFonts w:ascii="Arial"/>
                <w:color w:val="auto"/>
                <w:sz w:val="21"/>
                <w:highlight w:val="none"/>
              </w:rPr>
            </w:pPr>
          </w:p>
        </w:tc>
        <w:tc>
          <w:tcPr>
            <w:tcW w:w="1882" w:type="dxa"/>
            <w:vAlign w:val="center"/>
          </w:tcPr>
          <w:p w14:paraId="3DC8F7EB">
            <w:pPr>
              <w:pStyle w:val="27"/>
              <w:spacing w:before="236" w:line="221" w:lineRule="auto"/>
              <w:jc w:val="center"/>
              <w:outlineLvl w:val="9"/>
              <w:rPr>
                <w:color w:val="auto"/>
                <w:highlight w:val="none"/>
              </w:rPr>
            </w:pPr>
            <w:r>
              <w:rPr>
                <w:color w:val="auto"/>
                <w:spacing w:val="-2"/>
                <w:highlight w:val="none"/>
              </w:rPr>
              <w:t>投标文件格式</w:t>
            </w:r>
          </w:p>
        </w:tc>
        <w:tc>
          <w:tcPr>
            <w:tcW w:w="5277" w:type="dxa"/>
            <w:vAlign w:val="top"/>
          </w:tcPr>
          <w:p w14:paraId="366BD043">
            <w:pPr>
              <w:pStyle w:val="27"/>
              <w:spacing w:before="77" w:line="244" w:lineRule="auto"/>
              <w:ind w:left="115" w:right="105"/>
              <w:outlineLvl w:val="9"/>
              <w:rPr>
                <w:color w:val="auto"/>
                <w:highlight w:val="none"/>
              </w:rPr>
            </w:pPr>
            <w:r>
              <w:rPr>
                <w:color w:val="auto"/>
                <w:highlight w:val="none"/>
              </w:rPr>
              <w:t>符合第八章“投标文件格式</w:t>
            </w:r>
            <w:r>
              <w:rPr>
                <w:color w:val="auto"/>
                <w:spacing w:val="-60"/>
                <w:highlight w:val="none"/>
              </w:rPr>
              <w:t xml:space="preserve"> </w:t>
            </w:r>
            <w:r>
              <w:rPr>
                <w:color w:val="auto"/>
                <w:highlight w:val="none"/>
              </w:rPr>
              <w:t>”的规定，实质性内</w:t>
            </w:r>
            <w:r>
              <w:rPr>
                <w:color w:val="auto"/>
                <w:spacing w:val="-1"/>
                <w:highlight w:val="none"/>
              </w:rPr>
              <w:t>容齐全、关键字迹清晰可辨</w:t>
            </w:r>
          </w:p>
        </w:tc>
      </w:tr>
      <w:tr w14:paraId="04903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14:paraId="5B244274">
            <w:pPr>
              <w:outlineLvl w:val="9"/>
              <w:rPr>
                <w:rFonts w:ascii="Arial"/>
                <w:color w:val="auto"/>
                <w:sz w:val="21"/>
                <w:highlight w:val="none"/>
              </w:rPr>
            </w:pPr>
          </w:p>
        </w:tc>
        <w:tc>
          <w:tcPr>
            <w:tcW w:w="1123" w:type="dxa"/>
            <w:vMerge w:val="continue"/>
            <w:tcBorders>
              <w:top w:val="nil"/>
              <w:bottom w:val="nil"/>
            </w:tcBorders>
            <w:vAlign w:val="top"/>
          </w:tcPr>
          <w:p w14:paraId="3DD82D5B">
            <w:pPr>
              <w:outlineLvl w:val="9"/>
              <w:rPr>
                <w:rFonts w:ascii="Arial"/>
                <w:color w:val="auto"/>
                <w:sz w:val="21"/>
                <w:highlight w:val="none"/>
              </w:rPr>
            </w:pPr>
          </w:p>
        </w:tc>
        <w:tc>
          <w:tcPr>
            <w:tcW w:w="1882" w:type="dxa"/>
            <w:vAlign w:val="center"/>
          </w:tcPr>
          <w:p w14:paraId="2FD0BA57">
            <w:pPr>
              <w:pStyle w:val="27"/>
              <w:spacing w:before="239" w:line="221" w:lineRule="auto"/>
              <w:jc w:val="center"/>
              <w:outlineLvl w:val="9"/>
              <w:rPr>
                <w:color w:val="auto"/>
                <w:highlight w:val="none"/>
              </w:rPr>
            </w:pPr>
            <w:r>
              <w:rPr>
                <w:color w:val="auto"/>
                <w:spacing w:val="-1"/>
                <w:highlight w:val="none"/>
              </w:rPr>
              <w:t>联合体投标人</w:t>
            </w:r>
          </w:p>
        </w:tc>
        <w:tc>
          <w:tcPr>
            <w:tcW w:w="5277" w:type="dxa"/>
            <w:vAlign w:val="top"/>
          </w:tcPr>
          <w:p w14:paraId="6CD8F1F5">
            <w:pPr>
              <w:pStyle w:val="27"/>
              <w:spacing w:before="82" w:line="243" w:lineRule="auto"/>
              <w:ind w:left="114" w:right="110"/>
              <w:outlineLvl w:val="9"/>
              <w:rPr>
                <w:color w:val="auto"/>
                <w:highlight w:val="none"/>
              </w:rPr>
            </w:pPr>
            <w:r>
              <w:rPr>
                <w:color w:val="auto"/>
                <w:spacing w:val="2"/>
                <w:highlight w:val="none"/>
              </w:rPr>
              <w:t>提交符合招标文件要求的联合体协议书，明确各</w:t>
            </w:r>
            <w:r>
              <w:rPr>
                <w:color w:val="auto"/>
                <w:spacing w:val="-1"/>
                <w:highlight w:val="none"/>
              </w:rPr>
              <w:t>方承担连带责任，并明确联合体牵头人</w:t>
            </w:r>
          </w:p>
        </w:tc>
      </w:tr>
      <w:tr w14:paraId="1AA40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14:paraId="3EAF9B94">
            <w:pPr>
              <w:outlineLvl w:val="9"/>
              <w:rPr>
                <w:rFonts w:ascii="Arial"/>
                <w:color w:val="auto"/>
                <w:sz w:val="21"/>
                <w:highlight w:val="none"/>
              </w:rPr>
            </w:pPr>
          </w:p>
        </w:tc>
        <w:tc>
          <w:tcPr>
            <w:tcW w:w="1123" w:type="dxa"/>
            <w:vMerge w:val="continue"/>
            <w:tcBorders>
              <w:top w:val="nil"/>
              <w:bottom w:val="nil"/>
            </w:tcBorders>
            <w:vAlign w:val="top"/>
          </w:tcPr>
          <w:p w14:paraId="143F28CB">
            <w:pPr>
              <w:outlineLvl w:val="9"/>
              <w:rPr>
                <w:rFonts w:ascii="Arial"/>
                <w:color w:val="auto"/>
                <w:sz w:val="21"/>
                <w:highlight w:val="none"/>
              </w:rPr>
            </w:pPr>
          </w:p>
        </w:tc>
        <w:tc>
          <w:tcPr>
            <w:tcW w:w="1882" w:type="dxa"/>
            <w:vAlign w:val="center"/>
          </w:tcPr>
          <w:p w14:paraId="6A9A99E2">
            <w:pPr>
              <w:pStyle w:val="27"/>
              <w:spacing w:before="240" w:line="221" w:lineRule="auto"/>
              <w:jc w:val="center"/>
              <w:outlineLvl w:val="9"/>
              <w:rPr>
                <w:color w:val="auto"/>
                <w:highlight w:val="none"/>
              </w:rPr>
            </w:pPr>
            <w:r>
              <w:rPr>
                <w:color w:val="auto"/>
                <w:spacing w:val="-2"/>
                <w:highlight w:val="none"/>
              </w:rPr>
              <w:t>备选投标方案</w:t>
            </w:r>
          </w:p>
        </w:tc>
        <w:tc>
          <w:tcPr>
            <w:tcW w:w="5277" w:type="dxa"/>
            <w:vAlign w:val="top"/>
          </w:tcPr>
          <w:p w14:paraId="5DE1B236">
            <w:pPr>
              <w:pStyle w:val="27"/>
              <w:spacing w:before="79" w:line="244" w:lineRule="auto"/>
              <w:ind w:left="115" w:right="110" w:firstLine="10"/>
              <w:outlineLvl w:val="9"/>
              <w:rPr>
                <w:color w:val="auto"/>
                <w:highlight w:val="none"/>
              </w:rPr>
            </w:pPr>
            <w:r>
              <w:rPr>
                <w:color w:val="auto"/>
                <w:spacing w:val="1"/>
                <w:highlight w:val="none"/>
              </w:rPr>
              <w:t>除招标文件明确允许提交备选投标方案外，投标</w:t>
            </w:r>
            <w:r>
              <w:rPr>
                <w:color w:val="auto"/>
                <w:spacing w:val="-1"/>
                <w:highlight w:val="none"/>
              </w:rPr>
              <w:t>人不得提交备选投标方案</w:t>
            </w:r>
          </w:p>
        </w:tc>
      </w:tr>
      <w:tr w14:paraId="6DF9B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04" w:type="dxa"/>
            <w:vMerge w:val="continue"/>
            <w:tcBorders>
              <w:top w:val="nil"/>
              <w:bottom w:val="nil"/>
            </w:tcBorders>
            <w:vAlign w:val="top"/>
          </w:tcPr>
          <w:p w14:paraId="6FFEF42B">
            <w:pPr>
              <w:outlineLvl w:val="9"/>
              <w:rPr>
                <w:rFonts w:ascii="Arial"/>
                <w:color w:val="auto"/>
                <w:sz w:val="21"/>
                <w:highlight w:val="none"/>
              </w:rPr>
            </w:pPr>
          </w:p>
        </w:tc>
        <w:tc>
          <w:tcPr>
            <w:tcW w:w="1123" w:type="dxa"/>
            <w:vMerge w:val="continue"/>
            <w:tcBorders>
              <w:top w:val="nil"/>
              <w:bottom w:val="nil"/>
            </w:tcBorders>
            <w:vAlign w:val="top"/>
          </w:tcPr>
          <w:p w14:paraId="5D5205A2">
            <w:pPr>
              <w:outlineLvl w:val="9"/>
              <w:rPr>
                <w:rFonts w:ascii="Arial"/>
                <w:color w:val="auto"/>
                <w:sz w:val="21"/>
                <w:highlight w:val="none"/>
              </w:rPr>
            </w:pPr>
          </w:p>
        </w:tc>
        <w:tc>
          <w:tcPr>
            <w:tcW w:w="1882" w:type="dxa"/>
            <w:vAlign w:val="center"/>
          </w:tcPr>
          <w:p w14:paraId="3739764A">
            <w:pPr>
              <w:pStyle w:val="27"/>
              <w:spacing w:before="239" w:line="221" w:lineRule="auto"/>
              <w:jc w:val="center"/>
              <w:outlineLvl w:val="9"/>
              <w:rPr>
                <w:color w:val="auto"/>
                <w:highlight w:val="none"/>
              </w:rPr>
            </w:pPr>
            <w:r>
              <w:rPr>
                <w:color w:val="auto"/>
                <w:spacing w:val="-2"/>
                <w:highlight w:val="none"/>
              </w:rPr>
              <w:t>未出现异常情形</w:t>
            </w:r>
          </w:p>
        </w:tc>
        <w:tc>
          <w:tcPr>
            <w:tcW w:w="5277" w:type="dxa"/>
            <w:vAlign w:val="top"/>
          </w:tcPr>
          <w:p w14:paraId="53F94B02">
            <w:pPr>
              <w:pStyle w:val="27"/>
              <w:spacing w:before="78" w:line="245" w:lineRule="auto"/>
              <w:ind w:left="112" w:right="110" w:firstLine="4"/>
              <w:outlineLvl w:val="9"/>
              <w:rPr>
                <w:color w:val="auto"/>
                <w:highlight w:val="none"/>
              </w:rPr>
            </w:pPr>
            <w:r>
              <w:rPr>
                <w:color w:val="auto"/>
                <w:spacing w:val="2"/>
                <w:highlight w:val="none"/>
              </w:rPr>
              <w:t>不同投标人未出现使用相同的投标文件制作</w:t>
            </w:r>
            <w:r>
              <w:rPr>
                <w:color w:val="auto"/>
                <w:spacing w:val="1"/>
                <w:highlight w:val="none"/>
              </w:rPr>
              <w:t>机器</w:t>
            </w:r>
            <w:r>
              <w:rPr>
                <w:color w:val="auto"/>
                <w:spacing w:val="-3"/>
                <w:highlight w:val="none"/>
              </w:rPr>
              <w:t>码进行投标的情形。</w:t>
            </w:r>
          </w:p>
        </w:tc>
      </w:tr>
      <w:tr w14:paraId="52E31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4" w:type="dxa"/>
            <w:vMerge w:val="restart"/>
            <w:vAlign w:val="center"/>
          </w:tcPr>
          <w:p w14:paraId="47EAD608">
            <w:pPr>
              <w:spacing w:line="346" w:lineRule="auto"/>
              <w:jc w:val="center"/>
              <w:outlineLvl w:val="9"/>
              <w:rPr>
                <w:rFonts w:ascii="Arial"/>
                <w:color w:val="auto"/>
                <w:sz w:val="21"/>
                <w:highlight w:val="none"/>
              </w:rPr>
            </w:pPr>
          </w:p>
          <w:p w14:paraId="0E4893BD">
            <w:pPr>
              <w:spacing w:line="347" w:lineRule="auto"/>
              <w:jc w:val="center"/>
              <w:outlineLvl w:val="9"/>
              <w:rPr>
                <w:rFonts w:ascii="Arial"/>
                <w:color w:val="auto"/>
                <w:sz w:val="21"/>
                <w:highlight w:val="none"/>
              </w:rPr>
            </w:pPr>
          </w:p>
          <w:p w14:paraId="4D8062FB">
            <w:pPr>
              <w:pStyle w:val="27"/>
              <w:spacing w:before="68" w:line="182" w:lineRule="auto"/>
              <w:ind w:left="197"/>
              <w:jc w:val="center"/>
              <w:outlineLvl w:val="9"/>
              <w:rPr>
                <w:color w:val="auto"/>
                <w:highlight w:val="none"/>
              </w:rPr>
            </w:pPr>
            <w:r>
              <w:rPr>
                <w:color w:val="auto"/>
                <w:spacing w:val="-2"/>
                <w:highlight w:val="none"/>
              </w:rPr>
              <w:t>2.2.2</w:t>
            </w:r>
          </w:p>
        </w:tc>
        <w:tc>
          <w:tcPr>
            <w:tcW w:w="1123" w:type="dxa"/>
            <w:vMerge w:val="restart"/>
            <w:vAlign w:val="center"/>
          </w:tcPr>
          <w:p w14:paraId="152674A8">
            <w:pPr>
              <w:spacing w:line="250" w:lineRule="auto"/>
              <w:jc w:val="center"/>
              <w:outlineLvl w:val="9"/>
              <w:rPr>
                <w:rFonts w:ascii="Arial"/>
                <w:color w:val="auto"/>
                <w:sz w:val="21"/>
                <w:highlight w:val="none"/>
              </w:rPr>
            </w:pPr>
          </w:p>
          <w:p w14:paraId="4744612F">
            <w:pPr>
              <w:spacing w:line="251" w:lineRule="auto"/>
              <w:jc w:val="center"/>
              <w:outlineLvl w:val="9"/>
              <w:rPr>
                <w:rFonts w:ascii="Arial"/>
                <w:color w:val="auto"/>
                <w:sz w:val="21"/>
                <w:highlight w:val="none"/>
              </w:rPr>
            </w:pPr>
          </w:p>
          <w:p w14:paraId="1D135B58">
            <w:pPr>
              <w:pStyle w:val="27"/>
              <w:spacing w:before="68" w:line="267" w:lineRule="auto"/>
              <w:ind w:left="354" w:right="138" w:hanging="200"/>
              <w:jc w:val="center"/>
              <w:outlineLvl w:val="9"/>
              <w:rPr>
                <w:color w:val="auto"/>
                <w:highlight w:val="none"/>
              </w:rPr>
            </w:pPr>
            <w:r>
              <w:rPr>
                <w:color w:val="auto"/>
                <w:spacing w:val="-4"/>
                <w:highlight w:val="none"/>
              </w:rPr>
              <w:t>资格评审</w:t>
            </w:r>
            <w:r>
              <w:rPr>
                <w:color w:val="auto"/>
                <w:highlight w:val="none"/>
              </w:rPr>
              <w:t xml:space="preserve"> </w:t>
            </w:r>
            <w:r>
              <w:rPr>
                <w:color w:val="auto"/>
                <w:spacing w:val="-2"/>
                <w:highlight w:val="none"/>
              </w:rPr>
              <w:t>标准</w:t>
            </w:r>
          </w:p>
        </w:tc>
        <w:tc>
          <w:tcPr>
            <w:tcW w:w="1882" w:type="dxa"/>
            <w:vAlign w:val="center"/>
          </w:tcPr>
          <w:p w14:paraId="68E6FCF1">
            <w:pPr>
              <w:pStyle w:val="27"/>
              <w:spacing w:before="241" w:line="267" w:lineRule="auto"/>
              <w:ind w:right="185"/>
              <w:jc w:val="center"/>
              <w:outlineLvl w:val="9"/>
              <w:rPr>
                <w:color w:val="auto"/>
                <w:highlight w:val="none"/>
              </w:rPr>
            </w:pPr>
            <w:r>
              <w:rPr>
                <w:color w:val="auto"/>
                <w:spacing w:val="-2"/>
                <w:highlight w:val="none"/>
              </w:rPr>
              <w:t>营业执照和组织机构代</w:t>
            </w:r>
            <w:r>
              <w:rPr>
                <w:color w:val="auto"/>
                <w:spacing w:val="6"/>
                <w:highlight w:val="none"/>
              </w:rPr>
              <w:t xml:space="preserve"> </w:t>
            </w:r>
            <w:r>
              <w:rPr>
                <w:color w:val="auto"/>
                <w:spacing w:val="-1"/>
                <w:highlight w:val="none"/>
              </w:rPr>
              <w:t>码证、安全生产许可证</w:t>
            </w:r>
          </w:p>
        </w:tc>
        <w:tc>
          <w:tcPr>
            <w:tcW w:w="5277" w:type="dxa"/>
            <w:vAlign w:val="top"/>
          </w:tcPr>
          <w:p w14:paraId="5A0C2A6C">
            <w:pPr>
              <w:pStyle w:val="27"/>
              <w:spacing w:before="80" w:line="256" w:lineRule="auto"/>
              <w:ind w:left="114" w:right="110"/>
              <w:jc w:val="both"/>
              <w:outlineLvl w:val="9"/>
              <w:rPr>
                <w:color w:val="auto"/>
                <w:highlight w:val="none"/>
              </w:rPr>
            </w:pPr>
            <w:r>
              <w:rPr>
                <w:color w:val="auto"/>
                <w:spacing w:val="-4"/>
                <w:highlight w:val="none"/>
              </w:rPr>
              <w:t>符合第二章“投标人须知</w:t>
            </w:r>
            <w:r>
              <w:rPr>
                <w:color w:val="auto"/>
                <w:spacing w:val="-73"/>
                <w:highlight w:val="none"/>
              </w:rPr>
              <w:t xml:space="preserve"> </w:t>
            </w:r>
            <w:r>
              <w:rPr>
                <w:color w:val="auto"/>
                <w:spacing w:val="-4"/>
                <w:highlight w:val="none"/>
              </w:rPr>
              <w:t>”第 3.5.1 项规定，具</w:t>
            </w:r>
            <w:r>
              <w:rPr>
                <w:color w:val="auto"/>
                <w:spacing w:val="2"/>
                <w:highlight w:val="none"/>
              </w:rPr>
              <w:t>备有效的营业执照和组织机构代码证、安全生产</w:t>
            </w:r>
            <w:r>
              <w:rPr>
                <w:color w:val="auto"/>
                <w:highlight w:val="none"/>
              </w:rPr>
              <w:t xml:space="preserve"> </w:t>
            </w:r>
            <w:r>
              <w:rPr>
                <w:color w:val="auto"/>
                <w:spacing w:val="-2"/>
                <w:highlight w:val="none"/>
              </w:rPr>
              <w:t>许可证</w:t>
            </w:r>
          </w:p>
        </w:tc>
      </w:tr>
      <w:tr w14:paraId="4DF25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vAlign w:val="top"/>
          </w:tcPr>
          <w:p w14:paraId="28052665">
            <w:pPr>
              <w:outlineLvl w:val="9"/>
              <w:rPr>
                <w:rFonts w:ascii="Arial"/>
                <w:color w:val="auto"/>
                <w:sz w:val="21"/>
                <w:highlight w:val="none"/>
              </w:rPr>
            </w:pPr>
          </w:p>
        </w:tc>
        <w:tc>
          <w:tcPr>
            <w:tcW w:w="1123" w:type="dxa"/>
            <w:vMerge w:val="continue"/>
            <w:vAlign w:val="top"/>
          </w:tcPr>
          <w:p w14:paraId="343ADE14">
            <w:pPr>
              <w:outlineLvl w:val="9"/>
              <w:rPr>
                <w:rFonts w:ascii="Arial"/>
                <w:color w:val="auto"/>
                <w:sz w:val="21"/>
                <w:highlight w:val="none"/>
              </w:rPr>
            </w:pPr>
          </w:p>
        </w:tc>
        <w:tc>
          <w:tcPr>
            <w:tcW w:w="1882" w:type="dxa"/>
            <w:vAlign w:val="center"/>
          </w:tcPr>
          <w:p w14:paraId="56BDB590">
            <w:pPr>
              <w:pStyle w:val="27"/>
              <w:spacing w:before="82" w:line="205" w:lineRule="auto"/>
              <w:jc w:val="center"/>
              <w:outlineLvl w:val="9"/>
              <w:rPr>
                <w:color w:val="auto"/>
                <w:highlight w:val="none"/>
              </w:rPr>
            </w:pPr>
            <w:r>
              <w:rPr>
                <w:color w:val="auto"/>
                <w:spacing w:val="-4"/>
                <w:highlight w:val="none"/>
              </w:rPr>
              <w:t>资质要求</w:t>
            </w:r>
          </w:p>
        </w:tc>
        <w:tc>
          <w:tcPr>
            <w:tcW w:w="5277" w:type="dxa"/>
            <w:vAlign w:val="top"/>
          </w:tcPr>
          <w:p w14:paraId="4111B447">
            <w:pPr>
              <w:pStyle w:val="27"/>
              <w:spacing w:before="82" w:line="205"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14:paraId="73DCC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6A39C697">
            <w:pPr>
              <w:outlineLvl w:val="9"/>
              <w:rPr>
                <w:rFonts w:ascii="Arial"/>
                <w:color w:val="auto"/>
                <w:sz w:val="21"/>
                <w:highlight w:val="none"/>
              </w:rPr>
            </w:pPr>
          </w:p>
        </w:tc>
        <w:tc>
          <w:tcPr>
            <w:tcW w:w="1123" w:type="dxa"/>
            <w:vMerge w:val="continue"/>
            <w:vAlign w:val="top"/>
          </w:tcPr>
          <w:p w14:paraId="17D2A588">
            <w:pPr>
              <w:outlineLvl w:val="9"/>
              <w:rPr>
                <w:rFonts w:ascii="Arial"/>
                <w:color w:val="auto"/>
                <w:sz w:val="21"/>
                <w:highlight w:val="none"/>
              </w:rPr>
            </w:pPr>
          </w:p>
        </w:tc>
        <w:tc>
          <w:tcPr>
            <w:tcW w:w="1882" w:type="dxa"/>
            <w:vAlign w:val="center"/>
          </w:tcPr>
          <w:p w14:paraId="6C58292B">
            <w:pPr>
              <w:pStyle w:val="27"/>
              <w:spacing w:before="80" w:line="211" w:lineRule="auto"/>
              <w:jc w:val="center"/>
              <w:outlineLvl w:val="9"/>
              <w:rPr>
                <w:color w:val="auto"/>
                <w:highlight w:val="none"/>
              </w:rPr>
            </w:pPr>
            <w:r>
              <w:rPr>
                <w:color w:val="auto"/>
                <w:spacing w:val="-2"/>
                <w:highlight w:val="none"/>
              </w:rPr>
              <w:t>财务要求</w:t>
            </w:r>
          </w:p>
        </w:tc>
        <w:tc>
          <w:tcPr>
            <w:tcW w:w="5277" w:type="dxa"/>
            <w:vAlign w:val="top"/>
          </w:tcPr>
          <w:p w14:paraId="026D6F69">
            <w:pPr>
              <w:pStyle w:val="27"/>
              <w:spacing w:before="80" w:line="211"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14:paraId="49EA7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2B64F941">
            <w:pPr>
              <w:outlineLvl w:val="9"/>
              <w:rPr>
                <w:rFonts w:ascii="Arial"/>
                <w:color w:val="auto"/>
                <w:sz w:val="21"/>
                <w:highlight w:val="none"/>
              </w:rPr>
            </w:pPr>
          </w:p>
        </w:tc>
        <w:tc>
          <w:tcPr>
            <w:tcW w:w="1123" w:type="dxa"/>
            <w:vMerge w:val="continue"/>
            <w:vAlign w:val="top"/>
          </w:tcPr>
          <w:p w14:paraId="693E0E8F">
            <w:pPr>
              <w:outlineLvl w:val="9"/>
              <w:rPr>
                <w:rFonts w:ascii="Arial"/>
                <w:color w:val="auto"/>
                <w:sz w:val="21"/>
                <w:highlight w:val="none"/>
              </w:rPr>
            </w:pPr>
          </w:p>
        </w:tc>
        <w:tc>
          <w:tcPr>
            <w:tcW w:w="1882" w:type="dxa"/>
            <w:shd w:val="clear" w:color="auto" w:fill="auto"/>
            <w:vAlign w:val="center"/>
          </w:tcPr>
          <w:p w14:paraId="12087629">
            <w:pPr>
              <w:pStyle w:val="27"/>
              <w:spacing w:before="80" w:line="209"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1"/>
                <w:highlight w:val="none"/>
              </w:rPr>
              <w:t>业绩要求</w:t>
            </w:r>
          </w:p>
        </w:tc>
        <w:tc>
          <w:tcPr>
            <w:tcW w:w="5277" w:type="dxa"/>
            <w:shd w:val="clear" w:color="auto" w:fill="auto"/>
            <w:vAlign w:val="top"/>
          </w:tcPr>
          <w:p w14:paraId="4C5FD061">
            <w:pPr>
              <w:pStyle w:val="27"/>
              <w:spacing w:before="80" w:line="209"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14:paraId="44F0A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05A49556">
            <w:pPr>
              <w:outlineLvl w:val="9"/>
              <w:rPr>
                <w:rFonts w:ascii="Arial"/>
                <w:color w:val="auto"/>
                <w:sz w:val="21"/>
                <w:highlight w:val="none"/>
              </w:rPr>
            </w:pPr>
          </w:p>
        </w:tc>
        <w:tc>
          <w:tcPr>
            <w:tcW w:w="1123" w:type="dxa"/>
            <w:vMerge w:val="continue"/>
            <w:vAlign w:val="top"/>
          </w:tcPr>
          <w:p w14:paraId="3717A924">
            <w:pPr>
              <w:outlineLvl w:val="9"/>
              <w:rPr>
                <w:rFonts w:ascii="Arial"/>
                <w:color w:val="auto"/>
                <w:sz w:val="21"/>
                <w:highlight w:val="none"/>
              </w:rPr>
            </w:pPr>
          </w:p>
        </w:tc>
        <w:tc>
          <w:tcPr>
            <w:tcW w:w="1882" w:type="dxa"/>
            <w:shd w:val="clear" w:color="auto" w:fill="auto"/>
            <w:vAlign w:val="center"/>
          </w:tcPr>
          <w:p w14:paraId="78BCFD6A">
            <w:pPr>
              <w:pStyle w:val="27"/>
              <w:spacing w:before="80" w:line="211"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2"/>
                <w:highlight w:val="none"/>
              </w:rPr>
              <w:t>信誉要求</w:t>
            </w:r>
          </w:p>
        </w:tc>
        <w:tc>
          <w:tcPr>
            <w:tcW w:w="5277" w:type="dxa"/>
            <w:shd w:val="clear" w:color="auto" w:fill="auto"/>
            <w:vAlign w:val="top"/>
          </w:tcPr>
          <w:p w14:paraId="2C1C7CFE">
            <w:pPr>
              <w:pStyle w:val="27"/>
              <w:spacing w:before="80" w:line="211"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14:paraId="31603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1C68C415">
            <w:pPr>
              <w:outlineLvl w:val="9"/>
              <w:rPr>
                <w:rFonts w:ascii="Arial"/>
                <w:color w:val="auto"/>
                <w:sz w:val="21"/>
                <w:highlight w:val="none"/>
              </w:rPr>
            </w:pPr>
          </w:p>
        </w:tc>
        <w:tc>
          <w:tcPr>
            <w:tcW w:w="1123" w:type="dxa"/>
            <w:vMerge w:val="continue"/>
            <w:vAlign w:val="top"/>
          </w:tcPr>
          <w:p w14:paraId="2515747A">
            <w:pPr>
              <w:outlineLvl w:val="9"/>
              <w:rPr>
                <w:rFonts w:ascii="Arial"/>
                <w:color w:val="auto"/>
                <w:sz w:val="21"/>
                <w:highlight w:val="none"/>
              </w:rPr>
            </w:pPr>
          </w:p>
        </w:tc>
        <w:tc>
          <w:tcPr>
            <w:tcW w:w="1882" w:type="dxa"/>
            <w:shd w:val="clear" w:color="auto" w:fill="auto"/>
            <w:vAlign w:val="center"/>
          </w:tcPr>
          <w:p w14:paraId="4B4457F2">
            <w:pPr>
              <w:pStyle w:val="27"/>
              <w:spacing w:before="79" w:line="210"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项目经理</w:t>
            </w:r>
          </w:p>
        </w:tc>
        <w:tc>
          <w:tcPr>
            <w:tcW w:w="5277" w:type="dxa"/>
            <w:shd w:val="clear" w:color="auto" w:fill="auto"/>
            <w:vAlign w:val="top"/>
          </w:tcPr>
          <w:p w14:paraId="602CF629">
            <w:pPr>
              <w:pStyle w:val="27"/>
              <w:spacing w:before="79" w:line="210"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14:paraId="05A98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7F4EBB1D">
            <w:pPr>
              <w:outlineLvl w:val="9"/>
              <w:rPr>
                <w:rFonts w:ascii="Arial"/>
                <w:color w:val="auto"/>
                <w:sz w:val="21"/>
                <w:highlight w:val="none"/>
              </w:rPr>
            </w:pPr>
          </w:p>
        </w:tc>
        <w:tc>
          <w:tcPr>
            <w:tcW w:w="1123" w:type="dxa"/>
            <w:vMerge w:val="continue"/>
            <w:vAlign w:val="top"/>
          </w:tcPr>
          <w:p w14:paraId="0857B6EF">
            <w:pPr>
              <w:outlineLvl w:val="9"/>
              <w:rPr>
                <w:rFonts w:ascii="Arial"/>
                <w:color w:val="auto"/>
                <w:sz w:val="21"/>
                <w:highlight w:val="none"/>
              </w:rPr>
            </w:pPr>
          </w:p>
        </w:tc>
        <w:tc>
          <w:tcPr>
            <w:tcW w:w="1882" w:type="dxa"/>
            <w:shd w:val="clear" w:color="auto" w:fill="auto"/>
            <w:vAlign w:val="center"/>
          </w:tcPr>
          <w:p w14:paraId="0A4FB15D">
            <w:pPr>
              <w:pStyle w:val="27"/>
              <w:spacing w:before="82" w:line="210"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2"/>
                <w:highlight w:val="none"/>
              </w:rPr>
              <w:t>其他要求</w:t>
            </w:r>
          </w:p>
        </w:tc>
        <w:tc>
          <w:tcPr>
            <w:tcW w:w="5277" w:type="dxa"/>
            <w:shd w:val="clear" w:color="auto" w:fill="auto"/>
            <w:vAlign w:val="top"/>
          </w:tcPr>
          <w:p w14:paraId="3F87D83E">
            <w:pPr>
              <w:pStyle w:val="27"/>
              <w:spacing w:before="82" w:line="210"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1.4.1</w:t>
            </w:r>
            <w:r>
              <w:rPr>
                <w:color w:val="auto"/>
                <w:spacing w:val="-43"/>
                <w:highlight w:val="none"/>
              </w:rPr>
              <w:t xml:space="preserve"> </w:t>
            </w:r>
            <w:r>
              <w:rPr>
                <w:color w:val="auto"/>
                <w:spacing w:val="-3"/>
                <w:highlight w:val="none"/>
              </w:rPr>
              <w:t>项</w:t>
            </w:r>
            <w:r>
              <w:rPr>
                <w:color w:val="auto"/>
                <w:spacing w:val="-4"/>
                <w:highlight w:val="none"/>
              </w:rPr>
              <w:t>规定</w:t>
            </w:r>
          </w:p>
        </w:tc>
      </w:tr>
      <w:tr w14:paraId="56E2F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1C2ED873">
            <w:pPr>
              <w:outlineLvl w:val="9"/>
              <w:rPr>
                <w:rFonts w:ascii="Arial"/>
                <w:color w:val="auto"/>
                <w:sz w:val="21"/>
                <w:highlight w:val="none"/>
              </w:rPr>
            </w:pPr>
          </w:p>
        </w:tc>
        <w:tc>
          <w:tcPr>
            <w:tcW w:w="1123" w:type="dxa"/>
            <w:vMerge w:val="continue"/>
            <w:vAlign w:val="top"/>
          </w:tcPr>
          <w:p w14:paraId="0EB782F7">
            <w:pPr>
              <w:outlineLvl w:val="9"/>
              <w:rPr>
                <w:rFonts w:ascii="Arial"/>
                <w:color w:val="auto"/>
                <w:sz w:val="21"/>
                <w:highlight w:val="none"/>
              </w:rPr>
            </w:pPr>
          </w:p>
        </w:tc>
        <w:tc>
          <w:tcPr>
            <w:tcW w:w="1882" w:type="dxa"/>
            <w:shd w:val="clear" w:color="auto" w:fill="auto"/>
            <w:vAlign w:val="center"/>
          </w:tcPr>
          <w:p w14:paraId="76F6982F">
            <w:pPr>
              <w:pStyle w:val="27"/>
              <w:spacing w:before="78" w:line="213"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1"/>
                <w:highlight w:val="none"/>
              </w:rPr>
              <w:t>联合体投标人</w:t>
            </w:r>
          </w:p>
        </w:tc>
        <w:tc>
          <w:tcPr>
            <w:tcW w:w="5277" w:type="dxa"/>
            <w:shd w:val="clear" w:color="auto" w:fill="auto"/>
            <w:vAlign w:val="top"/>
          </w:tcPr>
          <w:p w14:paraId="5F943EF0">
            <w:pPr>
              <w:pStyle w:val="27"/>
              <w:spacing w:before="78" w:line="213" w:lineRule="auto"/>
              <w:ind w:left="115" w:leftChars="0"/>
              <w:outlineLvl w:val="9"/>
              <w:rPr>
                <w:rFonts w:ascii="宋体" w:hAnsi="宋体" w:eastAsia="宋体" w:cs="宋体"/>
                <w:snapToGrid w:val="0"/>
                <w:color w:val="auto"/>
                <w:kern w:val="0"/>
                <w:sz w:val="21"/>
                <w:szCs w:val="21"/>
                <w:highlight w:val="none"/>
                <w:lang w:val="en-US" w:eastAsia="en-US" w:bidi="ar-SA"/>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1.4.2</w:t>
            </w:r>
            <w:r>
              <w:rPr>
                <w:color w:val="auto"/>
                <w:spacing w:val="-43"/>
                <w:highlight w:val="none"/>
              </w:rPr>
              <w:t xml:space="preserve"> </w:t>
            </w:r>
            <w:r>
              <w:rPr>
                <w:color w:val="auto"/>
                <w:spacing w:val="-3"/>
                <w:highlight w:val="none"/>
              </w:rPr>
              <w:t>项</w:t>
            </w:r>
            <w:r>
              <w:rPr>
                <w:color w:val="auto"/>
                <w:spacing w:val="-4"/>
                <w:highlight w:val="none"/>
              </w:rPr>
              <w:t>规定</w:t>
            </w:r>
          </w:p>
        </w:tc>
      </w:tr>
      <w:tr w14:paraId="29F4F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14:paraId="63E8B944">
            <w:pPr>
              <w:outlineLvl w:val="9"/>
              <w:rPr>
                <w:rFonts w:ascii="Arial"/>
                <w:color w:val="auto"/>
                <w:sz w:val="21"/>
                <w:highlight w:val="none"/>
              </w:rPr>
            </w:pPr>
          </w:p>
        </w:tc>
        <w:tc>
          <w:tcPr>
            <w:tcW w:w="1123" w:type="dxa"/>
            <w:vMerge w:val="continue"/>
            <w:vAlign w:val="top"/>
          </w:tcPr>
          <w:p w14:paraId="100CA8EA">
            <w:pPr>
              <w:outlineLvl w:val="9"/>
              <w:rPr>
                <w:rFonts w:ascii="Arial"/>
                <w:color w:val="auto"/>
                <w:sz w:val="21"/>
                <w:highlight w:val="none"/>
              </w:rPr>
            </w:pPr>
          </w:p>
        </w:tc>
        <w:tc>
          <w:tcPr>
            <w:tcW w:w="1882" w:type="dxa"/>
            <w:shd w:val="clear" w:color="auto" w:fill="auto"/>
            <w:vAlign w:val="center"/>
          </w:tcPr>
          <w:p w14:paraId="28F8D2FA">
            <w:pPr>
              <w:spacing w:line="325" w:lineRule="auto"/>
              <w:jc w:val="center"/>
              <w:outlineLvl w:val="9"/>
              <w:rPr>
                <w:rFonts w:ascii="Arial"/>
                <w:color w:val="auto"/>
                <w:sz w:val="21"/>
                <w:highlight w:val="none"/>
              </w:rPr>
            </w:pPr>
          </w:p>
          <w:p w14:paraId="2C2EF195">
            <w:pPr>
              <w:pStyle w:val="27"/>
              <w:spacing w:before="68" w:line="221" w:lineRule="auto"/>
              <w:jc w:val="center"/>
              <w:outlineLvl w:val="9"/>
              <w:rPr>
                <w:rFonts w:ascii="宋体" w:hAnsi="宋体" w:eastAsia="宋体" w:cs="宋体"/>
                <w:snapToGrid w:val="0"/>
                <w:color w:val="auto"/>
                <w:kern w:val="0"/>
                <w:sz w:val="21"/>
                <w:szCs w:val="21"/>
                <w:highlight w:val="none"/>
                <w:lang w:val="en-US" w:eastAsia="en-US" w:bidi="ar-SA"/>
              </w:rPr>
            </w:pPr>
            <w:r>
              <w:rPr>
                <w:color w:val="auto"/>
                <w:spacing w:val="-1"/>
                <w:highlight w:val="none"/>
              </w:rPr>
              <w:t>不存在禁止投标的情形</w:t>
            </w:r>
          </w:p>
        </w:tc>
        <w:tc>
          <w:tcPr>
            <w:tcW w:w="5277" w:type="dxa"/>
            <w:shd w:val="clear" w:color="auto" w:fill="auto"/>
            <w:vAlign w:val="top"/>
          </w:tcPr>
          <w:p w14:paraId="1268D4A3">
            <w:pPr>
              <w:pStyle w:val="27"/>
              <w:spacing w:before="76" w:line="257" w:lineRule="auto"/>
              <w:ind w:left="112" w:leftChars="0" w:right="102" w:rightChars="0" w:firstLine="4" w:firstLineChars="0"/>
              <w:jc w:val="both"/>
              <w:outlineLvl w:val="9"/>
              <w:rPr>
                <w:rFonts w:ascii="宋体" w:hAnsi="宋体" w:eastAsia="宋体" w:cs="宋体"/>
                <w:snapToGrid w:val="0"/>
                <w:color w:val="auto"/>
                <w:kern w:val="0"/>
                <w:sz w:val="21"/>
                <w:szCs w:val="21"/>
                <w:highlight w:val="none"/>
                <w:lang w:val="en-US" w:eastAsia="en-US" w:bidi="ar-SA"/>
              </w:rPr>
            </w:pPr>
            <w:r>
              <w:rPr>
                <w:color w:val="auto"/>
                <w:spacing w:val="-4"/>
                <w:highlight w:val="none"/>
              </w:rPr>
              <w:t>不存在第二章“投标人须知</w:t>
            </w:r>
            <w:r>
              <w:rPr>
                <w:color w:val="auto"/>
                <w:spacing w:val="-63"/>
                <w:highlight w:val="none"/>
              </w:rPr>
              <w:t xml:space="preserve"> </w:t>
            </w:r>
            <w:r>
              <w:rPr>
                <w:color w:val="auto"/>
                <w:spacing w:val="-4"/>
                <w:highlight w:val="none"/>
              </w:rPr>
              <w:t>”第 1.4.3 项规定的</w:t>
            </w:r>
            <w:r>
              <w:rPr>
                <w:color w:val="auto"/>
                <w:highlight w:val="none"/>
              </w:rPr>
              <w:t>任何一种情形。</w:t>
            </w:r>
            <w:r>
              <w:rPr>
                <w:b/>
                <w:bCs/>
                <w:color w:val="auto"/>
                <w:highlight w:val="none"/>
              </w:rPr>
              <w:t>投标人在投标函中承诺即可，不</w:t>
            </w:r>
            <w:r>
              <w:rPr>
                <w:b/>
                <w:bCs/>
                <w:color w:val="auto"/>
                <w:spacing w:val="-5"/>
                <w:highlight w:val="none"/>
              </w:rPr>
              <w:t>需要提供相关证明。</w:t>
            </w:r>
          </w:p>
        </w:tc>
      </w:tr>
      <w:tr w14:paraId="65C4C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restart"/>
            <w:tcBorders>
              <w:bottom w:val="nil"/>
            </w:tcBorders>
            <w:vAlign w:val="top"/>
          </w:tcPr>
          <w:p w14:paraId="5314188A">
            <w:pPr>
              <w:spacing w:line="248" w:lineRule="auto"/>
              <w:outlineLvl w:val="9"/>
              <w:rPr>
                <w:rFonts w:ascii="Arial"/>
                <w:color w:val="auto"/>
                <w:sz w:val="21"/>
                <w:highlight w:val="none"/>
              </w:rPr>
            </w:pPr>
          </w:p>
          <w:p w14:paraId="252738A3">
            <w:pPr>
              <w:spacing w:line="248" w:lineRule="auto"/>
              <w:outlineLvl w:val="9"/>
              <w:rPr>
                <w:rFonts w:ascii="Arial"/>
                <w:color w:val="auto"/>
                <w:sz w:val="21"/>
                <w:highlight w:val="none"/>
              </w:rPr>
            </w:pPr>
          </w:p>
          <w:p w14:paraId="12090E96">
            <w:pPr>
              <w:spacing w:line="248" w:lineRule="auto"/>
              <w:outlineLvl w:val="9"/>
              <w:rPr>
                <w:rFonts w:ascii="Arial"/>
                <w:color w:val="auto"/>
                <w:sz w:val="21"/>
                <w:highlight w:val="none"/>
              </w:rPr>
            </w:pPr>
          </w:p>
          <w:p w14:paraId="6078FDCC">
            <w:pPr>
              <w:spacing w:line="248" w:lineRule="auto"/>
              <w:outlineLvl w:val="9"/>
              <w:rPr>
                <w:rFonts w:ascii="Arial"/>
                <w:color w:val="auto"/>
                <w:sz w:val="21"/>
                <w:highlight w:val="none"/>
              </w:rPr>
            </w:pPr>
          </w:p>
          <w:p w14:paraId="49F81FD7">
            <w:pPr>
              <w:spacing w:line="248" w:lineRule="auto"/>
              <w:outlineLvl w:val="9"/>
              <w:rPr>
                <w:rFonts w:ascii="Arial"/>
                <w:color w:val="auto"/>
                <w:sz w:val="21"/>
                <w:highlight w:val="none"/>
              </w:rPr>
            </w:pPr>
          </w:p>
          <w:p w14:paraId="1367994D">
            <w:pPr>
              <w:spacing w:line="248" w:lineRule="auto"/>
              <w:outlineLvl w:val="9"/>
              <w:rPr>
                <w:rFonts w:ascii="Arial"/>
                <w:color w:val="auto"/>
                <w:sz w:val="21"/>
                <w:highlight w:val="none"/>
              </w:rPr>
            </w:pPr>
          </w:p>
          <w:p w14:paraId="480FFD6E">
            <w:pPr>
              <w:spacing w:line="248" w:lineRule="auto"/>
              <w:outlineLvl w:val="9"/>
              <w:rPr>
                <w:rFonts w:ascii="Arial"/>
                <w:color w:val="auto"/>
                <w:sz w:val="21"/>
                <w:highlight w:val="none"/>
              </w:rPr>
            </w:pPr>
          </w:p>
          <w:p w14:paraId="7DCE820F">
            <w:pPr>
              <w:spacing w:line="248" w:lineRule="auto"/>
              <w:outlineLvl w:val="9"/>
              <w:rPr>
                <w:rFonts w:ascii="Arial"/>
                <w:color w:val="auto"/>
                <w:sz w:val="21"/>
                <w:highlight w:val="none"/>
              </w:rPr>
            </w:pPr>
          </w:p>
          <w:p w14:paraId="6BF7C722">
            <w:pPr>
              <w:spacing w:line="248" w:lineRule="auto"/>
              <w:outlineLvl w:val="9"/>
              <w:rPr>
                <w:rFonts w:ascii="Arial"/>
                <w:color w:val="auto"/>
                <w:sz w:val="21"/>
                <w:highlight w:val="none"/>
              </w:rPr>
            </w:pPr>
          </w:p>
          <w:p w14:paraId="4F247F2B">
            <w:pPr>
              <w:spacing w:line="248" w:lineRule="auto"/>
              <w:outlineLvl w:val="9"/>
              <w:rPr>
                <w:rFonts w:ascii="Arial"/>
                <w:color w:val="auto"/>
                <w:sz w:val="21"/>
                <w:highlight w:val="none"/>
              </w:rPr>
            </w:pPr>
          </w:p>
          <w:p w14:paraId="3D210DA1">
            <w:pPr>
              <w:spacing w:line="248" w:lineRule="auto"/>
              <w:outlineLvl w:val="9"/>
              <w:rPr>
                <w:rFonts w:ascii="Arial"/>
                <w:color w:val="auto"/>
                <w:sz w:val="21"/>
                <w:highlight w:val="none"/>
              </w:rPr>
            </w:pPr>
          </w:p>
          <w:p w14:paraId="0A589C6B">
            <w:pPr>
              <w:spacing w:line="248" w:lineRule="auto"/>
              <w:outlineLvl w:val="9"/>
              <w:rPr>
                <w:rFonts w:ascii="Arial"/>
                <w:color w:val="auto"/>
                <w:sz w:val="21"/>
                <w:highlight w:val="none"/>
              </w:rPr>
            </w:pPr>
          </w:p>
          <w:p w14:paraId="2359EC37">
            <w:pPr>
              <w:spacing w:line="248" w:lineRule="auto"/>
              <w:outlineLvl w:val="9"/>
              <w:rPr>
                <w:rFonts w:ascii="Arial"/>
                <w:color w:val="auto"/>
                <w:sz w:val="21"/>
                <w:highlight w:val="none"/>
              </w:rPr>
            </w:pPr>
          </w:p>
          <w:p w14:paraId="35D5F525">
            <w:pPr>
              <w:spacing w:line="249" w:lineRule="auto"/>
              <w:outlineLvl w:val="9"/>
              <w:rPr>
                <w:rFonts w:ascii="Arial"/>
                <w:color w:val="auto"/>
                <w:sz w:val="21"/>
                <w:highlight w:val="none"/>
              </w:rPr>
            </w:pPr>
          </w:p>
          <w:p w14:paraId="791CF2E3">
            <w:pPr>
              <w:spacing w:line="249" w:lineRule="auto"/>
              <w:outlineLvl w:val="9"/>
              <w:rPr>
                <w:rFonts w:ascii="Arial"/>
                <w:color w:val="auto"/>
                <w:sz w:val="21"/>
                <w:highlight w:val="none"/>
              </w:rPr>
            </w:pPr>
          </w:p>
          <w:p w14:paraId="5333838B">
            <w:pPr>
              <w:spacing w:line="249" w:lineRule="auto"/>
              <w:outlineLvl w:val="9"/>
              <w:rPr>
                <w:rFonts w:ascii="Arial"/>
                <w:color w:val="auto"/>
                <w:sz w:val="21"/>
                <w:highlight w:val="none"/>
              </w:rPr>
            </w:pPr>
          </w:p>
          <w:p w14:paraId="1544F022">
            <w:pPr>
              <w:pStyle w:val="27"/>
              <w:spacing w:before="68" w:line="182" w:lineRule="auto"/>
              <w:ind w:left="197"/>
              <w:outlineLvl w:val="9"/>
              <w:rPr>
                <w:color w:val="auto"/>
                <w:highlight w:val="none"/>
              </w:rPr>
            </w:pPr>
            <w:r>
              <w:rPr>
                <w:color w:val="auto"/>
                <w:spacing w:val="-2"/>
                <w:highlight w:val="none"/>
              </w:rPr>
              <w:t>2.2.3</w:t>
            </w:r>
          </w:p>
        </w:tc>
        <w:tc>
          <w:tcPr>
            <w:tcW w:w="1123" w:type="dxa"/>
            <w:vMerge w:val="restart"/>
            <w:tcBorders>
              <w:bottom w:val="nil"/>
            </w:tcBorders>
            <w:vAlign w:val="top"/>
          </w:tcPr>
          <w:p w14:paraId="56A58EDF">
            <w:pPr>
              <w:spacing w:line="251" w:lineRule="auto"/>
              <w:outlineLvl w:val="9"/>
              <w:rPr>
                <w:rFonts w:ascii="Arial"/>
                <w:color w:val="auto"/>
                <w:sz w:val="21"/>
                <w:highlight w:val="none"/>
              </w:rPr>
            </w:pPr>
          </w:p>
          <w:p w14:paraId="7CFC2B73">
            <w:pPr>
              <w:spacing w:line="252" w:lineRule="auto"/>
              <w:outlineLvl w:val="9"/>
              <w:rPr>
                <w:rFonts w:ascii="Arial"/>
                <w:color w:val="auto"/>
                <w:sz w:val="21"/>
                <w:highlight w:val="none"/>
              </w:rPr>
            </w:pPr>
          </w:p>
          <w:p w14:paraId="6757E38F">
            <w:pPr>
              <w:spacing w:line="252" w:lineRule="auto"/>
              <w:outlineLvl w:val="9"/>
              <w:rPr>
                <w:rFonts w:ascii="Arial"/>
                <w:color w:val="auto"/>
                <w:sz w:val="21"/>
                <w:highlight w:val="none"/>
              </w:rPr>
            </w:pPr>
          </w:p>
          <w:p w14:paraId="6FB27456">
            <w:pPr>
              <w:spacing w:line="252" w:lineRule="auto"/>
              <w:outlineLvl w:val="9"/>
              <w:rPr>
                <w:rFonts w:ascii="Arial"/>
                <w:color w:val="auto"/>
                <w:sz w:val="21"/>
                <w:highlight w:val="none"/>
              </w:rPr>
            </w:pPr>
          </w:p>
          <w:p w14:paraId="0B61C578">
            <w:pPr>
              <w:spacing w:line="252" w:lineRule="auto"/>
              <w:outlineLvl w:val="9"/>
              <w:rPr>
                <w:rFonts w:ascii="Arial"/>
                <w:color w:val="auto"/>
                <w:sz w:val="21"/>
                <w:highlight w:val="none"/>
              </w:rPr>
            </w:pPr>
          </w:p>
          <w:p w14:paraId="20F5308E">
            <w:pPr>
              <w:spacing w:line="252" w:lineRule="auto"/>
              <w:outlineLvl w:val="9"/>
              <w:rPr>
                <w:rFonts w:ascii="Arial"/>
                <w:color w:val="auto"/>
                <w:sz w:val="21"/>
                <w:highlight w:val="none"/>
              </w:rPr>
            </w:pPr>
          </w:p>
          <w:p w14:paraId="74119459">
            <w:pPr>
              <w:spacing w:line="252" w:lineRule="auto"/>
              <w:outlineLvl w:val="9"/>
              <w:rPr>
                <w:rFonts w:ascii="Arial"/>
                <w:color w:val="auto"/>
                <w:sz w:val="21"/>
                <w:highlight w:val="none"/>
              </w:rPr>
            </w:pPr>
          </w:p>
          <w:p w14:paraId="553F625D">
            <w:pPr>
              <w:spacing w:line="252" w:lineRule="auto"/>
              <w:outlineLvl w:val="9"/>
              <w:rPr>
                <w:rFonts w:ascii="Arial"/>
                <w:color w:val="auto"/>
                <w:sz w:val="21"/>
                <w:highlight w:val="none"/>
              </w:rPr>
            </w:pPr>
          </w:p>
          <w:p w14:paraId="5B424DFF">
            <w:pPr>
              <w:spacing w:line="252" w:lineRule="auto"/>
              <w:outlineLvl w:val="9"/>
              <w:rPr>
                <w:rFonts w:ascii="Arial"/>
                <w:color w:val="auto"/>
                <w:sz w:val="21"/>
                <w:highlight w:val="none"/>
              </w:rPr>
            </w:pPr>
          </w:p>
          <w:p w14:paraId="3622A9CB">
            <w:pPr>
              <w:spacing w:line="252" w:lineRule="auto"/>
              <w:outlineLvl w:val="9"/>
              <w:rPr>
                <w:rFonts w:ascii="Arial"/>
                <w:color w:val="auto"/>
                <w:sz w:val="21"/>
                <w:highlight w:val="none"/>
              </w:rPr>
            </w:pPr>
          </w:p>
          <w:p w14:paraId="2B1C1291">
            <w:pPr>
              <w:spacing w:line="252" w:lineRule="auto"/>
              <w:outlineLvl w:val="9"/>
              <w:rPr>
                <w:rFonts w:ascii="Arial"/>
                <w:color w:val="auto"/>
                <w:sz w:val="21"/>
                <w:highlight w:val="none"/>
              </w:rPr>
            </w:pPr>
          </w:p>
          <w:p w14:paraId="2BD3D777">
            <w:pPr>
              <w:spacing w:line="252" w:lineRule="auto"/>
              <w:outlineLvl w:val="9"/>
              <w:rPr>
                <w:rFonts w:ascii="Arial"/>
                <w:color w:val="auto"/>
                <w:sz w:val="21"/>
                <w:highlight w:val="none"/>
              </w:rPr>
            </w:pPr>
          </w:p>
          <w:p w14:paraId="019098DF">
            <w:pPr>
              <w:spacing w:line="252" w:lineRule="auto"/>
              <w:outlineLvl w:val="9"/>
              <w:rPr>
                <w:rFonts w:ascii="Arial"/>
                <w:color w:val="auto"/>
                <w:sz w:val="21"/>
                <w:highlight w:val="none"/>
              </w:rPr>
            </w:pPr>
          </w:p>
          <w:p w14:paraId="278BF67E">
            <w:pPr>
              <w:spacing w:line="252" w:lineRule="auto"/>
              <w:outlineLvl w:val="9"/>
              <w:rPr>
                <w:rFonts w:ascii="Arial"/>
                <w:color w:val="auto"/>
                <w:sz w:val="21"/>
                <w:highlight w:val="none"/>
              </w:rPr>
            </w:pPr>
          </w:p>
          <w:p w14:paraId="4922599D">
            <w:pPr>
              <w:spacing w:line="252" w:lineRule="auto"/>
              <w:outlineLvl w:val="9"/>
              <w:rPr>
                <w:rFonts w:ascii="Arial"/>
                <w:color w:val="auto"/>
                <w:sz w:val="21"/>
                <w:highlight w:val="none"/>
              </w:rPr>
            </w:pPr>
          </w:p>
          <w:p w14:paraId="584F0E89">
            <w:pPr>
              <w:pStyle w:val="27"/>
              <w:spacing w:before="69" w:line="267" w:lineRule="auto"/>
              <w:ind w:left="254" w:right="138" w:hanging="98"/>
              <w:outlineLvl w:val="9"/>
              <w:rPr>
                <w:color w:val="auto"/>
                <w:highlight w:val="none"/>
              </w:rPr>
            </w:pPr>
            <w:r>
              <w:rPr>
                <w:color w:val="auto"/>
                <w:spacing w:val="-5"/>
                <w:highlight w:val="none"/>
              </w:rPr>
              <w:t>响应性评</w:t>
            </w:r>
            <w:r>
              <w:rPr>
                <w:color w:val="auto"/>
                <w:spacing w:val="2"/>
                <w:highlight w:val="none"/>
              </w:rPr>
              <w:t xml:space="preserve"> </w:t>
            </w:r>
            <w:r>
              <w:rPr>
                <w:color w:val="auto"/>
                <w:spacing w:val="-3"/>
                <w:highlight w:val="none"/>
              </w:rPr>
              <w:t>审标准</w:t>
            </w:r>
          </w:p>
        </w:tc>
        <w:tc>
          <w:tcPr>
            <w:tcW w:w="1882" w:type="dxa"/>
            <w:vAlign w:val="center"/>
          </w:tcPr>
          <w:p w14:paraId="4BC251CD">
            <w:pPr>
              <w:pStyle w:val="27"/>
              <w:spacing w:before="80" w:line="207" w:lineRule="auto"/>
              <w:jc w:val="center"/>
              <w:outlineLvl w:val="9"/>
              <w:rPr>
                <w:color w:val="auto"/>
                <w:highlight w:val="none"/>
              </w:rPr>
            </w:pPr>
            <w:r>
              <w:rPr>
                <w:color w:val="auto"/>
                <w:spacing w:val="-2"/>
                <w:highlight w:val="none"/>
              </w:rPr>
              <w:t>投标报价</w:t>
            </w:r>
          </w:p>
        </w:tc>
        <w:tc>
          <w:tcPr>
            <w:tcW w:w="5277" w:type="dxa"/>
            <w:vAlign w:val="top"/>
          </w:tcPr>
          <w:p w14:paraId="0552C2E5">
            <w:pPr>
              <w:pStyle w:val="27"/>
              <w:spacing w:before="80" w:line="207" w:lineRule="auto"/>
              <w:ind w:left="115"/>
              <w:outlineLvl w:val="9"/>
              <w:rPr>
                <w:color w:val="auto"/>
                <w:highlight w:val="none"/>
              </w:rPr>
            </w:pPr>
            <w:r>
              <w:rPr>
                <w:color w:val="auto"/>
                <w:spacing w:val="-3"/>
                <w:highlight w:val="none"/>
              </w:rPr>
              <w:t>符合第二章“投标人须知</w:t>
            </w:r>
            <w:r>
              <w:rPr>
                <w:color w:val="auto"/>
                <w:spacing w:val="-76"/>
                <w:highlight w:val="none"/>
              </w:rPr>
              <w:t xml:space="preserve"> </w:t>
            </w:r>
            <w:r>
              <w:rPr>
                <w:color w:val="auto"/>
                <w:spacing w:val="-3"/>
                <w:highlight w:val="none"/>
              </w:rPr>
              <w:t>”第</w:t>
            </w:r>
            <w:r>
              <w:rPr>
                <w:color w:val="auto"/>
                <w:spacing w:val="-40"/>
                <w:highlight w:val="none"/>
              </w:rPr>
              <w:t xml:space="preserve"> </w:t>
            </w:r>
            <w:r>
              <w:rPr>
                <w:color w:val="auto"/>
                <w:spacing w:val="-3"/>
                <w:highlight w:val="none"/>
              </w:rPr>
              <w:t>3.2</w:t>
            </w:r>
            <w:r>
              <w:rPr>
                <w:color w:val="auto"/>
                <w:spacing w:val="-43"/>
                <w:highlight w:val="none"/>
              </w:rPr>
              <w:t xml:space="preserve"> </w:t>
            </w:r>
            <w:r>
              <w:rPr>
                <w:color w:val="auto"/>
                <w:spacing w:val="-3"/>
                <w:highlight w:val="none"/>
              </w:rPr>
              <w:t>款规定</w:t>
            </w:r>
          </w:p>
        </w:tc>
      </w:tr>
      <w:tr w14:paraId="682F4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nil"/>
              <w:bottom w:val="nil"/>
            </w:tcBorders>
            <w:vAlign w:val="top"/>
          </w:tcPr>
          <w:p w14:paraId="7BFA15CA">
            <w:pPr>
              <w:outlineLvl w:val="9"/>
              <w:rPr>
                <w:rFonts w:ascii="Arial"/>
                <w:color w:val="auto"/>
                <w:sz w:val="21"/>
                <w:highlight w:val="none"/>
              </w:rPr>
            </w:pPr>
          </w:p>
        </w:tc>
        <w:tc>
          <w:tcPr>
            <w:tcW w:w="1123" w:type="dxa"/>
            <w:vMerge w:val="continue"/>
            <w:tcBorders>
              <w:top w:val="nil"/>
              <w:bottom w:val="nil"/>
            </w:tcBorders>
            <w:vAlign w:val="top"/>
          </w:tcPr>
          <w:p w14:paraId="05644D3A">
            <w:pPr>
              <w:outlineLvl w:val="9"/>
              <w:rPr>
                <w:rFonts w:ascii="Arial"/>
                <w:color w:val="auto"/>
                <w:sz w:val="21"/>
                <w:highlight w:val="none"/>
              </w:rPr>
            </w:pPr>
          </w:p>
        </w:tc>
        <w:tc>
          <w:tcPr>
            <w:tcW w:w="1882" w:type="dxa"/>
            <w:vAlign w:val="center"/>
          </w:tcPr>
          <w:p w14:paraId="3A70FCCD">
            <w:pPr>
              <w:pStyle w:val="27"/>
              <w:spacing w:before="78" w:line="207" w:lineRule="auto"/>
              <w:jc w:val="center"/>
              <w:outlineLvl w:val="9"/>
              <w:rPr>
                <w:color w:val="auto"/>
                <w:highlight w:val="none"/>
              </w:rPr>
            </w:pPr>
            <w:r>
              <w:rPr>
                <w:color w:val="auto"/>
                <w:spacing w:val="-2"/>
                <w:highlight w:val="none"/>
              </w:rPr>
              <w:t>投标内容</w:t>
            </w:r>
          </w:p>
        </w:tc>
        <w:tc>
          <w:tcPr>
            <w:tcW w:w="5277" w:type="dxa"/>
            <w:vAlign w:val="top"/>
          </w:tcPr>
          <w:p w14:paraId="51FCC08C">
            <w:pPr>
              <w:pStyle w:val="27"/>
              <w:spacing w:before="78" w:line="207"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1.3.1</w:t>
            </w:r>
            <w:r>
              <w:rPr>
                <w:color w:val="auto"/>
                <w:spacing w:val="-43"/>
                <w:highlight w:val="none"/>
              </w:rPr>
              <w:t xml:space="preserve"> </w:t>
            </w:r>
            <w:r>
              <w:rPr>
                <w:color w:val="auto"/>
                <w:spacing w:val="-3"/>
                <w:highlight w:val="none"/>
              </w:rPr>
              <w:t>项</w:t>
            </w:r>
            <w:r>
              <w:rPr>
                <w:color w:val="auto"/>
                <w:spacing w:val="-4"/>
                <w:highlight w:val="none"/>
              </w:rPr>
              <w:t>规定</w:t>
            </w:r>
          </w:p>
        </w:tc>
      </w:tr>
      <w:tr w14:paraId="73CBF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04" w:type="dxa"/>
            <w:vMerge w:val="continue"/>
            <w:tcBorders>
              <w:top w:val="nil"/>
              <w:bottom w:val="nil"/>
            </w:tcBorders>
            <w:vAlign w:val="top"/>
          </w:tcPr>
          <w:p w14:paraId="76267A66">
            <w:pPr>
              <w:outlineLvl w:val="9"/>
              <w:rPr>
                <w:rFonts w:ascii="Arial"/>
                <w:color w:val="auto"/>
                <w:sz w:val="21"/>
                <w:highlight w:val="none"/>
              </w:rPr>
            </w:pPr>
          </w:p>
        </w:tc>
        <w:tc>
          <w:tcPr>
            <w:tcW w:w="1123" w:type="dxa"/>
            <w:vMerge w:val="continue"/>
            <w:tcBorders>
              <w:top w:val="nil"/>
              <w:bottom w:val="nil"/>
            </w:tcBorders>
            <w:vAlign w:val="top"/>
          </w:tcPr>
          <w:p w14:paraId="384EF347">
            <w:pPr>
              <w:outlineLvl w:val="9"/>
              <w:rPr>
                <w:rFonts w:ascii="Arial"/>
                <w:color w:val="auto"/>
                <w:sz w:val="21"/>
                <w:highlight w:val="none"/>
              </w:rPr>
            </w:pPr>
          </w:p>
        </w:tc>
        <w:tc>
          <w:tcPr>
            <w:tcW w:w="1882" w:type="dxa"/>
            <w:vAlign w:val="center"/>
          </w:tcPr>
          <w:p w14:paraId="3EC25B8C">
            <w:pPr>
              <w:pStyle w:val="27"/>
              <w:spacing w:before="80" w:line="208" w:lineRule="auto"/>
              <w:jc w:val="center"/>
              <w:outlineLvl w:val="9"/>
              <w:rPr>
                <w:color w:val="auto"/>
                <w:highlight w:val="none"/>
              </w:rPr>
            </w:pPr>
            <w:r>
              <w:rPr>
                <w:color w:val="auto"/>
                <w:spacing w:val="-3"/>
                <w:highlight w:val="none"/>
              </w:rPr>
              <w:t>工期</w:t>
            </w:r>
          </w:p>
        </w:tc>
        <w:tc>
          <w:tcPr>
            <w:tcW w:w="5277" w:type="dxa"/>
            <w:vAlign w:val="top"/>
          </w:tcPr>
          <w:p w14:paraId="1F80EBE9">
            <w:pPr>
              <w:pStyle w:val="27"/>
              <w:spacing w:before="80" w:line="208"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1.3.2</w:t>
            </w:r>
            <w:r>
              <w:rPr>
                <w:color w:val="auto"/>
                <w:spacing w:val="-43"/>
                <w:highlight w:val="none"/>
              </w:rPr>
              <w:t xml:space="preserve"> </w:t>
            </w:r>
            <w:r>
              <w:rPr>
                <w:color w:val="auto"/>
                <w:spacing w:val="-3"/>
                <w:highlight w:val="none"/>
              </w:rPr>
              <w:t>项</w:t>
            </w:r>
            <w:r>
              <w:rPr>
                <w:color w:val="auto"/>
                <w:spacing w:val="-4"/>
                <w:highlight w:val="none"/>
              </w:rPr>
              <w:t>规定</w:t>
            </w:r>
          </w:p>
        </w:tc>
      </w:tr>
      <w:tr w14:paraId="32761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nil"/>
              <w:bottom w:val="nil"/>
            </w:tcBorders>
            <w:vAlign w:val="top"/>
          </w:tcPr>
          <w:p w14:paraId="7FB6F436">
            <w:pPr>
              <w:outlineLvl w:val="9"/>
              <w:rPr>
                <w:rFonts w:ascii="Arial"/>
                <w:color w:val="auto"/>
                <w:sz w:val="21"/>
                <w:highlight w:val="none"/>
              </w:rPr>
            </w:pPr>
          </w:p>
        </w:tc>
        <w:tc>
          <w:tcPr>
            <w:tcW w:w="1123" w:type="dxa"/>
            <w:vMerge w:val="continue"/>
            <w:tcBorders>
              <w:top w:val="nil"/>
              <w:bottom w:val="nil"/>
            </w:tcBorders>
            <w:vAlign w:val="top"/>
          </w:tcPr>
          <w:p w14:paraId="7C277E03">
            <w:pPr>
              <w:outlineLvl w:val="9"/>
              <w:rPr>
                <w:rFonts w:ascii="Arial"/>
                <w:color w:val="auto"/>
                <w:sz w:val="21"/>
                <w:highlight w:val="none"/>
              </w:rPr>
            </w:pPr>
          </w:p>
        </w:tc>
        <w:tc>
          <w:tcPr>
            <w:tcW w:w="1882" w:type="dxa"/>
            <w:vAlign w:val="center"/>
          </w:tcPr>
          <w:p w14:paraId="25FF7855">
            <w:pPr>
              <w:pStyle w:val="27"/>
              <w:spacing w:before="77" w:line="208" w:lineRule="auto"/>
              <w:jc w:val="center"/>
              <w:outlineLvl w:val="9"/>
              <w:rPr>
                <w:color w:val="auto"/>
                <w:highlight w:val="none"/>
              </w:rPr>
            </w:pPr>
            <w:r>
              <w:rPr>
                <w:color w:val="auto"/>
                <w:spacing w:val="-2"/>
                <w:highlight w:val="none"/>
              </w:rPr>
              <w:t>质量标准</w:t>
            </w:r>
          </w:p>
        </w:tc>
        <w:tc>
          <w:tcPr>
            <w:tcW w:w="5277" w:type="dxa"/>
            <w:vAlign w:val="top"/>
          </w:tcPr>
          <w:p w14:paraId="5F3DCA3C">
            <w:pPr>
              <w:pStyle w:val="27"/>
              <w:spacing w:before="77" w:line="208"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1.3.3</w:t>
            </w:r>
            <w:r>
              <w:rPr>
                <w:color w:val="auto"/>
                <w:spacing w:val="-43"/>
                <w:highlight w:val="none"/>
              </w:rPr>
              <w:t xml:space="preserve"> </w:t>
            </w:r>
            <w:r>
              <w:rPr>
                <w:color w:val="auto"/>
                <w:spacing w:val="-3"/>
                <w:highlight w:val="none"/>
              </w:rPr>
              <w:t>项</w:t>
            </w:r>
            <w:r>
              <w:rPr>
                <w:color w:val="auto"/>
                <w:spacing w:val="-4"/>
                <w:highlight w:val="none"/>
              </w:rPr>
              <w:t>规定</w:t>
            </w:r>
          </w:p>
        </w:tc>
      </w:tr>
      <w:tr w14:paraId="6C7CC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14:paraId="4CE34E87">
            <w:pPr>
              <w:outlineLvl w:val="9"/>
              <w:rPr>
                <w:rFonts w:ascii="Arial"/>
                <w:color w:val="auto"/>
                <w:sz w:val="21"/>
                <w:highlight w:val="none"/>
              </w:rPr>
            </w:pPr>
          </w:p>
        </w:tc>
        <w:tc>
          <w:tcPr>
            <w:tcW w:w="1123" w:type="dxa"/>
            <w:vMerge w:val="continue"/>
            <w:tcBorders>
              <w:top w:val="nil"/>
              <w:bottom w:val="nil"/>
            </w:tcBorders>
            <w:vAlign w:val="top"/>
          </w:tcPr>
          <w:p w14:paraId="3133C1E4">
            <w:pPr>
              <w:outlineLvl w:val="9"/>
              <w:rPr>
                <w:rFonts w:ascii="Arial"/>
                <w:color w:val="auto"/>
                <w:sz w:val="21"/>
                <w:highlight w:val="none"/>
              </w:rPr>
            </w:pPr>
          </w:p>
        </w:tc>
        <w:tc>
          <w:tcPr>
            <w:tcW w:w="1882" w:type="dxa"/>
            <w:vAlign w:val="center"/>
          </w:tcPr>
          <w:p w14:paraId="110B6F7E">
            <w:pPr>
              <w:pStyle w:val="27"/>
              <w:spacing w:before="79" w:line="208" w:lineRule="auto"/>
              <w:jc w:val="center"/>
              <w:outlineLvl w:val="9"/>
              <w:rPr>
                <w:color w:val="auto"/>
                <w:highlight w:val="none"/>
              </w:rPr>
            </w:pPr>
            <w:r>
              <w:rPr>
                <w:color w:val="auto"/>
                <w:spacing w:val="-3"/>
                <w:highlight w:val="none"/>
              </w:rPr>
              <w:t>安全目标</w:t>
            </w:r>
          </w:p>
        </w:tc>
        <w:tc>
          <w:tcPr>
            <w:tcW w:w="5277" w:type="dxa"/>
            <w:vAlign w:val="top"/>
          </w:tcPr>
          <w:p w14:paraId="3DE691E5">
            <w:pPr>
              <w:pStyle w:val="27"/>
              <w:spacing w:before="79" w:line="208"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1.3.4</w:t>
            </w:r>
            <w:r>
              <w:rPr>
                <w:color w:val="auto"/>
                <w:spacing w:val="-43"/>
                <w:highlight w:val="none"/>
              </w:rPr>
              <w:t xml:space="preserve"> </w:t>
            </w:r>
            <w:r>
              <w:rPr>
                <w:color w:val="auto"/>
                <w:spacing w:val="-3"/>
                <w:highlight w:val="none"/>
              </w:rPr>
              <w:t>项</w:t>
            </w:r>
            <w:r>
              <w:rPr>
                <w:color w:val="auto"/>
                <w:spacing w:val="-4"/>
                <w:highlight w:val="none"/>
              </w:rPr>
              <w:t>规定</w:t>
            </w:r>
          </w:p>
        </w:tc>
      </w:tr>
      <w:tr w14:paraId="7AF67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nil"/>
              <w:bottom w:val="nil"/>
            </w:tcBorders>
            <w:vAlign w:val="top"/>
          </w:tcPr>
          <w:p w14:paraId="73466969">
            <w:pPr>
              <w:outlineLvl w:val="9"/>
              <w:rPr>
                <w:rFonts w:ascii="Arial"/>
                <w:color w:val="auto"/>
                <w:sz w:val="21"/>
                <w:highlight w:val="none"/>
              </w:rPr>
            </w:pPr>
          </w:p>
        </w:tc>
        <w:tc>
          <w:tcPr>
            <w:tcW w:w="1123" w:type="dxa"/>
            <w:vMerge w:val="continue"/>
            <w:tcBorders>
              <w:top w:val="nil"/>
              <w:bottom w:val="nil"/>
            </w:tcBorders>
            <w:vAlign w:val="top"/>
          </w:tcPr>
          <w:p w14:paraId="2F8CB21F">
            <w:pPr>
              <w:outlineLvl w:val="9"/>
              <w:rPr>
                <w:rFonts w:ascii="Arial"/>
                <w:color w:val="auto"/>
                <w:sz w:val="21"/>
                <w:highlight w:val="none"/>
              </w:rPr>
            </w:pPr>
          </w:p>
        </w:tc>
        <w:tc>
          <w:tcPr>
            <w:tcW w:w="1882" w:type="dxa"/>
            <w:vAlign w:val="center"/>
          </w:tcPr>
          <w:p w14:paraId="188D3536">
            <w:pPr>
              <w:pStyle w:val="27"/>
              <w:spacing w:before="77" w:line="208" w:lineRule="auto"/>
              <w:jc w:val="center"/>
              <w:outlineLvl w:val="9"/>
              <w:rPr>
                <w:color w:val="auto"/>
                <w:highlight w:val="none"/>
              </w:rPr>
            </w:pPr>
            <w:r>
              <w:rPr>
                <w:color w:val="auto"/>
                <w:spacing w:val="-2"/>
                <w:highlight w:val="none"/>
              </w:rPr>
              <w:t>环保目标</w:t>
            </w:r>
          </w:p>
        </w:tc>
        <w:tc>
          <w:tcPr>
            <w:tcW w:w="5277" w:type="dxa"/>
            <w:vAlign w:val="top"/>
          </w:tcPr>
          <w:p w14:paraId="0EC67899">
            <w:pPr>
              <w:pStyle w:val="27"/>
              <w:spacing w:before="77" w:line="208" w:lineRule="auto"/>
              <w:ind w:left="115"/>
              <w:outlineLvl w:val="9"/>
              <w:rPr>
                <w:color w:val="auto"/>
                <w:highlight w:val="none"/>
              </w:rPr>
            </w:pPr>
            <w:r>
              <w:rPr>
                <w:color w:val="auto"/>
                <w:spacing w:val="-3"/>
                <w:highlight w:val="none"/>
              </w:rPr>
              <w:t>符合第二章“投标人须知</w:t>
            </w:r>
            <w:r>
              <w:rPr>
                <w:color w:val="auto"/>
                <w:spacing w:val="-80"/>
                <w:highlight w:val="none"/>
              </w:rPr>
              <w:t xml:space="preserve"> </w:t>
            </w:r>
            <w:r>
              <w:rPr>
                <w:color w:val="auto"/>
                <w:spacing w:val="-3"/>
                <w:highlight w:val="none"/>
              </w:rPr>
              <w:t>”第</w:t>
            </w:r>
            <w:r>
              <w:rPr>
                <w:color w:val="auto"/>
                <w:spacing w:val="-28"/>
                <w:highlight w:val="none"/>
              </w:rPr>
              <w:t xml:space="preserve"> </w:t>
            </w:r>
            <w:r>
              <w:rPr>
                <w:color w:val="auto"/>
                <w:spacing w:val="-3"/>
                <w:highlight w:val="none"/>
              </w:rPr>
              <w:t>1.3.5</w:t>
            </w:r>
            <w:r>
              <w:rPr>
                <w:color w:val="auto"/>
                <w:spacing w:val="-43"/>
                <w:highlight w:val="none"/>
              </w:rPr>
              <w:t xml:space="preserve"> </w:t>
            </w:r>
            <w:r>
              <w:rPr>
                <w:color w:val="auto"/>
                <w:spacing w:val="-3"/>
                <w:highlight w:val="none"/>
              </w:rPr>
              <w:t>项</w:t>
            </w:r>
            <w:r>
              <w:rPr>
                <w:color w:val="auto"/>
                <w:spacing w:val="-4"/>
                <w:highlight w:val="none"/>
              </w:rPr>
              <w:t>规定</w:t>
            </w:r>
          </w:p>
        </w:tc>
      </w:tr>
      <w:tr w14:paraId="0991A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14:paraId="6564BE96">
            <w:pPr>
              <w:outlineLvl w:val="9"/>
              <w:rPr>
                <w:rFonts w:ascii="Arial"/>
                <w:color w:val="auto"/>
                <w:sz w:val="21"/>
                <w:highlight w:val="none"/>
              </w:rPr>
            </w:pPr>
          </w:p>
        </w:tc>
        <w:tc>
          <w:tcPr>
            <w:tcW w:w="1123" w:type="dxa"/>
            <w:vMerge w:val="continue"/>
            <w:tcBorders>
              <w:top w:val="nil"/>
              <w:bottom w:val="nil"/>
            </w:tcBorders>
            <w:vAlign w:val="top"/>
          </w:tcPr>
          <w:p w14:paraId="0CE41CD3">
            <w:pPr>
              <w:outlineLvl w:val="9"/>
              <w:rPr>
                <w:rFonts w:ascii="Arial"/>
                <w:color w:val="auto"/>
                <w:sz w:val="21"/>
                <w:highlight w:val="none"/>
              </w:rPr>
            </w:pPr>
          </w:p>
        </w:tc>
        <w:tc>
          <w:tcPr>
            <w:tcW w:w="1882" w:type="dxa"/>
            <w:vAlign w:val="center"/>
          </w:tcPr>
          <w:p w14:paraId="223EEF72">
            <w:pPr>
              <w:pStyle w:val="27"/>
              <w:spacing w:before="79" w:line="208" w:lineRule="auto"/>
              <w:jc w:val="center"/>
              <w:outlineLvl w:val="9"/>
              <w:rPr>
                <w:color w:val="auto"/>
                <w:highlight w:val="none"/>
              </w:rPr>
            </w:pPr>
            <w:r>
              <w:rPr>
                <w:color w:val="auto"/>
                <w:spacing w:val="-2"/>
                <w:highlight w:val="none"/>
              </w:rPr>
              <w:t>投标有效期</w:t>
            </w:r>
          </w:p>
        </w:tc>
        <w:tc>
          <w:tcPr>
            <w:tcW w:w="5277" w:type="dxa"/>
            <w:vAlign w:val="top"/>
          </w:tcPr>
          <w:p w14:paraId="2FCE9F3F">
            <w:pPr>
              <w:pStyle w:val="27"/>
              <w:spacing w:before="79" w:line="208" w:lineRule="auto"/>
              <w:ind w:left="115"/>
              <w:outlineLvl w:val="9"/>
              <w:rPr>
                <w:color w:val="auto"/>
                <w:highlight w:val="none"/>
              </w:rPr>
            </w:pPr>
            <w:r>
              <w:rPr>
                <w:color w:val="auto"/>
                <w:spacing w:val="-3"/>
                <w:highlight w:val="none"/>
              </w:rPr>
              <w:t>符合第二章“投标人须知</w:t>
            </w:r>
            <w:r>
              <w:rPr>
                <w:color w:val="auto"/>
                <w:spacing w:val="-70"/>
                <w:highlight w:val="none"/>
              </w:rPr>
              <w:t xml:space="preserve"> </w:t>
            </w:r>
            <w:r>
              <w:rPr>
                <w:color w:val="auto"/>
                <w:spacing w:val="-3"/>
                <w:highlight w:val="none"/>
              </w:rPr>
              <w:t>”第</w:t>
            </w:r>
            <w:r>
              <w:rPr>
                <w:color w:val="auto"/>
                <w:spacing w:val="-40"/>
                <w:highlight w:val="none"/>
              </w:rPr>
              <w:t xml:space="preserve"> </w:t>
            </w:r>
            <w:r>
              <w:rPr>
                <w:color w:val="auto"/>
                <w:spacing w:val="-3"/>
                <w:highlight w:val="none"/>
              </w:rPr>
              <w:t>3.3.1</w:t>
            </w:r>
            <w:r>
              <w:rPr>
                <w:color w:val="auto"/>
                <w:spacing w:val="-43"/>
                <w:highlight w:val="none"/>
              </w:rPr>
              <w:t xml:space="preserve"> </w:t>
            </w:r>
            <w:r>
              <w:rPr>
                <w:color w:val="auto"/>
                <w:spacing w:val="-3"/>
                <w:highlight w:val="none"/>
              </w:rPr>
              <w:t>项规定</w:t>
            </w:r>
          </w:p>
        </w:tc>
      </w:tr>
      <w:tr w14:paraId="4655F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nil"/>
              <w:bottom w:val="nil"/>
            </w:tcBorders>
            <w:vAlign w:val="top"/>
          </w:tcPr>
          <w:p w14:paraId="699EA043">
            <w:pPr>
              <w:outlineLvl w:val="9"/>
              <w:rPr>
                <w:rFonts w:ascii="Arial"/>
                <w:color w:val="auto"/>
                <w:sz w:val="21"/>
                <w:highlight w:val="none"/>
              </w:rPr>
            </w:pPr>
          </w:p>
        </w:tc>
        <w:tc>
          <w:tcPr>
            <w:tcW w:w="1123" w:type="dxa"/>
            <w:vMerge w:val="continue"/>
            <w:tcBorders>
              <w:top w:val="nil"/>
              <w:bottom w:val="nil"/>
            </w:tcBorders>
            <w:vAlign w:val="top"/>
          </w:tcPr>
          <w:p w14:paraId="49FC7F00">
            <w:pPr>
              <w:outlineLvl w:val="9"/>
              <w:rPr>
                <w:rFonts w:ascii="Arial"/>
                <w:color w:val="auto"/>
                <w:sz w:val="21"/>
                <w:highlight w:val="none"/>
              </w:rPr>
            </w:pPr>
          </w:p>
        </w:tc>
        <w:tc>
          <w:tcPr>
            <w:tcW w:w="1882" w:type="dxa"/>
            <w:vAlign w:val="center"/>
          </w:tcPr>
          <w:p w14:paraId="3B401819">
            <w:pPr>
              <w:pStyle w:val="27"/>
              <w:spacing w:before="77" w:line="208" w:lineRule="auto"/>
              <w:jc w:val="center"/>
              <w:outlineLvl w:val="9"/>
              <w:rPr>
                <w:color w:val="auto"/>
                <w:highlight w:val="none"/>
              </w:rPr>
            </w:pPr>
            <w:r>
              <w:rPr>
                <w:color w:val="auto"/>
                <w:spacing w:val="-2"/>
                <w:highlight w:val="none"/>
              </w:rPr>
              <w:t>投标保证金</w:t>
            </w:r>
          </w:p>
        </w:tc>
        <w:tc>
          <w:tcPr>
            <w:tcW w:w="5277" w:type="dxa"/>
            <w:vAlign w:val="top"/>
          </w:tcPr>
          <w:p w14:paraId="6072CC20">
            <w:pPr>
              <w:pStyle w:val="27"/>
              <w:spacing w:before="77" w:line="208" w:lineRule="auto"/>
              <w:ind w:left="115"/>
              <w:outlineLvl w:val="9"/>
              <w:rPr>
                <w:color w:val="auto"/>
                <w:highlight w:val="none"/>
              </w:rPr>
            </w:pPr>
            <w:r>
              <w:rPr>
                <w:color w:val="auto"/>
                <w:spacing w:val="-3"/>
                <w:highlight w:val="none"/>
              </w:rPr>
              <w:t>符合第二章“投标人须知</w:t>
            </w:r>
            <w:r>
              <w:rPr>
                <w:color w:val="auto"/>
                <w:spacing w:val="-70"/>
                <w:highlight w:val="none"/>
              </w:rPr>
              <w:t xml:space="preserve"> </w:t>
            </w:r>
            <w:r>
              <w:rPr>
                <w:color w:val="auto"/>
                <w:spacing w:val="-3"/>
                <w:highlight w:val="none"/>
              </w:rPr>
              <w:t>”第</w:t>
            </w:r>
            <w:r>
              <w:rPr>
                <w:color w:val="auto"/>
                <w:spacing w:val="-40"/>
                <w:highlight w:val="none"/>
              </w:rPr>
              <w:t xml:space="preserve"> </w:t>
            </w:r>
            <w:r>
              <w:rPr>
                <w:color w:val="auto"/>
                <w:spacing w:val="-3"/>
                <w:highlight w:val="none"/>
              </w:rPr>
              <w:t>3.4.1</w:t>
            </w:r>
            <w:r>
              <w:rPr>
                <w:color w:val="auto"/>
                <w:spacing w:val="-43"/>
                <w:highlight w:val="none"/>
              </w:rPr>
              <w:t xml:space="preserve"> </w:t>
            </w:r>
            <w:r>
              <w:rPr>
                <w:color w:val="auto"/>
                <w:spacing w:val="-3"/>
                <w:highlight w:val="none"/>
              </w:rPr>
              <w:t>项规定</w:t>
            </w:r>
          </w:p>
        </w:tc>
      </w:tr>
      <w:tr w14:paraId="0887B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14:paraId="03CD4E71">
            <w:pPr>
              <w:outlineLvl w:val="9"/>
              <w:rPr>
                <w:rFonts w:ascii="Arial"/>
                <w:color w:val="auto"/>
                <w:sz w:val="21"/>
                <w:highlight w:val="none"/>
              </w:rPr>
            </w:pPr>
          </w:p>
        </w:tc>
        <w:tc>
          <w:tcPr>
            <w:tcW w:w="1123" w:type="dxa"/>
            <w:vMerge w:val="continue"/>
            <w:tcBorders>
              <w:top w:val="nil"/>
              <w:bottom w:val="nil"/>
            </w:tcBorders>
            <w:vAlign w:val="top"/>
          </w:tcPr>
          <w:p w14:paraId="04DCA745">
            <w:pPr>
              <w:outlineLvl w:val="9"/>
              <w:rPr>
                <w:rFonts w:ascii="Arial"/>
                <w:color w:val="auto"/>
                <w:sz w:val="21"/>
                <w:highlight w:val="none"/>
              </w:rPr>
            </w:pPr>
          </w:p>
        </w:tc>
        <w:tc>
          <w:tcPr>
            <w:tcW w:w="1882" w:type="dxa"/>
            <w:vAlign w:val="center"/>
          </w:tcPr>
          <w:p w14:paraId="016B38E8">
            <w:pPr>
              <w:pStyle w:val="27"/>
              <w:spacing w:before="237" w:line="221" w:lineRule="auto"/>
              <w:jc w:val="center"/>
              <w:outlineLvl w:val="9"/>
              <w:rPr>
                <w:color w:val="auto"/>
                <w:highlight w:val="none"/>
              </w:rPr>
            </w:pPr>
            <w:r>
              <w:rPr>
                <w:color w:val="auto"/>
                <w:spacing w:val="-1"/>
                <w:highlight w:val="none"/>
              </w:rPr>
              <w:t>权利义务</w:t>
            </w:r>
          </w:p>
        </w:tc>
        <w:tc>
          <w:tcPr>
            <w:tcW w:w="5277" w:type="dxa"/>
            <w:vAlign w:val="top"/>
          </w:tcPr>
          <w:p w14:paraId="55F8E7AE">
            <w:pPr>
              <w:pStyle w:val="27"/>
              <w:spacing w:before="79" w:line="244" w:lineRule="auto"/>
              <w:ind w:left="114" w:right="158"/>
              <w:outlineLvl w:val="9"/>
              <w:rPr>
                <w:color w:val="auto"/>
                <w:highlight w:val="none"/>
              </w:rPr>
            </w:pPr>
            <w:r>
              <w:rPr>
                <w:color w:val="auto"/>
                <w:spacing w:val="-1"/>
                <w:highlight w:val="none"/>
              </w:rPr>
              <w:t>符合第四章“合同条款及格式”中的实质性要求</w:t>
            </w:r>
            <w:r>
              <w:rPr>
                <w:color w:val="auto"/>
                <w:spacing w:val="-2"/>
                <w:highlight w:val="none"/>
              </w:rPr>
              <w:t>和条件</w:t>
            </w:r>
          </w:p>
        </w:tc>
      </w:tr>
      <w:tr w14:paraId="1C4F0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14:paraId="4199E8A9">
            <w:pPr>
              <w:outlineLvl w:val="9"/>
              <w:rPr>
                <w:rFonts w:ascii="Arial"/>
                <w:color w:val="auto"/>
                <w:sz w:val="21"/>
                <w:highlight w:val="none"/>
              </w:rPr>
            </w:pPr>
          </w:p>
        </w:tc>
        <w:tc>
          <w:tcPr>
            <w:tcW w:w="1123" w:type="dxa"/>
            <w:vMerge w:val="continue"/>
            <w:tcBorders>
              <w:top w:val="nil"/>
              <w:bottom w:val="nil"/>
            </w:tcBorders>
            <w:vAlign w:val="top"/>
          </w:tcPr>
          <w:p w14:paraId="271FC4FF">
            <w:pPr>
              <w:outlineLvl w:val="9"/>
              <w:rPr>
                <w:rFonts w:ascii="Arial"/>
                <w:color w:val="auto"/>
                <w:sz w:val="21"/>
                <w:highlight w:val="none"/>
              </w:rPr>
            </w:pPr>
          </w:p>
        </w:tc>
        <w:tc>
          <w:tcPr>
            <w:tcW w:w="1882" w:type="dxa"/>
            <w:vAlign w:val="center"/>
          </w:tcPr>
          <w:p w14:paraId="7E5D5B5F">
            <w:pPr>
              <w:pStyle w:val="27"/>
              <w:spacing w:before="78" w:line="209" w:lineRule="auto"/>
              <w:jc w:val="center"/>
              <w:outlineLvl w:val="9"/>
              <w:rPr>
                <w:color w:val="auto"/>
                <w:highlight w:val="none"/>
              </w:rPr>
            </w:pPr>
            <w:r>
              <w:rPr>
                <w:color w:val="auto"/>
                <w:spacing w:val="-1"/>
                <w:highlight w:val="none"/>
              </w:rPr>
              <w:t>技术标准和要求</w:t>
            </w:r>
          </w:p>
        </w:tc>
        <w:tc>
          <w:tcPr>
            <w:tcW w:w="5277" w:type="dxa"/>
            <w:vAlign w:val="top"/>
          </w:tcPr>
          <w:p w14:paraId="2AEA1566">
            <w:pPr>
              <w:pStyle w:val="27"/>
              <w:spacing w:before="78" w:line="209" w:lineRule="auto"/>
              <w:ind w:left="115"/>
              <w:outlineLvl w:val="9"/>
              <w:rPr>
                <w:color w:val="auto"/>
                <w:highlight w:val="none"/>
              </w:rPr>
            </w:pPr>
            <w:r>
              <w:rPr>
                <w:color w:val="auto"/>
                <w:spacing w:val="-1"/>
                <w:highlight w:val="none"/>
              </w:rPr>
              <w:t>符合第七章“技术标准和要求”规定</w:t>
            </w:r>
          </w:p>
        </w:tc>
      </w:tr>
      <w:tr w14:paraId="7F098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6" w:hRule="atLeast"/>
        </w:trPr>
        <w:tc>
          <w:tcPr>
            <w:tcW w:w="904" w:type="dxa"/>
            <w:vMerge w:val="continue"/>
            <w:tcBorders>
              <w:top w:val="nil"/>
              <w:bottom w:val="nil"/>
            </w:tcBorders>
            <w:vAlign w:val="top"/>
          </w:tcPr>
          <w:p w14:paraId="771D356D">
            <w:pPr>
              <w:outlineLvl w:val="9"/>
              <w:rPr>
                <w:rFonts w:ascii="Arial"/>
                <w:color w:val="auto"/>
                <w:sz w:val="21"/>
                <w:highlight w:val="none"/>
              </w:rPr>
            </w:pPr>
          </w:p>
        </w:tc>
        <w:tc>
          <w:tcPr>
            <w:tcW w:w="1123" w:type="dxa"/>
            <w:vMerge w:val="continue"/>
            <w:tcBorders>
              <w:top w:val="nil"/>
              <w:bottom w:val="nil"/>
            </w:tcBorders>
            <w:vAlign w:val="top"/>
          </w:tcPr>
          <w:p w14:paraId="49AD1926">
            <w:pPr>
              <w:outlineLvl w:val="9"/>
              <w:rPr>
                <w:rFonts w:ascii="Arial"/>
                <w:color w:val="auto"/>
                <w:sz w:val="21"/>
                <w:highlight w:val="none"/>
              </w:rPr>
            </w:pPr>
          </w:p>
        </w:tc>
        <w:tc>
          <w:tcPr>
            <w:tcW w:w="1882" w:type="dxa"/>
            <w:vAlign w:val="center"/>
          </w:tcPr>
          <w:p w14:paraId="65BA97E6">
            <w:pPr>
              <w:spacing w:line="281" w:lineRule="auto"/>
              <w:jc w:val="center"/>
              <w:outlineLvl w:val="9"/>
              <w:rPr>
                <w:rFonts w:ascii="Arial"/>
                <w:color w:val="auto"/>
                <w:sz w:val="21"/>
                <w:highlight w:val="none"/>
              </w:rPr>
            </w:pPr>
          </w:p>
          <w:p w14:paraId="522662A1">
            <w:pPr>
              <w:spacing w:line="281" w:lineRule="auto"/>
              <w:jc w:val="center"/>
              <w:outlineLvl w:val="9"/>
              <w:rPr>
                <w:rFonts w:ascii="Arial"/>
                <w:color w:val="auto"/>
                <w:sz w:val="21"/>
                <w:highlight w:val="none"/>
              </w:rPr>
            </w:pPr>
          </w:p>
          <w:p w14:paraId="7B452452">
            <w:pPr>
              <w:spacing w:line="281" w:lineRule="auto"/>
              <w:jc w:val="center"/>
              <w:outlineLvl w:val="9"/>
              <w:rPr>
                <w:rFonts w:ascii="Arial"/>
                <w:color w:val="auto"/>
                <w:sz w:val="21"/>
                <w:highlight w:val="none"/>
              </w:rPr>
            </w:pPr>
          </w:p>
          <w:p w14:paraId="60BDDF10">
            <w:pPr>
              <w:spacing w:line="281" w:lineRule="auto"/>
              <w:jc w:val="center"/>
              <w:outlineLvl w:val="9"/>
              <w:rPr>
                <w:rFonts w:ascii="Arial"/>
                <w:color w:val="auto"/>
                <w:sz w:val="21"/>
                <w:highlight w:val="none"/>
              </w:rPr>
            </w:pPr>
          </w:p>
          <w:p w14:paraId="5BD7C5C8">
            <w:pPr>
              <w:pStyle w:val="27"/>
              <w:spacing w:before="68" w:line="219" w:lineRule="auto"/>
              <w:jc w:val="center"/>
              <w:outlineLvl w:val="9"/>
              <w:rPr>
                <w:color w:val="auto"/>
                <w:highlight w:val="none"/>
              </w:rPr>
            </w:pPr>
            <w:r>
              <w:rPr>
                <w:color w:val="auto"/>
                <w:spacing w:val="-2"/>
                <w:highlight w:val="none"/>
              </w:rPr>
              <w:t>投标报价偏差</w:t>
            </w:r>
          </w:p>
        </w:tc>
        <w:tc>
          <w:tcPr>
            <w:tcW w:w="5277" w:type="dxa"/>
            <w:vAlign w:val="top"/>
          </w:tcPr>
          <w:p w14:paraId="1A5BE320">
            <w:pPr>
              <w:pStyle w:val="27"/>
              <w:spacing w:before="79" w:line="272" w:lineRule="auto"/>
              <w:ind w:left="113" w:right="45" w:firstLine="16"/>
              <w:outlineLvl w:val="9"/>
              <w:rPr>
                <w:color w:val="auto"/>
                <w:highlight w:val="none"/>
              </w:rPr>
            </w:pPr>
            <w:r>
              <w:rPr>
                <w:color w:val="auto"/>
                <w:spacing w:val="-1"/>
                <w:highlight w:val="none"/>
              </w:rPr>
              <w:t>因投标人原因造成投标报价累计缺漏金额（多报金额不得抵销缺漏金额，缺漏金额计算时按照最</w:t>
            </w:r>
            <w:r>
              <w:rPr>
                <w:color w:val="auto"/>
                <w:spacing w:val="-8"/>
                <w:highlight w:val="none"/>
              </w:rPr>
              <w:t>高投标限价相应数据计算）占投标报价未超过</w:t>
            </w:r>
            <w:r>
              <w:rPr>
                <w:color w:val="auto"/>
                <w:spacing w:val="-24"/>
                <w:highlight w:val="none"/>
              </w:rPr>
              <w:t xml:space="preserve"> </w:t>
            </w:r>
            <w:r>
              <w:rPr>
                <w:color w:val="auto"/>
                <w:spacing w:val="-8"/>
                <w:highlight w:val="none"/>
              </w:rPr>
              <w:t>3%，</w:t>
            </w:r>
            <w:r>
              <w:rPr>
                <w:color w:val="auto"/>
                <w:spacing w:val="-1"/>
                <w:highlight w:val="none"/>
              </w:rPr>
              <w:t>也未影响各投标人开标记录表中的投标价排序。凡招标文件要求或者工程量清单计价规范规定应计算的费用而投标人未报，且投标文件未阐明充分理由，并不能提供足够证据者，均视为缺漏金</w:t>
            </w:r>
            <w:r>
              <w:rPr>
                <w:color w:val="auto"/>
                <w:spacing w:val="-10"/>
                <w:highlight w:val="none"/>
              </w:rPr>
              <w:t>额。</w:t>
            </w:r>
          </w:p>
        </w:tc>
      </w:tr>
      <w:tr w14:paraId="74FDD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904" w:type="dxa"/>
            <w:vMerge w:val="continue"/>
            <w:tcBorders>
              <w:top w:val="nil"/>
              <w:bottom w:val="single" w:color="auto" w:sz="4" w:space="0"/>
            </w:tcBorders>
            <w:vAlign w:val="top"/>
          </w:tcPr>
          <w:p w14:paraId="500571FE">
            <w:pPr>
              <w:outlineLvl w:val="9"/>
              <w:rPr>
                <w:rFonts w:ascii="Arial"/>
                <w:color w:val="auto"/>
                <w:sz w:val="21"/>
                <w:highlight w:val="none"/>
              </w:rPr>
            </w:pPr>
          </w:p>
        </w:tc>
        <w:tc>
          <w:tcPr>
            <w:tcW w:w="1123" w:type="dxa"/>
            <w:vMerge w:val="continue"/>
            <w:tcBorders>
              <w:top w:val="nil"/>
              <w:bottom w:val="single" w:color="auto" w:sz="4" w:space="0"/>
            </w:tcBorders>
            <w:vAlign w:val="top"/>
          </w:tcPr>
          <w:p w14:paraId="1F412A2C">
            <w:pPr>
              <w:outlineLvl w:val="9"/>
              <w:rPr>
                <w:rFonts w:ascii="Arial"/>
                <w:color w:val="auto"/>
                <w:sz w:val="21"/>
                <w:highlight w:val="none"/>
              </w:rPr>
            </w:pPr>
          </w:p>
        </w:tc>
        <w:tc>
          <w:tcPr>
            <w:tcW w:w="1882" w:type="dxa"/>
            <w:vAlign w:val="center"/>
          </w:tcPr>
          <w:p w14:paraId="1A1B80CE">
            <w:pPr>
              <w:spacing w:line="278" w:lineRule="auto"/>
              <w:jc w:val="center"/>
              <w:outlineLvl w:val="9"/>
              <w:rPr>
                <w:rFonts w:ascii="Arial"/>
                <w:color w:val="auto"/>
                <w:sz w:val="21"/>
                <w:highlight w:val="none"/>
              </w:rPr>
            </w:pPr>
          </w:p>
          <w:p w14:paraId="141C8A8D">
            <w:pPr>
              <w:spacing w:line="278" w:lineRule="auto"/>
              <w:jc w:val="center"/>
              <w:outlineLvl w:val="9"/>
              <w:rPr>
                <w:rFonts w:ascii="Arial"/>
                <w:color w:val="auto"/>
                <w:sz w:val="21"/>
                <w:highlight w:val="none"/>
              </w:rPr>
            </w:pPr>
          </w:p>
          <w:p w14:paraId="15EFA86D">
            <w:pPr>
              <w:pStyle w:val="27"/>
              <w:spacing w:before="69" w:line="219" w:lineRule="auto"/>
              <w:jc w:val="center"/>
              <w:outlineLvl w:val="9"/>
              <w:rPr>
                <w:color w:val="auto"/>
                <w:highlight w:val="none"/>
              </w:rPr>
            </w:pPr>
            <w:r>
              <w:rPr>
                <w:color w:val="auto"/>
                <w:spacing w:val="-2"/>
                <w:highlight w:val="none"/>
              </w:rPr>
              <w:t>不平衡报价评审</w:t>
            </w:r>
          </w:p>
        </w:tc>
        <w:tc>
          <w:tcPr>
            <w:tcW w:w="5277" w:type="dxa"/>
            <w:vAlign w:val="top"/>
          </w:tcPr>
          <w:p w14:paraId="4C149557">
            <w:pPr>
              <w:pStyle w:val="27"/>
              <w:spacing w:before="79" w:line="271" w:lineRule="auto"/>
              <w:ind w:left="112" w:right="158"/>
              <w:outlineLvl w:val="9"/>
              <w:rPr>
                <w:color w:val="auto"/>
                <w:highlight w:val="none"/>
              </w:rPr>
            </w:pPr>
            <w:r>
              <w:rPr>
                <w:color w:val="auto"/>
                <w:spacing w:val="-1"/>
                <w:highlight w:val="none"/>
              </w:rPr>
              <w:t>对已标价的工程量清单报价书明显高出最高投标限价对应部分分部分项报价，或与最高投标限价对应部分分部分项报价相比明显降幅过大的情况，并经评标委员会评审后，可认定为恶意不平衡报价，否决其投标。</w:t>
            </w:r>
          </w:p>
        </w:tc>
      </w:tr>
      <w:tr w14:paraId="0EC99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904" w:type="dxa"/>
            <w:vMerge w:val="restart"/>
            <w:tcBorders>
              <w:top w:val="single" w:color="auto" w:sz="4" w:space="0"/>
              <w:bottom w:val="single" w:color="auto" w:sz="4" w:space="0"/>
            </w:tcBorders>
            <w:vAlign w:val="center"/>
          </w:tcPr>
          <w:p w14:paraId="4D66E12C">
            <w:pPr>
              <w:spacing w:line="251" w:lineRule="auto"/>
              <w:jc w:val="center"/>
              <w:outlineLvl w:val="9"/>
              <w:rPr>
                <w:rFonts w:ascii="Arial"/>
                <w:color w:val="auto"/>
                <w:sz w:val="21"/>
                <w:highlight w:val="none"/>
              </w:rPr>
            </w:pPr>
          </w:p>
          <w:p w14:paraId="10756929">
            <w:pPr>
              <w:spacing w:line="251" w:lineRule="auto"/>
              <w:jc w:val="center"/>
              <w:outlineLvl w:val="9"/>
              <w:rPr>
                <w:rFonts w:ascii="Arial"/>
                <w:color w:val="auto"/>
                <w:sz w:val="21"/>
                <w:highlight w:val="none"/>
              </w:rPr>
            </w:pPr>
          </w:p>
          <w:p w14:paraId="1481DDFA">
            <w:pPr>
              <w:spacing w:line="252" w:lineRule="auto"/>
              <w:jc w:val="center"/>
              <w:outlineLvl w:val="9"/>
              <w:rPr>
                <w:rFonts w:ascii="Arial"/>
                <w:color w:val="auto"/>
                <w:sz w:val="21"/>
                <w:highlight w:val="none"/>
              </w:rPr>
            </w:pPr>
          </w:p>
          <w:p w14:paraId="02D2194C">
            <w:pPr>
              <w:spacing w:line="252" w:lineRule="auto"/>
              <w:jc w:val="center"/>
              <w:outlineLvl w:val="9"/>
              <w:rPr>
                <w:rFonts w:ascii="Arial"/>
                <w:color w:val="auto"/>
                <w:sz w:val="21"/>
                <w:highlight w:val="none"/>
              </w:rPr>
            </w:pPr>
          </w:p>
          <w:p w14:paraId="2669532D">
            <w:pPr>
              <w:pStyle w:val="27"/>
              <w:spacing w:before="68" w:line="182" w:lineRule="auto"/>
              <w:ind w:left="197"/>
              <w:jc w:val="center"/>
              <w:outlineLvl w:val="9"/>
              <w:rPr>
                <w:color w:val="auto"/>
                <w:highlight w:val="none"/>
              </w:rPr>
            </w:pPr>
            <w:r>
              <w:rPr>
                <w:color w:val="auto"/>
                <w:spacing w:val="-2"/>
                <w:highlight w:val="none"/>
              </w:rPr>
              <w:t>2.2.4</w:t>
            </w:r>
          </w:p>
        </w:tc>
        <w:tc>
          <w:tcPr>
            <w:tcW w:w="1123" w:type="dxa"/>
            <w:vMerge w:val="restart"/>
            <w:tcBorders>
              <w:top w:val="single" w:color="auto" w:sz="4" w:space="0"/>
            </w:tcBorders>
            <w:vAlign w:val="center"/>
          </w:tcPr>
          <w:p w14:paraId="6C232868">
            <w:pPr>
              <w:spacing w:line="247" w:lineRule="auto"/>
              <w:jc w:val="center"/>
              <w:outlineLvl w:val="9"/>
              <w:rPr>
                <w:rFonts w:ascii="Arial"/>
                <w:color w:val="auto"/>
                <w:sz w:val="21"/>
                <w:highlight w:val="none"/>
              </w:rPr>
            </w:pPr>
          </w:p>
          <w:p w14:paraId="477C43E6">
            <w:pPr>
              <w:spacing w:line="247" w:lineRule="auto"/>
              <w:jc w:val="center"/>
              <w:outlineLvl w:val="9"/>
              <w:rPr>
                <w:rFonts w:ascii="Arial"/>
                <w:color w:val="auto"/>
                <w:sz w:val="21"/>
                <w:highlight w:val="none"/>
              </w:rPr>
            </w:pPr>
          </w:p>
          <w:p w14:paraId="031B6C44">
            <w:pPr>
              <w:pStyle w:val="27"/>
              <w:spacing w:before="68" w:line="223" w:lineRule="auto"/>
              <w:ind w:left="144"/>
              <w:jc w:val="center"/>
              <w:outlineLvl w:val="9"/>
              <w:rPr>
                <w:color w:val="auto"/>
                <w:highlight w:val="none"/>
              </w:rPr>
            </w:pPr>
            <w:r>
              <w:rPr>
                <w:color w:val="auto"/>
                <w:spacing w:val="-1"/>
                <w:highlight w:val="none"/>
              </w:rPr>
              <w:t>施工组织</w:t>
            </w:r>
          </w:p>
          <w:p w14:paraId="0DED0147">
            <w:pPr>
              <w:pStyle w:val="27"/>
              <w:spacing w:before="65" w:line="222" w:lineRule="auto"/>
              <w:ind w:left="148"/>
              <w:jc w:val="center"/>
              <w:outlineLvl w:val="9"/>
              <w:rPr>
                <w:color w:val="auto"/>
                <w:highlight w:val="none"/>
              </w:rPr>
            </w:pPr>
            <w:r>
              <w:rPr>
                <w:color w:val="auto"/>
                <w:spacing w:val="-3"/>
                <w:highlight w:val="none"/>
              </w:rPr>
              <w:t>设计和主</w:t>
            </w:r>
          </w:p>
          <w:p w14:paraId="1AB2F26D">
            <w:pPr>
              <w:pStyle w:val="27"/>
              <w:spacing w:before="69" w:line="221" w:lineRule="auto"/>
              <w:ind w:left="146"/>
              <w:jc w:val="center"/>
              <w:outlineLvl w:val="9"/>
              <w:rPr>
                <w:color w:val="auto"/>
                <w:highlight w:val="none"/>
              </w:rPr>
            </w:pPr>
            <w:r>
              <w:rPr>
                <w:color w:val="auto"/>
                <w:spacing w:val="-2"/>
                <w:highlight w:val="none"/>
              </w:rPr>
              <w:t>要人员评</w:t>
            </w:r>
          </w:p>
          <w:p w14:paraId="270D7B64">
            <w:pPr>
              <w:pStyle w:val="27"/>
              <w:spacing w:before="67" w:line="221" w:lineRule="auto"/>
              <w:ind w:left="255"/>
              <w:jc w:val="center"/>
              <w:outlineLvl w:val="9"/>
              <w:rPr>
                <w:color w:val="auto"/>
                <w:highlight w:val="none"/>
              </w:rPr>
            </w:pPr>
            <w:r>
              <w:rPr>
                <w:color w:val="auto"/>
                <w:spacing w:val="-3"/>
                <w:highlight w:val="none"/>
              </w:rPr>
              <w:t>审标准</w:t>
            </w:r>
          </w:p>
        </w:tc>
        <w:tc>
          <w:tcPr>
            <w:tcW w:w="1882" w:type="dxa"/>
            <w:vAlign w:val="center"/>
          </w:tcPr>
          <w:p w14:paraId="087174B6">
            <w:pPr>
              <w:spacing w:line="364" w:lineRule="auto"/>
              <w:jc w:val="center"/>
              <w:outlineLvl w:val="9"/>
              <w:rPr>
                <w:rFonts w:ascii="Arial"/>
                <w:color w:val="auto"/>
                <w:sz w:val="21"/>
                <w:highlight w:val="none"/>
              </w:rPr>
            </w:pPr>
          </w:p>
          <w:p w14:paraId="2F9AC08D">
            <w:pPr>
              <w:pStyle w:val="27"/>
              <w:spacing w:before="68" w:line="221" w:lineRule="auto"/>
              <w:jc w:val="center"/>
              <w:outlineLvl w:val="9"/>
              <w:rPr>
                <w:color w:val="auto"/>
                <w:highlight w:val="none"/>
              </w:rPr>
            </w:pPr>
            <w:r>
              <w:rPr>
                <w:color w:val="auto"/>
                <w:spacing w:val="-1"/>
                <w:highlight w:val="none"/>
              </w:rPr>
              <w:t>施工方案与技术措施</w:t>
            </w:r>
          </w:p>
        </w:tc>
        <w:tc>
          <w:tcPr>
            <w:tcW w:w="5277" w:type="dxa"/>
            <w:vAlign w:val="top"/>
          </w:tcPr>
          <w:p w14:paraId="7B8E7A55">
            <w:pPr>
              <w:pStyle w:val="27"/>
              <w:spacing w:before="81" w:line="256" w:lineRule="auto"/>
              <w:ind w:left="112" w:right="31" w:firstLine="3"/>
              <w:jc w:val="both"/>
              <w:outlineLvl w:val="9"/>
              <w:rPr>
                <w:color w:val="auto"/>
                <w:highlight w:val="none"/>
              </w:rPr>
            </w:pPr>
            <w:r>
              <w:rPr>
                <w:color w:val="auto"/>
                <w:spacing w:val="-1"/>
                <w:highlight w:val="none"/>
              </w:rPr>
              <w:t>各主要分部施工方法符合项目实际，须有详尽的</w:t>
            </w:r>
            <w:r>
              <w:rPr>
                <w:color w:val="auto"/>
                <w:spacing w:val="-4"/>
                <w:highlight w:val="none"/>
              </w:rPr>
              <w:t>施工方案与技术措施，工艺先进、方法科学合理、</w:t>
            </w:r>
            <w:r>
              <w:rPr>
                <w:color w:val="auto"/>
                <w:spacing w:val="-2"/>
                <w:highlight w:val="none"/>
              </w:rPr>
              <w:t>可行，能指导具体施工并确保安全。</w:t>
            </w:r>
          </w:p>
        </w:tc>
      </w:tr>
      <w:tr w14:paraId="541FD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904" w:type="dxa"/>
            <w:vMerge w:val="continue"/>
            <w:tcBorders>
              <w:top w:val="single" w:color="auto" w:sz="4" w:space="0"/>
              <w:bottom w:val="single" w:color="auto" w:sz="4" w:space="0"/>
            </w:tcBorders>
            <w:vAlign w:val="top"/>
          </w:tcPr>
          <w:p w14:paraId="05639146">
            <w:pPr>
              <w:outlineLvl w:val="9"/>
              <w:rPr>
                <w:rFonts w:ascii="Arial"/>
                <w:color w:val="auto"/>
                <w:sz w:val="21"/>
                <w:highlight w:val="none"/>
              </w:rPr>
            </w:pPr>
          </w:p>
        </w:tc>
        <w:tc>
          <w:tcPr>
            <w:tcW w:w="1123" w:type="dxa"/>
            <w:vMerge w:val="continue"/>
            <w:vAlign w:val="top"/>
          </w:tcPr>
          <w:p w14:paraId="2666F62A">
            <w:pPr>
              <w:outlineLvl w:val="9"/>
              <w:rPr>
                <w:rFonts w:ascii="Arial"/>
                <w:color w:val="auto"/>
                <w:sz w:val="21"/>
                <w:highlight w:val="none"/>
              </w:rPr>
            </w:pPr>
          </w:p>
        </w:tc>
        <w:tc>
          <w:tcPr>
            <w:tcW w:w="1882" w:type="dxa"/>
            <w:vAlign w:val="center"/>
          </w:tcPr>
          <w:p w14:paraId="22D830D2">
            <w:pPr>
              <w:spacing w:line="262" w:lineRule="auto"/>
              <w:jc w:val="center"/>
              <w:outlineLvl w:val="9"/>
              <w:rPr>
                <w:rFonts w:ascii="Arial"/>
                <w:color w:val="auto"/>
                <w:sz w:val="21"/>
                <w:highlight w:val="none"/>
              </w:rPr>
            </w:pPr>
          </w:p>
          <w:p w14:paraId="5F8C3834">
            <w:pPr>
              <w:spacing w:line="262" w:lineRule="auto"/>
              <w:jc w:val="center"/>
              <w:outlineLvl w:val="9"/>
              <w:rPr>
                <w:rFonts w:ascii="Arial"/>
                <w:color w:val="auto"/>
                <w:sz w:val="21"/>
                <w:highlight w:val="none"/>
              </w:rPr>
            </w:pPr>
          </w:p>
          <w:p w14:paraId="42F2DD07">
            <w:pPr>
              <w:pStyle w:val="27"/>
              <w:spacing w:before="68" w:line="221" w:lineRule="auto"/>
              <w:jc w:val="center"/>
              <w:outlineLvl w:val="9"/>
              <w:rPr>
                <w:color w:val="auto"/>
                <w:highlight w:val="none"/>
              </w:rPr>
            </w:pPr>
            <w:r>
              <w:rPr>
                <w:color w:val="auto"/>
                <w:spacing w:val="-1"/>
                <w:highlight w:val="none"/>
              </w:rPr>
              <w:t>质量管理体系与措施</w:t>
            </w:r>
          </w:p>
        </w:tc>
        <w:tc>
          <w:tcPr>
            <w:tcW w:w="5277" w:type="dxa"/>
            <w:vAlign w:val="top"/>
          </w:tcPr>
          <w:p w14:paraId="3459C1BC">
            <w:pPr>
              <w:pStyle w:val="27"/>
              <w:spacing w:before="81" w:line="263" w:lineRule="auto"/>
              <w:ind w:left="112" w:right="158"/>
              <w:outlineLvl w:val="9"/>
              <w:rPr>
                <w:color w:val="auto"/>
                <w:highlight w:val="none"/>
              </w:rPr>
            </w:pPr>
            <w:r>
              <w:rPr>
                <w:color w:val="auto"/>
                <w:spacing w:val="-1"/>
                <w:highlight w:val="none"/>
              </w:rPr>
              <w:t>施工项目应有专门的质量技术管理班子和制度，且人员配备合理，制度健全。主要工序应有质量技术保证措施和手段，自控体系完整，能有效保</w:t>
            </w:r>
            <w:r>
              <w:rPr>
                <w:color w:val="auto"/>
                <w:spacing w:val="-2"/>
                <w:highlight w:val="none"/>
              </w:rPr>
              <w:t>证技术质量，达到承诺的质量标准。</w:t>
            </w:r>
          </w:p>
        </w:tc>
      </w:tr>
      <w:tr w14:paraId="72A62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904" w:type="dxa"/>
            <w:vMerge w:val="continue"/>
            <w:tcBorders>
              <w:top w:val="single" w:color="auto" w:sz="4" w:space="0"/>
              <w:bottom w:val="single" w:color="auto" w:sz="4" w:space="0"/>
            </w:tcBorders>
            <w:vAlign w:val="top"/>
          </w:tcPr>
          <w:p w14:paraId="77DA2EB7">
            <w:pPr>
              <w:outlineLvl w:val="9"/>
              <w:rPr>
                <w:rFonts w:ascii="Arial"/>
                <w:color w:val="auto"/>
                <w:sz w:val="21"/>
                <w:highlight w:val="none"/>
              </w:rPr>
            </w:pPr>
          </w:p>
        </w:tc>
        <w:tc>
          <w:tcPr>
            <w:tcW w:w="1123" w:type="dxa"/>
            <w:vMerge w:val="continue"/>
            <w:vAlign w:val="top"/>
          </w:tcPr>
          <w:p w14:paraId="6ED35D0F">
            <w:pPr>
              <w:outlineLvl w:val="9"/>
              <w:rPr>
                <w:rFonts w:ascii="Arial"/>
                <w:color w:val="auto"/>
                <w:sz w:val="21"/>
                <w:highlight w:val="none"/>
              </w:rPr>
            </w:pPr>
          </w:p>
        </w:tc>
        <w:tc>
          <w:tcPr>
            <w:tcW w:w="1882" w:type="dxa"/>
            <w:vAlign w:val="center"/>
          </w:tcPr>
          <w:p w14:paraId="36A9EC19">
            <w:pPr>
              <w:spacing w:line="262" w:lineRule="auto"/>
              <w:jc w:val="center"/>
              <w:outlineLvl w:val="9"/>
              <w:rPr>
                <w:rFonts w:ascii="Arial"/>
                <w:color w:val="auto"/>
                <w:sz w:val="21"/>
                <w:highlight w:val="none"/>
              </w:rPr>
            </w:pPr>
          </w:p>
          <w:p w14:paraId="40FA95AF">
            <w:pPr>
              <w:spacing w:line="262" w:lineRule="auto"/>
              <w:jc w:val="center"/>
              <w:outlineLvl w:val="9"/>
              <w:rPr>
                <w:rFonts w:ascii="Arial"/>
                <w:color w:val="auto"/>
                <w:sz w:val="21"/>
                <w:highlight w:val="none"/>
              </w:rPr>
            </w:pPr>
          </w:p>
          <w:p w14:paraId="6865FFCC">
            <w:pPr>
              <w:pStyle w:val="27"/>
              <w:spacing w:before="68" w:line="221" w:lineRule="auto"/>
              <w:jc w:val="center"/>
              <w:outlineLvl w:val="9"/>
              <w:rPr>
                <w:color w:val="auto"/>
                <w:highlight w:val="none"/>
              </w:rPr>
            </w:pPr>
            <w:r>
              <w:rPr>
                <w:color w:val="auto"/>
                <w:spacing w:val="-1"/>
                <w:highlight w:val="none"/>
              </w:rPr>
              <w:t>安全管理体系与措施</w:t>
            </w:r>
          </w:p>
        </w:tc>
        <w:tc>
          <w:tcPr>
            <w:tcW w:w="5277" w:type="dxa"/>
            <w:vAlign w:val="top"/>
          </w:tcPr>
          <w:p w14:paraId="0FD1C5EF">
            <w:pPr>
              <w:pStyle w:val="27"/>
              <w:spacing w:before="81" w:line="263" w:lineRule="auto"/>
              <w:ind w:left="112" w:right="158"/>
              <w:jc w:val="both"/>
              <w:outlineLvl w:val="9"/>
              <w:rPr>
                <w:color w:val="auto"/>
                <w:highlight w:val="none"/>
              </w:rPr>
            </w:pPr>
            <w:r>
              <w:rPr>
                <w:color w:val="auto"/>
                <w:spacing w:val="-1"/>
                <w:highlight w:val="none"/>
              </w:rPr>
              <w:t>施工项目应有专门的安全管理人员和制度，且人员配备合理，制度健全，各道工序安全技术措施</w:t>
            </w:r>
            <w:r>
              <w:rPr>
                <w:color w:val="auto"/>
                <w:spacing w:val="16"/>
                <w:highlight w:val="none"/>
              </w:rPr>
              <w:t xml:space="preserve"> </w:t>
            </w:r>
            <w:r>
              <w:rPr>
                <w:color w:val="auto"/>
                <w:spacing w:val="-1"/>
                <w:highlight w:val="none"/>
              </w:rPr>
              <w:t>针对性强，符合实际且满足有关安全技术标准要</w:t>
            </w:r>
            <w:r>
              <w:rPr>
                <w:color w:val="auto"/>
                <w:spacing w:val="-2"/>
                <w:highlight w:val="none"/>
              </w:rPr>
              <w:t>求。现场防火、社会治安安全措施得力。</w:t>
            </w:r>
          </w:p>
        </w:tc>
      </w:tr>
      <w:tr w14:paraId="7FD4D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904" w:type="dxa"/>
            <w:vMerge w:val="continue"/>
            <w:tcBorders>
              <w:top w:val="single" w:color="auto" w:sz="4" w:space="0"/>
              <w:bottom w:val="single" w:color="auto" w:sz="4" w:space="0"/>
            </w:tcBorders>
            <w:vAlign w:val="top"/>
          </w:tcPr>
          <w:p w14:paraId="40594BA7">
            <w:pPr>
              <w:outlineLvl w:val="9"/>
              <w:rPr>
                <w:rFonts w:ascii="Arial"/>
                <w:color w:val="auto"/>
                <w:sz w:val="21"/>
                <w:highlight w:val="none"/>
              </w:rPr>
            </w:pPr>
          </w:p>
        </w:tc>
        <w:tc>
          <w:tcPr>
            <w:tcW w:w="1123" w:type="dxa"/>
            <w:vMerge w:val="continue"/>
            <w:vAlign w:val="top"/>
          </w:tcPr>
          <w:p w14:paraId="7711F5B5">
            <w:pPr>
              <w:outlineLvl w:val="9"/>
              <w:rPr>
                <w:rFonts w:ascii="Arial"/>
                <w:color w:val="auto"/>
                <w:sz w:val="21"/>
                <w:highlight w:val="none"/>
              </w:rPr>
            </w:pPr>
          </w:p>
        </w:tc>
        <w:tc>
          <w:tcPr>
            <w:tcW w:w="1882" w:type="dxa"/>
            <w:vAlign w:val="center"/>
          </w:tcPr>
          <w:p w14:paraId="210F88BD">
            <w:pPr>
              <w:spacing w:line="303" w:lineRule="auto"/>
              <w:jc w:val="center"/>
              <w:outlineLvl w:val="9"/>
              <w:rPr>
                <w:rFonts w:ascii="Arial"/>
                <w:color w:val="auto"/>
                <w:sz w:val="21"/>
                <w:highlight w:val="none"/>
              </w:rPr>
            </w:pPr>
          </w:p>
          <w:p w14:paraId="3158A4B8">
            <w:pPr>
              <w:pStyle w:val="27"/>
              <w:spacing w:before="69" w:line="374" w:lineRule="auto"/>
              <w:ind w:right="185"/>
              <w:jc w:val="center"/>
              <w:outlineLvl w:val="9"/>
              <w:rPr>
                <w:color w:val="auto"/>
                <w:highlight w:val="none"/>
              </w:rPr>
            </w:pPr>
            <w:r>
              <w:rPr>
                <w:color w:val="auto"/>
                <w:spacing w:val="-1"/>
                <w:highlight w:val="none"/>
              </w:rPr>
              <w:t>环境保护管理体系与措</w:t>
            </w:r>
            <w:r>
              <w:rPr>
                <w:color w:val="auto"/>
                <w:highlight w:val="none"/>
              </w:rPr>
              <w:t>施</w:t>
            </w:r>
          </w:p>
        </w:tc>
        <w:tc>
          <w:tcPr>
            <w:tcW w:w="5277" w:type="dxa"/>
            <w:vAlign w:val="top"/>
          </w:tcPr>
          <w:p w14:paraId="00156B52">
            <w:pPr>
              <w:pStyle w:val="27"/>
              <w:spacing w:before="74" w:line="264" w:lineRule="auto"/>
              <w:ind w:left="113" w:right="30"/>
              <w:outlineLvl w:val="9"/>
              <w:rPr>
                <w:color w:val="auto"/>
                <w:highlight w:val="none"/>
              </w:rPr>
            </w:pPr>
            <w:r>
              <w:rPr>
                <w:color w:val="auto"/>
                <w:spacing w:val="-1"/>
                <w:highlight w:val="none"/>
              </w:rPr>
              <w:t>针对本工程项目特点，应有现场文明施工计划，环境保护措施，且计划措施内容应达到“安全文</w:t>
            </w:r>
            <w:r>
              <w:rPr>
                <w:color w:val="auto"/>
                <w:spacing w:val="-4"/>
                <w:highlight w:val="none"/>
              </w:rPr>
              <w:t>明示范工地”标准。各项措施周全、具体、有效。</w:t>
            </w:r>
            <w:r>
              <w:rPr>
                <w:color w:val="auto"/>
                <w:spacing w:val="-1"/>
                <w:highlight w:val="none"/>
              </w:rPr>
              <w:t>有具体实现现场文明施工目标的承诺。</w:t>
            </w:r>
          </w:p>
        </w:tc>
      </w:tr>
      <w:tr w14:paraId="0A406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904" w:type="dxa"/>
            <w:vMerge w:val="continue"/>
            <w:tcBorders>
              <w:top w:val="single" w:color="auto" w:sz="4" w:space="0"/>
              <w:bottom w:val="single" w:color="auto" w:sz="4" w:space="0"/>
            </w:tcBorders>
            <w:vAlign w:val="top"/>
          </w:tcPr>
          <w:p w14:paraId="04C7942F">
            <w:pPr>
              <w:outlineLvl w:val="9"/>
              <w:rPr>
                <w:rFonts w:ascii="Arial"/>
                <w:color w:val="auto"/>
                <w:sz w:val="21"/>
                <w:highlight w:val="none"/>
              </w:rPr>
            </w:pPr>
          </w:p>
        </w:tc>
        <w:tc>
          <w:tcPr>
            <w:tcW w:w="1123" w:type="dxa"/>
            <w:vMerge w:val="continue"/>
            <w:vAlign w:val="top"/>
          </w:tcPr>
          <w:p w14:paraId="1FF1CB21">
            <w:pPr>
              <w:outlineLvl w:val="9"/>
              <w:rPr>
                <w:rFonts w:ascii="Arial"/>
                <w:color w:val="auto"/>
                <w:sz w:val="21"/>
                <w:highlight w:val="none"/>
              </w:rPr>
            </w:pPr>
          </w:p>
        </w:tc>
        <w:tc>
          <w:tcPr>
            <w:tcW w:w="1882" w:type="dxa"/>
            <w:vAlign w:val="center"/>
          </w:tcPr>
          <w:p w14:paraId="64C9E2CE">
            <w:pPr>
              <w:spacing w:line="340" w:lineRule="auto"/>
              <w:jc w:val="center"/>
              <w:outlineLvl w:val="9"/>
              <w:rPr>
                <w:rFonts w:ascii="Arial"/>
                <w:color w:val="auto"/>
                <w:sz w:val="21"/>
                <w:highlight w:val="none"/>
              </w:rPr>
            </w:pPr>
          </w:p>
          <w:p w14:paraId="6A716F0E">
            <w:pPr>
              <w:spacing w:line="341" w:lineRule="auto"/>
              <w:jc w:val="center"/>
              <w:outlineLvl w:val="9"/>
              <w:rPr>
                <w:rFonts w:ascii="Arial"/>
                <w:color w:val="auto"/>
                <w:sz w:val="21"/>
                <w:highlight w:val="none"/>
              </w:rPr>
            </w:pPr>
          </w:p>
          <w:p w14:paraId="12FA5E62">
            <w:pPr>
              <w:pStyle w:val="27"/>
              <w:spacing w:before="68" w:line="221" w:lineRule="auto"/>
              <w:jc w:val="center"/>
              <w:outlineLvl w:val="9"/>
              <w:rPr>
                <w:color w:val="auto"/>
                <w:highlight w:val="none"/>
              </w:rPr>
            </w:pPr>
            <w:r>
              <w:rPr>
                <w:color w:val="auto"/>
                <w:spacing w:val="-1"/>
                <w:highlight w:val="none"/>
              </w:rPr>
              <w:t>工程进度计划与措施</w:t>
            </w:r>
          </w:p>
        </w:tc>
        <w:tc>
          <w:tcPr>
            <w:tcW w:w="5277" w:type="dxa"/>
            <w:vAlign w:val="top"/>
          </w:tcPr>
          <w:p w14:paraId="5F7D6FC2">
            <w:pPr>
              <w:pStyle w:val="27"/>
              <w:spacing w:before="76" w:line="267" w:lineRule="auto"/>
              <w:ind w:left="113" w:right="31" w:hanging="1"/>
              <w:outlineLvl w:val="9"/>
              <w:rPr>
                <w:color w:val="auto"/>
                <w:highlight w:val="none"/>
              </w:rPr>
            </w:pPr>
            <w:r>
              <w:rPr>
                <w:color w:val="auto"/>
                <w:spacing w:val="-4"/>
                <w:highlight w:val="none"/>
              </w:rPr>
              <w:t>在施工工艺、施工方法、材料选用、劳动力安排、</w:t>
            </w:r>
            <w:r>
              <w:rPr>
                <w:color w:val="auto"/>
                <w:spacing w:val="-1"/>
                <w:highlight w:val="none"/>
              </w:rPr>
              <w:t>技术等方面有保证工期的具体措施且措施得当。有控制工期的施工进度计划。应有施工总进度表或施工网络图，各项计划图表编制完善，安排科</w:t>
            </w:r>
            <w:r>
              <w:rPr>
                <w:color w:val="auto"/>
                <w:spacing w:val="-2"/>
                <w:highlight w:val="none"/>
              </w:rPr>
              <w:t>学合理，符合本项目施工实际要求。</w:t>
            </w:r>
          </w:p>
        </w:tc>
      </w:tr>
      <w:tr w14:paraId="2FA31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04" w:type="dxa"/>
            <w:vMerge w:val="continue"/>
            <w:tcBorders>
              <w:top w:val="single" w:color="auto" w:sz="4" w:space="0"/>
              <w:bottom w:val="single" w:color="auto" w:sz="4" w:space="0"/>
            </w:tcBorders>
            <w:vAlign w:val="top"/>
          </w:tcPr>
          <w:p w14:paraId="37ECCEC2">
            <w:pPr>
              <w:outlineLvl w:val="9"/>
              <w:rPr>
                <w:rFonts w:ascii="Arial"/>
                <w:color w:val="auto"/>
                <w:sz w:val="21"/>
                <w:highlight w:val="none"/>
              </w:rPr>
            </w:pPr>
          </w:p>
        </w:tc>
        <w:tc>
          <w:tcPr>
            <w:tcW w:w="1123" w:type="dxa"/>
            <w:vMerge w:val="continue"/>
            <w:vAlign w:val="top"/>
          </w:tcPr>
          <w:p w14:paraId="759A5F20">
            <w:pPr>
              <w:outlineLvl w:val="9"/>
              <w:rPr>
                <w:rFonts w:ascii="Arial"/>
                <w:color w:val="auto"/>
                <w:sz w:val="21"/>
                <w:highlight w:val="none"/>
              </w:rPr>
            </w:pPr>
          </w:p>
        </w:tc>
        <w:tc>
          <w:tcPr>
            <w:tcW w:w="1882" w:type="dxa"/>
            <w:vAlign w:val="center"/>
          </w:tcPr>
          <w:p w14:paraId="0BE54F59">
            <w:pPr>
              <w:pStyle w:val="27"/>
              <w:spacing w:before="271" w:line="222" w:lineRule="auto"/>
              <w:jc w:val="center"/>
              <w:outlineLvl w:val="9"/>
              <w:rPr>
                <w:color w:val="auto"/>
                <w:highlight w:val="none"/>
              </w:rPr>
            </w:pPr>
            <w:r>
              <w:rPr>
                <w:color w:val="auto"/>
                <w:spacing w:val="-3"/>
                <w:highlight w:val="none"/>
              </w:rPr>
              <w:t>资源配备计划</w:t>
            </w:r>
          </w:p>
        </w:tc>
        <w:tc>
          <w:tcPr>
            <w:tcW w:w="5277" w:type="dxa"/>
            <w:vAlign w:val="top"/>
          </w:tcPr>
          <w:p w14:paraId="05AF07FB">
            <w:pPr>
              <w:pStyle w:val="27"/>
              <w:spacing w:before="77" w:line="244" w:lineRule="auto"/>
              <w:ind w:left="116" w:right="158"/>
              <w:outlineLvl w:val="9"/>
              <w:rPr>
                <w:color w:val="auto"/>
                <w:highlight w:val="none"/>
              </w:rPr>
            </w:pPr>
            <w:r>
              <w:rPr>
                <w:color w:val="auto"/>
                <w:spacing w:val="-1"/>
                <w:highlight w:val="none"/>
              </w:rPr>
              <w:t>各项资源配备计划安排科学合理，符合本项目施</w:t>
            </w:r>
            <w:r>
              <w:rPr>
                <w:color w:val="auto"/>
                <w:spacing w:val="-2"/>
                <w:highlight w:val="none"/>
              </w:rPr>
              <w:t>工实际要求。</w:t>
            </w:r>
          </w:p>
        </w:tc>
      </w:tr>
      <w:tr w14:paraId="20BF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top"/>
          </w:tcPr>
          <w:p w14:paraId="2C026443">
            <w:pPr>
              <w:outlineLvl w:val="9"/>
              <w:rPr>
                <w:rFonts w:ascii="Arial"/>
                <w:color w:val="auto"/>
                <w:sz w:val="21"/>
                <w:highlight w:val="none"/>
              </w:rPr>
            </w:pPr>
          </w:p>
        </w:tc>
        <w:tc>
          <w:tcPr>
            <w:tcW w:w="1123" w:type="dxa"/>
            <w:vMerge w:val="continue"/>
            <w:vAlign w:val="top"/>
          </w:tcPr>
          <w:p w14:paraId="7B607584">
            <w:pPr>
              <w:outlineLvl w:val="9"/>
              <w:rPr>
                <w:rFonts w:ascii="Arial"/>
                <w:color w:val="auto"/>
                <w:sz w:val="21"/>
                <w:highlight w:val="none"/>
              </w:rPr>
            </w:pPr>
          </w:p>
        </w:tc>
        <w:tc>
          <w:tcPr>
            <w:tcW w:w="1882" w:type="dxa"/>
            <w:vAlign w:val="center"/>
          </w:tcPr>
          <w:p w14:paraId="30B90C08">
            <w:pPr>
              <w:pStyle w:val="27"/>
              <w:spacing w:before="175" w:line="221" w:lineRule="auto"/>
              <w:jc w:val="center"/>
              <w:outlineLvl w:val="9"/>
              <w:rPr>
                <w:color w:val="auto"/>
                <w:highlight w:val="none"/>
              </w:rPr>
            </w:pPr>
            <w:r>
              <w:rPr>
                <w:color w:val="auto"/>
                <w:spacing w:val="-2"/>
                <w:highlight w:val="none"/>
              </w:rPr>
              <w:t>技术负责人</w:t>
            </w:r>
          </w:p>
        </w:tc>
        <w:tc>
          <w:tcPr>
            <w:tcW w:w="5277" w:type="dxa"/>
            <w:vAlign w:val="top"/>
          </w:tcPr>
          <w:p w14:paraId="39F7FC15">
            <w:pPr>
              <w:pStyle w:val="27"/>
              <w:spacing w:before="79" w:line="221" w:lineRule="auto"/>
              <w:ind w:left="115"/>
              <w:outlineLvl w:val="9"/>
              <w:rPr>
                <w:color w:val="auto"/>
                <w:highlight w:val="none"/>
              </w:rPr>
            </w:pPr>
            <w:r>
              <w:rPr>
                <w:color w:val="auto"/>
                <w:spacing w:val="-1"/>
                <w:highlight w:val="none"/>
              </w:rPr>
              <w:t>符合招标文件要求</w:t>
            </w:r>
          </w:p>
        </w:tc>
      </w:tr>
      <w:tr w14:paraId="3B221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single" w:color="auto" w:sz="4" w:space="0"/>
              <w:bottom w:val="single" w:color="auto" w:sz="4" w:space="0"/>
            </w:tcBorders>
            <w:vAlign w:val="top"/>
          </w:tcPr>
          <w:p w14:paraId="2F7E5AF0">
            <w:pPr>
              <w:outlineLvl w:val="9"/>
              <w:rPr>
                <w:rFonts w:ascii="Arial"/>
                <w:color w:val="auto"/>
                <w:sz w:val="21"/>
                <w:highlight w:val="none"/>
              </w:rPr>
            </w:pPr>
          </w:p>
        </w:tc>
        <w:tc>
          <w:tcPr>
            <w:tcW w:w="1123" w:type="dxa"/>
            <w:vMerge w:val="continue"/>
            <w:vAlign w:val="top"/>
          </w:tcPr>
          <w:p w14:paraId="0267AF9D">
            <w:pPr>
              <w:outlineLvl w:val="9"/>
              <w:rPr>
                <w:rFonts w:ascii="Arial"/>
                <w:color w:val="auto"/>
                <w:sz w:val="21"/>
                <w:highlight w:val="none"/>
              </w:rPr>
            </w:pPr>
          </w:p>
        </w:tc>
        <w:tc>
          <w:tcPr>
            <w:tcW w:w="1882" w:type="dxa"/>
            <w:vAlign w:val="center"/>
          </w:tcPr>
          <w:p w14:paraId="087149EC">
            <w:pPr>
              <w:pStyle w:val="27"/>
              <w:spacing w:before="274" w:line="221" w:lineRule="auto"/>
              <w:jc w:val="center"/>
              <w:outlineLvl w:val="9"/>
              <w:rPr>
                <w:color w:val="auto"/>
                <w:highlight w:val="none"/>
              </w:rPr>
            </w:pPr>
            <w:r>
              <w:rPr>
                <w:color w:val="auto"/>
                <w:spacing w:val="-1"/>
                <w:highlight w:val="none"/>
              </w:rPr>
              <w:t>其他主要人员</w:t>
            </w:r>
          </w:p>
        </w:tc>
        <w:tc>
          <w:tcPr>
            <w:tcW w:w="5277" w:type="dxa"/>
            <w:vAlign w:val="top"/>
          </w:tcPr>
          <w:p w14:paraId="244638BA">
            <w:pPr>
              <w:pStyle w:val="27"/>
              <w:spacing w:before="77" w:line="245" w:lineRule="auto"/>
              <w:ind w:left="114" w:right="158" w:firstLine="2"/>
              <w:outlineLvl w:val="9"/>
              <w:rPr>
                <w:color w:val="auto"/>
                <w:highlight w:val="none"/>
              </w:rPr>
            </w:pPr>
            <w:r>
              <w:rPr>
                <w:color w:val="auto"/>
                <w:spacing w:val="-1"/>
                <w:highlight w:val="none"/>
              </w:rPr>
              <w:t>关键岗位人员配备合理，符合行业行政主管部门和招标文件规定要求</w:t>
            </w:r>
          </w:p>
        </w:tc>
      </w:tr>
      <w:tr w14:paraId="191B1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4" w:type="dxa"/>
            <w:vMerge w:val="continue"/>
            <w:tcBorders>
              <w:top w:val="single" w:color="auto" w:sz="4" w:space="0"/>
              <w:bottom w:val="single" w:color="auto" w:sz="4" w:space="0"/>
            </w:tcBorders>
            <w:vAlign w:val="top"/>
          </w:tcPr>
          <w:p w14:paraId="6E719E57">
            <w:pPr>
              <w:outlineLvl w:val="9"/>
              <w:rPr>
                <w:rFonts w:ascii="Arial"/>
                <w:color w:val="auto"/>
                <w:sz w:val="21"/>
                <w:highlight w:val="none"/>
              </w:rPr>
            </w:pPr>
          </w:p>
        </w:tc>
        <w:tc>
          <w:tcPr>
            <w:tcW w:w="1123" w:type="dxa"/>
            <w:vMerge w:val="continue"/>
            <w:vAlign w:val="top"/>
          </w:tcPr>
          <w:p w14:paraId="1BF4E746">
            <w:pPr>
              <w:outlineLvl w:val="9"/>
              <w:rPr>
                <w:rFonts w:ascii="Arial"/>
                <w:color w:val="auto"/>
                <w:sz w:val="21"/>
                <w:highlight w:val="none"/>
              </w:rPr>
            </w:pPr>
          </w:p>
        </w:tc>
        <w:tc>
          <w:tcPr>
            <w:tcW w:w="1882" w:type="dxa"/>
            <w:vAlign w:val="center"/>
          </w:tcPr>
          <w:p w14:paraId="42E7AB00">
            <w:pPr>
              <w:spacing w:line="362" w:lineRule="auto"/>
              <w:jc w:val="center"/>
              <w:outlineLvl w:val="9"/>
              <w:rPr>
                <w:rFonts w:ascii="Arial"/>
                <w:color w:val="auto"/>
                <w:sz w:val="21"/>
                <w:highlight w:val="none"/>
              </w:rPr>
            </w:pPr>
          </w:p>
          <w:p w14:paraId="4D0A1396">
            <w:pPr>
              <w:pStyle w:val="27"/>
              <w:spacing w:before="68" w:line="222" w:lineRule="auto"/>
              <w:jc w:val="center"/>
              <w:outlineLvl w:val="9"/>
              <w:rPr>
                <w:color w:val="auto"/>
                <w:highlight w:val="none"/>
              </w:rPr>
            </w:pPr>
            <w:r>
              <w:rPr>
                <w:color w:val="auto"/>
                <w:spacing w:val="-1"/>
                <w:highlight w:val="none"/>
              </w:rPr>
              <w:t>施工设备</w:t>
            </w:r>
          </w:p>
        </w:tc>
        <w:tc>
          <w:tcPr>
            <w:tcW w:w="5277" w:type="dxa"/>
            <w:vAlign w:val="top"/>
          </w:tcPr>
          <w:p w14:paraId="715CE37A">
            <w:pPr>
              <w:pStyle w:val="27"/>
              <w:spacing w:before="76" w:line="257" w:lineRule="auto"/>
              <w:ind w:left="113" w:right="158" w:firstLine="2"/>
              <w:jc w:val="both"/>
              <w:outlineLvl w:val="9"/>
              <w:rPr>
                <w:color w:val="auto"/>
                <w:highlight w:val="none"/>
              </w:rPr>
            </w:pPr>
            <w:r>
              <w:rPr>
                <w:color w:val="auto"/>
                <w:spacing w:val="-1"/>
                <w:highlight w:val="none"/>
              </w:rPr>
              <w:t>投入的施工机械、设备、机具有详细计划且计划周密，设备数量、选型配置、进场数量、时间安排合理，满足施工需要</w:t>
            </w:r>
          </w:p>
        </w:tc>
      </w:tr>
      <w:tr w14:paraId="5423C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single" w:color="auto" w:sz="4" w:space="0"/>
              <w:bottom w:val="single" w:color="auto" w:sz="4" w:space="0"/>
            </w:tcBorders>
            <w:vAlign w:val="top"/>
          </w:tcPr>
          <w:p w14:paraId="55673BE2">
            <w:pPr>
              <w:outlineLvl w:val="9"/>
              <w:rPr>
                <w:rFonts w:ascii="Arial"/>
                <w:color w:val="auto"/>
                <w:sz w:val="21"/>
                <w:highlight w:val="none"/>
              </w:rPr>
            </w:pPr>
          </w:p>
        </w:tc>
        <w:tc>
          <w:tcPr>
            <w:tcW w:w="1123" w:type="dxa"/>
            <w:vMerge w:val="continue"/>
            <w:vAlign w:val="top"/>
          </w:tcPr>
          <w:p w14:paraId="22A82C2C">
            <w:pPr>
              <w:outlineLvl w:val="9"/>
              <w:rPr>
                <w:rFonts w:ascii="Arial"/>
                <w:color w:val="auto"/>
                <w:sz w:val="21"/>
                <w:highlight w:val="none"/>
              </w:rPr>
            </w:pPr>
          </w:p>
        </w:tc>
        <w:tc>
          <w:tcPr>
            <w:tcW w:w="1882" w:type="dxa"/>
            <w:vAlign w:val="center"/>
          </w:tcPr>
          <w:p w14:paraId="461F2943">
            <w:pPr>
              <w:pStyle w:val="27"/>
              <w:spacing w:before="174" w:line="221" w:lineRule="auto"/>
              <w:jc w:val="center"/>
              <w:outlineLvl w:val="9"/>
              <w:rPr>
                <w:color w:val="auto"/>
                <w:highlight w:val="none"/>
              </w:rPr>
            </w:pPr>
            <w:r>
              <w:rPr>
                <w:color w:val="auto"/>
                <w:spacing w:val="-1"/>
                <w:highlight w:val="none"/>
              </w:rPr>
              <w:t>试验、检测仪器设备</w:t>
            </w:r>
          </w:p>
        </w:tc>
        <w:tc>
          <w:tcPr>
            <w:tcW w:w="5277" w:type="dxa"/>
            <w:vAlign w:val="top"/>
          </w:tcPr>
          <w:p w14:paraId="1C1A2120">
            <w:pPr>
              <w:pStyle w:val="27"/>
              <w:spacing w:before="78" w:line="221" w:lineRule="auto"/>
              <w:ind w:left="113"/>
              <w:outlineLvl w:val="9"/>
              <w:rPr>
                <w:color w:val="auto"/>
                <w:highlight w:val="none"/>
              </w:rPr>
            </w:pPr>
            <w:r>
              <w:rPr>
                <w:color w:val="auto"/>
                <w:spacing w:val="-1"/>
                <w:highlight w:val="none"/>
              </w:rPr>
              <w:t>试验、检测仪器设备齐备，满足施工需要</w:t>
            </w:r>
          </w:p>
        </w:tc>
      </w:tr>
      <w:tr w14:paraId="58150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4" w:type="dxa"/>
            <w:tcBorders>
              <w:top w:val="single" w:color="auto" w:sz="4" w:space="0"/>
            </w:tcBorders>
            <w:vAlign w:val="top"/>
          </w:tcPr>
          <w:p w14:paraId="0CF955E6">
            <w:pPr>
              <w:spacing w:line="242" w:lineRule="auto"/>
              <w:outlineLvl w:val="9"/>
              <w:rPr>
                <w:rFonts w:ascii="Arial"/>
                <w:color w:val="auto"/>
                <w:sz w:val="21"/>
                <w:highlight w:val="none"/>
              </w:rPr>
            </w:pPr>
          </w:p>
          <w:p w14:paraId="65192A6F">
            <w:pPr>
              <w:spacing w:line="242" w:lineRule="auto"/>
              <w:outlineLvl w:val="9"/>
              <w:rPr>
                <w:rFonts w:ascii="Arial"/>
                <w:color w:val="auto"/>
                <w:sz w:val="21"/>
                <w:highlight w:val="none"/>
              </w:rPr>
            </w:pPr>
          </w:p>
          <w:p w14:paraId="66F93EEE">
            <w:pPr>
              <w:spacing w:line="242" w:lineRule="auto"/>
              <w:outlineLvl w:val="9"/>
              <w:rPr>
                <w:rFonts w:ascii="Arial"/>
                <w:color w:val="auto"/>
                <w:sz w:val="21"/>
                <w:highlight w:val="none"/>
              </w:rPr>
            </w:pPr>
          </w:p>
          <w:p w14:paraId="4AA8F8F0">
            <w:pPr>
              <w:spacing w:line="242" w:lineRule="auto"/>
              <w:outlineLvl w:val="9"/>
              <w:rPr>
                <w:rFonts w:ascii="Arial"/>
                <w:color w:val="auto"/>
                <w:sz w:val="21"/>
                <w:highlight w:val="none"/>
              </w:rPr>
            </w:pPr>
          </w:p>
          <w:p w14:paraId="05AF37DD">
            <w:pPr>
              <w:spacing w:line="242" w:lineRule="auto"/>
              <w:outlineLvl w:val="9"/>
              <w:rPr>
                <w:rFonts w:ascii="Arial"/>
                <w:color w:val="auto"/>
                <w:sz w:val="21"/>
                <w:highlight w:val="none"/>
              </w:rPr>
            </w:pPr>
          </w:p>
          <w:p w14:paraId="2EAC1ED5">
            <w:pPr>
              <w:spacing w:line="242" w:lineRule="auto"/>
              <w:outlineLvl w:val="9"/>
              <w:rPr>
                <w:rFonts w:ascii="Arial"/>
                <w:color w:val="auto"/>
                <w:sz w:val="21"/>
                <w:highlight w:val="none"/>
              </w:rPr>
            </w:pPr>
          </w:p>
          <w:p w14:paraId="086FC049">
            <w:pPr>
              <w:spacing w:line="242" w:lineRule="auto"/>
              <w:outlineLvl w:val="9"/>
              <w:rPr>
                <w:rFonts w:ascii="Arial"/>
                <w:color w:val="auto"/>
                <w:sz w:val="21"/>
                <w:highlight w:val="none"/>
              </w:rPr>
            </w:pPr>
          </w:p>
          <w:p w14:paraId="151701C0">
            <w:pPr>
              <w:spacing w:line="242" w:lineRule="auto"/>
              <w:outlineLvl w:val="9"/>
              <w:rPr>
                <w:rFonts w:ascii="Arial"/>
                <w:color w:val="auto"/>
                <w:sz w:val="21"/>
                <w:highlight w:val="none"/>
              </w:rPr>
            </w:pPr>
          </w:p>
          <w:p w14:paraId="14C8755A">
            <w:pPr>
              <w:spacing w:line="243" w:lineRule="auto"/>
              <w:outlineLvl w:val="9"/>
              <w:rPr>
                <w:rFonts w:ascii="Arial"/>
                <w:color w:val="auto"/>
                <w:sz w:val="21"/>
                <w:highlight w:val="none"/>
              </w:rPr>
            </w:pPr>
          </w:p>
          <w:p w14:paraId="76DDBB93">
            <w:pPr>
              <w:spacing w:line="243" w:lineRule="auto"/>
              <w:outlineLvl w:val="9"/>
              <w:rPr>
                <w:rFonts w:ascii="Arial"/>
                <w:color w:val="auto"/>
                <w:sz w:val="21"/>
                <w:highlight w:val="none"/>
              </w:rPr>
            </w:pPr>
          </w:p>
          <w:p w14:paraId="1825A3AB">
            <w:pPr>
              <w:spacing w:line="243" w:lineRule="auto"/>
              <w:outlineLvl w:val="9"/>
              <w:rPr>
                <w:rFonts w:ascii="Arial"/>
                <w:color w:val="auto"/>
                <w:sz w:val="21"/>
                <w:highlight w:val="none"/>
              </w:rPr>
            </w:pPr>
          </w:p>
          <w:p w14:paraId="5192EB69">
            <w:pPr>
              <w:spacing w:line="243" w:lineRule="auto"/>
              <w:outlineLvl w:val="9"/>
              <w:rPr>
                <w:rFonts w:ascii="Arial"/>
                <w:color w:val="auto"/>
                <w:sz w:val="21"/>
                <w:highlight w:val="none"/>
              </w:rPr>
            </w:pPr>
          </w:p>
          <w:p w14:paraId="5C1043C9">
            <w:pPr>
              <w:pStyle w:val="27"/>
              <w:spacing w:before="68" w:line="182" w:lineRule="auto"/>
              <w:ind w:left="303"/>
              <w:outlineLvl w:val="9"/>
              <w:rPr>
                <w:color w:val="auto"/>
                <w:highlight w:val="none"/>
              </w:rPr>
            </w:pPr>
            <w:r>
              <w:rPr>
                <w:color w:val="auto"/>
                <w:spacing w:val="-2"/>
                <w:highlight w:val="none"/>
              </w:rPr>
              <w:t>2.3</w:t>
            </w:r>
          </w:p>
        </w:tc>
        <w:tc>
          <w:tcPr>
            <w:tcW w:w="1123" w:type="dxa"/>
            <w:vAlign w:val="top"/>
          </w:tcPr>
          <w:p w14:paraId="5E9866AD">
            <w:pPr>
              <w:spacing w:line="255" w:lineRule="auto"/>
              <w:outlineLvl w:val="9"/>
              <w:rPr>
                <w:rFonts w:ascii="Arial"/>
                <w:color w:val="auto"/>
                <w:sz w:val="21"/>
                <w:highlight w:val="none"/>
              </w:rPr>
            </w:pPr>
          </w:p>
          <w:p w14:paraId="63CE547F">
            <w:pPr>
              <w:spacing w:line="255" w:lineRule="auto"/>
              <w:outlineLvl w:val="9"/>
              <w:rPr>
                <w:rFonts w:ascii="Arial"/>
                <w:color w:val="auto"/>
                <w:sz w:val="21"/>
                <w:highlight w:val="none"/>
              </w:rPr>
            </w:pPr>
          </w:p>
          <w:p w14:paraId="1F4CC8D2">
            <w:pPr>
              <w:spacing w:line="255" w:lineRule="auto"/>
              <w:outlineLvl w:val="9"/>
              <w:rPr>
                <w:rFonts w:ascii="Arial"/>
                <w:color w:val="auto"/>
                <w:sz w:val="21"/>
                <w:highlight w:val="none"/>
              </w:rPr>
            </w:pPr>
          </w:p>
          <w:p w14:paraId="1313B830">
            <w:pPr>
              <w:spacing w:line="255" w:lineRule="auto"/>
              <w:outlineLvl w:val="9"/>
              <w:rPr>
                <w:rFonts w:ascii="Arial"/>
                <w:color w:val="auto"/>
                <w:sz w:val="21"/>
                <w:highlight w:val="none"/>
              </w:rPr>
            </w:pPr>
          </w:p>
          <w:p w14:paraId="70D86C39">
            <w:pPr>
              <w:spacing w:line="255" w:lineRule="auto"/>
              <w:outlineLvl w:val="9"/>
              <w:rPr>
                <w:rFonts w:ascii="Arial"/>
                <w:color w:val="auto"/>
                <w:sz w:val="21"/>
                <w:highlight w:val="none"/>
              </w:rPr>
            </w:pPr>
          </w:p>
          <w:p w14:paraId="23F8F9B3">
            <w:pPr>
              <w:spacing w:line="255" w:lineRule="auto"/>
              <w:outlineLvl w:val="9"/>
              <w:rPr>
                <w:rFonts w:ascii="Arial"/>
                <w:color w:val="auto"/>
                <w:sz w:val="21"/>
                <w:highlight w:val="none"/>
              </w:rPr>
            </w:pPr>
          </w:p>
          <w:p w14:paraId="4F6951FF">
            <w:pPr>
              <w:spacing w:line="255" w:lineRule="auto"/>
              <w:outlineLvl w:val="9"/>
              <w:rPr>
                <w:rFonts w:ascii="Arial"/>
                <w:color w:val="auto"/>
                <w:sz w:val="21"/>
                <w:highlight w:val="none"/>
              </w:rPr>
            </w:pPr>
          </w:p>
          <w:p w14:paraId="1DADD6EC">
            <w:pPr>
              <w:spacing w:line="255" w:lineRule="auto"/>
              <w:outlineLvl w:val="9"/>
              <w:rPr>
                <w:rFonts w:ascii="Arial"/>
                <w:color w:val="auto"/>
                <w:sz w:val="21"/>
                <w:highlight w:val="none"/>
              </w:rPr>
            </w:pPr>
          </w:p>
          <w:p w14:paraId="5CB89D83">
            <w:pPr>
              <w:spacing w:line="256" w:lineRule="auto"/>
              <w:outlineLvl w:val="9"/>
              <w:rPr>
                <w:rFonts w:ascii="Arial"/>
                <w:color w:val="auto"/>
                <w:sz w:val="21"/>
                <w:highlight w:val="none"/>
              </w:rPr>
            </w:pPr>
          </w:p>
          <w:p w14:paraId="04636FBF">
            <w:pPr>
              <w:spacing w:line="256" w:lineRule="auto"/>
              <w:outlineLvl w:val="9"/>
              <w:rPr>
                <w:rFonts w:ascii="Arial"/>
                <w:color w:val="auto"/>
                <w:sz w:val="21"/>
                <w:highlight w:val="none"/>
              </w:rPr>
            </w:pPr>
          </w:p>
          <w:p w14:paraId="0694F208">
            <w:pPr>
              <w:pStyle w:val="27"/>
              <w:spacing w:before="69" w:line="273" w:lineRule="auto"/>
              <w:ind w:left="353" w:right="349" w:firstLine="3"/>
              <w:jc w:val="both"/>
              <w:outlineLvl w:val="9"/>
              <w:rPr>
                <w:color w:val="auto"/>
                <w:highlight w:val="none"/>
              </w:rPr>
            </w:pPr>
            <w:r>
              <w:rPr>
                <w:color w:val="auto"/>
                <w:spacing w:val="-5"/>
                <w:highlight w:val="none"/>
              </w:rPr>
              <w:t>详细</w:t>
            </w:r>
            <w:r>
              <w:rPr>
                <w:color w:val="auto"/>
                <w:highlight w:val="none"/>
              </w:rPr>
              <w:t xml:space="preserve"> </w:t>
            </w:r>
            <w:r>
              <w:rPr>
                <w:color w:val="auto"/>
                <w:spacing w:val="-3"/>
                <w:highlight w:val="none"/>
              </w:rPr>
              <w:t>评审</w:t>
            </w:r>
            <w:r>
              <w:rPr>
                <w:color w:val="auto"/>
                <w:highlight w:val="none"/>
              </w:rPr>
              <w:t xml:space="preserve"> </w:t>
            </w:r>
            <w:r>
              <w:rPr>
                <w:color w:val="auto"/>
                <w:spacing w:val="-3"/>
                <w:highlight w:val="none"/>
              </w:rPr>
              <w:t>标准</w:t>
            </w:r>
          </w:p>
        </w:tc>
        <w:tc>
          <w:tcPr>
            <w:tcW w:w="1882" w:type="dxa"/>
            <w:vAlign w:val="center"/>
          </w:tcPr>
          <w:p w14:paraId="524CBD07">
            <w:pPr>
              <w:spacing w:line="246" w:lineRule="auto"/>
              <w:jc w:val="center"/>
              <w:outlineLvl w:val="9"/>
              <w:rPr>
                <w:rFonts w:ascii="Arial"/>
                <w:color w:val="auto"/>
                <w:sz w:val="21"/>
                <w:highlight w:val="none"/>
              </w:rPr>
            </w:pPr>
          </w:p>
          <w:p w14:paraId="1F975F56">
            <w:pPr>
              <w:spacing w:line="246" w:lineRule="auto"/>
              <w:jc w:val="center"/>
              <w:outlineLvl w:val="9"/>
              <w:rPr>
                <w:rFonts w:ascii="Arial"/>
                <w:color w:val="auto"/>
                <w:sz w:val="21"/>
                <w:highlight w:val="none"/>
              </w:rPr>
            </w:pPr>
          </w:p>
          <w:p w14:paraId="4D1EDE15">
            <w:pPr>
              <w:spacing w:line="246" w:lineRule="auto"/>
              <w:jc w:val="center"/>
              <w:outlineLvl w:val="9"/>
              <w:rPr>
                <w:rFonts w:ascii="Arial"/>
                <w:color w:val="auto"/>
                <w:sz w:val="21"/>
                <w:highlight w:val="none"/>
              </w:rPr>
            </w:pPr>
          </w:p>
          <w:p w14:paraId="70ECC0CE">
            <w:pPr>
              <w:spacing w:line="247" w:lineRule="auto"/>
              <w:jc w:val="center"/>
              <w:outlineLvl w:val="9"/>
              <w:rPr>
                <w:rFonts w:ascii="Arial"/>
                <w:color w:val="auto"/>
                <w:sz w:val="21"/>
                <w:highlight w:val="none"/>
              </w:rPr>
            </w:pPr>
          </w:p>
          <w:p w14:paraId="627C9F1E">
            <w:pPr>
              <w:spacing w:line="247" w:lineRule="auto"/>
              <w:jc w:val="center"/>
              <w:outlineLvl w:val="9"/>
              <w:rPr>
                <w:rFonts w:ascii="Arial"/>
                <w:color w:val="auto"/>
                <w:sz w:val="21"/>
                <w:highlight w:val="none"/>
              </w:rPr>
            </w:pPr>
          </w:p>
          <w:p w14:paraId="1638AB51">
            <w:pPr>
              <w:spacing w:line="247" w:lineRule="auto"/>
              <w:jc w:val="center"/>
              <w:outlineLvl w:val="9"/>
              <w:rPr>
                <w:rFonts w:ascii="Arial"/>
                <w:color w:val="auto"/>
                <w:sz w:val="21"/>
                <w:highlight w:val="none"/>
              </w:rPr>
            </w:pPr>
          </w:p>
          <w:p w14:paraId="099A316F">
            <w:pPr>
              <w:spacing w:line="247" w:lineRule="auto"/>
              <w:jc w:val="center"/>
              <w:outlineLvl w:val="9"/>
              <w:rPr>
                <w:rFonts w:ascii="Arial"/>
                <w:color w:val="auto"/>
                <w:sz w:val="21"/>
                <w:highlight w:val="none"/>
              </w:rPr>
            </w:pPr>
          </w:p>
          <w:p w14:paraId="04BC8497">
            <w:pPr>
              <w:spacing w:line="247" w:lineRule="auto"/>
              <w:jc w:val="center"/>
              <w:outlineLvl w:val="9"/>
              <w:rPr>
                <w:rFonts w:ascii="Arial"/>
                <w:color w:val="auto"/>
                <w:sz w:val="21"/>
                <w:highlight w:val="none"/>
              </w:rPr>
            </w:pPr>
          </w:p>
          <w:p w14:paraId="437214A4">
            <w:pPr>
              <w:spacing w:line="247" w:lineRule="auto"/>
              <w:jc w:val="center"/>
              <w:outlineLvl w:val="9"/>
              <w:rPr>
                <w:rFonts w:ascii="Arial"/>
                <w:color w:val="auto"/>
                <w:sz w:val="21"/>
                <w:highlight w:val="none"/>
              </w:rPr>
            </w:pPr>
          </w:p>
          <w:p w14:paraId="7BDB35A0">
            <w:pPr>
              <w:spacing w:line="247" w:lineRule="auto"/>
              <w:jc w:val="center"/>
              <w:outlineLvl w:val="9"/>
              <w:rPr>
                <w:rFonts w:ascii="Arial"/>
                <w:color w:val="auto"/>
                <w:sz w:val="21"/>
                <w:highlight w:val="none"/>
              </w:rPr>
            </w:pPr>
          </w:p>
          <w:p w14:paraId="6FBF5080">
            <w:pPr>
              <w:spacing w:line="247" w:lineRule="auto"/>
              <w:jc w:val="center"/>
              <w:outlineLvl w:val="9"/>
              <w:rPr>
                <w:rFonts w:ascii="Arial"/>
                <w:color w:val="auto"/>
                <w:sz w:val="21"/>
                <w:highlight w:val="none"/>
              </w:rPr>
            </w:pPr>
          </w:p>
          <w:p w14:paraId="5F6724C3">
            <w:pPr>
              <w:pStyle w:val="27"/>
              <w:spacing w:before="68" w:line="267" w:lineRule="auto"/>
              <w:ind w:right="288"/>
              <w:jc w:val="center"/>
              <w:outlineLvl w:val="9"/>
              <w:rPr>
                <w:color w:val="auto"/>
                <w:highlight w:val="none"/>
              </w:rPr>
            </w:pPr>
            <w:r>
              <w:rPr>
                <w:color w:val="auto"/>
                <w:spacing w:val="-3"/>
                <w:highlight w:val="none"/>
              </w:rPr>
              <w:t>□异常低价投标情形的界定及评审要求</w:t>
            </w:r>
          </w:p>
        </w:tc>
        <w:tc>
          <w:tcPr>
            <w:tcW w:w="5277" w:type="dxa"/>
            <w:vAlign w:val="top"/>
          </w:tcPr>
          <w:p w14:paraId="4B52C44E">
            <w:pPr>
              <w:pStyle w:val="27"/>
              <w:spacing w:before="79" w:line="266" w:lineRule="auto"/>
              <w:ind w:left="112" w:right="191" w:firstLine="3"/>
              <w:outlineLvl w:val="9"/>
              <w:rPr>
                <w:color w:val="auto"/>
                <w:highlight w:val="none"/>
              </w:rPr>
            </w:pPr>
            <w:r>
              <w:rPr>
                <w:color w:val="auto"/>
                <w:spacing w:val="-1"/>
                <w:highlight w:val="none"/>
              </w:rPr>
              <w:t>投标人的投标函文字报价低于最高投标限价的</w:t>
            </w:r>
            <w:r>
              <w:rPr>
                <w:color w:val="auto"/>
                <w:spacing w:val="-2"/>
                <w:highlight w:val="none"/>
                <w:u w:val="single" w:color="auto"/>
              </w:rPr>
              <w:t>**%</w:t>
            </w:r>
            <w:r>
              <w:rPr>
                <w:color w:val="auto"/>
                <w:spacing w:val="-2"/>
                <w:highlight w:val="none"/>
              </w:rPr>
              <w:t>且低于评标价平均值的</w:t>
            </w:r>
            <w:r>
              <w:rPr>
                <w:color w:val="auto"/>
                <w:spacing w:val="-2"/>
                <w:highlight w:val="none"/>
                <w:u w:val="single" w:color="auto"/>
              </w:rPr>
              <w:t>**%</w:t>
            </w:r>
            <w:r>
              <w:rPr>
                <w:color w:val="auto"/>
                <w:spacing w:val="-2"/>
                <w:highlight w:val="none"/>
              </w:rPr>
              <w:t>，作为异常低价。</w:t>
            </w:r>
          </w:p>
          <w:p w14:paraId="7906D9D7">
            <w:pPr>
              <w:pStyle w:val="27"/>
              <w:spacing w:before="30" w:line="264" w:lineRule="auto"/>
              <w:ind w:left="102" w:firstLine="2"/>
              <w:jc w:val="both"/>
              <w:outlineLvl w:val="9"/>
              <w:rPr>
                <w:color w:val="auto"/>
                <w:sz w:val="22"/>
                <w:szCs w:val="22"/>
                <w:highlight w:val="none"/>
              </w:rPr>
            </w:pPr>
            <w:r>
              <w:rPr>
                <w:b/>
                <w:bCs/>
                <w:i/>
                <w:iCs/>
                <w:color w:val="auto"/>
                <w:spacing w:val="-11"/>
                <w:sz w:val="22"/>
                <w:szCs w:val="22"/>
                <w:highlight w:val="none"/>
              </w:rPr>
              <w:t>（说明：相关部门可结合本地实际合理设置农业</w:t>
            </w:r>
            <w:r>
              <w:rPr>
                <w:b/>
                <w:bCs/>
                <w:i/>
                <w:iCs/>
                <w:color w:val="auto"/>
                <w:spacing w:val="-15"/>
                <w:sz w:val="22"/>
                <w:szCs w:val="22"/>
                <w:highlight w:val="none"/>
              </w:rPr>
              <w:t>工程的异常低价指标，并根据实施效果动态调整。</w:t>
            </w:r>
            <w:r>
              <w:rPr>
                <w:b/>
                <w:bCs/>
                <w:i/>
                <w:iCs/>
                <w:color w:val="auto"/>
                <w:spacing w:val="-11"/>
                <w:sz w:val="22"/>
                <w:szCs w:val="22"/>
                <w:highlight w:val="none"/>
              </w:rPr>
              <w:t>相关部门未发布异常低价指标的，招标人可以根据招标项目的具体特点和实际需求并结合类似项</w:t>
            </w:r>
            <w:r>
              <w:rPr>
                <w:b/>
                <w:bCs/>
                <w:i/>
                <w:iCs/>
                <w:color w:val="auto"/>
                <w:spacing w:val="-15"/>
                <w:sz w:val="22"/>
                <w:szCs w:val="22"/>
                <w:highlight w:val="none"/>
              </w:rPr>
              <w:t>目中标价降幅比例的大数据分析结果合理设置。）</w:t>
            </w:r>
          </w:p>
          <w:p w14:paraId="34C2D278">
            <w:pPr>
              <w:pStyle w:val="27"/>
              <w:spacing w:before="77" w:line="219" w:lineRule="auto"/>
              <w:ind w:left="119"/>
              <w:outlineLvl w:val="9"/>
              <w:rPr>
                <w:color w:val="auto"/>
                <w:spacing w:val="-1"/>
                <w:highlight w:val="none"/>
              </w:rPr>
            </w:pPr>
            <w:r>
              <w:rPr>
                <w:color w:val="auto"/>
                <w:spacing w:val="-1"/>
                <w:highlight w:val="none"/>
              </w:rPr>
              <w:t>评标委员会在推荐中标候选人前，应当对拟推荐中标候选人的投标报价进行异常低价评审。具体评审要求如下：</w:t>
            </w:r>
          </w:p>
          <w:p w14:paraId="65037FD1">
            <w:pPr>
              <w:pStyle w:val="27"/>
              <w:spacing w:before="77" w:line="219" w:lineRule="auto"/>
              <w:ind w:left="119"/>
              <w:outlineLvl w:val="9"/>
              <w:rPr>
                <w:color w:val="auto"/>
                <w:spacing w:val="-1"/>
                <w:highlight w:val="none"/>
              </w:rPr>
            </w:pPr>
            <w:r>
              <w:rPr>
                <w:color w:val="auto"/>
                <w:spacing w:val="-1"/>
                <w:highlight w:val="none"/>
              </w:rPr>
              <w:t>（1）评审要求：投标人的投标函文字报价属于异常低价时，评标委员会将进行异常低价评审。</w:t>
            </w:r>
          </w:p>
          <w:p w14:paraId="39C0EF00">
            <w:pPr>
              <w:pStyle w:val="27"/>
              <w:spacing w:before="77" w:line="219" w:lineRule="auto"/>
              <w:ind w:left="119"/>
              <w:outlineLvl w:val="9"/>
              <w:rPr>
                <w:color w:val="auto"/>
                <w:spacing w:val="-1"/>
                <w:highlight w:val="none"/>
              </w:rPr>
            </w:pPr>
            <w:r>
              <w:rPr>
                <w:color w:val="auto"/>
                <w:spacing w:val="-1"/>
                <w:highlight w:val="none"/>
              </w:rPr>
              <w:t>（2）证明材料要求：投标人须在投标文件报价文件中作出澄清或者说明，并提供降低工程造价的相关证明资料（不限于在人工、材料、机械消耗量、价格、施工措施、方案及其他方面）；同时提供关于合同履行能力及工程质量安全控制的承诺。</w:t>
            </w:r>
          </w:p>
          <w:p w14:paraId="50F95511">
            <w:pPr>
              <w:pStyle w:val="27"/>
              <w:spacing w:before="77" w:line="219" w:lineRule="auto"/>
              <w:ind w:left="119"/>
              <w:outlineLvl w:val="9"/>
              <w:rPr>
                <w:color w:val="auto"/>
                <w:spacing w:val="-1"/>
                <w:highlight w:val="none"/>
              </w:rPr>
            </w:pPr>
            <w:r>
              <w:rPr>
                <w:color w:val="auto"/>
                <w:spacing w:val="-1"/>
                <w:highlight w:val="none"/>
              </w:rPr>
              <w:t>（3）以下情形不得作为异常低价投标说明的依据：</w:t>
            </w:r>
          </w:p>
          <w:p w14:paraId="5430FD76">
            <w:pPr>
              <w:pStyle w:val="27"/>
              <w:spacing w:before="77" w:line="219" w:lineRule="auto"/>
              <w:ind w:left="119"/>
              <w:outlineLvl w:val="9"/>
              <w:rPr>
                <w:color w:val="auto"/>
                <w:spacing w:val="-1"/>
                <w:highlight w:val="none"/>
              </w:rPr>
            </w:pPr>
            <w:r>
              <w:rPr>
                <w:color w:val="auto"/>
                <w:spacing w:val="-1"/>
                <w:highlight w:val="none"/>
              </w:rPr>
              <w:t>a.机械、材料自有或闲置；</w:t>
            </w:r>
          </w:p>
          <w:p w14:paraId="7083B58B">
            <w:pPr>
              <w:pStyle w:val="27"/>
              <w:spacing w:before="77" w:line="219" w:lineRule="auto"/>
              <w:ind w:left="119"/>
              <w:outlineLvl w:val="9"/>
              <w:rPr>
                <w:color w:val="auto"/>
                <w:spacing w:val="-1"/>
                <w:highlight w:val="none"/>
              </w:rPr>
            </w:pPr>
            <w:r>
              <w:rPr>
                <w:color w:val="auto"/>
                <w:spacing w:val="-1"/>
                <w:highlight w:val="none"/>
              </w:rPr>
              <w:t>b. 自有弃土场土源或与临近项目签订的土方倒运协议；</w:t>
            </w:r>
          </w:p>
          <w:p w14:paraId="47E739A6">
            <w:pPr>
              <w:pStyle w:val="27"/>
              <w:spacing w:before="77" w:line="219" w:lineRule="auto"/>
              <w:ind w:left="119"/>
              <w:outlineLvl w:val="9"/>
              <w:rPr>
                <w:color w:val="auto"/>
                <w:spacing w:val="-1"/>
                <w:highlight w:val="none"/>
              </w:rPr>
            </w:pPr>
            <w:r>
              <w:rPr>
                <w:color w:val="auto"/>
                <w:spacing w:val="-1"/>
                <w:highlight w:val="none"/>
              </w:rPr>
              <w:t>c.人员闲置；</w:t>
            </w:r>
          </w:p>
          <w:p w14:paraId="59EF08B1">
            <w:pPr>
              <w:pStyle w:val="27"/>
              <w:spacing w:before="77" w:line="219" w:lineRule="auto"/>
              <w:ind w:left="119"/>
              <w:outlineLvl w:val="9"/>
              <w:rPr>
                <w:color w:val="auto"/>
                <w:spacing w:val="-1"/>
                <w:highlight w:val="none"/>
              </w:rPr>
            </w:pPr>
            <w:r>
              <w:rPr>
                <w:color w:val="auto"/>
                <w:spacing w:val="-1"/>
                <w:highlight w:val="none"/>
              </w:rPr>
              <w:t>d.亏本让利；</w:t>
            </w:r>
          </w:p>
          <w:p w14:paraId="4F31CE24">
            <w:pPr>
              <w:pStyle w:val="27"/>
              <w:spacing w:before="77" w:line="219" w:lineRule="auto"/>
              <w:ind w:left="119"/>
              <w:outlineLvl w:val="9"/>
              <w:rPr>
                <w:color w:val="auto"/>
                <w:spacing w:val="-1"/>
                <w:highlight w:val="none"/>
              </w:rPr>
            </w:pPr>
            <w:r>
              <w:rPr>
                <w:color w:val="auto"/>
                <w:spacing w:val="-1"/>
                <w:highlight w:val="none"/>
              </w:rPr>
              <w:t>e.企业市场拓展或品牌宣传；</w:t>
            </w:r>
          </w:p>
          <w:p w14:paraId="5576EBCF">
            <w:pPr>
              <w:pStyle w:val="27"/>
              <w:spacing w:before="77" w:line="219" w:lineRule="auto"/>
              <w:ind w:left="119"/>
              <w:outlineLvl w:val="9"/>
              <w:rPr>
                <w:color w:val="auto"/>
                <w:spacing w:val="-1"/>
                <w:highlight w:val="none"/>
              </w:rPr>
            </w:pPr>
            <w:r>
              <w:rPr>
                <w:color w:val="auto"/>
                <w:spacing w:val="-1"/>
                <w:highlight w:val="none"/>
              </w:rPr>
              <w:t>f.降低或改变原设计方案、技术工艺、施工标准的；</w:t>
            </w:r>
          </w:p>
          <w:p w14:paraId="5A80F3F8">
            <w:pPr>
              <w:pStyle w:val="27"/>
              <w:spacing w:before="77" w:line="219" w:lineRule="auto"/>
              <w:ind w:left="119"/>
              <w:outlineLvl w:val="9"/>
              <w:rPr>
                <w:color w:val="auto"/>
                <w:spacing w:val="-1"/>
                <w:highlight w:val="none"/>
              </w:rPr>
            </w:pPr>
            <w:r>
              <w:rPr>
                <w:color w:val="auto"/>
                <w:spacing w:val="-1"/>
                <w:highlight w:val="none"/>
              </w:rPr>
              <w:t>g.类似项目业绩；</w:t>
            </w:r>
          </w:p>
          <w:p w14:paraId="4F9FD8BC">
            <w:pPr>
              <w:pStyle w:val="27"/>
              <w:spacing w:before="77" w:line="219" w:lineRule="auto"/>
              <w:ind w:left="119"/>
              <w:outlineLvl w:val="9"/>
              <w:rPr>
                <w:color w:val="auto"/>
                <w:spacing w:val="-1"/>
                <w:highlight w:val="none"/>
              </w:rPr>
            </w:pPr>
            <w:r>
              <w:rPr>
                <w:color w:val="auto"/>
                <w:spacing w:val="-1"/>
                <w:highlight w:val="none"/>
              </w:rPr>
              <w:t>h.评标委员会认为不得作为降低投标报价依据的情形。</w:t>
            </w:r>
          </w:p>
          <w:p w14:paraId="67A30DF8">
            <w:pPr>
              <w:pStyle w:val="27"/>
              <w:spacing w:before="77" w:line="219" w:lineRule="auto"/>
              <w:ind w:left="119"/>
              <w:outlineLvl w:val="9"/>
              <w:rPr>
                <w:color w:val="auto"/>
                <w:highlight w:val="none"/>
              </w:rPr>
            </w:pPr>
            <w:r>
              <w:rPr>
                <w:color w:val="auto"/>
                <w:spacing w:val="-1"/>
                <w:highlight w:val="none"/>
              </w:rPr>
              <w:t>（4）评审标准：评标委员会对通过评审的异常低价中标候选人合同履行能力及工程质量安全等风险进行全面评估，并作为评标结果的附件提交给招标人。投标人在投标文件中不能作出有效澄清、说明或评标委员会认定（按少数服从多数的原则）其存在履约及质量安全风险的，评标委员会应否决其投标。</w:t>
            </w:r>
          </w:p>
        </w:tc>
      </w:tr>
      <w:tr w14:paraId="07352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8" w:hRule="atLeast"/>
        </w:trPr>
        <w:tc>
          <w:tcPr>
            <w:tcW w:w="9186" w:type="dxa"/>
            <w:gridSpan w:val="4"/>
            <w:vAlign w:val="top"/>
          </w:tcPr>
          <w:p w14:paraId="25F7899A">
            <w:pPr>
              <w:pStyle w:val="27"/>
              <w:spacing w:before="32" w:line="221" w:lineRule="auto"/>
              <w:ind w:left="125"/>
              <w:outlineLvl w:val="9"/>
              <w:rPr>
                <w:color w:val="auto"/>
                <w:highlight w:val="none"/>
              </w:rPr>
            </w:pPr>
            <w:r>
              <w:rPr>
                <w:color w:val="auto"/>
                <w:spacing w:val="-2"/>
                <w:highlight w:val="none"/>
              </w:rPr>
              <w:t>需要补充的其他内容：</w:t>
            </w:r>
          </w:p>
          <w:p w14:paraId="339D7EF5">
            <w:pPr>
              <w:pStyle w:val="27"/>
              <w:spacing w:before="159" w:line="345" w:lineRule="auto"/>
              <w:ind w:left="115" w:right="118" w:firstLine="17"/>
              <w:outlineLvl w:val="9"/>
              <w:rPr>
                <w:color w:val="auto"/>
                <w:highlight w:val="none"/>
              </w:rPr>
            </w:pPr>
            <w:r>
              <w:rPr>
                <w:rFonts w:ascii="Times New Roman" w:hAnsi="Times New Roman" w:eastAsia="Times New Roman" w:cs="Times New Roman"/>
                <w:color w:val="auto"/>
                <w:spacing w:val="-1"/>
                <w:highlight w:val="none"/>
              </w:rPr>
              <w:t>1.</w:t>
            </w:r>
            <w:r>
              <w:rPr>
                <w:color w:val="auto"/>
                <w:spacing w:val="-1"/>
                <w:highlight w:val="none"/>
              </w:rPr>
              <w:t>评标委员会对拟推荐的中标候选人进行查询，并将查询截图及查询结果在评标报告中</w:t>
            </w:r>
            <w:r>
              <w:rPr>
                <w:color w:val="auto"/>
                <w:spacing w:val="-2"/>
                <w:highlight w:val="none"/>
              </w:rPr>
              <w:t>予以记录。</w:t>
            </w:r>
            <w:r>
              <w:rPr>
                <w:color w:val="auto"/>
                <w:highlight w:val="none"/>
              </w:rPr>
              <w:t xml:space="preserve"> 存在下列情形的，不得推荐为中标候选人。具体查询要求如</w:t>
            </w:r>
            <w:r>
              <w:rPr>
                <w:color w:val="auto"/>
                <w:spacing w:val="-1"/>
                <w:highlight w:val="none"/>
              </w:rPr>
              <w:t>下：</w:t>
            </w:r>
          </w:p>
          <w:p w14:paraId="42FC878C">
            <w:pPr>
              <w:pStyle w:val="27"/>
              <w:spacing w:before="30" w:line="346" w:lineRule="auto"/>
              <w:ind w:left="116" w:right="113" w:firstLine="5"/>
              <w:outlineLvl w:val="9"/>
              <w:rPr>
                <w:color w:val="auto"/>
                <w:highlight w:val="none"/>
              </w:rPr>
            </w:pPr>
            <w:r>
              <w:rPr>
                <w:color w:val="auto"/>
                <w:spacing w:val="1"/>
                <w:highlight w:val="none"/>
              </w:rPr>
              <w:t>（</w:t>
            </w:r>
            <w:r>
              <w:rPr>
                <w:rFonts w:ascii="Times New Roman" w:hAnsi="Times New Roman" w:eastAsia="Times New Roman" w:cs="Times New Roman"/>
                <w:color w:val="auto"/>
                <w:spacing w:val="1"/>
                <w:highlight w:val="none"/>
              </w:rPr>
              <w:t>1</w:t>
            </w:r>
            <w:r>
              <w:rPr>
                <w:color w:val="auto"/>
                <w:spacing w:val="1"/>
                <w:highlight w:val="none"/>
              </w:rPr>
              <w:t>）评标委员会仅通过“国家企业信用信</w:t>
            </w:r>
            <w:r>
              <w:rPr>
                <w:color w:val="auto"/>
                <w:highlight w:val="none"/>
              </w:rPr>
              <w:t>息公示系统”查询拟推荐中标候选人是否被列入严重违</w:t>
            </w:r>
            <w:r>
              <w:rPr>
                <w:color w:val="auto"/>
                <w:spacing w:val="-1"/>
                <w:highlight w:val="none"/>
              </w:rPr>
              <w:t>法失信名单；</w:t>
            </w:r>
          </w:p>
          <w:p w14:paraId="363AD3A0">
            <w:pPr>
              <w:pStyle w:val="27"/>
              <w:spacing w:before="31" w:line="290" w:lineRule="auto"/>
              <w:ind w:left="116" w:right="113" w:firstLine="6"/>
              <w:outlineLvl w:val="9"/>
              <w:rPr>
                <w:color w:val="auto"/>
                <w:highlight w:val="none"/>
              </w:rPr>
            </w:pPr>
            <w:r>
              <w:rPr>
                <w:color w:val="auto"/>
                <w:spacing w:val="1"/>
                <w:highlight w:val="none"/>
              </w:rPr>
              <w:t>（</w:t>
            </w:r>
            <w:r>
              <w:rPr>
                <w:rFonts w:ascii="Times New Roman" w:hAnsi="Times New Roman" w:eastAsia="Times New Roman" w:cs="Times New Roman"/>
                <w:color w:val="auto"/>
                <w:spacing w:val="1"/>
                <w:highlight w:val="none"/>
              </w:rPr>
              <w:t>2</w:t>
            </w:r>
            <w:r>
              <w:rPr>
                <w:color w:val="auto"/>
                <w:spacing w:val="1"/>
                <w:highlight w:val="none"/>
              </w:rPr>
              <w:t>）评标委员会仅通过“信用中国”查询</w:t>
            </w:r>
            <w:r>
              <w:rPr>
                <w:color w:val="auto"/>
                <w:highlight w:val="none"/>
              </w:rPr>
              <w:t>拟推荐中标候选人是否被列为失信被执行人或者是否被</w:t>
            </w:r>
            <w:r>
              <w:rPr>
                <w:color w:val="auto"/>
                <w:spacing w:val="-1"/>
                <w:highlight w:val="none"/>
              </w:rPr>
              <w:t>确定为重大税收违法失信主体或者是否被列入拖欠农民工工资失信联合惩戒对象名单；</w:t>
            </w:r>
          </w:p>
          <w:p w14:paraId="6C341F9D">
            <w:pPr>
              <w:pStyle w:val="27"/>
              <w:spacing w:before="143" w:line="290" w:lineRule="auto"/>
              <w:ind w:left="116" w:right="105" w:hanging="4"/>
              <w:outlineLvl w:val="9"/>
              <w:rPr>
                <w:color w:val="auto"/>
                <w:highlight w:val="none"/>
              </w:rPr>
            </w:pPr>
            <w:r>
              <w:rPr>
                <w:rFonts w:ascii="Times New Roman" w:hAnsi="Times New Roman" w:eastAsia="Times New Roman" w:cs="Times New Roman"/>
                <w:color w:val="auto"/>
                <w:highlight w:val="none"/>
              </w:rPr>
              <w:t xml:space="preserve">2. </w:t>
            </w:r>
            <w:r>
              <w:rPr>
                <w:color w:val="auto"/>
                <w:highlight w:val="none"/>
              </w:rPr>
              <w:t>施工组织设计评审采用暗标评审的，投标文件</w:t>
            </w:r>
            <w:r>
              <w:rPr>
                <w:color w:val="auto"/>
                <w:spacing w:val="-1"/>
                <w:highlight w:val="none"/>
              </w:rPr>
              <w:t>制作应当符合第二章投标人须知前附表第</w:t>
            </w:r>
            <w:r>
              <w:rPr>
                <w:color w:val="auto"/>
                <w:spacing w:val="-43"/>
                <w:highlight w:val="none"/>
              </w:rPr>
              <w:t xml:space="preserve"> </w:t>
            </w:r>
            <w:r>
              <w:rPr>
                <w:rFonts w:ascii="Times New Roman" w:hAnsi="Times New Roman" w:eastAsia="Times New Roman" w:cs="Times New Roman"/>
                <w:color w:val="auto"/>
                <w:spacing w:val="-1"/>
                <w:highlight w:val="none"/>
              </w:rPr>
              <w:t xml:space="preserve">3.7.6 </w:t>
            </w:r>
            <w:r>
              <w:rPr>
                <w:color w:val="auto"/>
                <w:spacing w:val="-1"/>
                <w:highlight w:val="none"/>
              </w:rPr>
              <w:t>项</w:t>
            </w:r>
            <w:r>
              <w:rPr>
                <w:color w:val="auto"/>
                <w:spacing w:val="-8"/>
                <w:highlight w:val="none"/>
              </w:rPr>
              <w:t>规定。</w:t>
            </w:r>
          </w:p>
        </w:tc>
      </w:tr>
    </w:tbl>
    <w:p w14:paraId="6522C5E9">
      <w:pPr>
        <w:outlineLvl w:val="9"/>
        <w:rPr>
          <w:rStyle w:val="34"/>
          <w:rFonts w:hint="eastAsia" w:ascii="Times New Roman" w:hAnsi="Times New Roman" w:cs="宋体"/>
          <w:b w:val="0"/>
          <w:bCs w:val="0"/>
          <w:snapToGrid/>
          <w:color w:val="auto"/>
          <w:highlight w:val="none"/>
          <w:lang w:eastAsia="zh-CN" w:bidi="ar-SA"/>
        </w:rPr>
      </w:pPr>
      <w:bookmarkStart w:id="203" w:name="bookmark63"/>
      <w:bookmarkEnd w:id="203"/>
      <w:bookmarkStart w:id="204" w:name="bookmark64"/>
      <w:bookmarkEnd w:id="204"/>
      <w:r>
        <w:rPr>
          <w:rStyle w:val="34"/>
          <w:rFonts w:hint="eastAsia" w:ascii="Times New Roman" w:hAnsi="Times New Roman" w:cs="宋体"/>
          <w:b w:val="0"/>
          <w:bCs w:val="0"/>
          <w:snapToGrid/>
          <w:color w:val="auto"/>
          <w:highlight w:val="none"/>
          <w:lang w:eastAsia="zh-CN" w:bidi="ar-SA"/>
        </w:rPr>
        <w:br w:type="page"/>
      </w:r>
    </w:p>
    <w:p w14:paraId="34B14C21">
      <w:pPr>
        <w:suppressLineNumbers w:val="0"/>
        <w:kinsoku/>
        <w:autoSpaceDE/>
        <w:autoSpaceDN/>
        <w:adjustRightInd/>
        <w:snapToGrid/>
        <w:spacing w:before="240" w:beforeLines="100" w:beforeAutospacing="0" w:after="240" w:afterLines="100" w:afterAutospacing="0" w:line="240" w:lineRule="auto"/>
        <w:ind w:left="0" w:right="0"/>
        <w:jc w:val="left"/>
        <w:textAlignment w:val="auto"/>
        <w:outlineLvl w:val="9"/>
        <w:rPr>
          <w:rStyle w:val="34"/>
          <w:rFonts w:hint="eastAsia" w:ascii="Times New Roman" w:hAnsi="Times New Roman" w:cs="宋体"/>
          <w:b w:val="0"/>
          <w:bCs w:val="0"/>
          <w:snapToGrid/>
          <w:color w:val="auto"/>
          <w:highlight w:val="none"/>
          <w:lang w:eastAsia="zh-CN" w:bidi="ar-SA"/>
        </w:rPr>
      </w:pPr>
      <w:bookmarkStart w:id="205" w:name="_Toc31569"/>
      <w:r>
        <w:rPr>
          <w:rStyle w:val="34"/>
          <w:rFonts w:hint="eastAsia" w:ascii="Times New Roman" w:hAnsi="Times New Roman" w:cs="宋体"/>
          <w:b w:val="0"/>
          <w:bCs w:val="0"/>
          <w:snapToGrid/>
          <w:color w:val="auto"/>
          <w:highlight w:val="none"/>
          <w:lang w:eastAsia="zh-CN" w:bidi="ar-SA"/>
        </w:rPr>
        <w:t>1. 评标方法</w:t>
      </w:r>
    </w:p>
    <w:bookmarkEnd w:id="205"/>
    <w:p w14:paraId="5DC811A3">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本次评标采用</w:t>
      </w:r>
      <w:r>
        <w:rPr>
          <w:rFonts w:hint="eastAsia" w:ascii="Times New Roman" w:hAnsi="Times New Roman" w:eastAsia="宋体" w:cs="宋体"/>
          <w:b/>
          <w:bCs/>
          <w:snapToGrid/>
          <w:color w:val="auto"/>
          <w:kern w:val="2"/>
          <w:sz w:val="24"/>
          <w:szCs w:val="24"/>
          <w:highlight w:val="none"/>
          <w:lang w:eastAsia="zh-CN"/>
        </w:rPr>
        <w:t>综合评估法（合理低价）</w:t>
      </w:r>
      <w:r>
        <w:rPr>
          <w:rFonts w:hint="eastAsia" w:ascii="Times New Roman" w:hAnsi="Times New Roman" w:eastAsia="宋体" w:cs="宋体"/>
          <w:snapToGrid/>
          <w:color w:val="auto"/>
          <w:kern w:val="2"/>
          <w:sz w:val="24"/>
          <w:szCs w:val="24"/>
          <w:highlight w:val="none"/>
          <w:lang w:eastAsia="zh-CN"/>
        </w:rPr>
        <w:t>。评标委员会按照本章第2.1款规定的评分标准进行打分，并按得分由高到低顺序依次对投标人的投标文件进行初步评审和详细评审，初步评审和详细评审最先全部通过的即为第一中标候选人，直至推荐出招标文件规定数量的中标候选人或根据招标人授权直接确定中标人，但投标报价低于其成本的除外。综合评分相等时，评标委员会应按照评标办法前附表的规定确定评审顺序。</w:t>
      </w:r>
    </w:p>
    <w:p w14:paraId="4F114541">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本次评标推荐中标候选人的先后顺序及最多可中标段数量详见评标办法前附表。</w:t>
      </w:r>
      <w:r>
        <w:rPr>
          <w:rFonts w:hint="eastAsia" w:ascii="Times New Roman" w:hAnsi="Times New Roman" w:eastAsia="宋体" w:cs="宋体"/>
          <w:b/>
          <w:bCs/>
          <w:snapToGrid/>
          <w:color w:val="auto"/>
          <w:kern w:val="2"/>
          <w:sz w:val="24"/>
          <w:szCs w:val="24"/>
          <w:highlight w:val="none"/>
          <w:lang w:eastAsia="zh-CN"/>
        </w:rPr>
        <w:t>被推荐为第一中标候选人的标段个数已达到最多允许中标的标段个数的投标人在其他后续标段均不得推荐为中标候选人</w:t>
      </w:r>
      <w:r>
        <w:rPr>
          <w:rFonts w:hint="eastAsia" w:ascii="Times New Roman" w:hAnsi="Times New Roman" w:eastAsia="宋体" w:cs="宋体"/>
          <w:snapToGrid/>
          <w:color w:val="auto"/>
          <w:kern w:val="2"/>
          <w:sz w:val="24"/>
          <w:szCs w:val="24"/>
          <w:highlight w:val="none"/>
          <w:lang w:eastAsia="zh-CN"/>
        </w:rPr>
        <w:t>。</w:t>
      </w:r>
    </w:p>
    <w:p w14:paraId="2F673586">
      <w:pPr>
        <w:suppressLineNumbers w:val="0"/>
        <w:kinsoku/>
        <w:autoSpaceDE/>
        <w:autoSpaceDN/>
        <w:adjustRightInd/>
        <w:snapToGrid/>
        <w:spacing w:before="240" w:beforeLines="100" w:beforeAutospacing="0" w:after="240" w:afterLines="100" w:afterAutospacing="0" w:line="240" w:lineRule="auto"/>
        <w:ind w:left="0" w:right="0"/>
        <w:jc w:val="left"/>
        <w:textAlignment w:val="auto"/>
        <w:outlineLvl w:val="9"/>
        <w:rPr>
          <w:rStyle w:val="34"/>
          <w:rFonts w:hint="eastAsia" w:ascii="Times New Roman" w:hAnsi="Times New Roman" w:cs="宋体"/>
          <w:b w:val="0"/>
          <w:bCs w:val="0"/>
          <w:snapToGrid/>
          <w:color w:val="auto"/>
          <w:highlight w:val="none"/>
          <w:lang w:eastAsia="zh-CN" w:bidi="ar-SA"/>
        </w:rPr>
      </w:pPr>
      <w:bookmarkStart w:id="206" w:name="bookmark65"/>
      <w:bookmarkEnd w:id="206"/>
      <w:bookmarkStart w:id="207" w:name="bookmark66"/>
      <w:bookmarkEnd w:id="207"/>
      <w:bookmarkStart w:id="208" w:name="_Toc26875"/>
      <w:r>
        <w:rPr>
          <w:rStyle w:val="34"/>
          <w:rFonts w:hint="eastAsia" w:ascii="Times New Roman" w:hAnsi="Times New Roman" w:cs="宋体"/>
          <w:b w:val="0"/>
          <w:bCs w:val="0"/>
          <w:snapToGrid/>
          <w:color w:val="auto"/>
          <w:highlight w:val="none"/>
          <w:lang w:eastAsia="zh-CN" w:bidi="ar-SA"/>
        </w:rPr>
        <w:t>2. 评审标准</w:t>
      </w:r>
    </w:p>
    <w:bookmarkEnd w:id="208"/>
    <w:p w14:paraId="6B79A0EB">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09" w:name="_Toc21270"/>
      <w:r>
        <w:rPr>
          <w:rFonts w:hint="eastAsia" w:ascii="Times New Roman" w:hAnsi="Times New Roman" w:eastAsia="宋体" w:cs="宋体"/>
          <w:snapToGrid/>
          <w:color w:val="auto"/>
          <w:kern w:val="2"/>
          <w:sz w:val="24"/>
          <w:szCs w:val="24"/>
          <w:highlight w:val="none"/>
          <w:lang w:eastAsia="zh-CN"/>
        </w:rPr>
        <w:t>2.1 分值构成与评分标准</w:t>
      </w:r>
      <w:bookmarkEnd w:id="209"/>
    </w:p>
    <w:p w14:paraId="58ADF132">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2.1.1 分值构成：见评标办法前附表。</w:t>
      </w:r>
    </w:p>
    <w:p w14:paraId="1C2B1EC8">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2.1.2 评标基准价计算方法：见评标办法前附表。</w:t>
      </w:r>
    </w:p>
    <w:p w14:paraId="37539ABE">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2.1.3 投标报价的偏差率计算公式：见评标办法前附表。</w:t>
      </w:r>
    </w:p>
    <w:p w14:paraId="38819FB0">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2.1.4 评分标准：见评标办法前附表。</w:t>
      </w:r>
    </w:p>
    <w:p w14:paraId="58659AEA">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10" w:name="_Toc31234"/>
      <w:r>
        <w:rPr>
          <w:rFonts w:hint="eastAsia" w:ascii="Times New Roman" w:hAnsi="Times New Roman" w:eastAsia="宋体" w:cs="宋体"/>
          <w:snapToGrid/>
          <w:color w:val="auto"/>
          <w:kern w:val="2"/>
          <w:sz w:val="24"/>
          <w:szCs w:val="24"/>
          <w:highlight w:val="none"/>
          <w:lang w:eastAsia="zh-CN"/>
        </w:rPr>
        <w:t>2.2 初步评审标准</w:t>
      </w:r>
      <w:bookmarkEnd w:id="210"/>
    </w:p>
    <w:p w14:paraId="1B285DF7">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2.2.1 形式评审标准：见评标办法前附表。</w:t>
      </w:r>
    </w:p>
    <w:p w14:paraId="47765493">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2.2.2 资格评审标准：见评标办法前附表。</w:t>
      </w:r>
    </w:p>
    <w:p w14:paraId="380FE0CF">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2.2.3 响应性评审标准：见评标办法前附表。</w:t>
      </w:r>
    </w:p>
    <w:p w14:paraId="00B07944">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2.2.4 施工组织设计和主要人员评审标准：见评标办法前附表。</w:t>
      </w:r>
    </w:p>
    <w:p w14:paraId="65861C18">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11" w:name="_Toc26352"/>
      <w:r>
        <w:rPr>
          <w:rFonts w:hint="eastAsia" w:ascii="Times New Roman" w:hAnsi="Times New Roman" w:eastAsia="宋体" w:cs="宋体"/>
          <w:snapToGrid/>
          <w:color w:val="auto"/>
          <w:kern w:val="2"/>
          <w:sz w:val="24"/>
          <w:szCs w:val="24"/>
          <w:highlight w:val="none"/>
          <w:lang w:eastAsia="zh-CN"/>
        </w:rPr>
        <w:t>2.3 详细评审标准</w:t>
      </w:r>
      <w:bookmarkEnd w:id="211"/>
    </w:p>
    <w:p w14:paraId="691B3DA7">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详细评审标准：见评标办法前附表。</w:t>
      </w:r>
    </w:p>
    <w:p w14:paraId="43C1B4BB">
      <w:pPr>
        <w:suppressLineNumbers w:val="0"/>
        <w:kinsoku/>
        <w:autoSpaceDE/>
        <w:autoSpaceDN/>
        <w:adjustRightInd/>
        <w:snapToGrid/>
        <w:spacing w:before="240" w:beforeLines="100" w:beforeAutospacing="0" w:after="240" w:afterLines="100" w:afterAutospacing="0" w:line="240" w:lineRule="auto"/>
        <w:ind w:left="0" w:right="0"/>
        <w:jc w:val="left"/>
        <w:textAlignment w:val="auto"/>
        <w:outlineLvl w:val="9"/>
        <w:rPr>
          <w:rStyle w:val="34"/>
          <w:rFonts w:hint="eastAsia" w:ascii="Times New Roman" w:hAnsi="Times New Roman" w:cs="宋体"/>
          <w:b w:val="0"/>
          <w:bCs w:val="0"/>
          <w:snapToGrid/>
          <w:color w:val="auto"/>
          <w:highlight w:val="none"/>
          <w:lang w:eastAsia="zh-CN" w:bidi="ar-SA"/>
        </w:rPr>
      </w:pPr>
      <w:bookmarkStart w:id="212" w:name="_Toc12854"/>
      <w:r>
        <w:rPr>
          <w:rStyle w:val="34"/>
          <w:rFonts w:hint="eastAsia" w:ascii="Times New Roman" w:hAnsi="Times New Roman" w:cs="宋体"/>
          <w:b w:val="0"/>
          <w:bCs w:val="0"/>
          <w:snapToGrid/>
          <w:color w:val="auto"/>
          <w:highlight w:val="none"/>
          <w:lang w:eastAsia="zh-CN" w:bidi="ar-SA"/>
        </w:rPr>
        <w:t>3. 评标程序</w:t>
      </w:r>
    </w:p>
    <w:bookmarkEnd w:id="212"/>
    <w:p w14:paraId="75501D91">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13" w:name="_Toc5218"/>
      <w:r>
        <w:rPr>
          <w:rFonts w:hint="eastAsia" w:ascii="Times New Roman" w:hAnsi="Times New Roman" w:eastAsia="宋体" w:cs="宋体"/>
          <w:snapToGrid/>
          <w:color w:val="auto"/>
          <w:kern w:val="2"/>
          <w:sz w:val="24"/>
          <w:szCs w:val="24"/>
          <w:highlight w:val="none"/>
          <w:lang w:eastAsia="zh-CN"/>
        </w:rPr>
        <w:t>3.1 打分及评审顺序</w:t>
      </w:r>
      <w:bookmarkEnd w:id="213"/>
    </w:p>
    <w:p w14:paraId="5E6012F0">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3.1.1 评标委员会按本章第2.1 款规定的评分标准进行打分，编制评分比较一览表，并按照得 分由高到低顺序依次进行评审。</w:t>
      </w:r>
    </w:p>
    <w:p w14:paraId="0CFB4027">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3.1.2 评标委员会依据本章第2.2款和第2.3款规定的标准首先对得分最高的投标人的投标文件进行初步评审和详细评审。有一项不符合评审标准的，评标委员会应当否决其投标，然后对得分次高的投标人的投标文件进行初步评审和详细评审，以此类推。初步评审和详细评审最先全部通过的即为第一中标候选人，直至推荐出招标文件规定数量的中标候选人或根据招标人授权直接确定中标人。</w:t>
      </w:r>
    </w:p>
    <w:p w14:paraId="4D52CA27">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14" w:name="_Toc19049"/>
      <w:r>
        <w:rPr>
          <w:rFonts w:hint="eastAsia" w:ascii="Times New Roman" w:hAnsi="Times New Roman" w:eastAsia="宋体" w:cs="宋体"/>
          <w:snapToGrid/>
          <w:color w:val="auto"/>
          <w:kern w:val="2"/>
          <w:sz w:val="24"/>
          <w:szCs w:val="24"/>
          <w:highlight w:val="none"/>
          <w:lang w:eastAsia="zh-CN"/>
        </w:rPr>
        <w:t>3.2 初步评审</w:t>
      </w:r>
      <w:bookmarkEnd w:id="214"/>
    </w:p>
    <w:p w14:paraId="154ACC0F">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3.2.1 评标委员会依据本章第2.2款规定的标准对投标文件进行初步评审。有一项不符合评审标准的，评标委员会应当否决其投标。</w:t>
      </w:r>
    </w:p>
    <w:p w14:paraId="65932AFF">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3.2.2 投标人有以下情形之一的，评标委员会应当否决其投标：</w:t>
      </w:r>
    </w:p>
    <w:p w14:paraId="14C676CE">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（1）投标文件没有对招标文件的实质性要求和条件作出响应，或者对招标文件的偏差超出招标 文件规定的偏差范围或最高项数；</w:t>
      </w:r>
    </w:p>
    <w:p w14:paraId="2A69789F">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（2）有串通投标、弄虚作假、行贿等违法行为。</w:t>
      </w:r>
    </w:p>
    <w:p w14:paraId="128729D4">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3.2.3 投标报价有算术错误及其他错误的，评标委员会按以下原则对投标报价进行修正，并要求投标人书面澄清确认。投标人拒不澄清确认的，评标委员会应当否决其投标：</w:t>
      </w:r>
    </w:p>
    <w:p w14:paraId="43408F5C">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（1）投标文件中的大写金额与小写金额不一致的，以大写金额为准；</w:t>
      </w:r>
    </w:p>
    <w:p w14:paraId="5570395A">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（2）总价金额与单价金额不一致的，以单价金额为准，但单价金额小数点有明显错误的除外。</w:t>
      </w:r>
    </w:p>
    <w:p w14:paraId="1118BBE5">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15" w:name="_Toc22809"/>
      <w:r>
        <w:rPr>
          <w:rFonts w:hint="eastAsia" w:ascii="Times New Roman" w:hAnsi="Times New Roman" w:eastAsia="宋体" w:cs="宋体"/>
          <w:snapToGrid/>
          <w:color w:val="auto"/>
          <w:kern w:val="2"/>
          <w:sz w:val="24"/>
          <w:szCs w:val="24"/>
          <w:highlight w:val="none"/>
          <w:lang w:eastAsia="zh-CN"/>
        </w:rPr>
        <w:t>3.3 详细评审</w:t>
      </w:r>
      <w:bookmarkEnd w:id="215"/>
    </w:p>
    <w:p w14:paraId="13CA8E0F">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评标委员会发现投标人的报价明显低于其他投标报价或者存在异常低价投标情形，使得其投标报价可能低于其个别成本的，应当要求该投标人作出书面说明并提供相应的证明材料。异常低价投 标情形的界定和评审要求见本章第 2.3 款规定。投标人不能合理说明或者不能提供相应证明材料的， 评标委员会应当认定该投标人以低于成本报价竞标，并否决其投标。</w:t>
      </w:r>
    </w:p>
    <w:p w14:paraId="37A554C8">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16" w:name="_Toc17643"/>
      <w:r>
        <w:rPr>
          <w:rFonts w:hint="eastAsia" w:ascii="Times New Roman" w:hAnsi="Times New Roman" w:eastAsia="宋体" w:cs="宋体"/>
          <w:snapToGrid/>
          <w:color w:val="auto"/>
          <w:kern w:val="2"/>
          <w:sz w:val="24"/>
          <w:szCs w:val="24"/>
          <w:highlight w:val="none"/>
          <w:lang w:eastAsia="zh-CN"/>
        </w:rPr>
        <w:t>3.4 投标文件的澄清</w:t>
      </w:r>
      <w:bookmarkEnd w:id="216"/>
    </w:p>
    <w:p w14:paraId="248CDFF3">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3.4.1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F3CC8D5">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3.4.2 澄清、说明或补正不得超出投标文件的范围且不得改变投标文件的实质性内容（算术性错误的修正除外），并构成投标文件的组成部分。</w:t>
      </w:r>
    </w:p>
    <w:p w14:paraId="4F5D4B9B">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3.4.3 评标委员会对投标人提交的澄清、说明或补正有疑问的，可以要求投标人进一步澄清、说明或补正，直至满足评标委员会的要求。</w:t>
      </w:r>
    </w:p>
    <w:p w14:paraId="45B29D6B">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17" w:name="_Toc31553"/>
      <w:r>
        <w:rPr>
          <w:rFonts w:hint="eastAsia" w:ascii="Times New Roman" w:hAnsi="Times New Roman" w:eastAsia="宋体" w:cs="宋体"/>
          <w:snapToGrid/>
          <w:color w:val="auto"/>
          <w:kern w:val="2"/>
          <w:sz w:val="24"/>
          <w:szCs w:val="24"/>
          <w:highlight w:val="none"/>
          <w:lang w:eastAsia="zh-CN"/>
        </w:rPr>
        <w:t>3.5 评标结果</w:t>
      </w:r>
      <w:bookmarkEnd w:id="217"/>
    </w:p>
    <w:p w14:paraId="61DADFD1">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3.5.1 除第二章“投标人须知”前附表授权直接确定中标人外，评标委员会按照得分由高到低的顺序依次评审和推荐中标候选人，并标明推荐顺序。</w:t>
      </w:r>
    </w:p>
    <w:p w14:paraId="29995241">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3.5.2 评标委员会完成评标后，应当向招标人提交书面评标报告和中标候选人名单。</w:t>
      </w:r>
    </w:p>
    <w:p w14:paraId="5E9C8FFC">
      <w:pPr>
        <w:suppressLineNumbers w:val="0"/>
        <w:kinsoku/>
        <w:autoSpaceDE/>
        <w:autoSpaceDN/>
        <w:adjustRightInd/>
        <w:snapToGrid/>
        <w:spacing w:before="240" w:beforeLines="100" w:beforeAutospacing="0" w:after="240" w:afterLines="100" w:afterAutospacing="0" w:line="240" w:lineRule="auto"/>
        <w:ind w:left="0" w:right="0"/>
        <w:jc w:val="left"/>
        <w:textAlignment w:val="auto"/>
        <w:outlineLvl w:val="9"/>
        <w:rPr>
          <w:rStyle w:val="34"/>
          <w:rFonts w:hint="eastAsia" w:ascii="Times New Roman" w:hAnsi="Times New Roman" w:cs="宋体"/>
          <w:b w:val="0"/>
          <w:bCs w:val="0"/>
          <w:snapToGrid/>
          <w:color w:val="auto"/>
          <w:highlight w:val="none"/>
          <w:lang w:eastAsia="zh-CN" w:bidi="ar-SA"/>
        </w:rPr>
      </w:pPr>
      <w:bookmarkStart w:id="218" w:name="_Toc20044"/>
      <w:r>
        <w:rPr>
          <w:rStyle w:val="34"/>
          <w:rFonts w:hint="eastAsia" w:ascii="Times New Roman" w:hAnsi="Times New Roman" w:cs="宋体"/>
          <w:b w:val="0"/>
          <w:bCs w:val="0"/>
          <w:snapToGrid/>
          <w:color w:val="auto"/>
          <w:highlight w:val="none"/>
          <w:lang w:eastAsia="zh-CN" w:bidi="ar-SA"/>
        </w:rPr>
        <w:t>4. 特殊情况的处置</w:t>
      </w:r>
    </w:p>
    <w:bookmarkEnd w:id="218"/>
    <w:p w14:paraId="7BD5531D">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19" w:name="_Toc18092"/>
      <w:r>
        <w:rPr>
          <w:rFonts w:hint="eastAsia" w:ascii="Times New Roman" w:hAnsi="Times New Roman" w:eastAsia="宋体" w:cs="宋体"/>
          <w:snapToGrid/>
          <w:color w:val="auto"/>
          <w:kern w:val="2"/>
          <w:sz w:val="24"/>
          <w:szCs w:val="24"/>
          <w:highlight w:val="none"/>
          <w:lang w:eastAsia="zh-CN"/>
        </w:rPr>
        <w:t>4.1 关于评标活动暂停</w:t>
      </w:r>
      <w:bookmarkEnd w:id="219"/>
    </w:p>
    <w:p w14:paraId="1F49B124">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4.1.1 评标委员会应当连续评标，按评标办法中规定的程序、内容、方法、标准完成全部评标工作。只有发生不可抗力导致评标工作无法进行时，评标活动方可暂停。</w:t>
      </w:r>
    </w:p>
    <w:p w14:paraId="100A009B">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4.1.2 发生评标暂停情况时，评标委员会应当封存全部投标文件和开标评标资料，待不可抗力的 影响结束且具备继续评标的条件时，由原评标委员会继续评标。</w:t>
      </w:r>
    </w:p>
    <w:p w14:paraId="2BE46C5D">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20" w:name="_Toc6515"/>
      <w:r>
        <w:rPr>
          <w:rFonts w:hint="eastAsia" w:ascii="Times New Roman" w:hAnsi="Times New Roman" w:eastAsia="宋体" w:cs="宋体"/>
          <w:snapToGrid/>
          <w:color w:val="auto"/>
          <w:kern w:val="2"/>
          <w:sz w:val="24"/>
          <w:szCs w:val="24"/>
          <w:highlight w:val="none"/>
          <w:lang w:eastAsia="zh-CN"/>
        </w:rPr>
        <w:t>4.2 关于评标中途更换评标委员会成员</w:t>
      </w:r>
      <w:bookmarkEnd w:id="220"/>
    </w:p>
    <w:p w14:paraId="355DDD8B">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4.2.1 除非发生下列情况之一，评标委员会成员不得在评标中途更换：</w:t>
      </w:r>
    </w:p>
    <w:p w14:paraId="7B48E471">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（1）因不可抗拒的客观原因，不能到场或需在评标中途退出评标活动。</w:t>
      </w:r>
    </w:p>
    <w:p w14:paraId="0DC6532B">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（2）根据法律法规规定，某个或某几个评标委员会成员需要回避。</w:t>
      </w:r>
    </w:p>
    <w:p w14:paraId="025AB244">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r>
        <w:rPr>
          <w:rFonts w:hint="eastAsia" w:ascii="Times New Roman" w:hAnsi="Times New Roman" w:eastAsia="宋体" w:cs="宋体"/>
          <w:snapToGrid/>
          <w:color w:val="auto"/>
          <w:kern w:val="2"/>
          <w:sz w:val="24"/>
          <w:szCs w:val="24"/>
          <w:highlight w:val="none"/>
          <w:lang w:eastAsia="zh-CN"/>
        </w:rPr>
        <w:t>4.2.2 退出评标的评标委员会成员，其已完成的评标行为无效。由招标人根据本招标文件规定的评标委员会成员产生方式另行确定替代者进行评标。</w:t>
      </w:r>
    </w:p>
    <w:p w14:paraId="3192CBA5">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pPr>
      <w:bookmarkStart w:id="221" w:name="_Toc31782"/>
      <w:r>
        <w:rPr>
          <w:rFonts w:hint="eastAsia" w:ascii="Times New Roman" w:hAnsi="Times New Roman" w:eastAsia="宋体" w:cs="宋体"/>
          <w:snapToGrid/>
          <w:color w:val="auto"/>
          <w:kern w:val="2"/>
          <w:sz w:val="24"/>
          <w:szCs w:val="24"/>
          <w:highlight w:val="none"/>
          <w:lang w:eastAsia="zh-CN"/>
        </w:rPr>
        <w:t>4.3 记名投票</w:t>
      </w:r>
      <w:bookmarkEnd w:id="221"/>
    </w:p>
    <w:p w14:paraId="292955D7">
      <w:pPr>
        <w:widowControl w:val="0"/>
        <w:kinsoku/>
        <w:autoSpaceDE/>
        <w:autoSpaceDN/>
        <w:adjustRightInd/>
        <w:snapToGrid/>
        <w:spacing w:line="360" w:lineRule="auto"/>
        <w:ind w:firstLine="480" w:firstLineChars="200"/>
        <w:jc w:val="both"/>
        <w:textAlignment w:val="auto"/>
        <w:outlineLvl w:val="9"/>
        <w:rPr>
          <w:rFonts w:hint="eastAsia" w:ascii="Times New Roman" w:hAnsi="Times New Roman" w:eastAsia="宋体" w:cs="宋体"/>
          <w:snapToGrid/>
          <w:color w:val="auto"/>
          <w:kern w:val="2"/>
          <w:sz w:val="24"/>
          <w:szCs w:val="24"/>
          <w:highlight w:val="none"/>
          <w:lang w:eastAsia="zh-CN"/>
        </w:rPr>
        <w:sectPr>
          <w:footerReference r:id="rId7" w:type="default"/>
          <w:pgSz w:w="11907" w:h="16839"/>
          <w:pgMar w:top="1431" w:right="1344" w:bottom="1362" w:left="1425" w:header="0" w:footer="1202" w:gutter="0"/>
          <w:pgNumType w:fmt="decimal"/>
          <w:cols w:space="720" w:num="1"/>
        </w:sectPr>
      </w:pPr>
      <w:r>
        <w:rPr>
          <w:rFonts w:hint="eastAsia" w:ascii="Times New Roman" w:hAnsi="Times New Roman" w:eastAsia="宋体" w:cs="宋体"/>
          <w:snapToGrid/>
          <w:color w:val="auto"/>
          <w:kern w:val="2"/>
          <w:sz w:val="24"/>
          <w:szCs w:val="24"/>
          <w:highlight w:val="none"/>
          <w:lang w:eastAsia="zh-CN"/>
        </w:rPr>
        <w:t>在任何评标环节中，需评标委员会就某项定性的评审结论做出表决的，由评标委员会全体成员按照少数服从多数的原则，以记名投票方式表决（不得弃权）。</w:t>
      </w:r>
    </w:p>
    <w:p w14:paraId="3AAF6A0C">
      <w:pPr>
        <w:outlineLvl w:val="9"/>
        <w:rPr>
          <w:rFonts w:ascii="宋体" w:hAnsi="宋体" w:eastAsia="宋体" w:cs="宋体"/>
          <w:b/>
          <w:bCs/>
          <w:color w:val="auto"/>
          <w:spacing w:val="4"/>
          <w:sz w:val="43"/>
          <w:szCs w:val="43"/>
          <w:highlight w:val="none"/>
        </w:rPr>
      </w:pPr>
    </w:p>
    <w:p w14:paraId="68341EB2">
      <w:pPr>
        <w:spacing w:before="87" w:line="223" w:lineRule="auto"/>
        <w:jc w:val="center"/>
        <w:outlineLvl w:val="0"/>
        <w:rPr>
          <w:rFonts w:ascii="宋体" w:hAnsi="宋体" w:eastAsia="宋体" w:cs="宋体"/>
          <w:color w:val="auto"/>
          <w:sz w:val="43"/>
          <w:szCs w:val="43"/>
          <w:highlight w:val="none"/>
        </w:rPr>
      </w:pPr>
      <w:bookmarkStart w:id="222" w:name="_Toc18282"/>
      <w:r>
        <w:rPr>
          <w:rFonts w:ascii="宋体" w:hAnsi="宋体" w:eastAsia="宋体" w:cs="宋体"/>
          <w:b/>
          <w:bCs/>
          <w:color w:val="auto"/>
          <w:spacing w:val="4"/>
          <w:sz w:val="43"/>
          <w:szCs w:val="43"/>
          <w:highlight w:val="none"/>
        </w:rPr>
        <w:t>第四章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合同条款及格式</w:t>
      </w:r>
      <w:bookmarkEnd w:id="222"/>
    </w:p>
    <w:p w14:paraId="5DDBA571">
      <w:pPr>
        <w:spacing w:before="154" w:line="225" w:lineRule="auto"/>
        <w:jc w:val="center"/>
        <w:outlineLvl w:val="9"/>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第一节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通用合同条款</w:t>
      </w:r>
    </w:p>
    <w:p w14:paraId="327A97FA">
      <w:pPr>
        <w:spacing w:line="258" w:lineRule="auto"/>
        <w:outlineLvl w:val="9"/>
        <w:rPr>
          <w:rFonts w:ascii="Arial"/>
          <w:color w:val="auto"/>
          <w:sz w:val="21"/>
          <w:highlight w:val="none"/>
        </w:rPr>
      </w:pPr>
    </w:p>
    <w:p w14:paraId="09B88CDF">
      <w:pPr>
        <w:spacing w:before="101" w:line="226" w:lineRule="auto"/>
        <w:ind w:left="27"/>
        <w:outlineLvl w:val="9"/>
        <w:rPr>
          <w:rFonts w:ascii="宋体" w:hAnsi="宋体" w:eastAsia="宋体" w:cs="宋体"/>
          <w:color w:val="auto"/>
          <w:sz w:val="31"/>
          <w:szCs w:val="31"/>
          <w:highlight w:val="none"/>
        </w:rPr>
      </w:pPr>
      <w:bookmarkStart w:id="223" w:name="_Toc28716"/>
      <w:bookmarkStart w:id="224" w:name="_Toc8620"/>
      <w:r>
        <w:rPr>
          <w:rFonts w:ascii="宋体" w:hAnsi="宋体" w:eastAsia="宋体" w:cs="宋体"/>
          <w:b/>
          <w:bCs/>
          <w:color w:val="auto"/>
          <w:spacing w:val="-4"/>
          <w:sz w:val="31"/>
          <w:szCs w:val="31"/>
          <w:highlight w:val="none"/>
        </w:rPr>
        <w:t>1.</w:t>
      </w:r>
      <w:r>
        <w:rPr>
          <w:rFonts w:ascii="宋体" w:hAnsi="宋体" w:eastAsia="宋体" w:cs="宋体"/>
          <w:color w:val="auto"/>
          <w:spacing w:val="31"/>
          <w:sz w:val="31"/>
          <w:szCs w:val="31"/>
          <w:highlight w:val="none"/>
        </w:rPr>
        <w:t xml:space="preserve"> </w:t>
      </w:r>
      <w:r>
        <w:rPr>
          <w:rFonts w:ascii="宋体" w:hAnsi="宋体" w:eastAsia="宋体" w:cs="宋体"/>
          <w:b/>
          <w:bCs/>
          <w:color w:val="auto"/>
          <w:spacing w:val="-4"/>
          <w:sz w:val="31"/>
          <w:szCs w:val="31"/>
          <w:highlight w:val="none"/>
        </w:rPr>
        <w:t>一般约定</w:t>
      </w:r>
      <w:bookmarkEnd w:id="223"/>
      <w:bookmarkEnd w:id="224"/>
    </w:p>
    <w:p w14:paraId="55078049">
      <w:pPr>
        <w:spacing w:before="275" w:line="221"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1.1</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9"/>
          <w:sz w:val="28"/>
          <w:szCs w:val="28"/>
          <w:highlight w:val="none"/>
        </w:rPr>
        <w:t>词语定义</w:t>
      </w:r>
    </w:p>
    <w:p w14:paraId="60BF2B38">
      <w:pPr>
        <w:spacing w:before="279"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通用合同条款、专用合同条款中的下列词语应具有本款所赋予的含义。</w:t>
      </w:r>
    </w:p>
    <w:p w14:paraId="3ABA8001">
      <w:pPr>
        <w:spacing w:before="157" w:line="223"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1.1.1</w:t>
      </w:r>
      <w:r>
        <w:rPr>
          <w:rFonts w:ascii="宋体" w:hAnsi="宋体" w:eastAsia="宋体" w:cs="宋体"/>
          <w:color w:val="auto"/>
          <w:spacing w:val="10"/>
          <w:sz w:val="21"/>
          <w:szCs w:val="21"/>
          <w:highlight w:val="none"/>
        </w:rPr>
        <w:t xml:space="preserve"> </w:t>
      </w:r>
      <w:r>
        <w:rPr>
          <w:rFonts w:ascii="宋体" w:hAnsi="宋体" w:eastAsia="宋体" w:cs="宋体"/>
          <w:b/>
          <w:bCs/>
          <w:color w:val="auto"/>
          <w:spacing w:val="-6"/>
          <w:sz w:val="21"/>
          <w:szCs w:val="21"/>
          <w:highlight w:val="none"/>
        </w:rPr>
        <w:t>合同</w:t>
      </w:r>
    </w:p>
    <w:p w14:paraId="30B81B75">
      <w:pPr>
        <w:spacing w:before="155" w:line="344" w:lineRule="auto"/>
        <w:ind w:left="1" w:right="2"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"1.1.1.1" </w:instrText>
      </w:r>
      <w:r>
        <w:rPr>
          <w:color w:val="auto"/>
          <w:highlight w:val="none"/>
        </w:rPr>
        <w:fldChar w:fldCharType="separate"/>
      </w:r>
      <w:r>
        <w:rPr>
          <w:rFonts w:ascii="宋体" w:hAnsi="宋体" w:eastAsia="宋体" w:cs="宋体"/>
          <w:color w:val="auto"/>
          <w:spacing w:val="-4"/>
          <w:sz w:val="21"/>
          <w:szCs w:val="21"/>
          <w:highlight w:val="none"/>
        </w:rPr>
        <w:t>1.1.1.1</w:t>
      </w:r>
      <w:r>
        <w:rPr>
          <w:rFonts w:ascii="宋体" w:hAnsi="宋体" w:eastAsia="宋体" w:cs="宋体"/>
          <w:color w:val="auto"/>
          <w:spacing w:val="-4"/>
          <w:sz w:val="21"/>
          <w:szCs w:val="21"/>
          <w:highlight w:val="none"/>
        </w:rPr>
        <w:fldChar w:fldCharType="end"/>
      </w:r>
      <w:r>
        <w:rPr>
          <w:rFonts w:ascii="宋体" w:hAnsi="宋体" w:eastAsia="宋体" w:cs="宋体"/>
          <w:color w:val="auto"/>
          <w:spacing w:val="-4"/>
          <w:sz w:val="21"/>
          <w:szCs w:val="21"/>
          <w:highlight w:val="none"/>
        </w:rPr>
        <w:t xml:space="preserve"> 合同文件（或称合同</w:t>
      </w:r>
      <w:r>
        <w:rPr>
          <w:rFonts w:ascii="宋体" w:hAnsi="宋体" w:eastAsia="宋体" w:cs="宋体"/>
          <w:color w:val="auto"/>
          <w:spacing w:val="-8"/>
          <w:sz w:val="21"/>
          <w:szCs w:val="21"/>
          <w:highlight w:val="none"/>
        </w:rPr>
        <w:t>）：</w:t>
      </w:r>
      <w:r>
        <w:rPr>
          <w:rFonts w:ascii="宋体" w:hAnsi="宋体" w:eastAsia="宋体" w:cs="宋体"/>
          <w:color w:val="auto"/>
          <w:spacing w:val="-4"/>
          <w:sz w:val="21"/>
          <w:szCs w:val="21"/>
          <w:highlight w:val="none"/>
        </w:rPr>
        <w:t>指合同协议书、中标通知书、投标函及投标函附录、专用合同</w:t>
      </w:r>
      <w:r>
        <w:rPr>
          <w:rFonts w:ascii="宋体" w:hAnsi="宋体" w:eastAsia="宋体" w:cs="宋体"/>
          <w:color w:val="auto"/>
          <w:sz w:val="21"/>
          <w:szCs w:val="21"/>
          <w:highlight w:val="none"/>
        </w:rPr>
        <w:t xml:space="preserve"> 条款、通用合同条款、技术标准和要求、图纸、已标价工程量清单，以及其他合同</w:t>
      </w:r>
      <w:r>
        <w:rPr>
          <w:rFonts w:ascii="宋体" w:hAnsi="宋体" w:eastAsia="宋体" w:cs="宋体"/>
          <w:color w:val="auto"/>
          <w:spacing w:val="-1"/>
          <w:sz w:val="21"/>
          <w:szCs w:val="21"/>
          <w:highlight w:val="none"/>
        </w:rPr>
        <w:t>文件。</w:t>
      </w:r>
    </w:p>
    <w:p w14:paraId="148FCAC7">
      <w:pPr>
        <w:spacing w:before="35" w:line="220"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"1.1.1.2" </w:instrText>
      </w:r>
      <w:r>
        <w:rPr>
          <w:color w:val="auto"/>
          <w:highlight w:val="none"/>
        </w:rPr>
        <w:fldChar w:fldCharType="separate"/>
      </w:r>
      <w:r>
        <w:rPr>
          <w:rFonts w:ascii="宋体" w:hAnsi="宋体" w:eastAsia="宋体" w:cs="宋体"/>
          <w:color w:val="auto"/>
          <w:spacing w:val="-2"/>
          <w:sz w:val="21"/>
          <w:szCs w:val="21"/>
          <w:highlight w:val="none"/>
        </w:rPr>
        <w:t>1.1.1.2</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合同协议书：指第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款所</w:t>
      </w:r>
      <w:r>
        <w:rPr>
          <w:rFonts w:ascii="宋体" w:hAnsi="宋体" w:eastAsia="宋体" w:cs="宋体"/>
          <w:color w:val="auto"/>
          <w:spacing w:val="-3"/>
          <w:sz w:val="21"/>
          <w:szCs w:val="21"/>
          <w:highlight w:val="none"/>
        </w:rPr>
        <w:t>指的合同协议书。</w:t>
      </w:r>
    </w:p>
    <w:p w14:paraId="60A03D04">
      <w:pPr>
        <w:spacing w:before="158" w:line="220"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"1.1.1.3" </w:instrText>
      </w:r>
      <w:r>
        <w:rPr>
          <w:color w:val="auto"/>
          <w:highlight w:val="none"/>
        </w:rPr>
        <w:fldChar w:fldCharType="separate"/>
      </w:r>
      <w:r>
        <w:rPr>
          <w:rFonts w:ascii="宋体" w:hAnsi="宋体" w:eastAsia="宋体" w:cs="宋体"/>
          <w:color w:val="auto"/>
          <w:spacing w:val="-3"/>
          <w:sz w:val="21"/>
          <w:szCs w:val="21"/>
          <w:highlight w:val="none"/>
        </w:rPr>
        <w:t>1.1.1.3</w:t>
      </w:r>
      <w:r>
        <w:rPr>
          <w:rFonts w:ascii="宋体" w:hAnsi="宋体" w:eastAsia="宋体" w:cs="宋体"/>
          <w:color w:val="auto"/>
          <w:spacing w:val="-3"/>
          <w:sz w:val="21"/>
          <w:szCs w:val="21"/>
          <w:highlight w:val="none"/>
        </w:rPr>
        <w:fldChar w:fldCharType="end"/>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中标通知书：指发包人通知承包人中标的函件。</w:t>
      </w:r>
    </w:p>
    <w:p w14:paraId="5637F095">
      <w:pPr>
        <w:spacing w:before="158" w:line="345" w:lineRule="auto"/>
        <w:ind w:left="435" w:right="1540"/>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"1.1.1.4" </w:instrText>
      </w:r>
      <w:r>
        <w:rPr>
          <w:color w:val="auto"/>
          <w:highlight w:val="none"/>
        </w:rPr>
        <w:fldChar w:fldCharType="separate"/>
      </w:r>
      <w:r>
        <w:rPr>
          <w:rFonts w:ascii="宋体" w:hAnsi="宋体" w:eastAsia="宋体" w:cs="宋体"/>
          <w:color w:val="auto"/>
          <w:spacing w:val="-1"/>
          <w:sz w:val="21"/>
          <w:szCs w:val="21"/>
          <w:highlight w:val="none"/>
        </w:rPr>
        <w:t>1.1.1.4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投标函：指构成合同文件组成部分的由承</w:t>
      </w:r>
      <w:r>
        <w:rPr>
          <w:rFonts w:ascii="宋体" w:hAnsi="宋体" w:eastAsia="宋体" w:cs="宋体"/>
          <w:color w:val="auto"/>
          <w:spacing w:val="-2"/>
          <w:sz w:val="21"/>
          <w:szCs w:val="21"/>
          <w:highlight w:val="none"/>
        </w:rPr>
        <w:t>包人填写并签署的投标函。</w:t>
      </w:r>
      <w:r>
        <w:rPr>
          <w:rFonts w:ascii="宋体" w:hAnsi="宋体" w:eastAsia="宋体" w:cs="宋体"/>
          <w:color w:val="auto"/>
          <w:sz w:val="21"/>
          <w:szCs w:val="21"/>
          <w:highlight w:val="none"/>
        </w:rPr>
        <w:t xml:space="preserve"> </w:t>
      </w:r>
      <w:r>
        <w:rPr>
          <w:color w:val="auto"/>
          <w:highlight w:val="none"/>
        </w:rPr>
        <w:fldChar w:fldCharType="begin"/>
      </w:r>
      <w:r>
        <w:rPr>
          <w:color w:val="auto"/>
          <w:highlight w:val="none"/>
        </w:rPr>
        <w:instrText xml:space="preserve"> HYPERLINK "1.1.1.5" </w:instrText>
      </w:r>
      <w:r>
        <w:rPr>
          <w:color w:val="auto"/>
          <w:highlight w:val="none"/>
        </w:rPr>
        <w:fldChar w:fldCharType="separate"/>
      </w:r>
      <w:r>
        <w:rPr>
          <w:rFonts w:ascii="宋体" w:hAnsi="宋体" w:eastAsia="宋体" w:cs="宋体"/>
          <w:color w:val="auto"/>
          <w:spacing w:val="-1"/>
          <w:sz w:val="21"/>
          <w:szCs w:val="21"/>
          <w:highlight w:val="none"/>
        </w:rPr>
        <w:t>1.1.1.5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投标函附录：指附在投标函后构成合同文件的投标函附录。</w:t>
      </w:r>
    </w:p>
    <w:p w14:paraId="28C63E6E">
      <w:pPr>
        <w:spacing w:before="34" w:line="345" w:lineRule="auto"/>
        <w:ind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"1.1.1.6" </w:instrText>
      </w:r>
      <w:r>
        <w:rPr>
          <w:color w:val="auto"/>
          <w:highlight w:val="none"/>
        </w:rPr>
        <w:fldChar w:fldCharType="separate"/>
      </w:r>
      <w:r>
        <w:rPr>
          <w:rFonts w:ascii="宋体" w:hAnsi="宋体" w:eastAsia="宋体" w:cs="宋体"/>
          <w:color w:val="auto"/>
          <w:spacing w:val="1"/>
          <w:sz w:val="21"/>
          <w:szCs w:val="21"/>
          <w:highlight w:val="none"/>
        </w:rPr>
        <w:t>1.1.1.6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技术标准和要求：指构成合同</w:t>
      </w:r>
      <w:r>
        <w:rPr>
          <w:rFonts w:ascii="宋体" w:hAnsi="宋体" w:eastAsia="宋体" w:cs="宋体"/>
          <w:color w:val="auto"/>
          <w:sz w:val="21"/>
          <w:szCs w:val="21"/>
          <w:highlight w:val="none"/>
        </w:rPr>
        <w:t xml:space="preserve">文件组成部分的名为技术标准和要求的文件，包括合同 </w:t>
      </w:r>
      <w:r>
        <w:rPr>
          <w:rFonts w:ascii="宋体" w:hAnsi="宋体" w:eastAsia="宋体" w:cs="宋体"/>
          <w:color w:val="auto"/>
          <w:spacing w:val="-2"/>
          <w:sz w:val="21"/>
          <w:szCs w:val="21"/>
          <w:highlight w:val="none"/>
        </w:rPr>
        <w:t>双方当事人约定对其所作的修改或补充。</w:t>
      </w:r>
    </w:p>
    <w:p w14:paraId="03A11E47">
      <w:pPr>
        <w:spacing w:before="31" w:line="345" w:lineRule="auto"/>
        <w:ind w:left="17" w:right="1" w:firstLine="418"/>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"1.1.1.7" </w:instrText>
      </w:r>
      <w:r>
        <w:rPr>
          <w:color w:val="auto"/>
          <w:highlight w:val="none"/>
        </w:rPr>
        <w:fldChar w:fldCharType="separate"/>
      </w:r>
      <w:r>
        <w:rPr>
          <w:rFonts w:ascii="宋体" w:hAnsi="宋体" w:eastAsia="宋体" w:cs="宋体"/>
          <w:color w:val="auto"/>
          <w:sz w:val="21"/>
          <w:szCs w:val="21"/>
          <w:highlight w:val="none"/>
        </w:rPr>
        <w:t>1.1.1.7</w:t>
      </w:r>
      <w:r>
        <w:rPr>
          <w:rFonts w:ascii="宋体" w:hAnsi="宋体" w:eastAsia="宋体" w:cs="宋体"/>
          <w:color w:val="auto"/>
          <w:sz w:val="21"/>
          <w:szCs w:val="21"/>
          <w:highlight w:val="none"/>
        </w:rPr>
        <w:fldChar w:fldCharType="end"/>
      </w:r>
      <w:r>
        <w:rPr>
          <w:rFonts w:ascii="宋体" w:hAnsi="宋体" w:eastAsia="宋体" w:cs="宋体"/>
          <w:color w:val="auto"/>
          <w:spacing w:val="29"/>
          <w:sz w:val="21"/>
          <w:szCs w:val="21"/>
          <w:highlight w:val="none"/>
        </w:rPr>
        <w:t xml:space="preserve"> </w:t>
      </w:r>
      <w:r>
        <w:rPr>
          <w:rFonts w:ascii="宋体" w:hAnsi="宋体" w:eastAsia="宋体" w:cs="宋体"/>
          <w:color w:val="auto"/>
          <w:sz w:val="21"/>
          <w:szCs w:val="21"/>
          <w:highlight w:val="none"/>
        </w:rPr>
        <w:t>图纸：指包含在合同中的工程图纸，以及由发包人按合同约定</w:t>
      </w:r>
      <w:r>
        <w:rPr>
          <w:rFonts w:ascii="宋体" w:hAnsi="宋体" w:eastAsia="宋体" w:cs="宋体"/>
          <w:color w:val="auto"/>
          <w:spacing w:val="-1"/>
          <w:sz w:val="21"/>
          <w:szCs w:val="21"/>
          <w:highlight w:val="none"/>
        </w:rPr>
        <w:t>提供的任何补充和修改</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的图纸，包括配套的说明。</w:t>
      </w:r>
    </w:p>
    <w:p w14:paraId="69D3E95A">
      <w:pPr>
        <w:spacing w:before="30" w:line="347" w:lineRule="auto"/>
        <w:ind w:left="5" w:right="1" w:firstLine="430"/>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"1.1.1.8" </w:instrText>
      </w:r>
      <w:r>
        <w:rPr>
          <w:color w:val="auto"/>
          <w:highlight w:val="none"/>
        </w:rPr>
        <w:fldChar w:fldCharType="separate"/>
      </w:r>
      <w:r>
        <w:rPr>
          <w:rFonts w:ascii="宋体" w:hAnsi="宋体" w:eastAsia="宋体" w:cs="宋体"/>
          <w:color w:val="auto"/>
          <w:sz w:val="21"/>
          <w:szCs w:val="21"/>
          <w:highlight w:val="none"/>
        </w:rPr>
        <w:t>1.1.1.8</w:t>
      </w:r>
      <w:r>
        <w:rPr>
          <w:rFonts w:ascii="宋体" w:hAnsi="宋体" w:eastAsia="宋体" w:cs="宋体"/>
          <w:color w:val="auto"/>
          <w:sz w:val="21"/>
          <w:szCs w:val="21"/>
          <w:highlight w:val="none"/>
        </w:rPr>
        <w:fldChar w:fldCharType="end"/>
      </w:r>
      <w:r>
        <w:rPr>
          <w:rFonts w:ascii="宋体" w:hAnsi="宋体" w:eastAsia="宋体" w:cs="宋体"/>
          <w:color w:val="auto"/>
          <w:spacing w:val="32"/>
          <w:sz w:val="21"/>
          <w:szCs w:val="21"/>
          <w:highlight w:val="none"/>
        </w:rPr>
        <w:t xml:space="preserve"> </w:t>
      </w:r>
      <w:r>
        <w:rPr>
          <w:rFonts w:ascii="宋体" w:hAnsi="宋体" w:eastAsia="宋体" w:cs="宋体"/>
          <w:color w:val="auto"/>
          <w:sz w:val="21"/>
          <w:szCs w:val="21"/>
          <w:highlight w:val="none"/>
        </w:rPr>
        <w:t>已标价工程量清单：指构成合同文件组成部分的由承包</w:t>
      </w:r>
      <w:r>
        <w:rPr>
          <w:rFonts w:ascii="宋体" w:hAnsi="宋体" w:eastAsia="宋体" w:cs="宋体"/>
          <w:color w:val="auto"/>
          <w:spacing w:val="-1"/>
          <w:sz w:val="21"/>
          <w:szCs w:val="21"/>
          <w:highlight w:val="none"/>
        </w:rPr>
        <w:t>人按照规定的格式和要求填写</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并标明价格的工程量清单。</w:t>
      </w:r>
    </w:p>
    <w:p w14:paraId="3B9893D6">
      <w:pPr>
        <w:spacing w:before="30"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"1.1.1.9" </w:instrText>
      </w:r>
      <w:r>
        <w:rPr>
          <w:color w:val="auto"/>
          <w:highlight w:val="none"/>
        </w:rPr>
        <w:fldChar w:fldCharType="separate"/>
      </w:r>
      <w:r>
        <w:rPr>
          <w:rFonts w:ascii="宋体" w:hAnsi="宋体" w:eastAsia="宋体" w:cs="宋体"/>
          <w:color w:val="auto"/>
          <w:sz w:val="21"/>
          <w:szCs w:val="21"/>
          <w:highlight w:val="none"/>
        </w:rPr>
        <w:t>1.1.1.9</w:t>
      </w:r>
      <w:r>
        <w:rPr>
          <w:rFonts w:ascii="宋体" w:hAnsi="宋体" w:eastAsia="宋体" w:cs="宋体"/>
          <w:color w:val="auto"/>
          <w:sz w:val="21"/>
          <w:szCs w:val="21"/>
          <w:highlight w:val="none"/>
        </w:rPr>
        <w:fldChar w:fldCharType="end"/>
      </w:r>
      <w:r>
        <w:rPr>
          <w:rFonts w:ascii="宋体" w:hAnsi="宋体" w:eastAsia="宋体" w:cs="宋体"/>
          <w:color w:val="auto"/>
          <w:sz w:val="21"/>
          <w:szCs w:val="21"/>
          <w:highlight w:val="none"/>
        </w:rPr>
        <w:t xml:space="preserve"> 其他合同文件：指经合同双</w:t>
      </w:r>
      <w:r>
        <w:rPr>
          <w:rFonts w:ascii="宋体" w:hAnsi="宋体" w:eastAsia="宋体" w:cs="宋体"/>
          <w:color w:val="auto"/>
          <w:spacing w:val="-1"/>
          <w:sz w:val="21"/>
          <w:szCs w:val="21"/>
          <w:highlight w:val="none"/>
        </w:rPr>
        <w:t>方当事人确认构成合同文件的其他文件。</w:t>
      </w:r>
    </w:p>
    <w:p w14:paraId="692967BA">
      <w:pPr>
        <w:spacing w:before="157" w:line="221"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1.1.2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合同当事人和人员</w:t>
      </w:r>
    </w:p>
    <w:p w14:paraId="7AAD7823">
      <w:pPr>
        <w:spacing w:before="156"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"1.1.2.1" </w:instrText>
      </w:r>
      <w:r>
        <w:rPr>
          <w:color w:val="auto"/>
          <w:highlight w:val="none"/>
        </w:rPr>
        <w:fldChar w:fldCharType="separate"/>
      </w:r>
      <w:r>
        <w:rPr>
          <w:rFonts w:ascii="宋体" w:hAnsi="宋体" w:eastAsia="宋体" w:cs="宋体"/>
          <w:color w:val="auto"/>
          <w:spacing w:val="-1"/>
          <w:sz w:val="21"/>
          <w:szCs w:val="21"/>
          <w:highlight w:val="none"/>
        </w:rPr>
        <w:t>1.1.2.1</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合同当事人:指发包人和（或）承包人。</w:t>
      </w:r>
    </w:p>
    <w:p w14:paraId="6977684C">
      <w:pPr>
        <w:spacing w:before="157" w:line="347" w:lineRule="auto"/>
        <w:ind w:left="435" w:right="908"/>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"1.1.2.2" </w:instrText>
      </w:r>
      <w:r>
        <w:rPr>
          <w:color w:val="auto"/>
          <w:highlight w:val="none"/>
        </w:rPr>
        <w:fldChar w:fldCharType="separate"/>
      </w:r>
      <w:r>
        <w:rPr>
          <w:rFonts w:ascii="宋体" w:hAnsi="宋体" w:eastAsia="宋体" w:cs="宋体"/>
          <w:color w:val="auto"/>
          <w:spacing w:val="-1"/>
          <w:sz w:val="21"/>
          <w:szCs w:val="21"/>
          <w:highlight w:val="none"/>
        </w:rPr>
        <w:t>1.1.2.2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发包人：指专用合同条款中指明并与承包人在合同协议书中</w:t>
      </w:r>
      <w:r>
        <w:rPr>
          <w:rFonts w:ascii="宋体" w:hAnsi="宋体" w:eastAsia="宋体" w:cs="宋体"/>
          <w:color w:val="auto"/>
          <w:spacing w:val="-2"/>
          <w:sz w:val="21"/>
          <w:szCs w:val="21"/>
          <w:highlight w:val="none"/>
        </w:rPr>
        <w:t>签字的当事人。</w:t>
      </w:r>
      <w:r>
        <w:rPr>
          <w:rFonts w:ascii="宋体" w:hAnsi="宋体" w:eastAsia="宋体" w:cs="宋体"/>
          <w:color w:val="auto"/>
          <w:sz w:val="21"/>
          <w:szCs w:val="21"/>
          <w:highlight w:val="none"/>
        </w:rPr>
        <w:t xml:space="preserve"> </w:t>
      </w:r>
      <w:r>
        <w:rPr>
          <w:color w:val="auto"/>
          <w:highlight w:val="none"/>
        </w:rPr>
        <w:fldChar w:fldCharType="begin"/>
      </w:r>
      <w:r>
        <w:rPr>
          <w:color w:val="auto"/>
          <w:highlight w:val="none"/>
        </w:rPr>
        <w:instrText xml:space="preserve"> HYPERLINK "1.1.2.3" </w:instrText>
      </w:r>
      <w:r>
        <w:rPr>
          <w:color w:val="auto"/>
          <w:highlight w:val="none"/>
        </w:rPr>
        <w:fldChar w:fldCharType="separate"/>
      </w:r>
      <w:r>
        <w:rPr>
          <w:rFonts w:ascii="宋体" w:hAnsi="宋体" w:eastAsia="宋体" w:cs="宋体"/>
          <w:color w:val="auto"/>
          <w:spacing w:val="-1"/>
          <w:sz w:val="21"/>
          <w:szCs w:val="21"/>
          <w:highlight w:val="none"/>
        </w:rPr>
        <w:t>1.1.2.3</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承包人：指与发包人签订</w:t>
      </w:r>
      <w:r>
        <w:rPr>
          <w:rFonts w:ascii="宋体" w:hAnsi="宋体" w:eastAsia="宋体" w:cs="宋体"/>
          <w:color w:val="auto"/>
          <w:spacing w:val="-2"/>
          <w:sz w:val="21"/>
          <w:szCs w:val="21"/>
          <w:highlight w:val="none"/>
        </w:rPr>
        <w:t>合同协议书的当事人。</w:t>
      </w:r>
    </w:p>
    <w:p w14:paraId="1761E5AA">
      <w:pPr>
        <w:spacing w:before="29"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"1.1.2.4" </w:instrText>
      </w:r>
      <w:r>
        <w:rPr>
          <w:color w:val="auto"/>
          <w:highlight w:val="none"/>
        </w:rPr>
        <w:fldChar w:fldCharType="separate"/>
      </w:r>
      <w:r>
        <w:rPr>
          <w:rFonts w:ascii="宋体" w:hAnsi="宋体" w:eastAsia="宋体" w:cs="宋体"/>
          <w:color w:val="auto"/>
          <w:spacing w:val="-1"/>
          <w:sz w:val="21"/>
          <w:szCs w:val="21"/>
          <w:highlight w:val="none"/>
        </w:rPr>
        <w:t>1.1.2.4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承包人项目经理：指承包人派驻施工场地的全权负责人。</w:t>
      </w:r>
    </w:p>
    <w:p w14:paraId="2BCE9702">
      <w:pPr>
        <w:spacing w:before="156"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"1.1.2.5" </w:instrText>
      </w:r>
      <w:r>
        <w:rPr>
          <w:color w:val="auto"/>
          <w:highlight w:val="none"/>
        </w:rPr>
        <w:fldChar w:fldCharType="separate"/>
      </w:r>
      <w:r>
        <w:rPr>
          <w:rFonts w:ascii="宋体" w:hAnsi="宋体" w:eastAsia="宋体" w:cs="宋体"/>
          <w:color w:val="auto"/>
          <w:spacing w:val="-1"/>
          <w:sz w:val="21"/>
          <w:szCs w:val="21"/>
          <w:highlight w:val="none"/>
        </w:rPr>
        <w:t>1.1.2.5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分包人：指从承包人处分包合同中某一部分工程，并与其签订分包合同的分包人。</w:t>
      </w:r>
    </w:p>
    <w:p w14:paraId="14F752CB">
      <w:pPr>
        <w:spacing w:before="157" w:line="348" w:lineRule="auto"/>
        <w:ind w:right="1"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"1.1.2.6" </w:instrText>
      </w:r>
      <w:r>
        <w:rPr>
          <w:color w:val="auto"/>
          <w:highlight w:val="none"/>
        </w:rPr>
        <w:fldChar w:fldCharType="separate"/>
      </w:r>
      <w:r>
        <w:rPr>
          <w:rFonts w:ascii="宋体" w:hAnsi="宋体" w:eastAsia="宋体" w:cs="宋体"/>
          <w:color w:val="auto"/>
          <w:spacing w:val="1"/>
          <w:sz w:val="21"/>
          <w:szCs w:val="21"/>
          <w:highlight w:val="none"/>
        </w:rPr>
        <w:t>1.1.2.6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监理人：指在专用合同条</w:t>
      </w:r>
      <w:r>
        <w:rPr>
          <w:rFonts w:ascii="宋体" w:hAnsi="宋体" w:eastAsia="宋体" w:cs="宋体"/>
          <w:color w:val="auto"/>
          <w:sz w:val="21"/>
          <w:szCs w:val="21"/>
          <w:highlight w:val="none"/>
        </w:rPr>
        <w:t xml:space="preserve">款中指明的，受发包人委托对合同履行实施管理的法人或其 </w:t>
      </w:r>
      <w:r>
        <w:rPr>
          <w:rFonts w:ascii="宋体" w:hAnsi="宋体" w:eastAsia="宋体" w:cs="宋体"/>
          <w:color w:val="auto"/>
          <w:spacing w:val="-2"/>
          <w:sz w:val="21"/>
          <w:szCs w:val="21"/>
          <w:highlight w:val="none"/>
        </w:rPr>
        <w:t>他组织。</w:t>
      </w:r>
    </w:p>
    <w:p w14:paraId="17C2BAEF">
      <w:pPr>
        <w:spacing w:before="27" w:line="347" w:lineRule="auto"/>
        <w:ind w:left="1"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"1.1.2.7" </w:instrText>
      </w:r>
      <w:r>
        <w:rPr>
          <w:color w:val="auto"/>
          <w:highlight w:val="none"/>
        </w:rPr>
        <w:fldChar w:fldCharType="separate"/>
      </w:r>
      <w:r>
        <w:rPr>
          <w:rFonts w:ascii="宋体" w:hAnsi="宋体" w:eastAsia="宋体" w:cs="宋体"/>
          <w:color w:val="auto"/>
          <w:spacing w:val="-3"/>
          <w:sz w:val="21"/>
          <w:szCs w:val="21"/>
          <w:highlight w:val="none"/>
        </w:rPr>
        <w:t>1.1.2.7</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总监理工程师（总监</w:t>
      </w:r>
      <w:r>
        <w:rPr>
          <w:rFonts w:ascii="宋体" w:hAnsi="宋体" w:eastAsia="宋体" w:cs="宋体"/>
          <w:color w:val="auto"/>
          <w:spacing w:val="-20"/>
          <w:sz w:val="21"/>
          <w:szCs w:val="21"/>
          <w:highlight w:val="none"/>
        </w:rPr>
        <w:t>）：</w:t>
      </w:r>
      <w:r>
        <w:rPr>
          <w:rFonts w:ascii="宋体" w:hAnsi="宋体" w:eastAsia="宋体" w:cs="宋体"/>
          <w:color w:val="auto"/>
          <w:spacing w:val="-3"/>
          <w:sz w:val="21"/>
          <w:szCs w:val="21"/>
          <w:highlight w:val="none"/>
        </w:rPr>
        <w:t>指由监理人委派常驻</w:t>
      </w:r>
      <w:r>
        <w:rPr>
          <w:rFonts w:ascii="宋体" w:hAnsi="宋体" w:eastAsia="宋体" w:cs="宋体"/>
          <w:color w:val="auto"/>
          <w:spacing w:val="-4"/>
          <w:sz w:val="21"/>
          <w:szCs w:val="21"/>
          <w:highlight w:val="none"/>
        </w:rPr>
        <w:t>施工场地对合同履行实施管理的全权负责</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人。</w:t>
      </w:r>
    </w:p>
    <w:p w14:paraId="3B10D175">
      <w:pPr>
        <w:spacing w:before="28" w:line="221"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1.1.3</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工程和设备</w:t>
      </w:r>
    </w:p>
    <w:p w14:paraId="50600695">
      <w:pPr>
        <w:spacing w:before="156"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"1.1.3.1" </w:instrText>
      </w:r>
      <w:r>
        <w:rPr>
          <w:color w:val="auto"/>
          <w:highlight w:val="none"/>
        </w:rPr>
        <w:fldChar w:fldCharType="separate"/>
      </w:r>
      <w:r>
        <w:rPr>
          <w:rFonts w:ascii="宋体" w:hAnsi="宋体" w:eastAsia="宋体" w:cs="宋体"/>
          <w:color w:val="auto"/>
          <w:spacing w:val="-3"/>
          <w:sz w:val="21"/>
          <w:szCs w:val="21"/>
          <w:highlight w:val="none"/>
        </w:rPr>
        <w:t>1.1.3.1</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工程：指永久工程和（或）</w:t>
      </w:r>
      <w:r>
        <w:rPr>
          <w:rFonts w:ascii="宋体" w:hAnsi="宋体" w:eastAsia="宋体" w:cs="宋体"/>
          <w:color w:val="auto"/>
          <w:spacing w:val="-50"/>
          <w:sz w:val="21"/>
          <w:szCs w:val="21"/>
          <w:highlight w:val="none"/>
        </w:rPr>
        <w:t xml:space="preserve"> </w:t>
      </w:r>
      <w:r>
        <w:rPr>
          <w:rFonts w:ascii="宋体" w:hAnsi="宋体" w:eastAsia="宋体" w:cs="宋体"/>
          <w:color w:val="auto"/>
          <w:spacing w:val="-3"/>
          <w:sz w:val="21"/>
          <w:szCs w:val="21"/>
          <w:highlight w:val="none"/>
        </w:rPr>
        <w:t>临时工程。</w:t>
      </w:r>
    </w:p>
    <w:p w14:paraId="52E0678D">
      <w:pPr>
        <w:spacing w:before="159"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"1.1.3.2" </w:instrText>
      </w:r>
      <w:r>
        <w:rPr>
          <w:color w:val="auto"/>
          <w:highlight w:val="none"/>
        </w:rPr>
        <w:fldChar w:fldCharType="separate"/>
      </w:r>
      <w:r>
        <w:rPr>
          <w:rFonts w:ascii="宋体" w:hAnsi="宋体" w:eastAsia="宋体" w:cs="宋体"/>
          <w:color w:val="auto"/>
          <w:spacing w:val="-1"/>
          <w:sz w:val="21"/>
          <w:szCs w:val="21"/>
          <w:highlight w:val="none"/>
        </w:rPr>
        <w:t>1.1.3.2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永久工程：指按合同约定建造并移交给发包人的工程，包括工程设备。</w:t>
      </w:r>
    </w:p>
    <w:p w14:paraId="41D7C7EA">
      <w:pPr>
        <w:spacing w:before="156" w:line="221" w:lineRule="auto"/>
        <w:ind w:right="1"/>
        <w:jc w:val="right"/>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"1.1.3.3" </w:instrText>
      </w:r>
      <w:r>
        <w:rPr>
          <w:color w:val="auto"/>
          <w:highlight w:val="none"/>
        </w:rPr>
        <w:fldChar w:fldCharType="separate"/>
      </w:r>
      <w:r>
        <w:rPr>
          <w:rFonts w:ascii="宋体" w:hAnsi="宋体" w:eastAsia="宋体" w:cs="宋体"/>
          <w:color w:val="auto"/>
          <w:spacing w:val="-4"/>
          <w:sz w:val="21"/>
          <w:szCs w:val="21"/>
          <w:highlight w:val="none"/>
        </w:rPr>
        <w:t>1.1.3.3</w:t>
      </w:r>
      <w:r>
        <w:rPr>
          <w:rFonts w:ascii="宋体" w:hAnsi="宋体" w:eastAsia="宋体" w:cs="宋体"/>
          <w:color w:val="auto"/>
          <w:spacing w:val="-4"/>
          <w:sz w:val="21"/>
          <w:szCs w:val="21"/>
          <w:highlight w:val="none"/>
        </w:rPr>
        <w:fldChar w:fldCharType="end"/>
      </w:r>
      <w:r>
        <w:rPr>
          <w:rFonts w:ascii="宋体" w:hAnsi="宋体" w:eastAsia="宋体" w:cs="宋体"/>
          <w:color w:val="auto"/>
          <w:spacing w:val="-4"/>
          <w:sz w:val="21"/>
          <w:szCs w:val="21"/>
          <w:highlight w:val="none"/>
        </w:rPr>
        <w:t xml:space="preserve"> 临时工程：指为完成合同约定的永久工程所修建的各类临时性工程，不</w:t>
      </w:r>
      <w:r>
        <w:rPr>
          <w:rFonts w:ascii="宋体" w:hAnsi="宋体" w:eastAsia="宋体" w:cs="宋体"/>
          <w:color w:val="auto"/>
          <w:spacing w:val="-5"/>
          <w:sz w:val="21"/>
          <w:szCs w:val="21"/>
          <w:highlight w:val="none"/>
        </w:rPr>
        <w:t>包括施工设备。</w:t>
      </w:r>
    </w:p>
    <w:p w14:paraId="435D39B7">
      <w:pPr>
        <w:spacing w:before="41" w:line="221"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"1.1.3.4" </w:instrText>
      </w:r>
      <w:r>
        <w:rPr>
          <w:color w:val="auto"/>
          <w:highlight w:val="none"/>
        </w:rPr>
        <w:fldChar w:fldCharType="separate"/>
      </w:r>
      <w:r>
        <w:rPr>
          <w:rFonts w:ascii="宋体" w:hAnsi="宋体" w:eastAsia="宋体" w:cs="宋体"/>
          <w:color w:val="auto"/>
          <w:spacing w:val="-1"/>
          <w:sz w:val="21"/>
          <w:szCs w:val="21"/>
          <w:highlight w:val="none"/>
        </w:rPr>
        <w:t>1.1.3.4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单位工程：指专用合同条款中指明特定范围的永久工程。</w:t>
      </w:r>
    </w:p>
    <w:p w14:paraId="26226702">
      <w:pPr>
        <w:spacing w:before="157" w:line="345" w:lineRule="auto"/>
        <w:ind w:right="60" w:firstLine="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"1.1.3.5" </w:instrText>
      </w:r>
      <w:r>
        <w:rPr>
          <w:color w:val="auto"/>
          <w:highlight w:val="none"/>
        </w:rPr>
        <w:fldChar w:fldCharType="separate"/>
      </w:r>
      <w:r>
        <w:rPr>
          <w:rFonts w:ascii="宋体" w:hAnsi="宋体" w:eastAsia="宋体" w:cs="宋体"/>
          <w:color w:val="auto"/>
          <w:spacing w:val="1"/>
          <w:sz w:val="21"/>
          <w:szCs w:val="21"/>
          <w:highlight w:val="none"/>
        </w:rPr>
        <w:t>1.1.3.5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工程设备：指构成或计划</w:t>
      </w:r>
      <w:r>
        <w:rPr>
          <w:rFonts w:ascii="宋体" w:hAnsi="宋体" w:eastAsia="宋体" w:cs="宋体"/>
          <w:color w:val="auto"/>
          <w:sz w:val="21"/>
          <w:szCs w:val="21"/>
          <w:highlight w:val="none"/>
        </w:rPr>
        <w:t xml:space="preserve">构成永久工程一部分的机电设备、金属结构设备、仪器装置 </w:t>
      </w:r>
      <w:r>
        <w:rPr>
          <w:rFonts w:ascii="宋体" w:hAnsi="宋体" w:eastAsia="宋体" w:cs="宋体"/>
          <w:color w:val="auto"/>
          <w:spacing w:val="-1"/>
          <w:sz w:val="21"/>
          <w:szCs w:val="21"/>
          <w:highlight w:val="none"/>
        </w:rPr>
        <w:t>及其他类似的设备和装置。</w:t>
      </w:r>
    </w:p>
    <w:p w14:paraId="0BFE583F">
      <w:pPr>
        <w:spacing w:before="30" w:line="347" w:lineRule="auto"/>
        <w:ind w:left="3" w:right="60"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"1.1.3.6" </w:instrText>
      </w:r>
      <w:r>
        <w:rPr>
          <w:color w:val="auto"/>
          <w:highlight w:val="none"/>
        </w:rPr>
        <w:fldChar w:fldCharType="separate"/>
      </w:r>
      <w:r>
        <w:rPr>
          <w:rFonts w:ascii="宋体" w:hAnsi="宋体" w:eastAsia="宋体" w:cs="宋体"/>
          <w:color w:val="auto"/>
          <w:spacing w:val="1"/>
          <w:sz w:val="21"/>
          <w:szCs w:val="21"/>
          <w:highlight w:val="none"/>
        </w:rPr>
        <w:t>1.1.3.6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施工设备：指为完成合同</w:t>
      </w:r>
      <w:r>
        <w:rPr>
          <w:rFonts w:ascii="宋体" w:hAnsi="宋体" w:eastAsia="宋体" w:cs="宋体"/>
          <w:color w:val="auto"/>
          <w:sz w:val="21"/>
          <w:szCs w:val="21"/>
          <w:highlight w:val="none"/>
        </w:rPr>
        <w:t xml:space="preserve">约定的各项工作所需的设备、器具和其他物品，不包括临时 </w:t>
      </w:r>
      <w:r>
        <w:rPr>
          <w:rFonts w:ascii="宋体" w:hAnsi="宋体" w:eastAsia="宋体" w:cs="宋体"/>
          <w:color w:val="auto"/>
          <w:spacing w:val="-2"/>
          <w:sz w:val="21"/>
          <w:szCs w:val="21"/>
          <w:highlight w:val="none"/>
        </w:rPr>
        <w:t>工程和材料。</w:t>
      </w:r>
    </w:p>
    <w:p w14:paraId="476DF4E7">
      <w:pPr>
        <w:spacing w:before="29" w:line="345" w:lineRule="auto"/>
        <w:ind w:left="436" w:right="968"/>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"1.1.3.7" </w:instrText>
      </w:r>
      <w:r>
        <w:rPr>
          <w:color w:val="auto"/>
          <w:highlight w:val="none"/>
        </w:rPr>
        <w:fldChar w:fldCharType="separate"/>
      </w:r>
      <w:r>
        <w:rPr>
          <w:rFonts w:ascii="宋体" w:hAnsi="宋体" w:eastAsia="宋体" w:cs="宋体"/>
          <w:color w:val="auto"/>
          <w:spacing w:val="-1"/>
          <w:sz w:val="21"/>
          <w:szCs w:val="21"/>
          <w:highlight w:val="none"/>
        </w:rPr>
        <w:t>1.1.3.7</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临时设施：指为完成合同约定的各项工作所服务的临时性</w:t>
      </w:r>
      <w:r>
        <w:rPr>
          <w:rFonts w:ascii="宋体" w:hAnsi="宋体" w:eastAsia="宋体" w:cs="宋体"/>
          <w:color w:val="auto"/>
          <w:spacing w:val="-2"/>
          <w:sz w:val="21"/>
          <w:szCs w:val="21"/>
          <w:highlight w:val="none"/>
        </w:rPr>
        <w:t>生产和生活设施。</w:t>
      </w:r>
      <w:r>
        <w:rPr>
          <w:rFonts w:ascii="宋体" w:hAnsi="宋体" w:eastAsia="宋体" w:cs="宋体"/>
          <w:color w:val="auto"/>
          <w:sz w:val="21"/>
          <w:szCs w:val="21"/>
          <w:highlight w:val="none"/>
        </w:rPr>
        <w:t xml:space="preserve"> </w:t>
      </w:r>
      <w:r>
        <w:rPr>
          <w:color w:val="auto"/>
          <w:highlight w:val="none"/>
        </w:rPr>
        <w:fldChar w:fldCharType="begin"/>
      </w:r>
      <w:r>
        <w:rPr>
          <w:color w:val="auto"/>
          <w:highlight w:val="none"/>
        </w:rPr>
        <w:instrText xml:space="preserve"> HYPERLINK "1.1.3.8" </w:instrText>
      </w:r>
      <w:r>
        <w:rPr>
          <w:color w:val="auto"/>
          <w:highlight w:val="none"/>
        </w:rPr>
        <w:fldChar w:fldCharType="separate"/>
      </w:r>
      <w:r>
        <w:rPr>
          <w:rFonts w:ascii="宋体" w:hAnsi="宋体" w:eastAsia="宋体" w:cs="宋体"/>
          <w:color w:val="auto"/>
          <w:spacing w:val="-2"/>
          <w:sz w:val="21"/>
          <w:szCs w:val="21"/>
          <w:highlight w:val="none"/>
        </w:rPr>
        <w:t>1.1.3.8</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承包人设备：指承包人自带的施工设备。</w:t>
      </w:r>
    </w:p>
    <w:p w14:paraId="264CC29B">
      <w:pPr>
        <w:spacing w:before="32" w:line="347" w:lineRule="auto"/>
        <w:ind w:left="3" w:right="60"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"1.1.3.9" </w:instrText>
      </w:r>
      <w:r>
        <w:rPr>
          <w:color w:val="auto"/>
          <w:highlight w:val="none"/>
        </w:rPr>
        <w:fldChar w:fldCharType="separate"/>
      </w:r>
      <w:r>
        <w:rPr>
          <w:rFonts w:ascii="宋体" w:hAnsi="宋体" w:eastAsia="宋体" w:cs="宋体"/>
          <w:color w:val="auto"/>
          <w:spacing w:val="-4"/>
          <w:sz w:val="21"/>
          <w:szCs w:val="21"/>
          <w:highlight w:val="none"/>
        </w:rPr>
        <w:t>1.1.3.9</w:t>
      </w:r>
      <w:r>
        <w:rPr>
          <w:rFonts w:ascii="宋体" w:hAnsi="宋体" w:eastAsia="宋体" w:cs="宋体"/>
          <w:color w:val="auto"/>
          <w:spacing w:val="-4"/>
          <w:sz w:val="21"/>
          <w:szCs w:val="21"/>
          <w:highlight w:val="none"/>
        </w:rPr>
        <w:fldChar w:fldCharType="end"/>
      </w:r>
      <w:r>
        <w:rPr>
          <w:rFonts w:ascii="宋体" w:hAnsi="宋体" w:eastAsia="宋体" w:cs="宋体"/>
          <w:color w:val="auto"/>
          <w:spacing w:val="-4"/>
          <w:sz w:val="21"/>
          <w:szCs w:val="21"/>
          <w:highlight w:val="none"/>
        </w:rPr>
        <w:t xml:space="preserve"> 施工场地（或称工地、现场</w:t>
      </w:r>
      <w:r>
        <w:rPr>
          <w:rFonts w:ascii="宋体" w:hAnsi="宋体" w:eastAsia="宋体" w:cs="宋体"/>
          <w:color w:val="auto"/>
          <w:spacing w:val="3"/>
          <w:sz w:val="21"/>
          <w:szCs w:val="21"/>
          <w:highlight w:val="none"/>
        </w:rPr>
        <w:t>）：</w:t>
      </w:r>
      <w:r>
        <w:rPr>
          <w:rFonts w:ascii="宋体" w:hAnsi="宋体" w:eastAsia="宋体" w:cs="宋体"/>
          <w:color w:val="auto"/>
          <w:spacing w:val="-4"/>
          <w:sz w:val="21"/>
          <w:szCs w:val="21"/>
          <w:highlight w:val="none"/>
        </w:rPr>
        <w:t>指用于</w:t>
      </w:r>
      <w:r>
        <w:rPr>
          <w:rFonts w:ascii="宋体" w:hAnsi="宋体" w:eastAsia="宋体" w:cs="宋体"/>
          <w:color w:val="auto"/>
          <w:spacing w:val="-5"/>
          <w:sz w:val="21"/>
          <w:szCs w:val="21"/>
          <w:highlight w:val="none"/>
        </w:rPr>
        <w:t>合同工程施工的场所，以及在合同中指定作为施</w:t>
      </w:r>
      <w:r>
        <w:rPr>
          <w:rFonts w:ascii="宋体" w:hAnsi="宋体" w:eastAsia="宋体" w:cs="宋体"/>
          <w:color w:val="auto"/>
          <w:spacing w:val="1"/>
          <w:sz w:val="21"/>
          <w:szCs w:val="21"/>
          <w:highlight w:val="none"/>
        </w:rPr>
        <w:t xml:space="preserve"> </w:t>
      </w:r>
      <w:r>
        <w:rPr>
          <w:rFonts w:ascii="宋体" w:hAnsi="宋体" w:eastAsia="宋体" w:cs="宋体"/>
          <w:color w:val="auto"/>
          <w:spacing w:val="-1"/>
          <w:sz w:val="21"/>
          <w:szCs w:val="21"/>
          <w:highlight w:val="none"/>
        </w:rPr>
        <w:t>工场地组成部分的其他场所，包括永久占地和临时占地。</w:t>
      </w:r>
    </w:p>
    <w:p w14:paraId="0B2E91EA">
      <w:pPr>
        <w:spacing w:before="27" w:line="346" w:lineRule="auto"/>
        <w:ind w:left="436" w:right="128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"1.1.3.10" </w:instrText>
      </w:r>
      <w:r>
        <w:rPr>
          <w:color w:val="auto"/>
          <w:highlight w:val="none"/>
        </w:rPr>
        <w:fldChar w:fldCharType="separate"/>
      </w:r>
      <w:r>
        <w:rPr>
          <w:rFonts w:ascii="宋体" w:hAnsi="宋体" w:eastAsia="宋体" w:cs="宋体"/>
          <w:color w:val="auto"/>
          <w:spacing w:val="-1"/>
          <w:sz w:val="21"/>
          <w:szCs w:val="21"/>
          <w:highlight w:val="none"/>
        </w:rPr>
        <w:t>1.1.3.10</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永久占地：指专用合同条款中指明为实施合同</w:t>
      </w:r>
      <w:r>
        <w:rPr>
          <w:rFonts w:ascii="宋体" w:hAnsi="宋体" w:eastAsia="宋体" w:cs="宋体"/>
          <w:color w:val="auto"/>
          <w:spacing w:val="-2"/>
          <w:sz w:val="21"/>
          <w:szCs w:val="21"/>
          <w:highlight w:val="none"/>
        </w:rPr>
        <w:t>工程需永久占用的土地。</w:t>
      </w:r>
      <w:r>
        <w:rPr>
          <w:rFonts w:ascii="宋体" w:hAnsi="宋体" w:eastAsia="宋体" w:cs="宋体"/>
          <w:color w:val="auto"/>
          <w:sz w:val="21"/>
          <w:szCs w:val="21"/>
          <w:highlight w:val="none"/>
        </w:rPr>
        <w:t xml:space="preserve"> </w:t>
      </w:r>
      <w:r>
        <w:rPr>
          <w:color w:val="auto"/>
          <w:highlight w:val="none"/>
        </w:rPr>
        <w:fldChar w:fldCharType="begin"/>
      </w:r>
      <w:r>
        <w:rPr>
          <w:color w:val="auto"/>
          <w:highlight w:val="none"/>
        </w:rPr>
        <w:instrText xml:space="preserve"> HYPERLINK "1.1.3.11" </w:instrText>
      </w:r>
      <w:r>
        <w:rPr>
          <w:color w:val="auto"/>
          <w:highlight w:val="none"/>
        </w:rPr>
        <w:fldChar w:fldCharType="separate"/>
      </w:r>
      <w:r>
        <w:rPr>
          <w:rFonts w:ascii="宋体" w:hAnsi="宋体" w:eastAsia="宋体" w:cs="宋体"/>
          <w:color w:val="auto"/>
          <w:spacing w:val="-1"/>
          <w:sz w:val="21"/>
          <w:szCs w:val="21"/>
          <w:highlight w:val="none"/>
        </w:rPr>
        <w:t>1.1.3.11</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临时占地：指专用合同条款中指明为实施合同</w:t>
      </w:r>
      <w:r>
        <w:rPr>
          <w:rFonts w:ascii="宋体" w:hAnsi="宋体" w:eastAsia="宋体" w:cs="宋体"/>
          <w:color w:val="auto"/>
          <w:spacing w:val="-2"/>
          <w:sz w:val="21"/>
          <w:szCs w:val="21"/>
          <w:highlight w:val="none"/>
        </w:rPr>
        <w:t>工程需临时占用的土地。</w:t>
      </w:r>
    </w:p>
    <w:p w14:paraId="0188A2FD">
      <w:pPr>
        <w:spacing w:before="31"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9"/>
          <w:sz w:val="21"/>
          <w:szCs w:val="21"/>
          <w:highlight w:val="none"/>
        </w:rPr>
        <w:t>1.1.4</w:t>
      </w:r>
      <w:r>
        <w:rPr>
          <w:rFonts w:ascii="宋体" w:hAnsi="宋体" w:eastAsia="宋体" w:cs="宋体"/>
          <w:color w:val="auto"/>
          <w:spacing w:val="49"/>
          <w:sz w:val="21"/>
          <w:szCs w:val="21"/>
          <w:highlight w:val="none"/>
        </w:rPr>
        <w:t xml:space="preserve"> </w:t>
      </w:r>
      <w:r>
        <w:rPr>
          <w:rFonts w:ascii="宋体" w:hAnsi="宋体" w:eastAsia="宋体" w:cs="宋体"/>
          <w:b/>
          <w:bCs/>
          <w:color w:val="auto"/>
          <w:spacing w:val="-9"/>
          <w:sz w:val="21"/>
          <w:szCs w:val="21"/>
          <w:highlight w:val="none"/>
        </w:rPr>
        <w:t>日期</w:t>
      </w:r>
    </w:p>
    <w:p w14:paraId="306D9D4A">
      <w:pPr>
        <w:spacing w:before="156" w:line="221"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"1.1.4.1" </w:instrText>
      </w:r>
      <w:r>
        <w:rPr>
          <w:color w:val="auto"/>
          <w:highlight w:val="none"/>
        </w:rPr>
        <w:fldChar w:fldCharType="separate"/>
      </w:r>
      <w:r>
        <w:rPr>
          <w:rFonts w:ascii="宋体" w:hAnsi="宋体" w:eastAsia="宋体" w:cs="宋体"/>
          <w:color w:val="auto"/>
          <w:spacing w:val="-2"/>
          <w:sz w:val="21"/>
          <w:szCs w:val="21"/>
          <w:highlight w:val="none"/>
        </w:rPr>
        <w:t>1.1.4.1</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开工通知：指监理人按第</w:t>
      </w:r>
      <w:r>
        <w:rPr>
          <w:rFonts w:ascii="宋体" w:hAnsi="宋体" w:eastAsia="宋体" w:cs="宋体"/>
          <w:color w:val="auto"/>
          <w:spacing w:val="-25"/>
          <w:sz w:val="21"/>
          <w:szCs w:val="21"/>
          <w:highlight w:val="none"/>
        </w:rPr>
        <w:t xml:space="preserve"> </w:t>
      </w:r>
      <w:r>
        <w:rPr>
          <w:rFonts w:ascii="宋体" w:hAnsi="宋体" w:eastAsia="宋体" w:cs="宋体"/>
          <w:color w:val="auto"/>
          <w:spacing w:val="-2"/>
          <w:sz w:val="21"/>
          <w:szCs w:val="21"/>
          <w:highlight w:val="none"/>
        </w:rPr>
        <w:t>11.1</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款通知承包人开工的函件。</w:t>
      </w:r>
    </w:p>
    <w:p w14:paraId="7BBD2128">
      <w:pPr>
        <w:spacing w:before="159" w:line="221"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"1.1.4.2" </w:instrText>
      </w:r>
      <w:r>
        <w:rPr>
          <w:color w:val="auto"/>
          <w:highlight w:val="none"/>
        </w:rPr>
        <w:fldChar w:fldCharType="separate"/>
      </w:r>
      <w:r>
        <w:rPr>
          <w:rFonts w:ascii="宋体" w:hAnsi="宋体" w:eastAsia="宋体" w:cs="宋体"/>
          <w:color w:val="auto"/>
          <w:spacing w:val="-1"/>
          <w:sz w:val="21"/>
          <w:szCs w:val="21"/>
          <w:highlight w:val="none"/>
        </w:rPr>
        <w:t>1.1.4.2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开工日期：指监理人按第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1"/>
          <w:sz w:val="21"/>
          <w:szCs w:val="21"/>
          <w:highlight w:val="none"/>
        </w:rPr>
        <w:t>11.1</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款发出的开工</w:t>
      </w:r>
      <w:r>
        <w:rPr>
          <w:rFonts w:ascii="宋体" w:hAnsi="宋体" w:eastAsia="宋体" w:cs="宋体"/>
          <w:color w:val="auto"/>
          <w:spacing w:val="-2"/>
          <w:sz w:val="21"/>
          <w:szCs w:val="21"/>
          <w:highlight w:val="none"/>
        </w:rPr>
        <w:t>通知中写明的开工日期。</w:t>
      </w:r>
    </w:p>
    <w:p w14:paraId="3E47A3BB">
      <w:pPr>
        <w:spacing w:before="157" w:line="345" w:lineRule="auto"/>
        <w:ind w:left="1" w:right="61" w:firstLine="434"/>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"1.1.4.3" </w:instrText>
      </w:r>
      <w:r>
        <w:rPr>
          <w:color w:val="auto"/>
          <w:highlight w:val="none"/>
        </w:rPr>
        <w:fldChar w:fldCharType="separate"/>
      </w:r>
      <w:r>
        <w:rPr>
          <w:rFonts w:ascii="宋体" w:hAnsi="宋体" w:eastAsia="宋体" w:cs="宋体"/>
          <w:color w:val="auto"/>
          <w:spacing w:val="-7"/>
          <w:sz w:val="21"/>
          <w:szCs w:val="21"/>
          <w:highlight w:val="none"/>
        </w:rPr>
        <w:t>1.1.4.3</w:t>
      </w:r>
      <w:r>
        <w:rPr>
          <w:rFonts w:ascii="宋体" w:hAnsi="宋体" w:eastAsia="宋体" w:cs="宋体"/>
          <w:color w:val="auto"/>
          <w:spacing w:val="-7"/>
          <w:sz w:val="21"/>
          <w:szCs w:val="21"/>
          <w:highlight w:val="none"/>
        </w:rPr>
        <w:fldChar w:fldCharType="end"/>
      </w:r>
      <w:r>
        <w:rPr>
          <w:rFonts w:ascii="宋体" w:hAnsi="宋体" w:eastAsia="宋体" w:cs="宋体"/>
          <w:color w:val="auto"/>
          <w:spacing w:val="-41"/>
          <w:sz w:val="21"/>
          <w:szCs w:val="21"/>
          <w:highlight w:val="none"/>
        </w:rPr>
        <w:t xml:space="preserve"> </w:t>
      </w:r>
      <w:r>
        <w:rPr>
          <w:rFonts w:ascii="宋体" w:hAnsi="宋体" w:eastAsia="宋体" w:cs="宋体"/>
          <w:color w:val="auto"/>
          <w:spacing w:val="-7"/>
          <w:sz w:val="21"/>
          <w:szCs w:val="21"/>
          <w:highlight w:val="none"/>
        </w:rPr>
        <w:t>工期：指承包人在投标函中承诺的完成合同</w:t>
      </w:r>
      <w:r>
        <w:rPr>
          <w:rFonts w:ascii="宋体" w:hAnsi="宋体" w:eastAsia="宋体" w:cs="宋体"/>
          <w:color w:val="auto"/>
          <w:spacing w:val="-8"/>
          <w:sz w:val="21"/>
          <w:szCs w:val="21"/>
          <w:highlight w:val="none"/>
        </w:rPr>
        <w:t>工程所需的期限，包括按第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8"/>
          <w:sz w:val="21"/>
          <w:szCs w:val="21"/>
          <w:highlight w:val="none"/>
        </w:rPr>
        <w:t>11.3</w:t>
      </w:r>
      <w:r>
        <w:rPr>
          <w:rFonts w:ascii="宋体" w:hAnsi="宋体" w:eastAsia="宋体" w:cs="宋体"/>
          <w:color w:val="auto"/>
          <w:spacing w:val="-42"/>
          <w:sz w:val="21"/>
          <w:szCs w:val="21"/>
          <w:highlight w:val="none"/>
        </w:rPr>
        <w:t xml:space="preserve"> </w:t>
      </w:r>
      <w:r>
        <w:rPr>
          <w:rFonts w:ascii="宋体" w:hAnsi="宋体" w:eastAsia="宋体" w:cs="宋体"/>
          <w:color w:val="auto"/>
          <w:spacing w:val="-8"/>
          <w:sz w:val="21"/>
          <w:szCs w:val="21"/>
          <w:highlight w:val="none"/>
        </w:rPr>
        <w:t>款、第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8"/>
          <w:sz w:val="21"/>
          <w:szCs w:val="21"/>
          <w:highlight w:val="none"/>
        </w:rPr>
        <w:t>11.4</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款和第</w:t>
      </w:r>
      <w:r>
        <w:rPr>
          <w:rFonts w:ascii="宋体" w:hAnsi="宋体" w:eastAsia="宋体" w:cs="宋体"/>
          <w:color w:val="auto"/>
          <w:spacing w:val="-26"/>
          <w:sz w:val="21"/>
          <w:szCs w:val="21"/>
          <w:highlight w:val="none"/>
        </w:rPr>
        <w:t xml:space="preserve"> </w:t>
      </w:r>
      <w:r>
        <w:rPr>
          <w:rFonts w:ascii="宋体" w:hAnsi="宋体" w:eastAsia="宋体" w:cs="宋体"/>
          <w:color w:val="auto"/>
          <w:spacing w:val="-4"/>
          <w:sz w:val="21"/>
          <w:szCs w:val="21"/>
          <w:highlight w:val="none"/>
        </w:rPr>
        <w:t>11.6</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款约定所作的变更。</w:t>
      </w:r>
    </w:p>
    <w:p w14:paraId="139E07AC">
      <w:pPr>
        <w:spacing w:before="31" w:line="345" w:lineRule="auto"/>
        <w:ind w:left="6" w:right="59" w:firstLine="429"/>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"1.1.4.4" </w:instrText>
      </w:r>
      <w:r>
        <w:rPr>
          <w:color w:val="auto"/>
          <w:highlight w:val="none"/>
        </w:rPr>
        <w:fldChar w:fldCharType="separate"/>
      </w:r>
      <w:r>
        <w:rPr>
          <w:rFonts w:ascii="宋体" w:hAnsi="宋体" w:eastAsia="宋体" w:cs="宋体"/>
          <w:color w:val="auto"/>
          <w:spacing w:val="-2"/>
          <w:sz w:val="21"/>
          <w:szCs w:val="21"/>
          <w:highlight w:val="none"/>
        </w:rPr>
        <w:t>1.1.4.4</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竣工日期：指第 </w:t>
      </w:r>
      <w:r>
        <w:rPr>
          <w:color w:val="auto"/>
          <w:highlight w:val="none"/>
        </w:rPr>
        <w:fldChar w:fldCharType="begin"/>
      </w:r>
      <w:r>
        <w:rPr>
          <w:color w:val="auto"/>
          <w:highlight w:val="none"/>
        </w:rPr>
        <w:instrText xml:space="preserve"> HYPERLINK "1.1.4.3" </w:instrText>
      </w:r>
      <w:r>
        <w:rPr>
          <w:color w:val="auto"/>
          <w:highlight w:val="none"/>
        </w:rPr>
        <w:fldChar w:fldCharType="separate"/>
      </w:r>
      <w:r>
        <w:rPr>
          <w:rFonts w:ascii="宋体" w:hAnsi="宋体" w:eastAsia="宋体" w:cs="宋体"/>
          <w:color w:val="auto"/>
          <w:spacing w:val="-2"/>
          <w:sz w:val="21"/>
          <w:szCs w:val="21"/>
          <w:highlight w:val="none"/>
        </w:rPr>
        <w:t>1.1.4.3</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目约定工期届满时的日期。实际竣工日期以工程接收证书中</w:t>
      </w:r>
      <w:r>
        <w:rPr>
          <w:rFonts w:ascii="宋体" w:hAnsi="宋体" w:eastAsia="宋体" w:cs="宋体"/>
          <w:color w:val="auto"/>
          <w:spacing w:val="15"/>
          <w:sz w:val="21"/>
          <w:szCs w:val="21"/>
          <w:highlight w:val="none"/>
        </w:rPr>
        <w:t xml:space="preserve"> </w:t>
      </w:r>
      <w:r>
        <w:rPr>
          <w:rFonts w:ascii="宋体" w:hAnsi="宋体" w:eastAsia="宋体" w:cs="宋体"/>
          <w:color w:val="auto"/>
          <w:spacing w:val="-2"/>
          <w:sz w:val="21"/>
          <w:szCs w:val="21"/>
          <w:highlight w:val="none"/>
        </w:rPr>
        <w:t>写明的日期为准。</w:t>
      </w:r>
    </w:p>
    <w:p w14:paraId="7394DDD1">
      <w:pPr>
        <w:spacing w:before="32" w:line="346" w:lineRule="auto"/>
        <w:ind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pacing w:val="-5"/>
          <w:sz w:val="21"/>
          <w:szCs w:val="21"/>
          <w:highlight w:val="none"/>
        </w:rPr>
        <w:t>1.1.4.5</w:t>
      </w:r>
      <w:r>
        <w:rPr>
          <w:rFonts w:ascii="宋体" w:hAnsi="宋体" w:eastAsia="宋体" w:cs="宋体"/>
          <w:color w:val="auto"/>
          <w:spacing w:val="-5"/>
          <w:sz w:val="21"/>
          <w:szCs w:val="21"/>
          <w:highlight w:val="none"/>
        </w:rPr>
        <w:fldChar w:fldCharType="end"/>
      </w:r>
      <w:r>
        <w:rPr>
          <w:rFonts w:ascii="宋体" w:hAnsi="宋体" w:eastAsia="宋体" w:cs="宋体"/>
          <w:color w:val="auto"/>
          <w:spacing w:val="-5"/>
          <w:sz w:val="21"/>
          <w:szCs w:val="21"/>
          <w:highlight w:val="none"/>
        </w:rPr>
        <w:t xml:space="preserve"> 缺陷责任期：指履行第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19.2</w:t>
      </w:r>
      <w:r>
        <w:rPr>
          <w:rFonts w:ascii="宋体" w:hAnsi="宋体" w:eastAsia="宋体" w:cs="宋体"/>
          <w:color w:val="auto"/>
          <w:spacing w:val="-46"/>
          <w:sz w:val="21"/>
          <w:szCs w:val="21"/>
          <w:highlight w:val="none"/>
        </w:rPr>
        <w:t xml:space="preserve"> </w:t>
      </w:r>
      <w:r>
        <w:rPr>
          <w:rFonts w:ascii="宋体" w:hAnsi="宋体" w:eastAsia="宋体" w:cs="宋体"/>
          <w:color w:val="auto"/>
          <w:spacing w:val="-6"/>
          <w:sz w:val="21"/>
          <w:szCs w:val="21"/>
          <w:highlight w:val="none"/>
        </w:rPr>
        <w:t>款约定的缺陷责任的期限，具体期限由专用合同条款约定，</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包括根据第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19.3</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款约定所作的延长。</w:t>
      </w:r>
    </w:p>
    <w:p w14:paraId="25F37EAE">
      <w:pPr>
        <w:spacing w:before="31" w:line="221"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"1.1.4.6" </w:instrText>
      </w:r>
      <w:r>
        <w:rPr>
          <w:color w:val="auto"/>
          <w:highlight w:val="none"/>
        </w:rPr>
        <w:fldChar w:fldCharType="separate"/>
      </w:r>
      <w:r>
        <w:rPr>
          <w:rFonts w:ascii="宋体" w:hAnsi="宋体" w:eastAsia="宋体" w:cs="宋体"/>
          <w:color w:val="auto"/>
          <w:spacing w:val="-2"/>
          <w:sz w:val="21"/>
          <w:szCs w:val="21"/>
          <w:highlight w:val="none"/>
        </w:rPr>
        <w:t>1.1.4.6</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基准日期：指投标截止时间前</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天的日期。</w:t>
      </w:r>
    </w:p>
    <w:p w14:paraId="3C406DDE">
      <w:pPr>
        <w:spacing w:before="157" w:line="347" w:lineRule="auto"/>
        <w:ind w:left="1" w:right="60" w:firstLine="434"/>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"1.1.4.7" </w:instrText>
      </w:r>
      <w:r>
        <w:rPr>
          <w:color w:val="auto"/>
          <w:highlight w:val="none"/>
        </w:rPr>
        <w:fldChar w:fldCharType="separate"/>
      </w:r>
      <w:r>
        <w:rPr>
          <w:rFonts w:ascii="宋体" w:hAnsi="宋体" w:eastAsia="宋体" w:cs="宋体"/>
          <w:color w:val="auto"/>
          <w:spacing w:val="1"/>
          <w:sz w:val="21"/>
          <w:szCs w:val="21"/>
          <w:highlight w:val="none"/>
        </w:rPr>
        <w:t>1.1.4.7</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天：除特别指明外，指日</w:t>
      </w:r>
      <w:r>
        <w:rPr>
          <w:rFonts w:ascii="宋体" w:hAnsi="宋体" w:eastAsia="宋体" w:cs="宋体"/>
          <w:color w:val="auto"/>
          <w:sz w:val="21"/>
          <w:szCs w:val="21"/>
          <w:highlight w:val="none"/>
        </w:rPr>
        <w:t xml:space="preserve">历天。合同中按天计算时间的，开始当天不计入，从次日开 </w:t>
      </w:r>
      <w:r>
        <w:rPr>
          <w:rFonts w:ascii="宋体" w:hAnsi="宋体" w:eastAsia="宋体" w:cs="宋体"/>
          <w:color w:val="auto"/>
          <w:spacing w:val="-1"/>
          <w:sz w:val="21"/>
          <w:szCs w:val="21"/>
          <w:highlight w:val="none"/>
        </w:rPr>
        <w:t>始计算。期限最后一天的截止时间为当天</w:t>
      </w:r>
      <w:r>
        <w:rPr>
          <w:rFonts w:ascii="宋体" w:hAnsi="宋体" w:eastAsia="宋体" w:cs="宋体"/>
          <w:color w:val="auto"/>
          <w:spacing w:val="-35"/>
          <w:sz w:val="21"/>
          <w:szCs w:val="21"/>
          <w:highlight w:val="none"/>
        </w:rPr>
        <w:t xml:space="preserve"> </w:t>
      </w:r>
      <w:r>
        <w:rPr>
          <w:rFonts w:ascii="宋体" w:hAnsi="宋体" w:eastAsia="宋体" w:cs="宋体"/>
          <w:color w:val="auto"/>
          <w:spacing w:val="-1"/>
          <w:sz w:val="21"/>
          <w:szCs w:val="21"/>
          <w:highlight w:val="none"/>
        </w:rPr>
        <w:t>24:00。</w:t>
      </w:r>
    </w:p>
    <w:p w14:paraId="7B5F5F8A">
      <w:pPr>
        <w:spacing w:before="28" w:line="219"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1.1.5</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合同价格和费用</w:t>
      </w:r>
    </w:p>
    <w:p w14:paraId="0A45115A">
      <w:pPr>
        <w:spacing w:before="159" w:line="345" w:lineRule="auto"/>
        <w:ind w:left="2" w:right="60" w:firstLine="433"/>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"1.1.5.1" </w:instrText>
      </w:r>
      <w:r>
        <w:rPr>
          <w:color w:val="auto"/>
          <w:highlight w:val="none"/>
        </w:rPr>
        <w:fldChar w:fldCharType="separate"/>
      </w:r>
      <w:r>
        <w:rPr>
          <w:rFonts w:ascii="宋体" w:hAnsi="宋体" w:eastAsia="宋体" w:cs="宋体"/>
          <w:color w:val="auto"/>
          <w:spacing w:val="1"/>
          <w:sz w:val="21"/>
          <w:szCs w:val="21"/>
          <w:highlight w:val="none"/>
        </w:rPr>
        <w:t>1.1.5.1</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签约合同价：指签订合同</w:t>
      </w:r>
      <w:r>
        <w:rPr>
          <w:rFonts w:ascii="宋体" w:hAnsi="宋体" w:eastAsia="宋体" w:cs="宋体"/>
          <w:color w:val="auto"/>
          <w:sz w:val="21"/>
          <w:szCs w:val="21"/>
          <w:highlight w:val="none"/>
        </w:rPr>
        <w:t xml:space="preserve">时合同协议书中写明的，包括了暂列金额、暂估价的合同总 </w:t>
      </w:r>
      <w:r>
        <w:rPr>
          <w:rFonts w:ascii="宋体" w:hAnsi="宋体" w:eastAsia="宋体" w:cs="宋体"/>
          <w:color w:val="auto"/>
          <w:spacing w:val="-9"/>
          <w:sz w:val="21"/>
          <w:szCs w:val="21"/>
          <w:highlight w:val="none"/>
        </w:rPr>
        <w:t>金额。</w:t>
      </w:r>
    </w:p>
    <w:p w14:paraId="49339E47">
      <w:pPr>
        <w:spacing w:before="32" w:line="347" w:lineRule="auto"/>
        <w:ind w:right="60"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"1.1.5.2" </w:instrText>
      </w:r>
      <w:r>
        <w:rPr>
          <w:color w:val="auto"/>
          <w:highlight w:val="none"/>
        </w:rPr>
        <w:fldChar w:fldCharType="separate"/>
      </w:r>
      <w:r>
        <w:rPr>
          <w:rFonts w:ascii="宋体" w:hAnsi="宋体" w:eastAsia="宋体" w:cs="宋体"/>
          <w:color w:val="auto"/>
          <w:spacing w:val="1"/>
          <w:sz w:val="21"/>
          <w:szCs w:val="21"/>
          <w:highlight w:val="none"/>
        </w:rPr>
        <w:t>1.1.5.2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合同价格：指承包人按合</w:t>
      </w:r>
      <w:r>
        <w:rPr>
          <w:rFonts w:ascii="宋体" w:hAnsi="宋体" w:eastAsia="宋体" w:cs="宋体"/>
          <w:color w:val="auto"/>
          <w:sz w:val="21"/>
          <w:szCs w:val="21"/>
          <w:highlight w:val="none"/>
        </w:rPr>
        <w:t>同约定完成了包括缺陷责任期内的全部承包工作后，发包人 应付给承包人的金额，包括在履行合同过程中按合同约定进行的变更和</w:t>
      </w:r>
      <w:r>
        <w:rPr>
          <w:rFonts w:ascii="宋体" w:hAnsi="宋体" w:eastAsia="宋体" w:cs="宋体"/>
          <w:color w:val="auto"/>
          <w:spacing w:val="-1"/>
          <w:sz w:val="21"/>
          <w:szCs w:val="21"/>
          <w:highlight w:val="none"/>
        </w:rPr>
        <w:t>调整。</w:t>
      </w:r>
    </w:p>
    <w:p w14:paraId="238A3FC4">
      <w:pPr>
        <w:spacing w:before="28" w:line="346" w:lineRule="auto"/>
        <w:ind w:right="60"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"1.1.5.3" </w:instrText>
      </w:r>
      <w:r>
        <w:rPr>
          <w:color w:val="auto"/>
          <w:highlight w:val="none"/>
        </w:rPr>
        <w:fldChar w:fldCharType="separate"/>
      </w:r>
      <w:r>
        <w:rPr>
          <w:rFonts w:ascii="宋体" w:hAnsi="宋体" w:eastAsia="宋体" w:cs="宋体"/>
          <w:color w:val="auto"/>
          <w:spacing w:val="1"/>
          <w:sz w:val="21"/>
          <w:szCs w:val="21"/>
          <w:highlight w:val="none"/>
        </w:rPr>
        <w:t>1.1.5.3</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费用：指为履行合同所发</w:t>
      </w:r>
      <w:r>
        <w:rPr>
          <w:rFonts w:ascii="宋体" w:hAnsi="宋体" w:eastAsia="宋体" w:cs="宋体"/>
          <w:color w:val="auto"/>
          <w:sz w:val="21"/>
          <w:szCs w:val="21"/>
          <w:highlight w:val="none"/>
        </w:rPr>
        <w:t xml:space="preserve">生的或将要发生的所有合理开支，包括管理费和应分摊的其 </w:t>
      </w:r>
      <w:r>
        <w:rPr>
          <w:rFonts w:ascii="宋体" w:hAnsi="宋体" w:eastAsia="宋体" w:cs="宋体"/>
          <w:color w:val="auto"/>
          <w:spacing w:val="-2"/>
          <w:sz w:val="21"/>
          <w:szCs w:val="21"/>
          <w:highlight w:val="none"/>
        </w:rPr>
        <w:t>他费用，但不包括利润。</w:t>
      </w:r>
    </w:p>
    <w:p w14:paraId="0E9D3B8C">
      <w:pPr>
        <w:spacing w:before="29" w:line="345" w:lineRule="auto"/>
        <w:ind w:left="4" w:right="60" w:firstLine="432"/>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"1.1.5.4" </w:instrText>
      </w:r>
      <w:r>
        <w:rPr>
          <w:color w:val="auto"/>
          <w:highlight w:val="none"/>
        </w:rPr>
        <w:fldChar w:fldCharType="separate"/>
      </w:r>
      <w:r>
        <w:rPr>
          <w:rFonts w:ascii="宋体" w:hAnsi="宋体" w:eastAsia="宋体" w:cs="宋体"/>
          <w:color w:val="auto"/>
          <w:spacing w:val="1"/>
          <w:sz w:val="21"/>
          <w:szCs w:val="21"/>
          <w:highlight w:val="none"/>
        </w:rPr>
        <w:t>1.1.5.4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暂列金额：指已标价工程</w:t>
      </w:r>
      <w:r>
        <w:rPr>
          <w:rFonts w:ascii="宋体" w:hAnsi="宋体" w:eastAsia="宋体" w:cs="宋体"/>
          <w:color w:val="auto"/>
          <w:sz w:val="21"/>
          <w:szCs w:val="21"/>
          <w:highlight w:val="none"/>
        </w:rPr>
        <w:t>量清单中所列的暂列金额，用于在签订协议书时尚未确定或 不可预见变更的施工及其所需材料、工程设备、服</w:t>
      </w:r>
      <w:r>
        <w:rPr>
          <w:rFonts w:ascii="宋体" w:hAnsi="宋体" w:eastAsia="宋体" w:cs="宋体"/>
          <w:color w:val="auto"/>
          <w:spacing w:val="-1"/>
          <w:sz w:val="21"/>
          <w:szCs w:val="21"/>
          <w:highlight w:val="none"/>
        </w:rPr>
        <w:t>务等的金额，包括以计日工方式支付的金额。</w:t>
      </w:r>
    </w:p>
    <w:p w14:paraId="2A1607BD">
      <w:pPr>
        <w:spacing w:before="34" w:line="345" w:lineRule="auto"/>
        <w:ind w:right="60"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"1.1.5.5" </w:instrText>
      </w:r>
      <w:r>
        <w:rPr>
          <w:color w:val="auto"/>
          <w:highlight w:val="none"/>
        </w:rPr>
        <w:fldChar w:fldCharType="separate"/>
      </w:r>
      <w:r>
        <w:rPr>
          <w:rFonts w:ascii="宋体" w:hAnsi="宋体" w:eastAsia="宋体" w:cs="宋体"/>
          <w:color w:val="auto"/>
          <w:spacing w:val="1"/>
          <w:sz w:val="21"/>
          <w:szCs w:val="21"/>
          <w:highlight w:val="none"/>
        </w:rPr>
        <w:t>1.1.5.5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暂估价：指发包人在工程</w:t>
      </w:r>
      <w:r>
        <w:rPr>
          <w:rFonts w:ascii="宋体" w:hAnsi="宋体" w:eastAsia="宋体" w:cs="宋体"/>
          <w:color w:val="auto"/>
          <w:sz w:val="21"/>
          <w:szCs w:val="21"/>
          <w:highlight w:val="none"/>
        </w:rPr>
        <w:t xml:space="preserve">量清单中给定的用于支付必然发生但暂时不能确定价格的材 </w:t>
      </w:r>
      <w:r>
        <w:rPr>
          <w:rFonts w:ascii="宋体" w:hAnsi="宋体" w:eastAsia="宋体" w:cs="宋体"/>
          <w:color w:val="auto"/>
          <w:spacing w:val="-2"/>
          <w:sz w:val="21"/>
          <w:szCs w:val="21"/>
          <w:highlight w:val="none"/>
        </w:rPr>
        <w:t>料、设备以及专业工程的金额。</w:t>
      </w:r>
    </w:p>
    <w:p w14:paraId="5539B22E">
      <w:pPr>
        <w:spacing w:before="42" w:line="346" w:lineRule="auto"/>
        <w:ind w:right="61" w:firstLine="434"/>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"1.1.5.6" </w:instrText>
      </w:r>
      <w:r>
        <w:rPr>
          <w:color w:val="auto"/>
          <w:highlight w:val="none"/>
        </w:rPr>
        <w:fldChar w:fldCharType="separate"/>
      </w:r>
      <w:r>
        <w:rPr>
          <w:rFonts w:ascii="宋体" w:hAnsi="宋体" w:eastAsia="宋体" w:cs="宋体"/>
          <w:color w:val="auto"/>
          <w:spacing w:val="1"/>
          <w:sz w:val="21"/>
          <w:szCs w:val="21"/>
          <w:highlight w:val="none"/>
        </w:rPr>
        <w:t>1.1.5.6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计日工：指对零星工作采</w:t>
      </w:r>
      <w:r>
        <w:rPr>
          <w:rFonts w:ascii="宋体" w:hAnsi="宋体" w:eastAsia="宋体" w:cs="宋体"/>
          <w:color w:val="auto"/>
          <w:sz w:val="21"/>
          <w:szCs w:val="21"/>
          <w:highlight w:val="none"/>
        </w:rPr>
        <w:t xml:space="preserve">取的一种计价方式，按合同中的计日工子目及其单价计价付 </w:t>
      </w:r>
      <w:r>
        <w:rPr>
          <w:rFonts w:ascii="宋体" w:hAnsi="宋体" w:eastAsia="宋体" w:cs="宋体"/>
          <w:color w:val="auto"/>
          <w:spacing w:val="-10"/>
          <w:sz w:val="21"/>
          <w:szCs w:val="21"/>
          <w:highlight w:val="none"/>
        </w:rPr>
        <w:t>款。</w:t>
      </w:r>
    </w:p>
    <w:p w14:paraId="0CB90097">
      <w:pPr>
        <w:spacing w:before="29" w:line="345" w:lineRule="auto"/>
        <w:ind w:right="59" w:firstLine="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"1.1.5.7" </w:instrText>
      </w:r>
      <w:r>
        <w:rPr>
          <w:color w:val="auto"/>
          <w:highlight w:val="none"/>
        </w:rPr>
        <w:fldChar w:fldCharType="separate"/>
      </w:r>
      <w:r>
        <w:rPr>
          <w:rFonts w:ascii="宋体" w:hAnsi="宋体" w:eastAsia="宋体" w:cs="宋体"/>
          <w:color w:val="auto"/>
          <w:spacing w:val="-2"/>
          <w:sz w:val="21"/>
          <w:szCs w:val="21"/>
          <w:highlight w:val="none"/>
        </w:rPr>
        <w:t>1.1.5.7</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质量保证金（或称保留金</w:t>
      </w:r>
      <w:r>
        <w:rPr>
          <w:rFonts w:ascii="宋体" w:hAnsi="宋体" w:eastAsia="宋体" w:cs="宋体"/>
          <w:color w:val="auto"/>
          <w:spacing w:val="-30"/>
          <w:sz w:val="21"/>
          <w:szCs w:val="21"/>
          <w:highlight w:val="none"/>
        </w:rPr>
        <w:t>）：</w:t>
      </w:r>
      <w:r>
        <w:rPr>
          <w:rFonts w:ascii="宋体" w:hAnsi="宋体" w:eastAsia="宋体" w:cs="宋体"/>
          <w:color w:val="auto"/>
          <w:spacing w:val="-2"/>
          <w:sz w:val="21"/>
          <w:szCs w:val="21"/>
          <w:highlight w:val="none"/>
        </w:rPr>
        <w:t>指按第 17.4.1</w:t>
      </w:r>
      <w:r>
        <w:rPr>
          <w:rFonts w:ascii="宋体" w:hAnsi="宋体" w:eastAsia="宋体" w:cs="宋体"/>
          <w:color w:val="auto"/>
          <w:spacing w:val="-20"/>
          <w:sz w:val="21"/>
          <w:szCs w:val="21"/>
          <w:highlight w:val="none"/>
        </w:rPr>
        <w:t xml:space="preserve"> </w:t>
      </w:r>
      <w:r>
        <w:rPr>
          <w:rFonts w:ascii="宋体" w:hAnsi="宋体" w:eastAsia="宋体" w:cs="宋体"/>
          <w:color w:val="auto"/>
          <w:spacing w:val="-2"/>
          <w:sz w:val="21"/>
          <w:szCs w:val="21"/>
          <w:highlight w:val="none"/>
        </w:rPr>
        <w:t>项约定</w:t>
      </w:r>
      <w:r>
        <w:rPr>
          <w:rFonts w:ascii="宋体" w:hAnsi="宋体" w:eastAsia="宋体" w:cs="宋体"/>
          <w:color w:val="auto"/>
          <w:spacing w:val="-3"/>
          <w:sz w:val="21"/>
          <w:szCs w:val="21"/>
          <w:highlight w:val="none"/>
        </w:rPr>
        <w:t>用于保证在缺陷责任期内履行缺陷</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修复义务的金额。</w:t>
      </w:r>
    </w:p>
    <w:p w14:paraId="75B6943B">
      <w:pPr>
        <w:spacing w:before="33" w:line="221"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1.1.6</w:t>
      </w:r>
      <w:r>
        <w:rPr>
          <w:rFonts w:ascii="宋体" w:hAnsi="宋体" w:eastAsia="宋体" w:cs="宋体"/>
          <w:color w:val="auto"/>
          <w:spacing w:val="10"/>
          <w:sz w:val="21"/>
          <w:szCs w:val="21"/>
          <w:highlight w:val="none"/>
        </w:rPr>
        <w:t xml:space="preserve"> </w:t>
      </w:r>
      <w:r>
        <w:rPr>
          <w:rFonts w:ascii="宋体" w:hAnsi="宋体" w:eastAsia="宋体" w:cs="宋体"/>
          <w:b/>
          <w:bCs/>
          <w:color w:val="auto"/>
          <w:spacing w:val="-6"/>
          <w:sz w:val="21"/>
          <w:szCs w:val="21"/>
          <w:highlight w:val="none"/>
        </w:rPr>
        <w:t>其他</w:t>
      </w:r>
    </w:p>
    <w:p w14:paraId="163FA718">
      <w:pPr>
        <w:spacing w:before="156" w:line="220" w:lineRule="auto"/>
        <w:ind w:left="436"/>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"1.1.6.1" </w:instrText>
      </w:r>
      <w:r>
        <w:rPr>
          <w:color w:val="auto"/>
          <w:highlight w:val="none"/>
        </w:rPr>
        <w:fldChar w:fldCharType="separate"/>
      </w:r>
      <w:r>
        <w:rPr>
          <w:rFonts w:ascii="Times New Roman" w:hAnsi="Times New Roman" w:eastAsia="Times New Roman" w:cs="Times New Roman"/>
          <w:color w:val="auto"/>
          <w:spacing w:val="-1"/>
          <w:sz w:val="21"/>
          <w:szCs w:val="21"/>
          <w:highlight w:val="none"/>
        </w:rPr>
        <w:t>1.1.6.1</w:t>
      </w:r>
      <w:r>
        <w:rPr>
          <w:rFonts w:ascii="Times New Roman" w:hAnsi="Times New Roman" w:eastAsia="Times New Roman" w:cs="Times New Roman"/>
          <w:color w:val="auto"/>
          <w:spacing w:val="-1"/>
          <w:sz w:val="21"/>
          <w:szCs w:val="21"/>
          <w:highlight w:val="none"/>
        </w:rPr>
        <w:fldChar w:fldCharType="end"/>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书面形式：指合同文件、信函、电报、传真等可以有形地表现所载内容的形式。</w:t>
      </w:r>
    </w:p>
    <w:p w14:paraId="31CCB14F">
      <w:pPr>
        <w:spacing w:line="333" w:lineRule="auto"/>
        <w:outlineLvl w:val="9"/>
        <w:rPr>
          <w:rFonts w:ascii="Arial"/>
          <w:color w:val="auto"/>
          <w:sz w:val="21"/>
          <w:highlight w:val="none"/>
        </w:rPr>
      </w:pPr>
    </w:p>
    <w:p w14:paraId="7F0418BA">
      <w:pPr>
        <w:spacing w:before="91"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1.2</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8"/>
          <w:sz w:val="28"/>
          <w:szCs w:val="28"/>
          <w:highlight w:val="none"/>
        </w:rPr>
        <w:t>语言文字</w:t>
      </w:r>
    </w:p>
    <w:p w14:paraId="74427BFD">
      <w:pPr>
        <w:spacing w:before="280" w:line="220" w:lineRule="auto"/>
        <w:ind w:left="4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除专用术语外，合同使用的语言文字为中文。必要时专用术语应附有中文注释。</w:t>
      </w:r>
    </w:p>
    <w:p w14:paraId="2337C2E4">
      <w:pPr>
        <w:spacing w:line="334" w:lineRule="auto"/>
        <w:outlineLvl w:val="9"/>
        <w:rPr>
          <w:rFonts w:ascii="Arial"/>
          <w:color w:val="auto"/>
          <w:sz w:val="21"/>
          <w:highlight w:val="none"/>
        </w:rPr>
      </w:pPr>
    </w:p>
    <w:p w14:paraId="3056342D">
      <w:pPr>
        <w:spacing w:before="92"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1.3</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10"/>
          <w:sz w:val="28"/>
          <w:szCs w:val="28"/>
          <w:highlight w:val="none"/>
        </w:rPr>
        <w:t>法律</w:t>
      </w:r>
    </w:p>
    <w:p w14:paraId="7A7D908C">
      <w:pPr>
        <w:spacing w:before="280" w:line="345" w:lineRule="auto"/>
        <w:ind w:right="6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适用于合同的法律包括中华人民共和国法律、行政法规、部门规章，以及</w:t>
      </w:r>
      <w:r>
        <w:rPr>
          <w:rFonts w:ascii="宋体" w:hAnsi="宋体" w:eastAsia="宋体" w:cs="宋体"/>
          <w:color w:val="auto"/>
          <w:sz w:val="21"/>
          <w:szCs w:val="21"/>
          <w:highlight w:val="none"/>
        </w:rPr>
        <w:t xml:space="preserve">工程所在地的地方法 </w:t>
      </w:r>
      <w:r>
        <w:rPr>
          <w:rFonts w:ascii="宋体" w:hAnsi="宋体" w:eastAsia="宋体" w:cs="宋体"/>
          <w:color w:val="auto"/>
          <w:spacing w:val="-1"/>
          <w:sz w:val="21"/>
          <w:szCs w:val="21"/>
          <w:highlight w:val="none"/>
        </w:rPr>
        <w:t>规、自治条例、单行条例和地方政府规章。</w:t>
      </w:r>
    </w:p>
    <w:p w14:paraId="5D7B9B55">
      <w:pPr>
        <w:spacing w:before="303"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合同文件的优先顺序</w:t>
      </w:r>
    </w:p>
    <w:p w14:paraId="40EE0358">
      <w:pPr>
        <w:spacing w:before="281" w:line="345" w:lineRule="auto"/>
        <w:ind w:left="4" w:right="63" w:firstLine="41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组成合同的各项文件应互相解释，互为说明。除专用合同条款另有约</w:t>
      </w:r>
      <w:r>
        <w:rPr>
          <w:rFonts w:ascii="宋体" w:hAnsi="宋体" w:eastAsia="宋体" w:cs="宋体"/>
          <w:color w:val="auto"/>
          <w:sz w:val="21"/>
          <w:szCs w:val="21"/>
          <w:highlight w:val="none"/>
        </w:rPr>
        <w:t xml:space="preserve">定外，解释合同文件的优 </w:t>
      </w:r>
      <w:r>
        <w:rPr>
          <w:rFonts w:ascii="宋体" w:hAnsi="宋体" w:eastAsia="宋体" w:cs="宋体"/>
          <w:color w:val="auto"/>
          <w:spacing w:val="-2"/>
          <w:sz w:val="21"/>
          <w:szCs w:val="21"/>
          <w:highlight w:val="none"/>
        </w:rPr>
        <w:t>先顺序如下：</w:t>
      </w:r>
    </w:p>
    <w:p w14:paraId="265D31F2">
      <w:pPr>
        <w:spacing w:before="30"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（1）合同协议书；</w:t>
      </w:r>
    </w:p>
    <w:p w14:paraId="4D502826">
      <w:pPr>
        <w:spacing w:before="158"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（2）中标通知书；</w:t>
      </w:r>
    </w:p>
    <w:p w14:paraId="2DABA8A7">
      <w:pPr>
        <w:spacing w:before="160"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（3）投标函及投标函附录；</w:t>
      </w:r>
    </w:p>
    <w:p w14:paraId="78C69ABE">
      <w:pPr>
        <w:spacing w:before="158"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（4）专用合同条款；</w:t>
      </w:r>
    </w:p>
    <w:p w14:paraId="1AA2E0B3">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（5）通用合同条款；</w:t>
      </w:r>
    </w:p>
    <w:p w14:paraId="1118EE2A">
      <w:pPr>
        <w:spacing w:before="156"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（6）技术标准和要求；</w:t>
      </w:r>
    </w:p>
    <w:p w14:paraId="29352861">
      <w:pPr>
        <w:spacing w:before="157" w:line="222"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（7）图纸；</w:t>
      </w:r>
    </w:p>
    <w:p w14:paraId="0620160B">
      <w:pPr>
        <w:spacing w:before="158" w:line="219"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（8）已标价工程量清单；</w:t>
      </w:r>
    </w:p>
    <w:p w14:paraId="5340B52C">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（9）其他合同文件。</w:t>
      </w:r>
    </w:p>
    <w:p w14:paraId="5A85FAC9">
      <w:pPr>
        <w:spacing w:line="333" w:lineRule="auto"/>
        <w:outlineLvl w:val="9"/>
        <w:rPr>
          <w:rFonts w:ascii="Arial"/>
          <w:color w:val="auto"/>
          <w:sz w:val="21"/>
          <w:highlight w:val="none"/>
        </w:rPr>
      </w:pPr>
    </w:p>
    <w:p w14:paraId="4BFC66FC">
      <w:pPr>
        <w:spacing w:before="91" w:line="219"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1.5</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合同协议书</w:t>
      </w:r>
    </w:p>
    <w:p w14:paraId="5F501BDA">
      <w:pPr>
        <w:spacing w:before="282" w:line="345" w:lineRule="auto"/>
        <w:ind w:left="3" w:firstLine="41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承包人按中标通知书规定的时间与发包人签订合同协议书。除法律另有规定或合同另有约定外，</w:t>
      </w:r>
      <w:r>
        <w:rPr>
          <w:rFonts w:ascii="宋体" w:hAnsi="宋体" w:eastAsia="宋体" w:cs="宋体"/>
          <w:color w:val="auto"/>
          <w:spacing w:val="12"/>
          <w:sz w:val="21"/>
          <w:szCs w:val="21"/>
          <w:highlight w:val="none"/>
        </w:rPr>
        <w:t xml:space="preserve"> </w:t>
      </w:r>
      <w:r>
        <w:rPr>
          <w:rFonts w:ascii="宋体" w:hAnsi="宋体" w:eastAsia="宋体" w:cs="宋体"/>
          <w:color w:val="auto"/>
          <w:sz w:val="21"/>
          <w:szCs w:val="21"/>
          <w:highlight w:val="none"/>
        </w:rPr>
        <w:t>发包人和承包人的法定代表人或其委托代理人在合同协议书上签字并盖单位章后，</w:t>
      </w:r>
      <w:r>
        <w:rPr>
          <w:rFonts w:ascii="宋体" w:hAnsi="宋体" w:eastAsia="宋体" w:cs="宋体"/>
          <w:color w:val="auto"/>
          <w:spacing w:val="-1"/>
          <w:sz w:val="21"/>
          <w:szCs w:val="21"/>
          <w:highlight w:val="none"/>
        </w:rPr>
        <w:t>合同生效。</w:t>
      </w:r>
    </w:p>
    <w:p w14:paraId="22C6D210">
      <w:pPr>
        <w:spacing w:before="300"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1.6</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9"/>
          <w:sz w:val="28"/>
          <w:szCs w:val="28"/>
          <w:highlight w:val="none"/>
        </w:rPr>
        <w:t>图纸和承包人文件</w:t>
      </w:r>
    </w:p>
    <w:p w14:paraId="49647559">
      <w:pPr>
        <w:spacing w:before="281" w:line="220"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1.6.1</w:t>
      </w:r>
      <w:r>
        <w:rPr>
          <w:rFonts w:ascii="宋体" w:hAnsi="宋体" w:eastAsia="宋体" w:cs="宋体"/>
          <w:color w:val="auto"/>
          <w:spacing w:val="-16"/>
          <w:sz w:val="21"/>
          <w:szCs w:val="21"/>
          <w:highlight w:val="none"/>
        </w:rPr>
        <w:t xml:space="preserve"> </w:t>
      </w:r>
      <w:r>
        <w:rPr>
          <w:rFonts w:ascii="宋体" w:hAnsi="宋体" w:eastAsia="宋体" w:cs="宋体"/>
          <w:b/>
          <w:bCs/>
          <w:color w:val="auto"/>
          <w:spacing w:val="-7"/>
          <w:sz w:val="21"/>
          <w:szCs w:val="21"/>
          <w:highlight w:val="none"/>
        </w:rPr>
        <w:t>图纸的提供</w:t>
      </w:r>
    </w:p>
    <w:p w14:paraId="455BCFD0">
      <w:pPr>
        <w:spacing w:before="42" w:line="345" w:lineRule="auto"/>
        <w:ind w:left="2" w:right="3" w:firstLine="42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除专用合同条款另有约定外，图纸应在合理的</w:t>
      </w:r>
      <w:r>
        <w:rPr>
          <w:rFonts w:ascii="宋体" w:hAnsi="宋体" w:eastAsia="宋体" w:cs="宋体"/>
          <w:color w:val="auto"/>
          <w:sz w:val="21"/>
          <w:szCs w:val="21"/>
          <w:highlight w:val="none"/>
        </w:rPr>
        <w:t xml:space="preserve">期限内按照合同约定的数量提供给承包人。由于 </w:t>
      </w:r>
      <w:r>
        <w:rPr>
          <w:rFonts w:ascii="宋体" w:hAnsi="宋体" w:eastAsia="宋体" w:cs="宋体"/>
          <w:color w:val="auto"/>
          <w:spacing w:val="-2"/>
          <w:sz w:val="21"/>
          <w:szCs w:val="21"/>
          <w:highlight w:val="none"/>
        </w:rPr>
        <w:t>发包人未按时提供图纸造成工期延误的，按第</w:t>
      </w:r>
      <w:r>
        <w:rPr>
          <w:rFonts w:ascii="宋体" w:hAnsi="宋体" w:eastAsia="宋体" w:cs="宋体"/>
          <w:color w:val="auto"/>
          <w:spacing w:val="-21"/>
          <w:sz w:val="21"/>
          <w:szCs w:val="21"/>
          <w:highlight w:val="none"/>
        </w:rPr>
        <w:t xml:space="preserve"> </w:t>
      </w:r>
      <w:r>
        <w:rPr>
          <w:rFonts w:ascii="宋体" w:hAnsi="宋体" w:eastAsia="宋体" w:cs="宋体"/>
          <w:color w:val="auto"/>
          <w:spacing w:val="-2"/>
          <w:sz w:val="21"/>
          <w:szCs w:val="21"/>
          <w:highlight w:val="none"/>
        </w:rPr>
        <w:t>11.3</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款的约定办理。</w:t>
      </w:r>
    </w:p>
    <w:p w14:paraId="47F38408">
      <w:pPr>
        <w:spacing w:before="30" w:line="220"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1.6.2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承包人提供的文件</w:t>
      </w:r>
    </w:p>
    <w:p w14:paraId="7B309D6E">
      <w:pPr>
        <w:spacing w:before="158" w:line="347" w:lineRule="auto"/>
        <w:ind w:left="4"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按专用合同条款约定由承包人提供的文件，包括部分工程的大样图、加</w:t>
      </w:r>
      <w:r>
        <w:rPr>
          <w:rFonts w:ascii="宋体" w:hAnsi="宋体" w:eastAsia="宋体" w:cs="宋体"/>
          <w:color w:val="auto"/>
          <w:sz w:val="21"/>
          <w:szCs w:val="21"/>
          <w:highlight w:val="none"/>
        </w:rPr>
        <w:t xml:space="preserve">工图等，承包人应按约 </w:t>
      </w:r>
      <w:r>
        <w:rPr>
          <w:rFonts w:ascii="宋体" w:hAnsi="宋体" w:eastAsia="宋体" w:cs="宋体"/>
          <w:color w:val="auto"/>
          <w:spacing w:val="-1"/>
          <w:sz w:val="21"/>
          <w:szCs w:val="21"/>
          <w:highlight w:val="none"/>
        </w:rPr>
        <w:t>定的数量和期限报送监理人。监理人应在专用合同条款约定的期限内批复。</w:t>
      </w:r>
    </w:p>
    <w:p w14:paraId="07007E0E">
      <w:pPr>
        <w:spacing w:before="28" w:line="221"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1.6.3</w:t>
      </w:r>
      <w:r>
        <w:rPr>
          <w:rFonts w:ascii="宋体" w:hAnsi="宋体" w:eastAsia="宋体" w:cs="宋体"/>
          <w:color w:val="auto"/>
          <w:spacing w:val="37"/>
          <w:sz w:val="21"/>
          <w:szCs w:val="21"/>
          <w:highlight w:val="none"/>
        </w:rPr>
        <w:t xml:space="preserve"> </w:t>
      </w:r>
      <w:r>
        <w:rPr>
          <w:rFonts w:ascii="宋体" w:hAnsi="宋体" w:eastAsia="宋体" w:cs="宋体"/>
          <w:b/>
          <w:bCs/>
          <w:color w:val="auto"/>
          <w:spacing w:val="-7"/>
          <w:sz w:val="21"/>
          <w:szCs w:val="21"/>
          <w:highlight w:val="none"/>
        </w:rPr>
        <w:t>图纸的修改</w:t>
      </w:r>
    </w:p>
    <w:p w14:paraId="1B4FCE64">
      <w:pPr>
        <w:spacing w:before="156" w:line="352" w:lineRule="auto"/>
        <w:ind w:right="1" w:firstLine="439"/>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图纸需要修改和补充的，应由监理人取得发包人同意后，在该工程或工程相应部位施工前的合</w:t>
      </w:r>
      <w:r>
        <w:rPr>
          <w:rFonts w:ascii="宋体" w:hAnsi="宋体" w:eastAsia="宋体" w:cs="宋体"/>
          <w:color w:val="auto"/>
          <w:spacing w:val="12"/>
          <w:sz w:val="21"/>
          <w:szCs w:val="21"/>
          <w:highlight w:val="none"/>
        </w:rPr>
        <w:t xml:space="preserve"> </w:t>
      </w:r>
      <w:r>
        <w:rPr>
          <w:rFonts w:ascii="宋体" w:hAnsi="宋体" w:eastAsia="宋体" w:cs="宋体"/>
          <w:color w:val="auto"/>
          <w:spacing w:val="1"/>
          <w:sz w:val="21"/>
          <w:szCs w:val="21"/>
          <w:highlight w:val="none"/>
        </w:rPr>
        <w:t>理期限内签发图纸修改图给承包人，具体签发期限在专用合同条款中约定。</w:t>
      </w:r>
      <w:r>
        <w:rPr>
          <w:rFonts w:ascii="宋体" w:hAnsi="宋体" w:eastAsia="宋体" w:cs="宋体"/>
          <w:color w:val="auto"/>
          <w:sz w:val="21"/>
          <w:szCs w:val="21"/>
          <w:highlight w:val="none"/>
        </w:rPr>
        <w:t xml:space="preserve">承包人应按修改后的图 </w:t>
      </w:r>
      <w:r>
        <w:rPr>
          <w:rFonts w:ascii="宋体" w:hAnsi="宋体" w:eastAsia="宋体" w:cs="宋体"/>
          <w:color w:val="auto"/>
          <w:spacing w:val="-2"/>
          <w:sz w:val="21"/>
          <w:szCs w:val="21"/>
          <w:highlight w:val="none"/>
        </w:rPr>
        <w:t>纸施工。</w:t>
      </w:r>
    </w:p>
    <w:p w14:paraId="2211184E">
      <w:pPr>
        <w:spacing w:before="26" w:line="222"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1.6.4</w:t>
      </w:r>
      <w:r>
        <w:rPr>
          <w:rFonts w:ascii="宋体" w:hAnsi="宋体" w:eastAsia="宋体" w:cs="宋体"/>
          <w:color w:val="auto"/>
          <w:spacing w:val="37"/>
          <w:sz w:val="21"/>
          <w:szCs w:val="21"/>
          <w:highlight w:val="none"/>
        </w:rPr>
        <w:t xml:space="preserve"> </w:t>
      </w:r>
      <w:r>
        <w:rPr>
          <w:rFonts w:ascii="宋体" w:hAnsi="宋体" w:eastAsia="宋体" w:cs="宋体"/>
          <w:b/>
          <w:bCs/>
          <w:color w:val="auto"/>
          <w:spacing w:val="-7"/>
          <w:sz w:val="21"/>
          <w:szCs w:val="21"/>
          <w:highlight w:val="none"/>
        </w:rPr>
        <w:t>图纸的错误</w:t>
      </w:r>
    </w:p>
    <w:p w14:paraId="28EE1F0A">
      <w:pPr>
        <w:spacing w:before="156" w:line="220" w:lineRule="auto"/>
        <w:ind w:left="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承包人发现发包人提供的图纸存在明显错误或疏忽，应及时通知监</w:t>
      </w:r>
      <w:r>
        <w:rPr>
          <w:rFonts w:ascii="宋体" w:hAnsi="宋体" w:eastAsia="宋体" w:cs="宋体"/>
          <w:color w:val="auto"/>
          <w:spacing w:val="-1"/>
          <w:sz w:val="21"/>
          <w:szCs w:val="21"/>
          <w:highlight w:val="none"/>
        </w:rPr>
        <w:t>理人。</w:t>
      </w:r>
    </w:p>
    <w:p w14:paraId="41A49B73">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1.6.5</w:t>
      </w:r>
      <w:r>
        <w:rPr>
          <w:rFonts w:ascii="宋体" w:hAnsi="宋体" w:eastAsia="宋体" w:cs="宋体"/>
          <w:color w:val="auto"/>
          <w:spacing w:val="34"/>
          <w:sz w:val="21"/>
          <w:szCs w:val="21"/>
          <w:highlight w:val="none"/>
        </w:rPr>
        <w:t xml:space="preserve"> </w:t>
      </w:r>
      <w:r>
        <w:rPr>
          <w:rFonts w:ascii="宋体" w:hAnsi="宋体" w:eastAsia="宋体" w:cs="宋体"/>
          <w:b/>
          <w:bCs/>
          <w:color w:val="auto"/>
          <w:spacing w:val="-5"/>
          <w:sz w:val="21"/>
          <w:szCs w:val="21"/>
          <w:highlight w:val="none"/>
        </w:rPr>
        <w:t>图纸和承包人文件的保管</w:t>
      </w:r>
    </w:p>
    <w:p w14:paraId="67129D53">
      <w:pPr>
        <w:spacing w:before="158" w:line="347" w:lineRule="auto"/>
        <w:ind w:left="4" w:firstLine="41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监理人和承包人均应在施工场地各保存一套完整的包含第</w:t>
      </w:r>
      <w:r>
        <w:rPr>
          <w:rFonts w:ascii="宋体" w:hAnsi="宋体" w:eastAsia="宋体" w:cs="宋体"/>
          <w:color w:val="auto"/>
          <w:spacing w:val="-9"/>
          <w:sz w:val="21"/>
          <w:szCs w:val="21"/>
          <w:highlight w:val="none"/>
        </w:rPr>
        <w:t xml:space="preserve"> </w:t>
      </w:r>
      <w:r>
        <w:rPr>
          <w:rFonts w:ascii="宋体" w:hAnsi="宋体" w:eastAsia="宋体" w:cs="宋体"/>
          <w:color w:val="auto"/>
          <w:spacing w:val="-3"/>
          <w:sz w:val="21"/>
          <w:szCs w:val="21"/>
          <w:highlight w:val="none"/>
        </w:rPr>
        <w:t>1.6.1</w:t>
      </w:r>
      <w:r>
        <w:rPr>
          <w:rFonts w:ascii="宋体" w:hAnsi="宋体" w:eastAsia="宋体" w:cs="宋体"/>
          <w:color w:val="auto"/>
          <w:spacing w:val="-36"/>
          <w:sz w:val="21"/>
          <w:szCs w:val="21"/>
          <w:highlight w:val="none"/>
        </w:rPr>
        <w:t xml:space="preserve"> </w:t>
      </w:r>
      <w:r>
        <w:rPr>
          <w:rFonts w:ascii="宋体" w:hAnsi="宋体" w:eastAsia="宋体" w:cs="宋体"/>
          <w:color w:val="auto"/>
          <w:spacing w:val="-3"/>
          <w:sz w:val="21"/>
          <w:szCs w:val="21"/>
          <w:highlight w:val="none"/>
        </w:rPr>
        <w:t>项、第</w:t>
      </w:r>
      <w:r>
        <w:rPr>
          <w:rFonts w:ascii="宋体" w:hAnsi="宋体" w:eastAsia="宋体" w:cs="宋体"/>
          <w:color w:val="auto"/>
          <w:spacing w:val="-21"/>
          <w:sz w:val="21"/>
          <w:szCs w:val="21"/>
          <w:highlight w:val="none"/>
        </w:rPr>
        <w:t xml:space="preserve"> </w:t>
      </w:r>
      <w:r>
        <w:rPr>
          <w:rFonts w:ascii="宋体" w:hAnsi="宋体" w:eastAsia="宋体" w:cs="宋体"/>
          <w:color w:val="auto"/>
          <w:spacing w:val="-3"/>
          <w:sz w:val="21"/>
          <w:szCs w:val="21"/>
          <w:highlight w:val="none"/>
        </w:rPr>
        <w:t>1.6.2</w:t>
      </w:r>
      <w:r>
        <w:rPr>
          <w:rFonts w:ascii="宋体" w:hAnsi="宋体" w:eastAsia="宋体" w:cs="宋体"/>
          <w:color w:val="auto"/>
          <w:spacing w:val="-34"/>
          <w:sz w:val="21"/>
          <w:szCs w:val="21"/>
          <w:highlight w:val="none"/>
        </w:rPr>
        <w:t xml:space="preserve"> </w:t>
      </w:r>
      <w:r>
        <w:rPr>
          <w:rFonts w:ascii="宋体" w:hAnsi="宋体" w:eastAsia="宋体" w:cs="宋体"/>
          <w:color w:val="auto"/>
          <w:spacing w:val="-3"/>
          <w:sz w:val="21"/>
          <w:szCs w:val="21"/>
          <w:highlight w:val="none"/>
        </w:rPr>
        <w:t>项、第 1.6.3</w:t>
      </w:r>
      <w:r>
        <w:rPr>
          <w:rFonts w:ascii="宋体" w:hAnsi="宋体" w:eastAsia="宋体" w:cs="宋体"/>
          <w:color w:val="auto"/>
          <w:spacing w:val="-36"/>
          <w:sz w:val="21"/>
          <w:szCs w:val="21"/>
          <w:highlight w:val="none"/>
        </w:rPr>
        <w:t xml:space="preserve"> </w:t>
      </w:r>
      <w:r>
        <w:rPr>
          <w:rFonts w:ascii="宋体" w:hAnsi="宋体" w:eastAsia="宋体" w:cs="宋体"/>
          <w:color w:val="auto"/>
          <w:spacing w:val="-3"/>
          <w:sz w:val="21"/>
          <w:szCs w:val="21"/>
          <w:highlight w:val="none"/>
        </w:rPr>
        <w:t>项</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约定内容的图纸和承包人文件。</w:t>
      </w:r>
    </w:p>
    <w:p w14:paraId="36B4B160">
      <w:pPr>
        <w:spacing w:before="298" w:line="222"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1.7</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10"/>
          <w:sz w:val="28"/>
          <w:szCs w:val="28"/>
          <w:highlight w:val="none"/>
        </w:rPr>
        <w:t>联络</w:t>
      </w:r>
    </w:p>
    <w:p w14:paraId="7C41A699">
      <w:pPr>
        <w:spacing w:before="277" w:line="289" w:lineRule="auto"/>
        <w:ind w:right="3" w:firstLine="43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1.7.1 与合同有关的通知、批准、证明、证书、指示、要求、请求、同意、意见、确定和决定</w:t>
      </w:r>
      <w:r>
        <w:rPr>
          <w:rFonts w:ascii="宋体" w:hAnsi="宋体" w:eastAsia="宋体" w:cs="宋体"/>
          <w:color w:val="auto"/>
          <w:spacing w:val="17"/>
          <w:sz w:val="21"/>
          <w:szCs w:val="21"/>
          <w:highlight w:val="none"/>
        </w:rPr>
        <w:t xml:space="preserve"> </w:t>
      </w:r>
      <w:r>
        <w:rPr>
          <w:rFonts w:ascii="宋体" w:hAnsi="宋体" w:eastAsia="宋体" w:cs="宋体"/>
          <w:color w:val="auto"/>
          <w:spacing w:val="-2"/>
          <w:sz w:val="21"/>
          <w:szCs w:val="21"/>
          <w:highlight w:val="none"/>
        </w:rPr>
        <w:t>等，均应采用书面形式。</w:t>
      </w:r>
    </w:p>
    <w:p w14:paraId="3B28755B">
      <w:pPr>
        <w:spacing w:before="158" w:line="290" w:lineRule="auto"/>
        <w:ind w:left="4" w:firstLine="43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1.7.2 第 1.7.1</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项中的通知、批准、证明、证书、指示、</w:t>
      </w:r>
      <w:r>
        <w:rPr>
          <w:rFonts w:ascii="宋体" w:hAnsi="宋体" w:eastAsia="宋体" w:cs="宋体"/>
          <w:color w:val="auto"/>
          <w:spacing w:val="-2"/>
          <w:sz w:val="21"/>
          <w:szCs w:val="21"/>
          <w:highlight w:val="none"/>
        </w:rPr>
        <w:t>要求、请求、同意、意见、确定和决</w:t>
      </w:r>
      <w:r>
        <w:rPr>
          <w:rFonts w:ascii="宋体" w:hAnsi="宋体" w:eastAsia="宋体" w:cs="宋体"/>
          <w:color w:val="auto"/>
          <w:sz w:val="21"/>
          <w:szCs w:val="21"/>
          <w:highlight w:val="none"/>
        </w:rPr>
        <w:t xml:space="preserve"> 定等来往函件，均应在合同约定的期限内送达指定地点和接收人，并办</w:t>
      </w:r>
      <w:r>
        <w:rPr>
          <w:rFonts w:ascii="宋体" w:hAnsi="宋体" w:eastAsia="宋体" w:cs="宋体"/>
          <w:color w:val="auto"/>
          <w:spacing w:val="-1"/>
          <w:sz w:val="21"/>
          <w:szCs w:val="21"/>
          <w:highlight w:val="none"/>
        </w:rPr>
        <w:t>理签收手续。</w:t>
      </w:r>
    </w:p>
    <w:p w14:paraId="1E2FA503">
      <w:pPr>
        <w:spacing w:line="335" w:lineRule="auto"/>
        <w:outlineLvl w:val="9"/>
        <w:rPr>
          <w:rFonts w:ascii="Arial"/>
          <w:color w:val="auto"/>
          <w:sz w:val="21"/>
          <w:highlight w:val="none"/>
        </w:rPr>
      </w:pPr>
    </w:p>
    <w:p w14:paraId="2319D8E4">
      <w:pPr>
        <w:spacing w:before="91" w:line="221"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1.8</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10"/>
          <w:sz w:val="28"/>
          <w:szCs w:val="28"/>
          <w:highlight w:val="none"/>
        </w:rPr>
        <w:t>转让</w:t>
      </w:r>
    </w:p>
    <w:p w14:paraId="62EA9BD1">
      <w:pPr>
        <w:spacing w:before="280" w:line="345" w:lineRule="auto"/>
        <w:ind w:right="3" w:firstLine="43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除合同另有约定外，未经对方当事人同意，一</w:t>
      </w:r>
      <w:r>
        <w:rPr>
          <w:rFonts w:ascii="宋体" w:hAnsi="宋体" w:eastAsia="宋体" w:cs="宋体"/>
          <w:color w:val="auto"/>
          <w:sz w:val="21"/>
          <w:szCs w:val="21"/>
          <w:highlight w:val="none"/>
        </w:rPr>
        <w:t xml:space="preserve">方当事人不得将合同权利全部或部分转让给第三 </w:t>
      </w:r>
      <w:r>
        <w:rPr>
          <w:rFonts w:ascii="宋体" w:hAnsi="宋体" w:eastAsia="宋体" w:cs="宋体"/>
          <w:color w:val="auto"/>
          <w:spacing w:val="-1"/>
          <w:sz w:val="21"/>
          <w:szCs w:val="21"/>
          <w:highlight w:val="none"/>
        </w:rPr>
        <w:t>人，也不得全部或部分转移合同义务。</w:t>
      </w:r>
    </w:p>
    <w:p w14:paraId="17F7335C">
      <w:pPr>
        <w:spacing w:before="299"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1.9</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8"/>
          <w:sz w:val="28"/>
          <w:szCs w:val="28"/>
          <w:highlight w:val="none"/>
        </w:rPr>
        <w:t>严禁贿赂</w:t>
      </w:r>
    </w:p>
    <w:p w14:paraId="152C2BBE">
      <w:pPr>
        <w:spacing w:before="281" w:line="345" w:lineRule="auto"/>
        <w:ind w:right="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合同双方当事人不得以贿赂或变相贿赂的方式，谋取不当利益或损害对方</w:t>
      </w:r>
      <w:r>
        <w:rPr>
          <w:rFonts w:ascii="宋体" w:hAnsi="宋体" w:eastAsia="宋体" w:cs="宋体"/>
          <w:color w:val="auto"/>
          <w:sz w:val="21"/>
          <w:szCs w:val="21"/>
          <w:highlight w:val="none"/>
        </w:rPr>
        <w:t xml:space="preserve">权益。因贿赂造成对 </w:t>
      </w:r>
      <w:r>
        <w:rPr>
          <w:rFonts w:ascii="宋体" w:hAnsi="宋体" w:eastAsia="宋体" w:cs="宋体"/>
          <w:color w:val="auto"/>
          <w:spacing w:val="-1"/>
          <w:sz w:val="21"/>
          <w:szCs w:val="21"/>
          <w:highlight w:val="none"/>
        </w:rPr>
        <w:t>方损失的，行为人应赔偿损失，并承担相应的法律责任。</w:t>
      </w:r>
    </w:p>
    <w:p w14:paraId="67BA5FA0">
      <w:pPr>
        <w:spacing w:before="301" w:line="221"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1.10</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化石、文物</w:t>
      </w:r>
    </w:p>
    <w:p w14:paraId="75AE562D">
      <w:pPr>
        <w:spacing w:before="279" w:line="350" w:lineRule="auto"/>
        <w:ind w:firstLine="434"/>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1.10.1 在施工场地发掘的所有文物、古迹以及具有地质研究或考古价值的其他遗迹、化石、钱</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币或物品属于国家所有。一旦发现上述文物，承包人应采取有效合理的保护措</w:t>
      </w:r>
      <w:r>
        <w:rPr>
          <w:rFonts w:ascii="宋体" w:hAnsi="宋体" w:eastAsia="宋体" w:cs="宋体"/>
          <w:color w:val="auto"/>
          <w:sz w:val="21"/>
          <w:szCs w:val="21"/>
          <w:highlight w:val="none"/>
        </w:rPr>
        <w:t xml:space="preserve">施，防止任何人员移 </w:t>
      </w:r>
      <w:r>
        <w:rPr>
          <w:rFonts w:ascii="宋体" w:hAnsi="宋体" w:eastAsia="宋体" w:cs="宋体"/>
          <w:color w:val="auto"/>
          <w:spacing w:val="1"/>
          <w:sz w:val="21"/>
          <w:szCs w:val="21"/>
          <w:highlight w:val="none"/>
        </w:rPr>
        <w:t>动或损坏上述物品，并立即报告当地文物行政部门，同时通知监理人。发包人</w:t>
      </w:r>
      <w:r>
        <w:rPr>
          <w:rFonts w:ascii="宋体" w:hAnsi="宋体" w:eastAsia="宋体" w:cs="宋体"/>
          <w:color w:val="auto"/>
          <w:sz w:val="21"/>
          <w:szCs w:val="21"/>
          <w:highlight w:val="none"/>
        </w:rPr>
        <w:t>、监理人和承包人应按文物行政部门要求采取妥善保护措施，由此导致费用增加和（或）工期延误由发包人</w:t>
      </w:r>
      <w:r>
        <w:rPr>
          <w:rFonts w:ascii="宋体" w:hAnsi="宋体" w:eastAsia="宋体" w:cs="宋体"/>
          <w:color w:val="auto"/>
          <w:spacing w:val="-1"/>
          <w:sz w:val="21"/>
          <w:szCs w:val="21"/>
          <w:highlight w:val="none"/>
        </w:rPr>
        <w:t>承担。</w:t>
      </w:r>
    </w:p>
    <w:p w14:paraId="1E2F5E34">
      <w:pPr>
        <w:spacing w:before="158" w:line="345" w:lineRule="auto"/>
        <w:ind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1.10.2 承包人发现文物后不及时报告或隐瞒不报，致使文物丢失或损坏的，应赔偿损失，并承</w:t>
      </w:r>
      <w:r>
        <w:rPr>
          <w:rFonts w:ascii="宋体" w:hAnsi="宋体" w:eastAsia="宋体" w:cs="宋体"/>
          <w:color w:val="auto"/>
          <w:spacing w:val="5"/>
          <w:sz w:val="21"/>
          <w:szCs w:val="21"/>
          <w:highlight w:val="none"/>
        </w:rPr>
        <w:t xml:space="preserve"> </w:t>
      </w:r>
      <w:r>
        <w:rPr>
          <w:rFonts w:ascii="宋体" w:hAnsi="宋体" w:eastAsia="宋体" w:cs="宋体"/>
          <w:color w:val="auto"/>
          <w:spacing w:val="-3"/>
          <w:sz w:val="21"/>
          <w:szCs w:val="21"/>
          <w:highlight w:val="none"/>
        </w:rPr>
        <w:t>担相应的法律责任。</w:t>
      </w:r>
    </w:p>
    <w:p w14:paraId="3D1B7437">
      <w:pPr>
        <w:spacing w:before="299"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1.11</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专利技术</w:t>
      </w:r>
    </w:p>
    <w:p w14:paraId="58DDBB8E">
      <w:pPr>
        <w:spacing w:before="279" w:line="351" w:lineRule="auto"/>
        <w:ind w:firstLine="435"/>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1.11.1 承包人在使用任何材料、承包人设备、工程设备或采用施工工艺时，因侵犯专利权或其</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他知识产权所引起的责任，由承包人承担，但由于遵照发包人提供的设计或技术</w:t>
      </w:r>
      <w:r>
        <w:rPr>
          <w:rFonts w:ascii="宋体" w:hAnsi="宋体" w:eastAsia="宋体" w:cs="宋体"/>
          <w:color w:val="auto"/>
          <w:sz w:val="21"/>
          <w:szCs w:val="21"/>
          <w:highlight w:val="none"/>
        </w:rPr>
        <w:t xml:space="preserve">标准和要求引起的 </w:t>
      </w:r>
      <w:r>
        <w:rPr>
          <w:rFonts w:ascii="宋体" w:hAnsi="宋体" w:eastAsia="宋体" w:cs="宋体"/>
          <w:color w:val="auto"/>
          <w:spacing w:val="-8"/>
          <w:sz w:val="21"/>
          <w:szCs w:val="21"/>
          <w:highlight w:val="none"/>
        </w:rPr>
        <w:t>除外。</w:t>
      </w:r>
    </w:p>
    <w:p w14:paraId="276863ED">
      <w:pPr>
        <w:spacing w:before="29" w:line="219" w:lineRule="auto"/>
        <w:ind w:left="43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1.11.2 承包人在投标文件中采用专利技术</w:t>
      </w:r>
      <w:r>
        <w:rPr>
          <w:rFonts w:ascii="宋体" w:hAnsi="宋体" w:eastAsia="宋体" w:cs="宋体"/>
          <w:color w:val="auto"/>
          <w:spacing w:val="-1"/>
          <w:sz w:val="21"/>
          <w:szCs w:val="21"/>
          <w:highlight w:val="none"/>
        </w:rPr>
        <w:t>的，专利技术的使用费包含在投标报价内。</w:t>
      </w:r>
    </w:p>
    <w:p w14:paraId="4CD00081">
      <w:pPr>
        <w:spacing w:before="160" w:line="291" w:lineRule="auto"/>
        <w:ind w:left="17" w:firstLine="41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1.11.3 承包人的技术秘密和声明需要保密的资料和信息，发包人和监理人不得为合同以外的目</w:t>
      </w:r>
      <w:r>
        <w:rPr>
          <w:rFonts w:ascii="宋体" w:hAnsi="宋体" w:eastAsia="宋体" w:cs="宋体"/>
          <w:color w:val="auto"/>
          <w:spacing w:val="5"/>
          <w:sz w:val="21"/>
          <w:szCs w:val="21"/>
          <w:highlight w:val="none"/>
        </w:rPr>
        <w:t xml:space="preserve"> </w:t>
      </w:r>
      <w:r>
        <w:rPr>
          <w:rFonts w:ascii="宋体" w:hAnsi="宋体" w:eastAsia="宋体" w:cs="宋体"/>
          <w:color w:val="auto"/>
          <w:spacing w:val="-6"/>
          <w:sz w:val="21"/>
          <w:szCs w:val="21"/>
          <w:highlight w:val="none"/>
        </w:rPr>
        <w:t>的泄露给他人。</w:t>
      </w:r>
    </w:p>
    <w:p w14:paraId="255394BB">
      <w:pPr>
        <w:spacing w:line="332" w:lineRule="auto"/>
        <w:outlineLvl w:val="9"/>
        <w:rPr>
          <w:rFonts w:ascii="Arial"/>
          <w:color w:val="auto"/>
          <w:sz w:val="21"/>
          <w:highlight w:val="none"/>
        </w:rPr>
      </w:pPr>
    </w:p>
    <w:p w14:paraId="642C8D17">
      <w:pPr>
        <w:spacing w:before="91"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1.12</w:t>
      </w:r>
      <w:r>
        <w:rPr>
          <w:rFonts w:ascii="宋体" w:hAnsi="宋体" w:eastAsia="宋体" w:cs="宋体"/>
          <w:color w:val="auto"/>
          <w:spacing w:val="46"/>
          <w:sz w:val="28"/>
          <w:szCs w:val="28"/>
          <w:highlight w:val="none"/>
        </w:rPr>
        <w:t xml:space="preserve"> </w:t>
      </w:r>
      <w:r>
        <w:rPr>
          <w:rFonts w:ascii="宋体" w:hAnsi="宋体" w:eastAsia="宋体" w:cs="宋体"/>
          <w:b/>
          <w:bCs/>
          <w:color w:val="auto"/>
          <w:spacing w:val="-8"/>
          <w:sz w:val="28"/>
          <w:szCs w:val="28"/>
          <w:highlight w:val="none"/>
        </w:rPr>
        <w:t>图纸和文件的保密</w:t>
      </w:r>
    </w:p>
    <w:p w14:paraId="76CF63EA">
      <w:pPr>
        <w:spacing w:before="280" w:line="290" w:lineRule="auto"/>
        <w:ind w:left="2"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1.12.1 发包人提供的图纸和文件，未经发包人同意，承包人不得为合同以外的目的泄露给他人</w:t>
      </w:r>
      <w:r>
        <w:rPr>
          <w:rFonts w:ascii="宋体" w:hAnsi="宋体" w:eastAsia="宋体" w:cs="宋体"/>
          <w:color w:val="auto"/>
          <w:spacing w:val="5"/>
          <w:sz w:val="21"/>
          <w:szCs w:val="21"/>
          <w:highlight w:val="none"/>
        </w:rPr>
        <w:t xml:space="preserve"> </w:t>
      </w:r>
      <w:r>
        <w:rPr>
          <w:rFonts w:ascii="宋体" w:hAnsi="宋体" w:eastAsia="宋体" w:cs="宋体"/>
          <w:color w:val="auto"/>
          <w:spacing w:val="-3"/>
          <w:sz w:val="21"/>
          <w:szCs w:val="21"/>
          <w:highlight w:val="none"/>
        </w:rPr>
        <w:t>或公开发表与引用。</w:t>
      </w:r>
    </w:p>
    <w:p w14:paraId="34AA1BA2">
      <w:pPr>
        <w:spacing w:before="157" w:line="290" w:lineRule="auto"/>
        <w:ind w:left="1"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1.12.2 承包人提供的文件，未经承包人同意，发包人和监理人不得为合同以外的目的泄露给他</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人或公开发表与引用。</w:t>
      </w:r>
    </w:p>
    <w:p w14:paraId="1A077C58">
      <w:pPr>
        <w:spacing w:before="174" w:line="225" w:lineRule="auto"/>
        <w:ind w:left="8"/>
        <w:outlineLvl w:val="9"/>
        <w:rPr>
          <w:rFonts w:ascii="宋体" w:hAnsi="宋体" w:eastAsia="宋体" w:cs="宋体"/>
          <w:color w:val="auto"/>
          <w:sz w:val="31"/>
          <w:szCs w:val="31"/>
          <w:highlight w:val="none"/>
        </w:rPr>
      </w:pPr>
      <w:bookmarkStart w:id="225" w:name="_Toc2653"/>
      <w:bookmarkStart w:id="226" w:name="_Toc20018"/>
      <w:r>
        <w:rPr>
          <w:rFonts w:ascii="宋体" w:hAnsi="宋体" w:eastAsia="宋体" w:cs="宋体"/>
          <w:b/>
          <w:bCs/>
          <w:color w:val="auto"/>
          <w:spacing w:val="1"/>
          <w:sz w:val="31"/>
          <w:szCs w:val="31"/>
          <w:highlight w:val="none"/>
        </w:rPr>
        <w:t>2.</w:t>
      </w:r>
      <w:r>
        <w:rPr>
          <w:rFonts w:ascii="宋体" w:hAnsi="宋体" w:eastAsia="宋体" w:cs="宋体"/>
          <w:color w:val="auto"/>
          <w:spacing w:val="28"/>
          <w:sz w:val="31"/>
          <w:szCs w:val="31"/>
          <w:highlight w:val="none"/>
        </w:rPr>
        <w:t xml:space="preserve"> </w:t>
      </w:r>
      <w:r>
        <w:rPr>
          <w:rFonts w:ascii="宋体" w:hAnsi="宋体" w:eastAsia="宋体" w:cs="宋体"/>
          <w:b/>
          <w:bCs/>
          <w:color w:val="auto"/>
          <w:spacing w:val="1"/>
          <w:sz w:val="31"/>
          <w:szCs w:val="31"/>
          <w:highlight w:val="none"/>
        </w:rPr>
        <w:t>发包人义务</w:t>
      </w:r>
      <w:bookmarkEnd w:id="225"/>
      <w:bookmarkEnd w:id="226"/>
    </w:p>
    <w:p w14:paraId="37697D31">
      <w:pPr>
        <w:spacing w:before="274"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遵守法律</w:t>
      </w:r>
    </w:p>
    <w:p w14:paraId="29A96595">
      <w:pPr>
        <w:spacing w:before="281" w:line="345" w:lineRule="auto"/>
        <w:ind w:left="7" w:right="2" w:firstLine="41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发包人在履行合同过程中应遵守法律，并保证承包人免于承担因发包</w:t>
      </w:r>
      <w:r>
        <w:rPr>
          <w:rFonts w:ascii="宋体" w:hAnsi="宋体" w:eastAsia="宋体" w:cs="宋体"/>
          <w:color w:val="auto"/>
          <w:sz w:val="21"/>
          <w:szCs w:val="21"/>
          <w:highlight w:val="none"/>
        </w:rPr>
        <w:t xml:space="preserve">人违反法律而引起的任何 </w:t>
      </w:r>
      <w:r>
        <w:rPr>
          <w:rFonts w:ascii="宋体" w:hAnsi="宋体" w:eastAsia="宋体" w:cs="宋体"/>
          <w:color w:val="auto"/>
          <w:spacing w:val="-10"/>
          <w:sz w:val="21"/>
          <w:szCs w:val="21"/>
          <w:highlight w:val="none"/>
        </w:rPr>
        <w:t>责任。</w:t>
      </w:r>
    </w:p>
    <w:p w14:paraId="13F8563E">
      <w:pPr>
        <w:spacing w:before="302"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发出开工通知</w:t>
      </w:r>
    </w:p>
    <w:p w14:paraId="1680DC51">
      <w:pPr>
        <w:spacing w:before="279" w:line="221" w:lineRule="auto"/>
        <w:ind w:left="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发包人应委托监理人按第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11.1</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款的约定向承</w:t>
      </w:r>
      <w:r>
        <w:rPr>
          <w:rFonts w:ascii="宋体" w:hAnsi="宋体" w:eastAsia="宋体" w:cs="宋体"/>
          <w:color w:val="auto"/>
          <w:spacing w:val="-2"/>
          <w:sz w:val="21"/>
          <w:szCs w:val="21"/>
          <w:highlight w:val="none"/>
        </w:rPr>
        <w:t>包人发出开工通知。</w:t>
      </w:r>
    </w:p>
    <w:p w14:paraId="319C76C0">
      <w:pPr>
        <w:spacing w:line="333" w:lineRule="auto"/>
        <w:outlineLvl w:val="9"/>
        <w:rPr>
          <w:rFonts w:ascii="Arial"/>
          <w:color w:val="auto"/>
          <w:sz w:val="21"/>
          <w:highlight w:val="none"/>
        </w:rPr>
      </w:pPr>
    </w:p>
    <w:p w14:paraId="5A463C8A">
      <w:pPr>
        <w:spacing w:before="92" w:line="219"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提供施工场地</w:t>
      </w:r>
    </w:p>
    <w:p w14:paraId="5B1AA2D5">
      <w:pPr>
        <w:spacing w:before="280" w:line="346" w:lineRule="auto"/>
        <w:ind w:right="3"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发包人应按专用合同条款约定向承包人提供施工场地，以及施工场</w:t>
      </w:r>
      <w:r>
        <w:rPr>
          <w:rFonts w:ascii="宋体" w:hAnsi="宋体" w:eastAsia="宋体" w:cs="宋体"/>
          <w:color w:val="auto"/>
          <w:sz w:val="21"/>
          <w:szCs w:val="21"/>
          <w:highlight w:val="none"/>
        </w:rPr>
        <w:t xml:space="preserve">地内地下管线和地下设施等 </w:t>
      </w:r>
      <w:r>
        <w:rPr>
          <w:rFonts w:ascii="宋体" w:hAnsi="宋体" w:eastAsia="宋体" w:cs="宋体"/>
          <w:color w:val="auto"/>
          <w:spacing w:val="-2"/>
          <w:sz w:val="21"/>
          <w:szCs w:val="21"/>
          <w:highlight w:val="none"/>
        </w:rPr>
        <w:t>有关资料，并保证资料的真实、准确、完整。</w:t>
      </w:r>
    </w:p>
    <w:p w14:paraId="44312673">
      <w:pPr>
        <w:spacing w:before="300"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协助承包人办理证件和批件</w:t>
      </w:r>
    </w:p>
    <w:p w14:paraId="13658586">
      <w:pPr>
        <w:spacing w:before="280" w:line="221" w:lineRule="auto"/>
        <w:ind w:left="42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发包人应协助承包人办理法律规定的有关施工</w:t>
      </w:r>
      <w:r>
        <w:rPr>
          <w:rFonts w:ascii="宋体" w:hAnsi="宋体" w:eastAsia="宋体" w:cs="宋体"/>
          <w:color w:val="auto"/>
          <w:spacing w:val="-1"/>
          <w:sz w:val="21"/>
          <w:szCs w:val="21"/>
          <w:highlight w:val="none"/>
        </w:rPr>
        <w:t>证件和批件。</w:t>
      </w:r>
    </w:p>
    <w:p w14:paraId="341B6ECC">
      <w:pPr>
        <w:spacing w:before="56" w:line="221"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组织设计交底</w:t>
      </w:r>
    </w:p>
    <w:p w14:paraId="187BC2CF">
      <w:pPr>
        <w:spacing w:before="278" w:line="221" w:lineRule="auto"/>
        <w:ind w:left="42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发包人应根据合同进度计划，组织设计单位向承包人进</w:t>
      </w:r>
      <w:r>
        <w:rPr>
          <w:rFonts w:ascii="宋体" w:hAnsi="宋体" w:eastAsia="宋体" w:cs="宋体"/>
          <w:color w:val="auto"/>
          <w:spacing w:val="-1"/>
          <w:sz w:val="21"/>
          <w:szCs w:val="21"/>
          <w:highlight w:val="none"/>
        </w:rPr>
        <w:t>行设计交底。</w:t>
      </w:r>
    </w:p>
    <w:p w14:paraId="3AC6061A">
      <w:pPr>
        <w:spacing w:line="334" w:lineRule="auto"/>
        <w:outlineLvl w:val="9"/>
        <w:rPr>
          <w:rFonts w:ascii="Arial"/>
          <w:color w:val="auto"/>
          <w:sz w:val="21"/>
          <w:highlight w:val="none"/>
        </w:rPr>
      </w:pPr>
    </w:p>
    <w:p w14:paraId="0C27FE0D">
      <w:pPr>
        <w:spacing w:before="91" w:line="219"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支付合同价款</w:t>
      </w:r>
    </w:p>
    <w:p w14:paraId="6D5FD959">
      <w:pPr>
        <w:spacing w:before="282" w:line="219" w:lineRule="auto"/>
        <w:ind w:left="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发包人应按合同约定向承包人及时支付合同价款。</w:t>
      </w:r>
    </w:p>
    <w:p w14:paraId="4E90A88D">
      <w:pPr>
        <w:spacing w:line="334" w:lineRule="auto"/>
        <w:outlineLvl w:val="9"/>
        <w:rPr>
          <w:rFonts w:ascii="Arial"/>
          <w:color w:val="auto"/>
          <w:sz w:val="21"/>
          <w:highlight w:val="none"/>
        </w:rPr>
      </w:pPr>
    </w:p>
    <w:p w14:paraId="6A8534CE">
      <w:pPr>
        <w:spacing w:before="92"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2.7</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组织竣工验收</w:t>
      </w:r>
    </w:p>
    <w:p w14:paraId="3029C784">
      <w:pPr>
        <w:spacing w:before="280" w:line="221" w:lineRule="auto"/>
        <w:ind w:left="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发包人应按合同约定及时组织竣工验收。</w:t>
      </w:r>
    </w:p>
    <w:p w14:paraId="44F60EBF">
      <w:pPr>
        <w:spacing w:line="333" w:lineRule="auto"/>
        <w:outlineLvl w:val="9"/>
        <w:rPr>
          <w:rFonts w:ascii="Arial"/>
          <w:color w:val="auto"/>
          <w:sz w:val="21"/>
          <w:highlight w:val="none"/>
        </w:rPr>
      </w:pPr>
    </w:p>
    <w:p w14:paraId="2EABEDDA">
      <w:pPr>
        <w:spacing w:before="92"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2.8</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6"/>
          <w:sz w:val="28"/>
          <w:szCs w:val="28"/>
          <w:highlight w:val="none"/>
        </w:rPr>
        <w:t>其他义务</w:t>
      </w:r>
    </w:p>
    <w:p w14:paraId="5C7E0375">
      <w:pPr>
        <w:spacing w:before="280" w:line="221" w:lineRule="auto"/>
        <w:ind w:left="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发包人应履行合同约定的其他义务。</w:t>
      </w:r>
    </w:p>
    <w:p w14:paraId="459CEF27">
      <w:pPr>
        <w:spacing w:before="172" w:line="228" w:lineRule="auto"/>
        <w:ind w:left="11"/>
        <w:outlineLvl w:val="9"/>
        <w:rPr>
          <w:rFonts w:ascii="宋体" w:hAnsi="宋体" w:eastAsia="宋体" w:cs="宋体"/>
          <w:color w:val="auto"/>
          <w:sz w:val="31"/>
          <w:szCs w:val="31"/>
          <w:highlight w:val="none"/>
        </w:rPr>
      </w:pPr>
      <w:bookmarkStart w:id="227" w:name="_Toc8586"/>
      <w:bookmarkStart w:id="228" w:name="_Toc978"/>
      <w:r>
        <w:rPr>
          <w:rFonts w:ascii="宋体" w:hAnsi="宋体" w:eastAsia="宋体" w:cs="宋体"/>
          <w:b/>
          <w:bCs/>
          <w:color w:val="auto"/>
          <w:spacing w:val="-2"/>
          <w:sz w:val="31"/>
          <w:szCs w:val="31"/>
          <w:highlight w:val="none"/>
        </w:rPr>
        <w:t>3.</w:t>
      </w:r>
      <w:r>
        <w:rPr>
          <w:rFonts w:ascii="宋体" w:hAnsi="宋体" w:eastAsia="宋体" w:cs="宋体"/>
          <w:color w:val="auto"/>
          <w:spacing w:val="26"/>
          <w:sz w:val="31"/>
          <w:szCs w:val="31"/>
          <w:highlight w:val="none"/>
        </w:rPr>
        <w:t xml:space="preserve"> </w:t>
      </w:r>
      <w:r>
        <w:rPr>
          <w:rFonts w:ascii="宋体" w:hAnsi="宋体" w:eastAsia="宋体" w:cs="宋体"/>
          <w:b/>
          <w:bCs/>
          <w:color w:val="auto"/>
          <w:spacing w:val="-2"/>
          <w:sz w:val="31"/>
          <w:szCs w:val="31"/>
          <w:highlight w:val="none"/>
        </w:rPr>
        <w:t>监理人</w:t>
      </w:r>
      <w:bookmarkEnd w:id="227"/>
      <w:bookmarkEnd w:id="228"/>
    </w:p>
    <w:p w14:paraId="64C4ADA6">
      <w:pPr>
        <w:spacing w:before="272" w:line="220"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3.1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监理人的职责和权力</w:t>
      </w:r>
    </w:p>
    <w:p w14:paraId="2E85E865">
      <w:pPr>
        <w:spacing w:before="279" w:line="290" w:lineRule="auto"/>
        <w:ind w:left="5"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3.1.1 监理人受发包人委托，享有合同约定的权力。监理</w:t>
      </w:r>
      <w:r>
        <w:rPr>
          <w:rFonts w:ascii="宋体" w:hAnsi="宋体" w:eastAsia="宋体" w:cs="宋体"/>
          <w:color w:val="auto"/>
          <w:sz w:val="21"/>
          <w:szCs w:val="21"/>
          <w:highlight w:val="none"/>
        </w:rPr>
        <w:t>人在行使某项权力前需要经发包人事 先批准而通用合同条款没有指明的，应在专用合</w:t>
      </w:r>
      <w:r>
        <w:rPr>
          <w:rFonts w:ascii="宋体" w:hAnsi="宋体" w:eastAsia="宋体" w:cs="宋体"/>
          <w:color w:val="auto"/>
          <w:spacing w:val="-1"/>
          <w:sz w:val="21"/>
          <w:szCs w:val="21"/>
          <w:highlight w:val="none"/>
        </w:rPr>
        <w:t>同条款中指明。</w:t>
      </w:r>
    </w:p>
    <w:p w14:paraId="2C7F3A7E">
      <w:pPr>
        <w:spacing w:before="157" w:line="291" w:lineRule="auto"/>
        <w:ind w:left="18" w:right="2" w:firstLine="40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3.1.2 监理人发出的任何指示应视为已得到发包人的批准</w:t>
      </w:r>
      <w:r>
        <w:rPr>
          <w:rFonts w:ascii="宋体" w:hAnsi="宋体" w:eastAsia="宋体" w:cs="宋体"/>
          <w:color w:val="auto"/>
          <w:sz w:val="21"/>
          <w:szCs w:val="21"/>
          <w:highlight w:val="none"/>
        </w:rPr>
        <w:t xml:space="preserve">，但监理人无权免除或变更合同约定 </w:t>
      </w:r>
      <w:r>
        <w:rPr>
          <w:rFonts w:ascii="宋体" w:hAnsi="宋体" w:eastAsia="宋体" w:cs="宋体"/>
          <w:color w:val="auto"/>
          <w:spacing w:val="-2"/>
          <w:sz w:val="21"/>
          <w:szCs w:val="21"/>
          <w:highlight w:val="none"/>
        </w:rPr>
        <w:t>的发包人和承包人的权利、义务和责任。</w:t>
      </w:r>
    </w:p>
    <w:p w14:paraId="30525C0B">
      <w:pPr>
        <w:spacing w:before="158" w:line="289" w:lineRule="auto"/>
        <w:ind w:right="47" w:firstLine="42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3.1.3 合同约定应由承包人承担的义务和责任，不因监理</w:t>
      </w:r>
      <w:r>
        <w:rPr>
          <w:rFonts w:ascii="宋体" w:hAnsi="宋体" w:eastAsia="宋体" w:cs="宋体"/>
          <w:color w:val="auto"/>
          <w:spacing w:val="-1"/>
          <w:sz w:val="21"/>
          <w:szCs w:val="21"/>
          <w:highlight w:val="none"/>
        </w:rPr>
        <w:t>人对承包人提交文件的审查或批准，</w:t>
      </w:r>
      <w:r>
        <w:rPr>
          <w:rFonts w:ascii="宋体" w:hAnsi="宋体" w:eastAsia="宋体" w:cs="宋体"/>
          <w:color w:val="auto"/>
          <w:sz w:val="21"/>
          <w:szCs w:val="21"/>
          <w:highlight w:val="none"/>
        </w:rPr>
        <w:t xml:space="preserve"> 对工程、材料和设备的检查和检验，以及为实施监理作</w:t>
      </w:r>
      <w:r>
        <w:rPr>
          <w:rFonts w:ascii="宋体" w:hAnsi="宋体" w:eastAsia="宋体" w:cs="宋体"/>
          <w:color w:val="auto"/>
          <w:spacing w:val="-1"/>
          <w:sz w:val="21"/>
          <w:szCs w:val="21"/>
          <w:highlight w:val="none"/>
        </w:rPr>
        <w:t>出的指示等职务行为而减轻或解除。</w:t>
      </w:r>
    </w:p>
    <w:p w14:paraId="3FE15453">
      <w:pPr>
        <w:spacing w:line="333" w:lineRule="auto"/>
        <w:outlineLvl w:val="9"/>
        <w:rPr>
          <w:rFonts w:ascii="Arial"/>
          <w:color w:val="auto"/>
          <w:sz w:val="21"/>
          <w:highlight w:val="none"/>
        </w:rPr>
      </w:pPr>
    </w:p>
    <w:p w14:paraId="2D04EE96">
      <w:pPr>
        <w:spacing w:before="92" w:line="220"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3.2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总监理工程师</w:t>
      </w:r>
    </w:p>
    <w:p w14:paraId="7F84972A">
      <w:pPr>
        <w:spacing w:before="281" w:line="345" w:lineRule="auto"/>
        <w:ind w:left="4"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发包人应在发出开工通知前将总监理工程师的任命通知承包人。总</w:t>
      </w:r>
      <w:r>
        <w:rPr>
          <w:rFonts w:ascii="宋体" w:hAnsi="宋体" w:eastAsia="宋体" w:cs="宋体"/>
          <w:color w:val="auto"/>
          <w:sz w:val="21"/>
          <w:szCs w:val="21"/>
          <w:highlight w:val="none"/>
        </w:rPr>
        <w:t xml:space="preserve">监理工程师更换时，应在调 </w:t>
      </w:r>
      <w:r>
        <w:rPr>
          <w:rFonts w:ascii="宋体" w:hAnsi="宋体" w:eastAsia="宋体" w:cs="宋体"/>
          <w:color w:val="auto"/>
          <w:spacing w:val="-8"/>
          <w:sz w:val="21"/>
          <w:szCs w:val="21"/>
          <w:highlight w:val="none"/>
        </w:rPr>
        <w:t>离</w:t>
      </w:r>
      <w:r>
        <w:rPr>
          <w:rFonts w:ascii="宋体" w:hAnsi="宋体" w:eastAsia="宋体" w:cs="宋体"/>
          <w:color w:val="auto"/>
          <w:spacing w:val="-18"/>
          <w:sz w:val="21"/>
          <w:szCs w:val="21"/>
          <w:highlight w:val="none"/>
        </w:rPr>
        <w:t xml:space="preserve"> </w:t>
      </w:r>
      <w:r>
        <w:rPr>
          <w:rFonts w:ascii="宋体" w:hAnsi="宋体" w:eastAsia="宋体" w:cs="宋体"/>
          <w:color w:val="auto"/>
          <w:spacing w:val="-8"/>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8"/>
          <w:sz w:val="21"/>
          <w:szCs w:val="21"/>
          <w:highlight w:val="none"/>
        </w:rPr>
        <w:t>天前通知承包人。总监理工程师短期离开施工场地的，应委派代表代行其职责，并通知承包人。</w:t>
      </w:r>
    </w:p>
    <w:p w14:paraId="0AEC376C">
      <w:pPr>
        <w:spacing w:before="303" w:line="221"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3.3</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6"/>
          <w:sz w:val="28"/>
          <w:szCs w:val="28"/>
          <w:highlight w:val="none"/>
        </w:rPr>
        <w:t>监理人员</w:t>
      </w:r>
    </w:p>
    <w:p w14:paraId="221D5F1B">
      <w:pPr>
        <w:spacing w:before="278" w:line="352" w:lineRule="auto"/>
        <w:ind w:firstLine="425"/>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3.3.1 总监理工程师可以授权其他监理人员负责执行其指</w:t>
      </w:r>
      <w:r>
        <w:rPr>
          <w:rFonts w:ascii="宋体" w:hAnsi="宋体" w:eastAsia="宋体" w:cs="宋体"/>
          <w:color w:val="auto"/>
          <w:sz w:val="21"/>
          <w:szCs w:val="21"/>
          <w:highlight w:val="none"/>
        </w:rPr>
        <w:t xml:space="preserve">派的一项或多项监理工作。总监理工 </w:t>
      </w:r>
      <w:r>
        <w:rPr>
          <w:rFonts w:ascii="宋体" w:hAnsi="宋体" w:eastAsia="宋体" w:cs="宋体"/>
          <w:color w:val="auto"/>
          <w:spacing w:val="1"/>
          <w:sz w:val="21"/>
          <w:szCs w:val="21"/>
          <w:highlight w:val="none"/>
        </w:rPr>
        <w:t>程师应将被授权监理人员的姓名及其授权范围通知承包人。被授权的监理人员在授</w:t>
      </w:r>
      <w:r>
        <w:rPr>
          <w:rFonts w:ascii="宋体" w:hAnsi="宋体" w:eastAsia="宋体" w:cs="宋体"/>
          <w:color w:val="auto"/>
          <w:sz w:val="21"/>
          <w:szCs w:val="21"/>
          <w:highlight w:val="none"/>
        </w:rPr>
        <w:t xml:space="preserve">权范围内发出的 </w:t>
      </w:r>
      <w:r>
        <w:rPr>
          <w:rFonts w:ascii="宋体" w:hAnsi="宋体" w:eastAsia="宋体" w:cs="宋体"/>
          <w:color w:val="auto"/>
          <w:spacing w:val="1"/>
          <w:sz w:val="21"/>
          <w:szCs w:val="21"/>
          <w:highlight w:val="none"/>
        </w:rPr>
        <w:t>指示视为已得到总监理工程师的同意，与总监理工程师发出的指示具有同等效力。</w:t>
      </w:r>
      <w:r>
        <w:rPr>
          <w:rFonts w:ascii="宋体" w:hAnsi="宋体" w:eastAsia="宋体" w:cs="宋体"/>
          <w:color w:val="auto"/>
          <w:sz w:val="21"/>
          <w:szCs w:val="21"/>
          <w:highlight w:val="none"/>
        </w:rPr>
        <w:t xml:space="preserve">总监理工程师撤 </w:t>
      </w:r>
      <w:r>
        <w:rPr>
          <w:rFonts w:ascii="宋体" w:hAnsi="宋体" w:eastAsia="宋体" w:cs="宋体"/>
          <w:color w:val="auto"/>
          <w:spacing w:val="-1"/>
          <w:sz w:val="21"/>
          <w:szCs w:val="21"/>
          <w:highlight w:val="none"/>
        </w:rPr>
        <w:t>销某项授权时，应将撤销授权的决定及时通知承包人。</w:t>
      </w:r>
    </w:p>
    <w:p w14:paraId="49196F76">
      <w:pPr>
        <w:spacing w:before="32" w:line="339" w:lineRule="auto"/>
        <w:ind w:left="3" w:right="2" w:firstLine="421"/>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3.3.2 监理人员对承包人的任何工作、工程或其采用的材</w:t>
      </w:r>
      <w:r>
        <w:rPr>
          <w:rFonts w:ascii="宋体" w:hAnsi="宋体" w:eastAsia="宋体" w:cs="宋体"/>
          <w:color w:val="auto"/>
          <w:sz w:val="21"/>
          <w:szCs w:val="21"/>
          <w:highlight w:val="none"/>
        </w:rPr>
        <w:t xml:space="preserve">料和工程设备未在约定的或合理的期 </w:t>
      </w:r>
      <w:r>
        <w:rPr>
          <w:rFonts w:ascii="宋体" w:hAnsi="宋体" w:eastAsia="宋体" w:cs="宋体"/>
          <w:color w:val="auto"/>
          <w:spacing w:val="1"/>
          <w:sz w:val="21"/>
          <w:szCs w:val="21"/>
          <w:highlight w:val="none"/>
        </w:rPr>
        <w:t>限内提出否定意见的，视为已获批准，但不影响监</w:t>
      </w:r>
      <w:r>
        <w:rPr>
          <w:rFonts w:ascii="宋体" w:hAnsi="宋体" w:eastAsia="宋体" w:cs="宋体"/>
          <w:color w:val="auto"/>
          <w:sz w:val="21"/>
          <w:szCs w:val="21"/>
          <w:highlight w:val="none"/>
        </w:rPr>
        <w:t xml:space="preserve">理人在以后拒绝该项工作、工程、材料或工程设 </w:t>
      </w:r>
      <w:r>
        <w:rPr>
          <w:rFonts w:ascii="宋体" w:hAnsi="宋体" w:eastAsia="宋体" w:cs="宋体"/>
          <w:color w:val="auto"/>
          <w:spacing w:val="-5"/>
          <w:sz w:val="21"/>
          <w:szCs w:val="21"/>
          <w:highlight w:val="none"/>
        </w:rPr>
        <w:t>备的权利。</w:t>
      </w:r>
    </w:p>
    <w:p w14:paraId="68630F74">
      <w:pPr>
        <w:spacing w:before="41" w:line="290" w:lineRule="auto"/>
        <w:ind w:left="1" w:right="197"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3.3.3 承包人对总监理工程师授权的监理人员发出的指示</w:t>
      </w:r>
      <w:r>
        <w:rPr>
          <w:rFonts w:ascii="宋体" w:hAnsi="宋体" w:eastAsia="宋体" w:cs="宋体"/>
          <w:color w:val="auto"/>
          <w:sz w:val="21"/>
          <w:szCs w:val="21"/>
          <w:highlight w:val="none"/>
        </w:rPr>
        <w:t xml:space="preserve">有疑问的，可向总监理工程师提出书 </w:t>
      </w:r>
      <w:r>
        <w:rPr>
          <w:rFonts w:ascii="宋体" w:hAnsi="宋体" w:eastAsia="宋体" w:cs="宋体"/>
          <w:color w:val="auto"/>
          <w:spacing w:val="-1"/>
          <w:sz w:val="21"/>
          <w:szCs w:val="21"/>
          <w:highlight w:val="none"/>
        </w:rPr>
        <w:t>面异议，总监理工程师应在</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48</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小时内对该指示予以确</w:t>
      </w:r>
      <w:r>
        <w:rPr>
          <w:rFonts w:ascii="宋体" w:hAnsi="宋体" w:eastAsia="宋体" w:cs="宋体"/>
          <w:color w:val="auto"/>
          <w:spacing w:val="-2"/>
          <w:sz w:val="21"/>
          <w:szCs w:val="21"/>
          <w:highlight w:val="none"/>
        </w:rPr>
        <w:t>认、更改或撤销。</w:t>
      </w:r>
    </w:p>
    <w:p w14:paraId="003A2F3C">
      <w:pPr>
        <w:spacing w:before="156" w:line="290" w:lineRule="auto"/>
        <w:ind w:right="194"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3.3.4 除专用合同条款另有约定外，总监理工程师不应将第</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款约定应由总监理工程师作出</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确定的权力授权或委托给其他监理人员。</w:t>
      </w:r>
    </w:p>
    <w:p w14:paraId="1F3FBAAD">
      <w:pPr>
        <w:spacing w:line="336" w:lineRule="auto"/>
        <w:outlineLvl w:val="9"/>
        <w:rPr>
          <w:rFonts w:ascii="Arial"/>
          <w:color w:val="auto"/>
          <w:sz w:val="21"/>
          <w:highlight w:val="none"/>
        </w:rPr>
      </w:pPr>
    </w:p>
    <w:p w14:paraId="47A7DF9D">
      <w:pPr>
        <w:spacing w:before="91" w:line="221"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3.4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监理人的指示</w:t>
      </w:r>
    </w:p>
    <w:p w14:paraId="54AFF71D">
      <w:pPr>
        <w:spacing w:before="278" w:line="289" w:lineRule="auto"/>
        <w:ind w:right="194"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3.4.1 监理人应按第</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3.1</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款的约定向承包人发出指示，监理人的指示应盖有监理人授权的施工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场地机构章，并由总监理工程师或总监理工程师按第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3.3.1</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项约定授权的监理人员签字。</w:t>
      </w:r>
    </w:p>
    <w:p w14:paraId="2A0B7BFB">
      <w:pPr>
        <w:spacing w:before="157" w:line="290" w:lineRule="auto"/>
        <w:ind w:left="2" w:right="194"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3.4.2 承包人收到监理人按第</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3.4.1</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项作出的指示</w:t>
      </w:r>
      <w:r>
        <w:rPr>
          <w:rFonts w:ascii="宋体" w:hAnsi="宋体" w:eastAsia="宋体" w:cs="宋体"/>
          <w:color w:val="auto"/>
          <w:spacing w:val="-2"/>
          <w:sz w:val="21"/>
          <w:szCs w:val="21"/>
          <w:highlight w:val="none"/>
        </w:rPr>
        <w:t>后应遵照执行。指示构成变更的，应按第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条处理。</w:t>
      </w:r>
    </w:p>
    <w:p w14:paraId="39EAB182">
      <w:pPr>
        <w:spacing w:before="161" w:line="312" w:lineRule="auto"/>
        <w:ind w:right="196"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3.4.3 在紧急情况下，总监理工程师或被授权的监理人员</w:t>
      </w:r>
      <w:r>
        <w:rPr>
          <w:rFonts w:ascii="宋体" w:hAnsi="宋体" w:eastAsia="宋体" w:cs="宋体"/>
          <w:color w:val="auto"/>
          <w:sz w:val="21"/>
          <w:szCs w:val="21"/>
          <w:highlight w:val="none"/>
        </w:rPr>
        <w:t xml:space="preserve">可以当场签发临时书面指示，承包人 </w:t>
      </w:r>
      <w:r>
        <w:rPr>
          <w:rFonts w:ascii="宋体" w:hAnsi="宋体" w:eastAsia="宋体" w:cs="宋体"/>
          <w:color w:val="auto"/>
          <w:spacing w:val="-1"/>
          <w:sz w:val="21"/>
          <w:szCs w:val="21"/>
          <w:highlight w:val="none"/>
        </w:rPr>
        <w:t>应遵照执行。承包人应在收到上述临时书面指示后24</w:t>
      </w:r>
      <w:r>
        <w:rPr>
          <w:rFonts w:ascii="宋体" w:hAnsi="宋体" w:eastAsia="宋体" w:cs="宋体"/>
          <w:color w:val="auto"/>
          <w:spacing w:val="-27"/>
          <w:sz w:val="21"/>
          <w:szCs w:val="21"/>
          <w:highlight w:val="none"/>
        </w:rPr>
        <w:t xml:space="preserve"> </w:t>
      </w:r>
      <w:r>
        <w:rPr>
          <w:rFonts w:ascii="宋体" w:hAnsi="宋体" w:eastAsia="宋体" w:cs="宋体"/>
          <w:color w:val="auto"/>
          <w:spacing w:val="-1"/>
          <w:sz w:val="21"/>
          <w:szCs w:val="21"/>
          <w:highlight w:val="none"/>
        </w:rPr>
        <w:t>小时内，向监理人发出书面确认函。监理人在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收到书面确认函后</w:t>
      </w:r>
      <w:r>
        <w:rPr>
          <w:rFonts w:ascii="宋体" w:hAnsi="宋体" w:eastAsia="宋体" w:cs="宋体"/>
          <w:color w:val="auto"/>
          <w:spacing w:val="-32"/>
          <w:sz w:val="21"/>
          <w:szCs w:val="21"/>
          <w:highlight w:val="none"/>
        </w:rPr>
        <w:t xml:space="preserve"> </w:t>
      </w:r>
      <w:r>
        <w:rPr>
          <w:rFonts w:ascii="宋体" w:hAnsi="宋体" w:eastAsia="宋体" w:cs="宋体"/>
          <w:color w:val="auto"/>
          <w:spacing w:val="-1"/>
          <w:sz w:val="21"/>
          <w:szCs w:val="21"/>
          <w:highlight w:val="none"/>
        </w:rPr>
        <w:t>24</w:t>
      </w:r>
      <w:r>
        <w:rPr>
          <w:rFonts w:ascii="宋体" w:hAnsi="宋体" w:eastAsia="宋体" w:cs="宋体"/>
          <w:color w:val="auto"/>
          <w:spacing w:val="-38"/>
          <w:sz w:val="21"/>
          <w:szCs w:val="21"/>
          <w:highlight w:val="none"/>
        </w:rPr>
        <w:t xml:space="preserve"> </w:t>
      </w:r>
      <w:r>
        <w:rPr>
          <w:rFonts w:ascii="宋体" w:hAnsi="宋体" w:eastAsia="宋体" w:cs="宋体"/>
          <w:color w:val="auto"/>
          <w:spacing w:val="-1"/>
          <w:sz w:val="21"/>
          <w:szCs w:val="21"/>
          <w:highlight w:val="none"/>
        </w:rPr>
        <w:t>小时内未予答复的，该书面确认函应被视为监理人的正式指示。</w:t>
      </w:r>
    </w:p>
    <w:p w14:paraId="0C7ECBD2">
      <w:pPr>
        <w:spacing w:before="159" w:line="290" w:lineRule="auto"/>
        <w:ind w:left="3" w:right="194"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3.4.4 除合同另有约定外，承包人只从总监理工程师或按第</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3.3.1</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项被授权的监理人员处取得</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指示。</w:t>
      </w:r>
    </w:p>
    <w:p w14:paraId="20D4E1D3">
      <w:pPr>
        <w:spacing w:before="157" w:line="290" w:lineRule="auto"/>
        <w:ind w:left="3" w:firstLine="42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3.4.5</w:t>
      </w:r>
      <w:r>
        <w:rPr>
          <w:rFonts w:ascii="宋体" w:hAnsi="宋体" w:eastAsia="宋体" w:cs="宋体"/>
          <w:color w:val="auto"/>
          <w:spacing w:val="31"/>
          <w:sz w:val="21"/>
          <w:szCs w:val="21"/>
          <w:highlight w:val="none"/>
        </w:rPr>
        <w:t xml:space="preserve"> </w:t>
      </w:r>
      <w:r>
        <w:rPr>
          <w:rFonts w:ascii="宋体" w:hAnsi="宋体" w:eastAsia="宋体" w:cs="宋体"/>
          <w:color w:val="auto"/>
          <w:spacing w:val="-5"/>
          <w:sz w:val="21"/>
          <w:szCs w:val="21"/>
          <w:highlight w:val="none"/>
        </w:rPr>
        <w:t>由于监理人未能按合同约定发出指示、指示延误或指示错误而导致承包人费用增加和（或）</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工期延误的，由发包人承担赔偿责任。</w:t>
      </w:r>
    </w:p>
    <w:p w14:paraId="657A98B0">
      <w:pPr>
        <w:spacing w:line="332" w:lineRule="auto"/>
        <w:outlineLvl w:val="9"/>
        <w:rPr>
          <w:rFonts w:ascii="Arial"/>
          <w:color w:val="auto"/>
          <w:sz w:val="21"/>
          <w:highlight w:val="none"/>
        </w:rPr>
      </w:pPr>
    </w:p>
    <w:p w14:paraId="0D4CE881">
      <w:pPr>
        <w:spacing w:before="92" w:line="221"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3.5</w:t>
      </w:r>
      <w:r>
        <w:rPr>
          <w:rFonts w:ascii="宋体" w:hAnsi="宋体" w:eastAsia="宋体" w:cs="宋体"/>
          <w:color w:val="auto"/>
          <w:spacing w:val="19"/>
          <w:sz w:val="28"/>
          <w:szCs w:val="28"/>
          <w:highlight w:val="none"/>
        </w:rPr>
        <w:t xml:space="preserve"> </w:t>
      </w:r>
      <w:r>
        <w:rPr>
          <w:rFonts w:ascii="宋体" w:hAnsi="宋体" w:eastAsia="宋体" w:cs="宋体"/>
          <w:b/>
          <w:bCs/>
          <w:color w:val="auto"/>
          <w:spacing w:val="-6"/>
          <w:sz w:val="28"/>
          <w:szCs w:val="28"/>
          <w:highlight w:val="none"/>
        </w:rPr>
        <w:t>商定或确定</w:t>
      </w:r>
    </w:p>
    <w:p w14:paraId="2B197D88">
      <w:pPr>
        <w:spacing w:before="280" w:line="289" w:lineRule="auto"/>
        <w:ind w:left="21" w:right="197" w:firstLine="40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3.5.1 合同约定总监理工程师应按照本款对任何事项进行</w:t>
      </w:r>
      <w:r>
        <w:rPr>
          <w:rFonts w:ascii="宋体" w:hAnsi="宋体" w:eastAsia="宋体" w:cs="宋体"/>
          <w:color w:val="auto"/>
          <w:sz w:val="21"/>
          <w:szCs w:val="21"/>
          <w:highlight w:val="none"/>
        </w:rPr>
        <w:t xml:space="preserve">商定或确定时，总监理工程师应与合 </w:t>
      </w:r>
      <w:r>
        <w:rPr>
          <w:rFonts w:ascii="宋体" w:hAnsi="宋体" w:eastAsia="宋体" w:cs="宋体"/>
          <w:color w:val="auto"/>
          <w:spacing w:val="-1"/>
          <w:sz w:val="21"/>
          <w:szCs w:val="21"/>
          <w:highlight w:val="none"/>
        </w:rPr>
        <w:t>同当事人协商，尽量达成一致。不能达成一致的，总监理工程师应认真研究后审慎确定。</w:t>
      </w:r>
    </w:p>
    <w:p w14:paraId="04C7831D">
      <w:pPr>
        <w:spacing w:before="159" w:line="313" w:lineRule="auto"/>
        <w:ind w:right="194" w:firstLine="42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3.5.2 总监理工程师应将商定或确定的事项通知合同当事人，并附详细依据。对总监理工程师</w:t>
      </w:r>
      <w:r>
        <w:rPr>
          <w:rFonts w:ascii="宋体" w:hAnsi="宋体" w:eastAsia="宋体" w:cs="宋体"/>
          <w:color w:val="auto"/>
          <w:spacing w:val="17"/>
          <w:sz w:val="21"/>
          <w:szCs w:val="21"/>
          <w:highlight w:val="none"/>
        </w:rPr>
        <w:t xml:space="preserve"> </w:t>
      </w:r>
      <w:r>
        <w:rPr>
          <w:rFonts w:ascii="宋体" w:hAnsi="宋体" w:eastAsia="宋体" w:cs="宋体"/>
          <w:color w:val="auto"/>
          <w:spacing w:val="-2"/>
          <w:sz w:val="21"/>
          <w:szCs w:val="21"/>
          <w:highlight w:val="none"/>
        </w:rPr>
        <w:t>的确定有异议的，构成争议，按照第</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24</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条的约定处理。在争议解决前，双方应暂按总监理工程师的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确定执行，按照第</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24</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条的约定对总监理工程师的确定作出修改的，按修改后的结果执行。</w:t>
      </w:r>
    </w:p>
    <w:p w14:paraId="2712E06E">
      <w:pPr>
        <w:spacing w:before="172" w:line="225" w:lineRule="auto"/>
        <w:ind w:left="3"/>
        <w:outlineLvl w:val="9"/>
        <w:rPr>
          <w:rFonts w:ascii="宋体" w:hAnsi="宋体" w:eastAsia="宋体" w:cs="宋体"/>
          <w:color w:val="auto"/>
          <w:sz w:val="31"/>
          <w:szCs w:val="31"/>
          <w:highlight w:val="none"/>
        </w:rPr>
      </w:pPr>
      <w:bookmarkStart w:id="229" w:name="_Toc4557"/>
      <w:bookmarkStart w:id="230" w:name="_Toc5008"/>
      <w:r>
        <w:rPr>
          <w:rFonts w:ascii="宋体" w:hAnsi="宋体" w:eastAsia="宋体" w:cs="宋体"/>
          <w:b/>
          <w:bCs/>
          <w:color w:val="auto"/>
          <w:sz w:val="31"/>
          <w:szCs w:val="31"/>
          <w:highlight w:val="none"/>
        </w:rPr>
        <w:t>4.</w:t>
      </w:r>
      <w:r>
        <w:rPr>
          <w:rFonts w:ascii="宋体" w:hAnsi="宋体" w:eastAsia="宋体" w:cs="宋体"/>
          <w:color w:val="auto"/>
          <w:spacing w:val="23"/>
          <w:sz w:val="31"/>
          <w:szCs w:val="31"/>
          <w:highlight w:val="none"/>
        </w:rPr>
        <w:t xml:space="preserve"> </w:t>
      </w:r>
      <w:r>
        <w:rPr>
          <w:rFonts w:ascii="宋体" w:hAnsi="宋体" w:eastAsia="宋体" w:cs="宋体"/>
          <w:b/>
          <w:bCs/>
          <w:color w:val="auto"/>
          <w:sz w:val="31"/>
          <w:szCs w:val="31"/>
          <w:highlight w:val="none"/>
        </w:rPr>
        <w:t>承包人</w:t>
      </w:r>
      <w:bookmarkEnd w:id="229"/>
      <w:bookmarkEnd w:id="230"/>
    </w:p>
    <w:p w14:paraId="29D33423">
      <w:pPr>
        <w:spacing w:before="277" w:line="220"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承包人的一般义务</w:t>
      </w:r>
    </w:p>
    <w:p w14:paraId="77D28FD3">
      <w:pPr>
        <w:spacing w:before="280"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遵守法律</w:t>
      </w:r>
    </w:p>
    <w:p w14:paraId="0AD160AC">
      <w:pPr>
        <w:spacing w:before="158" w:line="345" w:lineRule="auto"/>
        <w:ind w:left="8" w:right="197" w:firstLine="41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承包人在履行合同过程中应遵守法律，并保证发包人免于承担因承包人违反</w:t>
      </w:r>
      <w:r>
        <w:rPr>
          <w:rFonts w:ascii="宋体" w:hAnsi="宋体" w:eastAsia="宋体" w:cs="宋体"/>
          <w:color w:val="auto"/>
          <w:sz w:val="21"/>
          <w:szCs w:val="21"/>
          <w:highlight w:val="none"/>
        </w:rPr>
        <w:t xml:space="preserve">法律而引起的任何 </w:t>
      </w:r>
      <w:r>
        <w:rPr>
          <w:rFonts w:ascii="宋体" w:hAnsi="宋体" w:eastAsia="宋体" w:cs="宋体"/>
          <w:color w:val="auto"/>
          <w:spacing w:val="-10"/>
          <w:sz w:val="21"/>
          <w:szCs w:val="21"/>
          <w:highlight w:val="none"/>
        </w:rPr>
        <w:t>责任。</w:t>
      </w:r>
    </w:p>
    <w:p w14:paraId="6DFB74F8">
      <w:pPr>
        <w:spacing w:before="31" w:line="220"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依法纳税</w:t>
      </w:r>
    </w:p>
    <w:p w14:paraId="63519F34">
      <w:pPr>
        <w:spacing w:before="160" w:line="219"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承包人应按有关法律规定纳税，应缴纳的税金包括在合同价格内。</w:t>
      </w:r>
    </w:p>
    <w:p w14:paraId="75B103BB">
      <w:pPr>
        <w:spacing w:before="158"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完成各项承包工作</w:t>
      </w:r>
    </w:p>
    <w:p w14:paraId="7C733D92">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承包人应按合同约定以及监理人根据第</w:t>
      </w:r>
      <w:r>
        <w:rPr>
          <w:rFonts w:ascii="宋体" w:hAnsi="宋体" w:eastAsia="宋体" w:cs="宋体"/>
          <w:color w:val="auto"/>
          <w:spacing w:val="-21"/>
          <w:sz w:val="21"/>
          <w:szCs w:val="21"/>
          <w:highlight w:val="none"/>
        </w:rPr>
        <w:t xml:space="preserve"> </w:t>
      </w:r>
      <w:r>
        <w:rPr>
          <w:rFonts w:ascii="宋体" w:hAnsi="宋体" w:eastAsia="宋体" w:cs="宋体"/>
          <w:color w:val="auto"/>
          <w:sz w:val="21"/>
          <w:szCs w:val="21"/>
          <w:highlight w:val="none"/>
        </w:rPr>
        <w:t>3.4</w:t>
      </w:r>
      <w:r>
        <w:rPr>
          <w:rFonts w:ascii="宋体" w:hAnsi="宋体" w:eastAsia="宋体" w:cs="宋体"/>
          <w:color w:val="auto"/>
          <w:spacing w:val="-26"/>
          <w:sz w:val="21"/>
          <w:szCs w:val="21"/>
          <w:highlight w:val="none"/>
        </w:rPr>
        <w:t xml:space="preserve"> </w:t>
      </w:r>
      <w:r>
        <w:rPr>
          <w:rFonts w:ascii="宋体" w:hAnsi="宋体" w:eastAsia="宋体" w:cs="宋体"/>
          <w:color w:val="auto"/>
          <w:sz w:val="21"/>
          <w:szCs w:val="21"/>
          <w:highlight w:val="none"/>
        </w:rPr>
        <w:t>款</w:t>
      </w:r>
      <w:r>
        <w:rPr>
          <w:rFonts w:ascii="宋体" w:hAnsi="宋体" w:eastAsia="宋体" w:cs="宋体"/>
          <w:color w:val="auto"/>
          <w:spacing w:val="-1"/>
          <w:sz w:val="21"/>
          <w:szCs w:val="21"/>
          <w:highlight w:val="none"/>
        </w:rPr>
        <w:t>作出的指示，实施、完成全部工程，并修补工程</w:t>
      </w:r>
    </w:p>
    <w:p w14:paraId="19FC1AEC">
      <w:pPr>
        <w:spacing w:before="41" w:line="350" w:lineRule="auto"/>
        <w:ind w:left="3" w:right="1" w:firstLine="17"/>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中的任何缺陷。除专用合同条款另有约定外，承包人应提供为完成合同工作所需的劳务、材料、施</w:t>
      </w:r>
      <w:r>
        <w:rPr>
          <w:rFonts w:ascii="宋体" w:hAnsi="宋体" w:eastAsia="宋体" w:cs="宋体"/>
          <w:color w:val="auto"/>
          <w:spacing w:val="15"/>
          <w:sz w:val="21"/>
          <w:szCs w:val="21"/>
          <w:highlight w:val="none"/>
        </w:rPr>
        <w:t xml:space="preserve"> </w:t>
      </w:r>
      <w:r>
        <w:rPr>
          <w:rFonts w:ascii="宋体" w:hAnsi="宋体" w:eastAsia="宋体" w:cs="宋体"/>
          <w:color w:val="auto"/>
          <w:spacing w:val="1"/>
          <w:sz w:val="21"/>
          <w:szCs w:val="21"/>
          <w:highlight w:val="none"/>
        </w:rPr>
        <w:t>工设备、工程设备和其他物品，并按合同约定负责临时设施的设计、建造</w:t>
      </w:r>
      <w:r>
        <w:rPr>
          <w:rFonts w:ascii="宋体" w:hAnsi="宋体" w:eastAsia="宋体" w:cs="宋体"/>
          <w:color w:val="auto"/>
          <w:sz w:val="21"/>
          <w:szCs w:val="21"/>
          <w:highlight w:val="none"/>
        </w:rPr>
        <w:t xml:space="preserve">、运行、维护、管理和拆 </w:t>
      </w:r>
      <w:r>
        <w:rPr>
          <w:rFonts w:ascii="宋体" w:hAnsi="宋体" w:eastAsia="宋体" w:cs="宋体"/>
          <w:color w:val="auto"/>
          <w:spacing w:val="-10"/>
          <w:sz w:val="21"/>
          <w:szCs w:val="21"/>
          <w:highlight w:val="none"/>
        </w:rPr>
        <w:t>除。</w:t>
      </w:r>
    </w:p>
    <w:p w14:paraId="0F28974B">
      <w:pPr>
        <w:spacing w:before="30"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4.1.4</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对施工作业和施工方法的完备性负责</w:t>
      </w:r>
    </w:p>
    <w:p w14:paraId="49A45A26">
      <w:pPr>
        <w:spacing w:before="159" w:line="345" w:lineRule="auto"/>
        <w:ind w:left="1"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承包人应按合同约定的工作内容和施工进度要求，编制施工组织设计和施工</w:t>
      </w:r>
      <w:r>
        <w:rPr>
          <w:rFonts w:ascii="宋体" w:hAnsi="宋体" w:eastAsia="宋体" w:cs="宋体"/>
          <w:color w:val="auto"/>
          <w:sz w:val="21"/>
          <w:szCs w:val="21"/>
          <w:highlight w:val="none"/>
        </w:rPr>
        <w:t xml:space="preserve">措施计划，并对所 </w:t>
      </w:r>
      <w:r>
        <w:rPr>
          <w:rFonts w:ascii="宋体" w:hAnsi="宋体" w:eastAsia="宋体" w:cs="宋体"/>
          <w:color w:val="auto"/>
          <w:spacing w:val="-1"/>
          <w:sz w:val="21"/>
          <w:szCs w:val="21"/>
          <w:highlight w:val="none"/>
        </w:rPr>
        <w:t>有施工作业和施工方法的完备性和安全可靠性负责。</w:t>
      </w:r>
    </w:p>
    <w:p w14:paraId="738570AC">
      <w:pPr>
        <w:spacing w:before="31"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4.1.5</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保证工程施工和人员的安全</w:t>
      </w:r>
    </w:p>
    <w:p w14:paraId="4EA9FA66">
      <w:pPr>
        <w:spacing w:before="156" w:line="347" w:lineRule="auto"/>
        <w:ind w:left="14" w:right="46" w:firstLine="40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9.2</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款约定采取施工安全措</w:t>
      </w:r>
      <w:r>
        <w:rPr>
          <w:rFonts w:ascii="宋体" w:hAnsi="宋体" w:eastAsia="宋体" w:cs="宋体"/>
          <w:color w:val="auto"/>
          <w:spacing w:val="-2"/>
          <w:sz w:val="21"/>
          <w:szCs w:val="21"/>
          <w:highlight w:val="none"/>
        </w:rPr>
        <w:t>施，确保工程及其人员、材料、设备和设施的安全，</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防止因工程施工造成的人身伤害和财产损失。</w:t>
      </w:r>
    </w:p>
    <w:p w14:paraId="2C16394F">
      <w:pPr>
        <w:spacing w:before="28"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4.1.6</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负责施工场地及其周边环境与生态的保护工作</w:t>
      </w:r>
    </w:p>
    <w:p w14:paraId="053C8543">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承包人应按照第</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9.4</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款约定负责施工场地及其周边环境与生态的保护工作。</w:t>
      </w:r>
    </w:p>
    <w:p w14:paraId="6E207475">
      <w:pPr>
        <w:spacing w:before="157"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4.1.7</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避免施工对公众与他人的利益造成损害</w:t>
      </w:r>
    </w:p>
    <w:p w14:paraId="6AAA3250">
      <w:pPr>
        <w:spacing w:before="156" w:line="351" w:lineRule="auto"/>
        <w:ind w:left="2" w:right="1" w:firstLine="418"/>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承包人在进行合同约定的各项工作时，不得侵害发包人与他人使用公用道路、水源、市政管网</w:t>
      </w:r>
      <w:r>
        <w:rPr>
          <w:rFonts w:ascii="宋体" w:hAnsi="宋体" w:eastAsia="宋体" w:cs="宋体"/>
          <w:color w:val="auto"/>
          <w:spacing w:val="12"/>
          <w:sz w:val="21"/>
          <w:szCs w:val="21"/>
          <w:highlight w:val="none"/>
        </w:rPr>
        <w:t xml:space="preserve"> </w:t>
      </w:r>
      <w:r>
        <w:rPr>
          <w:rFonts w:ascii="宋体" w:hAnsi="宋体" w:eastAsia="宋体" w:cs="宋体"/>
          <w:color w:val="auto"/>
          <w:spacing w:val="1"/>
          <w:sz w:val="21"/>
          <w:szCs w:val="21"/>
          <w:highlight w:val="none"/>
        </w:rPr>
        <w:t>等公共设施的权利，避免对邻近的公共设施产生干扰。承包人占用或使用他</w:t>
      </w:r>
      <w:r>
        <w:rPr>
          <w:rFonts w:ascii="宋体" w:hAnsi="宋体" w:eastAsia="宋体" w:cs="宋体"/>
          <w:color w:val="auto"/>
          <w:sz w:val="21"/>
          <w:szCs w:val="21"/>
          <w:highlight w:val="none"/>
        </w:rPr>
        <w:t xml:space="preserve">人的施工场地，影响他 </w:t>
      </w:r>
      <w:r>
        <w:rPr>
          <w:rFonts w:ascii="宋体" w:hAnsi="宋体" w:eastAsia="宋体" w:cs="宋体"/>
          <w:color w:val="auto"/>
          <w:spacing w:val="-2"/>
          <w:sz w:val="21"/>
          <w:szCs w:val="21"/>
          <w:highlight w:val="none"/>
        </w:rPr>
        <w:t>人作业或生活的，应承担相应责任。</w:t>
      </w:r>
    </w:p>
    <w:p w14:paraId="25D31121">
      <w:pPr>
        <w:spacing w:before="29" w:line="220"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4.1.8</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为他人提供方便</w:t>
      </w:r>
    </w:p>
    <w:p w14:paraId="2B18FFE0">
      <w:pPr>
        <w:spacing w:before="158" w:line="351" w:lineRule="auto"/>
        <w:ind w:left="2" w:firstLine="418"/>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承包人应按监理人的指示为他人在施工场地或附近实施与工程有关的其他</w:t>
      </w:r>
      <w:r>
        <w:rPr>
          <w:rFonts w:ascii="宋体" w:hAnsi="宋体" w:eastAsia="宋体" w:cs="宋体"/>
          <w:color w:val="auto"/>
          <w:sz w:val="21"/>
          <w:szCs w:val="21"/>
          <w:highlight w:val="none"/>
        </w:rPr>
        <w:t>各项工作提供可能的 条件。除合同另有约定外，提供有关条件的内</w:t>
      </w:r>
      <w:r>
        <w:rPr>
          <w:rFonts w:ascii="宋体" w:hAnsi="宋体" w:eastAsia="宋体" w:cs="宋体"/>
          <w:color w:val="auto"/>
          <w:spacing w:val="-1"/>
          <w:sz w:val="21"/>
          <w:szCs w:val="21"/>
          <w:highlight w:val="none"/>
        </w:rPr>
        <w:t>容和可能发生的费用，由监理人按第</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款商定或确</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定。</w:t>
      </w:r>
    </w:p>
    <w:p w14:paraId="16D971CB">
      <w:pPr>
        <w:spacing w:before="29"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4.1.9</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工程的维护和照管</w:t>
      </w:r>
    </w:p>
    <w:p w14:paraId="0FE2177A">
      <w:pPr>
        <w:spacing w:before="157" w:line="345" w:lineRule="auto"/>
        <w:ind w:right="2"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工程接收证书颁发前，承包人应负责照管和维护工程。工程接收证书颁</w:t>
      </w:r>
      <w:r>
        <w:rPr>
          <w:rFonts w:ascii="宋体" w:hAnsi="宋体" w:eastAsia="宋体" w:cs="宋体"/>
          <w:color w:val="auto"/>
          <w:sz w:val="21"/>
          <w:szCs w:val="21"/>
          <w:highlight w:val="none"/>
        </w:rPr>
        <w:t>发时尚有部分未竣工工 程的，承包人还应负责该未竣工工程的照管和维护工作，直至竣工后移交给发包人为止。</w:t>
      </w:r>
    </w:p>
    <w:p w14:paraId="015F47A6">
      <w:pPr>
        <w:spacing w:before="33" w:line="221" w:lineRule="auto"/>
        <w:ind w:left="412"/>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4.1.10</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其他义务</w:t>
      </w:r>
    </w:p>
    <w:p w14:paraId="01372E85">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承包人应履行合同约定的其他义务。</w:t>
      </w:r>
    </w:p>
    <w:p w14:paraId="2343E00E">
      <w:pPr>
        <w:spacing w:line="332" w:lineRule="auto"/>
        <w:outlineLvl w:val="9"/>
        <w:rPr>
          <w:rFonts w:ascii="Arial"/>
          <w:color w:val="auto"/>
          <w:sz w:val="21"/>
          <w:highlight w:val="none"/>
        </w:rPr>
      </w:pPr>
    </w:p>
    <w:p w14:paraId="1D19DE50">
      <w:pPr>
        <w:spacing w:before="91" w:line="221"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4.2</w:t>
      </w:r>
      <w:r>
        <w:rPr>
          <w:rFonts w:ascii="宋体" w:hAnsi="宋体" w:eastAsia="宋体" w:cs="宋体"/>
          <w:color w:val="auto"/>
          <w:spacing w:val="23"/>
          <w:sz w:val="28"/>
          <w:szCs w:val="28"/>
          <w:highlight w:val="none"/>
        </w:rPr>
        <w:t xml:space="preserve"> </w:t>
      </w:r>
      <w:r>
        <w:rPr>
          <w:rFonts w:ascii="宋体" w:hAnsi="宋体" w:eastAsia="宋体" w:cs="宋体"/>
          <w:b/>
          <w:bCs/>
          <w:color w:val="auto"/>
          <w:spacing w:val="-6"/>
          <w:sz w:val="28"/>
          <w:szCs w:val="28"/>
          <w:highlight w:val="none"/>
        </w:rPr>
        <w:t>履约担保</w:t>
      </w:r>
    </w:p>
    <w:p w14:paraId="1BB374B9">
      <w:pPr>
        <w:spacing w:before="280" w:line="345" w:lineRule="auto"/>
        <w:ind w:left="4"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承包人应保证其履约担保在发包人颁发工程接收证书前一直有效。发包人</w:t>
      </w:r>
      <w:r>
        <w:rPr>
          <w:rFonts w:ascii="宋体" w:hAnsi="宋体" w:eastAsia="宋体" w:cs="宋体"/>
          <w:color w:val="auto"/>
          <w:sz w:val="21"/>
          <w:szCs w:val="21"/>
          <w:highlight w:val="none"/>
        </w:rPr>
        <w:t xml:space="preserve">应在工程接收证书颁 </w:t>
      </w:r>
      <w:r>
        <w:rPr>
          <w:rFonts w:ascii="宋体" w:hAnsi="宋体" w:eastAsia="宋体" w:cs="宋体"/>
          <w:color w:val="auto"/>
          <w:spacing w:val="-2"/>
          <w:sz w:val="21"/>
          <w:szCs w:val="21"/>
          <w:highlight w:val="none"/>
        </w:rPr>
        <w:t>发后</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天内把履约担保退还给承包人。</w:t>
      </w:r>
    </w:p>
    <w:p w14:paraId="1D098BE1">
      <w:pPr>
        <w:spacing w:before="300" w:line="221"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4.3</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6"/>
          <w:sz w:val="28"/>
          <w:szCs w:val="28"/>
          <w:highlight w:val="none"/>
        </w:rPr>
        <w:t>分包</w:t>
      </w:r>
    </w:p>
    <w:p w14:paraId="53ABD219">
      <w:pPr>
        <w:spacing w:before="279" w:line="291" w:lineRule="auto"/>
        <w:ind w:left="3" w:right="4"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4.3.1 承包人不得将其承包的全部工程转包给第三人，或将其承包的</w:t>
      </w:r>
      <w:r>
        <w:rPr>
          <w:rFonts w:ascii="宋体" w:hAnsi="宋体" w:eastAsia="宋体" w:cs="宋体"/>
          <w:color w:val="auto"/>
          <w:sz w:val="21"/>
          <w:szCs w:val="21"/>
          <w:highlight w:val="none"/>
        </w:rPr>
        <w:t xml:space="preserve">全部工程肢解后以分包的 </w:t>
      </w:r>
      <w:r>
        <w:rPr>
          <w:rFonts w:ascii="宋体" w:hAnsi="宋体" w:eastAsia="宋体" w:cs="宋体"/>
          <w:color w:val="auto"/>
          <w:spacing w:val="-3"/>
          <w:sz w:val="21"/>
          <w:szCs w:val="21"/>
          <w:highlight w:val="none"/>
        </w:rPr>
        <w:t>名义转包给第三人。</w:t>
      </w:r>
    </w:p>
    <w:p w14:paraId="5F10C734">
      <w:pPr>
        <w:spacing w:before="156" w:line="290" w:lineRule="auto"/>
        <w:ind w:left="4" w:right="4" w:firstLine="41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4.3.2 承包人不得将工程主体、关键性工作分包给第三人。除专用合</w:t>
      </w:r>
      <w:r>
        <w:rPr>
          <w:rFonts w:ascii="宋体" w:hAnsi="宋体" w:eastAsia="宋体" w:cs="宋体"/>
          <w:color w:val="auto"/>
          <w:sz w:val="21"/>
          <w:szCs w:val="21"/>
          <w:highlight w:val="none"/>
        </w:rPr>
        <w:t xml:space="preserve">同条款另有约定外，未经 </w:t>
      </w:r>
      <w:r>
        <w:rPr>
          <w:rFonts w:ascii="宋体" w:hAnsi="宋体" w:eastAsia="宋体" w:cs="宋体"/>
          <w:color w:val="auto"/>
          <w:spacing w:val="-1"/>
          <w:sz w:val="21"/>
          <w:szCs w:val="21"/>
          <w:highlight w:val="none"/>
        </w:rPr>
        <w:t>发包人同意，承包人不得将工程的其他部分或工作分包给第三人。</w:t>
      </w:r>
    </w:p>
    <w:p w14:paraId="0AC9FFA5">
      <w:pPr>
        <w:spacing w:before="41"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4.3.3 分包人的资格能力应与其分包工程的标准和规模相适</w:t>
      </w:r>
      <w:r>
        <w:rPr>
          <w:rFonts w:ascii="宋体" w:hAnsi="宋体" w:eastAsia="宋体" w:cs="宋体"/>
          <w:color w:val="auto"/>
          <w:spacing w:val="-1"/>
          <w:sz w:val="21"/>
          <w:szCs w:val="21"/>
          <w:highlight w:val="none"/>
        </w:rPr>
        <w:t>应。</w:t>
      </w:r>
    </w:p>
    <w:p w14:paraId="32B87F6A">
      <w:pPr>
        <w:spacing w:before="157" w:line="220"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4.3.4 按投标函附录约定分包工程的，承包人应向</w:t>
      </w:r>
      <w:r>
        <w:rPr>
          <w:rFonts w:ascii="宋体" w:hAnsi="宋体" w:eastAsia="宋体" w:cs="宋体"/>
          <w:color w:val="auto"/>
          <w:spacing w:val="-1"/>
          <w:sz w:val="21"/>
          <w:szCs w:val="21"/>
          <w:highlight w:val="none"/>
        </w:rPr>
        <w:t>发包人和监理人提交分包合同副本。</w:t>
      </w:r>
    </w:p>
    <w:p w14:paraId="13F6085C">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4.3.5 承包人应与分包人就分包工程向发包人承担连带责任。</w:t>
      </w:r>
    </w:p>
    <w:p w14:paraId="01A4329B">
      <w:pPr>
        <w:spacing w:line="333" w:lineRule="auto"/>
        <w:outlineLvl w:val="9"/>
        <w:rPr>
          <w:rFonts w:ascii="Arial"/>
          <w:color w:val="auto"/>
          <w:sz w:val="21"/>
          <w:highlight w:val="none"/>
        </w:rPr>
      </w:pPr>
    </w:p>
    <w:p w14:paraId="59432AE7">
      <w:pPr>
        <w:spacing w:before="91" w:line="221"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4.4</w:t>
      </w:r>
      <w:r>
        <w:rPr>
          <w:rFonts w:ascii="宋体" w:hAnsi="宋体" w:eastAsia="宋体" w:cs="宋体"/>
          <w:color w:val="auto"/>
          <w:spacing w:val="19"/>
          <w:sz w:val="28"/>
          <w:szCs w:val="28"/>
          <w:highlight w:val="none"/>
        </w:rPr>
        <w:t xml:space="preserve"> </w:t>
      </w:r>
      <w:r>
        <w:rPr>
          <w:rFonts w:ascii="宋体" w:hAnsi="宋体" w:eastAsia="宋体" w:cs="宋体"/>
          <w:b/>
          <w:bCs/>
          <w:color w:val="auto"/>
          <w:spacing w:val="-6"/>
          <w:sz w:val="28"/>
          <w:szCs w:val="28"/>
          <w:highlight w:val="none"/>
        </w:rPr>
        <w:t>联合体</w:t>
      </w:r>
    </w:p>
    <w:p w14:paraId="5AD25F4D">
      <w:pPr>
        <w:spacing w:before="278" w:line="220"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4.4.1 联合体各方应共同与发包人签订合同协议书。联合体各方应为履行合同承担连带责任。</w:t>
      </w:r>
    </w:p>
    <w:p w14:paraId="38932061">
      <w:pPr>
        <w:spacing w:before="159" w:line="290" w:lineRule="auto"/>
        <w:ind w:right="62"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4.4.2 联合体协议经发包人确认后作为合同附件。在履行合同过程中，</w:t>
      </w:r>
      <w:r>
        <w:rPr>
          <w:rFonts w:ascii="宋体" w:hAnsi="宋体" w:eastAsia="宋体" w:cs="宋体"/>
          <w:color w:val="auto"/>
          <w:sz w:val="21"/>
          <w:szCs w:val="21"/>
          <w:highlight w:val="none"/>
        </w:rPr>
        <w:t xml:space="preserve">未经发包人同意，不得 </w:t>
      </w:r>
      <w:r>
        <w:rPr>
          <w:rFonts w:ascii="宋体" w:hAnsi="宋体" w:eastAsia="宋体" w:cs="宋体"/>
          <w:color w:val="auto"/>
          <w:spacing w:val="-1"/>
          <w:sz w:val="21"/>
          <w:szCs w:val="21"/>
          <w:highlight w:val="none"/>
        </w:rPr>
        <w:t>修改联合体协议。</w:t>
      </w:r>
    </w:p>
    <w:p w14:paraId="526779AF">
      <w:pPr>
        <w:spacing w:before="157" w:line="290" w:lineRule="auto"/>
        <w:ind w:left="4" w:right="63" w:firstLine="41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4.4.3 联合体牵头人负责与发包人和监理人联系，并接受指示，负责</w:t>
      </w:r>
      <w:r>
        <w:rPr>
          <w:rFonts w:ascii="宋体" w:hAnsi="宋体" w:eastAsia="宋体" w:cs="宋体"/>
          <w:color w:val="auto"/>
          <w:sz w:val="21"/>
          <w:szCs w:val="21"/>
          <w:highlight w:val="none"/>
        </w:rPr>
        <w:t xml:space="preserve">组织联合体各成员全面履 </w:t>
      </w:r>
      <w:r>
        <w:rPr>
          <w:rFonts w:ascii="宋体" w:hAnsi="宋体" w:eastAsia="宋体" w:cs="宋体"/>
          <w:color w:val="auto"/>
          <w:spacing w:val="-3"/>
          <w:sz w:val="21"/>
          <w:szCs w:val="21"/>
          <w:highlight w:val="none"/>
        </w:rPr>
        <w:t>行合同。</w:t>
      </w:r>
    </w:p>
    <w:p w14:paraId="59A188C5">
      <w:pPr>
        <w:spacing w:line="335" w:lineRule="auto"/>
        <w:outlineLvl w:val="9"/>
        <w:rPr>
          <w:rFonts w:ascii="Arial"/>
          <w:color w:val="auto"/>
          <w:sz w:val="21"/>
          <w:highlight w:val="none"/>
        </w:rPr>
      </w:pPr>
    </w:p>
    <w:p w14:paraId="74B1DFDA">
      <w:pPr>
        <w:spacing w:before="92" w:line="220"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承包人项目经理</w:t>
      </w:r>
    </w:p>
    <w:p w14:paraId="1B52860D">
      <w:pPr>
        <w:spacing w:before="279" w:line="313" w:lineRule="auto"/>
        <w:ind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4.5.1 承包人应按合同约定指派项目经理，并在约定的期限内到职。</w:t>
      </w:r>
      <w:r>
        <w:rPr>
          <w:rFonts w:ascii="宋体" w:hAnsi="宋体" w:eastAsia="宋体" w:cs="宋体"/>
          <w:color w:val="auto"/>
          <w:sz w:val="21"/>
          <w:szCs w:val="21"/>
          <w:highlight w:val="none"/>
        </w:rPr>
        <w:t xml:space="preserve">承包人更换项目经理应事 </w:t>
      </w:r>
      <w:r>
        <w:rPr>
          <w:rFonts w:ascii="宋体" w:hAnsi="宋体" w:eastAsia="宋体" w:cs="宋体"/>
          <w:color w:val="auto"/>
          <w:spacing w:val="-2"/>
          <w:sz w:val="21"/>
          <w:szCs w:val="21"/>
          <w:highlight w:val="none"/>
        </w:rPr>
        <w:t>先征得发包人同意，并应在更换 14</w:t>
      </w:r>
      <w:r>
        <w:rPr>
          <w:rFonts w:ascii="宋体" w:hAnsi="宋体" w:eastAsia="宋体" w:cs="宋体"/>
          <w:color w:val="auto"/>
          <w:spacing w:val="-20"/>
          <w:sz w:val="21"/>
          <w:szCs w:val="21"/>
          <w:highlight w:val="none"/>
        </w:rPr>
        <w:t xml:space="preserve"> </w:t>
      </w:r>
      <w:r>
        <w:rPr>
          <w:rFonts w:ascii="宋体" w:hAnsi="宋体" w:eastAsia="宋体" w:cs="宋体"/>
          <w:color w:val="auto"/>
          <w:spacing w:val="-2"/>
          <w:sz w:val="21"/>
          <w:szCs w:val="21"/>
          <w:highlight w:val="none"/>
        </w:rPr>
        <w:t>天前通知发包人和监理人。承包人项目经理短期离开施</w:t>
      </w:r>
      <w:r>
        <w:rPr>
          <w:rFonts w:ascii="宋体" w:hAnsi="宋体" w:eastAsia="宋体" w:cs="宋体"/>
          <w:color w:val="auto"/>
          <w:spacing w:val="-3"/>
          <w:sz w:val="21"/>
          <w:szCs w:val="21"/>
          <w:highlight w:val="none"/>
        </w:rPr>
        <w:t>工场地，</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应事先征得监理人同意，并委派代表代行其职责。</w:t>
      </w:r>
    </w:p>
    <w:p w14:paraId="797C0C51">
      <w:pPr>
        <w:spacing w:before="157" w:line="313" w:lineRule="auto"/>
        <w:ind w:left="5" w:right="59" w:firstLine="41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4.5.2 承包人项目经理应按合同约定以及</w:t>
      </w:r>
      <w:r>
        <w:rPr>
          <w:rFonts w:ascii="宋体" w:hAnsi="宋体" w:eastAsia="宋体" w:cs="宋体"/>
          <w:color w:val="auto"/>
          <w:spacing w:val="-1"/>
          <w:sz w:val="21"/>
          <w:szCs w:val="21"/>
          <w:highlight w:val="none"/>
        </w:rPr>
        <w:t>监理人按第</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3.4</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款作出的指示，负责组织合同工程的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实施。在情况紧急且无法与监理人取得联系时，</w:t>
      </w:r>
      <w:r>
        <w:rPr>
          <w:rFonts w:ascii="宋体" w:hAnsi="宋体" w:eastAsia="宋体" w:cs="宋体"/>
          <w:color w:val="auto"/>
          <w:sz w:val="21"/>
          <w:szCs w:val="21"/>
          <w:highlight w:val="none"/>
        </w:rPr>
        <w:t xml:space="preserve">可采取保证工程和人员生命财产安全的紧急措施， </w:t>
      </w:r>
      <w:r>
        <w:rPr>
          <w:rFonts w:ascii="宋体" w:hAnsi="宋体" w:eastAsia="宋体" w:cs="宋体"/>
          <w:color w:val="auto"/>
          <w:spacing w:val="-2"/>
          <w:sz w:val="21"/>
          <w:szCs w:val="21"/>
          <w:highlight w:val="none"/>
        </w:rPr>
        <w:t>并在采取措施后</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24</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小时内向监理人提交书面</w:t>
      </w:r>
      <w:r>
        <w:rPr>
          <w:rFonts w:ascii="宋体" w:hAnsi="宋体" w:eastAsia="宋体" w:cs="宋体"/>
          <w:color w:val="auto"/>
          <w:spacing w:val="-3"/>
          <w:sz w:val="21"/>
          <w:szCs w:val="21"/>
          <w:highlight w:val="none"/>
        </w:rPr>
        <w:t>报告。</w:t>
      </w:r>
    </w:p>
    <w:p w14:paraId="15DC6420">
      <w:pPr>
        <w:spacing w:before="158" w:line="290" w:lineRule="auto"/>
        <w:ind w:right="6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4.5.3 承包人为履行合同发出的一切函件均应盖有承包人授权的施工</w:t>
      </w:r>
      <w:r>
        <w:rPr>
          <w:rFonts w:ascii="宋体" w:hAnsi="宋体" w:eastAsia="宋体" w:cs="宋体"/>
          <w:color w:val="auto"/>
          <w:sz w:val="21"/>
          <w:szCs w:val="21"/>
          <w:highlight w:val="none"/>
        </w:rPr>
        <w:t xml:space="preserve">场地管理机构章，并由承 </w:t>
      </w:r>
      <w:r>
        <w:rPr>
          <w:rFonts w:ascii="宋体" w:hAnsi="宋体" w:eastAsia="宋体" w:cs="宋体"/>
          <w:color w:val="auto"/>
          <w:spacing w:val="-1"/>
          <w:sz w:val="21"/>
          <w:szCs w:val="21"/>
          <w:highlight w:val="none"/>
        </w:rPr>
        <w:t>包人项目经理或其授权代表签字。</w:t>
      </w:r>
    </w:p>
    <w:p w14:paraId="773AC34A">
      <w:pPr>
        <w:spacing w:before="156" w:line="290" w:lineRule="auto"/>
        <w:ind w:right="6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4.5.4 承包人项目经理可以授权其下属人员履行其某项职责，但事先</w:t>
      </w:r>
      <w:r>
        <w:rPr>
          <w:rFonts w:ascii="宋体" w:hAnsi="宋体" w:eastAsia="宋体" w:cs="宋体"/>
          <w:color w:val="auto"/>
          <w:sz w:val="21"/>
          <w:szCs w:val="21"/>
          <w:highlight w:val="none"/>
        </w:rPr>
        <w:t xml:space="preserve">应将这些人员的姓名和授 </w:t>
      </w:r>
      <w:r>
        <w:rPr>
          <w:rFonts w:ascii="宋体" w:hAnsi="宋体" w:eastAsia="宋体" w:cs="宋体"/>
          <w:color w:val="auto"/>
          <w:spacing w:val="-3"/>
          <w:sz w:val="21"/>
          <w:szCs w:val="21"/>
          <w:highlight w:val="none"/>
        </w:rPr>
        <w:t>权范围通知监理人。</w:t>
      </w:r>
    </w:p>
    <w:p w14:paraId="585D2B4F">
      <w:pPr>
        <w:spacing w:line="335" w:lineRule="auto"/>
        <w:outlineLvl w:val="9"/>
        <w:rPr>
          <w:rFonts w:ascii="Arial"/>
          <w:color w:val="auto"/>
          <w:sz w:val="21"/>
          <w:highlight w:val="none"/>
        </w:rPr>
      </w:pPr>
    </w:p>
    <w:p w14:paraId="01EB9B5E">
      <w:pPr>
        <w:spacing w:before="92" w:line="220" w:lineRule="auto"/>
        <w:ind w:left="139"/>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承包人人员的管理</w:t>
      </w:r>
    </w:p>
    <w:p w14:paraId="727F9B6F">
      <w:pPr>
        <w:spacing w:before="281" w:line="312" w:lineRule="auto"/>
        <w:ind w:left="3" w:right="59" w:firstLine="41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4.6.1 承包人应在接到开工通知后</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天内，向监理人提交承包人在施工场地的管理机构以</w:t>
      </w:r>
      <w:r>
        <w:rPr>
          <w:rFonts w:ascii="宋体" w:hAnsi="宋体" w:eastAsia="宋体" w:cs="宋体"/>
          <w:color w:val="auto"/>
          <w:spacing w:val="-3"/>
          <w:sz w:val="21"/>
          <w:szCs w:val="21"/>
          <w:highlight w:val="none"/>
        </w:rPr>
        <w:t>及人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员安排的报告，其内容应包括管理机构的设置、各主要岗位的技术和管理人</w:t>
      </w:r>
      <w:r>
        <w:rPr>
          <w:rFonts w:ascii="宋体" w:hAnsi="宋体" w:eastAsia="宋体" w:cs="宋体"/>
          <w:color w:val="auto"/>
          <w:sz w:val="21"/>
          <w:szCs w:val="21"/>
          <w:highlight w:val="none"/>
        </w:rPr>
        <w:t>员名单及其资格，以及 各工种技术工人的安排状况。承包人应向监理人提交施工场地人员变动情况</w:t>
      </w:r>
      <w:r>
        <w:rPr>
          <w:rFonts w:ascii="宋体" w:hAnsi="宋体" w:eastAsia="宋体" w:cs="宋体"/>
          <w:color w:val="auto"/>
          <w:spacing w:val="-1"/>
          <w:sz w:val="21"/>
          <w:szCs w:val="21"/>
          <w:highlight w:val="none"/>
        </w:rPr>
        <w:t>的报告。</w:t>
      </w:r>
    </w:p>
    <w:p w14:paraId="50B66A2A">
      <w:pPr>
        <w:spacing w:before="158"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4.6.2 为完成合同约定的各项工作，承包人应向施工场地派遣或雇佣足够数量的下列人员：</w:t>
      </w:r>
    </w:p>
    <w:p w14:paraId="1B83FEEA">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（1）具有相应资格的专业技工和合格的普工；</w:t>
      </w:r>
    </w:p>
    <w:p w14:paraId="789AFED9">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（2）具有相应施工经验的技术人员；</w:t>
      </w:r>
    </w:p>
    <w:p w14:paraId="6EB4CFD2">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（3）具有相应岗位资格的各级管理人员。</w:t>
      </w:r>
    </w:p>
    <w:p w14:paraId="4635CD83">
      <w:pPr>
        <w:spacing w:before="157" w:line="289" w:lineRule="auto"/>
        <w:ind w:left="9" w:right="63" w:firstLine="41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4.6.3 承包人安排在施工场地的主要管理人员和技术骨干应相对稳定</w:t>
      </w:r>
      <w:r>
        <w:rPr>
          <w:rFonts w:ascii="宋体" w:hAnsi="宋体" w:eastAsia="宋体" w:cs="宋体"/>
          <w:color w:val="auto"/>
          <w:sz w:val="21"/>
          <w:szCs w:val="21"/>
          <w:highlight w:val="none"/>
        </w:rPr>
        <w:t xml:space="preserve">。承包人更换主要管理人 </w:t>
      </w:r>
      <w:r>
        <w:rPr>
          <w:rFonts w:ascii="宋体" w:hAnsi="宋体" w:eastAsia="宋体" w:cs="宋体"/>
          <w:color w:val="auto"/>
          <w:spacing w:val="-2"/>
          <w:sz w:val="21"/>
          <w:szCs w:val="21"/>
          <w:highlight w:val="none"/>
        </w:rPr>
        <w:t>员和技术骨干时，应取得监理人的同意。</w:t>
      </w:r>
    </w:p>
    <w:p w14:paraId="6E47EA36">
      <w:pPr>
        <w:spacing w:before="160"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4.6.4 特殊岗位的工作人员均应持有相应的资格证明，监理人有权随时检</w:t>
      </w:r>
      <w:r>
        <w:rPr>
          <w:rFonts w:ascii="宋体" w:hAnsi="宋体" w:eastAsia="宋体" w:cs="宋体"/>
          <w:color w:val="auto"/>
          <w:sz w:val="21"/>
          <w:szCs w:val="21"/>
          <w:highlight w:val="none"/>
        </w:rPr>
        <w:t>查。监理人认为有必</w:t>
      </w:r>
    </w:p>
    <w:p w14:paraId="40E167E2">
      <w:pPr>
        <w:spacing w:before="41" w:line="221" w:lineRule="auto"/>
        <w:ind w:left="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要时，可进行现场考核。</w:t>
      </w:r>
    </w:p>
    <w:p w14:paraId="0DFB57BD">
      <w:pPr>
        <w:spacing w:line="333" w:lineRule="auto"/>
        <w:outlineLvl w:val="9"/>
        <w:rPr>
          <w:rFonts w:ascii="Arial"/>
          <w:color w:val="auto"/>
          <w:sz w:val="21"/>
          <w:highlight w:val="none"/>
        </w:rPr>
      </w:pPr>
    </w:p>
    <w:p w14:paraId="118B3C36">
      <w:pPr>
        <w:spacing w:before="91"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4.7</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撤换承包人项目经理和其他人员</w:t>
      </w:r>
    </w:p>
    <w:p w14:paraId="3D476F6B">
      <w:pPr>
        <w:spacing w:before="280" w:line="345" w:lineRule="auto"/>
        <w:ind w:left="2" w:right="6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承包人应对其项目经理和其他人员进行有效管理。监理人要求撤换不能胜</w:t>
      </w:r>
      <w:r>
        <w:rPr>
          <w:rFonts w:ascii="宋体" w:hAnsi="宋体" w:eastAsia="宋体" w:cs="宋体"/>
          <w:color w:val="auto"/>
          <w:sz w:val="21"/>
          <w:szCs w:val="21"/>
          <w:highlight w:val="none"/>
        </w:rPr>
        <w:t>任本职工作、行为不 端或玩忽职守的承包人项目经理和其他人员的，承包人应予</w:t>
      </w:r>
      <w:r>
        <w:rPr>
          <w:rFonts w:ascii="宋体" w:hAnsi="宋体" w:eastAsia="宋体" w:cs="宋体"/>
          <w:color w:val="auto"/>
          <w:spacing w:val="-1"/>
          <w:sz w:val="21"/>
          <w:szCs w:val="21"/>
          <w:highlight w:val="none"/>
        </w:rPr>
        <w:t>以撤换。</w:t>
      </w:r>
    </w:p>
    <w:p w14:paraId="3610A59C">
      <w:pPr>
        <w:spacing w:before="299"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4.8</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保障承包人人员的合法权益</w:t>
      </w:r>
    </w:p>
    <w:p w14:paraId="4A1C9D45">
      <w:pPr>
        <w:spacing w:before="280"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4.8.1 承包人应与其雇佣的人员签订劳动合同，并按时发放工资。</w:t>
      </w:r>
    </w:p>
    <w:p w14:paraId="1CCD8FF1">
      <w:pPr>
        <w:spacing w:before="160" w:line="350" w:lineRule="auto"/>
        <w:ind w:right="63"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4.8.2 承包人应按劳动法的规定安排工作时间，保证其雇佣人员享有</w:t>
      </w:r>
      <w:r>
        <w:rPr>
          <w:rFonts w:ascii="宋体" w:hAnsi="宋体" w:eastAsia="宋体" w:cs="宋体"/>
          <w:color w:val="auto"/>
          <w:sz w:val="21"/>
          <w:szCs w:val="21"/>
          <w:highlight w:val="none"/>
        </w:rPr>
        <w:t xml:space="preserve">休息和休假的权利。因工 </w:t>
      </w:r>
      <w:r>
        <w:rPr>
          <w:rFonts w:ascii="宋体" w:hAnsi="宋体" w:eastAsia="宋体" w:cs="宋体"/>
          <w:color w:val="auto"/>
          <w:spacing w:val="1"/>
          <w:sz w:val="21"/>
          <w:szCs w:val="21"/>
          <w:highlight w:val="none"/>
        </w:rPr>
        <w:t>程施工的特殊需要占用休假日或延长工作时间的，应不</w:t>
      </w:r>
      <w:r>
        <w:rPr>
          <w:rFonts w:ascii="宋体" w:hAnsi="宋体" w:eastAsia="宋体" w:cs="宋体"/>
          <w:color w:val="auto"/>
          <w:sz w:val="21"/>
          <w:szCs w:val="21"/>
          <w:highlight w:val="none"/>
        </w:rPr>
        <w:t xml:space="preserve">超过法律规定的限度，并按法律规定给予补 </w:t>
      </w:r>
      <w:r>
        <w:rPr>
          <w:rFonts w:ascii="宋体" w:hAnsi="宋体" w:eastAsia="宋体" w:cs="宋体"/>
          <w:color w:val="auto"/>
          <w:spacing w:val="-4"/>
          <w:sz w:val="21"/>
          <w:szCs w:val="21"/>
          <w:highlight w:val="none"/>
        </w:rPr>
        <w:t>休或付酬。</w:t>
      </w:r>
    </w:p>
    <w:p w14:paraId="59798869">
      <w:pPr>
        <w:spacing w:before="29" w:line="290" w:lineRule="auto"/>
        <w:ind w:firstLine="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4.8.3 承包人应为其雇佣人员提供必要的</w:t>
      </w:r>
      <w:r>
        <w:rPr>
          <w:rFonts w:ascii="宋体" w:hAnsi="宋体" w:eastAsia="宋体" w:cs="宋体"/>
          <w:color w:val="auto"/>
          <w:spacing w:val="-3"/>
          <w:sz w:val="21"/>
          <w:szCs w:val="21"/>
          <w:highlight w:val="none"/>
        </w:rPr>
        <w:t>食宿条件，以及符合环境保护和卫生要求的生活环境，</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在远离城镇的施工场地，还应配备必要的伤病防治和急救的医务人员与医疗设施。</w:t>
      </w:r>
    </w:p>
    <w:p w14:paraId="4748EE28">
      <w:pPr>
        <w:spacing w:before="161" w:line="349" w:lineRule="auto"/>
        <w:ind w:left="2" w:right="60" w:firstLine="418"/>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4.8.4 承包人应按国家有关劳动保护的规定，采取有效的防止粉尘、</w:t>
      </w:r>
      <w:r>
        <w:rPr>
          <w:rFonts w:ascii="宋体" w:hAnsi="宋体" w:eastAsia="宋体" w:cs="宋体"/>
          <w:color w:val="auto"/>
          <w:sz w:val="21"/>
          <w:szCs w:val="21"/>
          <w:highlight w:val="none"/>
        </w:rPr>
        <w:t xml:space="preserve">降低噪声、控制有害气体 </w:t>
      </w:r>
      <w:r>
        <w:rPr>
          <w:rFonts w:ascii="宋体" w:hAnsi="宋体" w:eastAsia="宋体" w:cs="宋体"/>
          <w:color w:val="auto"/>
          <w:spacing w:val="1"/>
          <w:sz w:val="21"/>
          <w:szCs w:val="21"/>
          <w:highlight w:val="none"/>
        </w:rPr>
        <w:t>和保障高温、高寒、高空作业安全等劳动保护措施。其雇佣人员在施工中受到</w:t>
      </w:r>
      <w:r>
        <w:rPr>
          <w:rFonts w:ascii="宋体" w:hAnsi="宋体" w:eastAsia="宋体" w:cs="宋体"/>
          <w:color w:val="auto"/>
          <w:sz w:val="21"/>
          <w:szCs w:val="21"/>
          <w:highlight w:val="none"/>
        </w:rPr>
        <w:t xml:space="preserve">伤害的，承包人应立 </w:t>
      </w:r>
      <w:r>
        <w:rPr>
          <w:rFonts w:ascii="宋体" w:hAnsi="宋体" w:eastAsia="宋体" w:cs="宋体"/>
          <w:color w:val="auto"/>
          <w:spacing w:val="-1"/>
          <w:sz w:val="21"/>
          <w:szCs w:val="21"/>
          <w:highlight w:val="none"/>
        </w:rPr>
        <w:t>即采取有效措施进行抢救和治疗。</w:t>
      </w:r>
    </w:p>
    <w:p w14:paraId="676CCF86">
      <w:pPr>
        <w:spacing w:before="31"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4.8.5 承包人应按有关法律规定和合同约定，为其雇佣人员办理保险。</w:t>
      </w:r>
    </w:p>
    <w:p w14:paraId="11F8E613">
      <w:pPr>
        <w:spacing w:before="159"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4.8.6 承包人应负责处理其雇佣人员因工伤亡事故的善后事</w:t>
      </w:r>
      <w:r>
        <w:rPr>
          <w:rFonts w:ascii="宋体" w:hAnsi="宋体" w:eastAsia="宋体" w:cs="宋体"/>
          <w:color w:val="auto"/>
          <w:spacing w:val="-1"/>
          <w:sz w:val="21"/>
          <w:szCs w:val="21"/>
          <w:highlight w:val="none"/>
        </w:rPr>
        <w:t>宜。</w:t>
      </w:r>
    </w:p>
    <w:p w14:paraId="7089F406">
      <w:pPr>
        <w:spacing w:line="332" w:lineRule="auto"/>
        <w:outlineLvl w:val="9"/>
        <w:rPr>
          <w:rFonts w:ascii="Arial"/>
          <w:color w:val="auto"/>
          <w:sz w:val="21"/>
          <w:highlight w:val="none"/>
        </w:rPr>
      </w:pPr>
    </w:p>
    <w:p w14:paraId="2DB3184A">
      <w:pPr>
        <w:spacing w:before="92" w:line="219"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4.9</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工程价款应专款专用</w:t>
      </w:r>
    </w:p>
    <w:p w14:paraId="6A7D33AD">
      <w:pPr>
        <w:spacing w:before="283" w:line="219" w:lineRule="auto"/>
        <w:ind w:left="42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发包人按合同约定支付给承包人的各项价款应专用</w:t>
      </w:r>
      <w:r>
        <w:rPr>
          <w:rFonts w:ascii="宋体" w:hAnsi="宋体" w:eastAsia="宋体" w:cs="宋体"/>
          <w:color w:val="auto"/>
          <w:spacing w:val="-1"/>
          <w:sz w:val="21"/>
          <w:szCs w:val="21"/>
          <w:highlight w:val="none"/>
        </w:rPr>
        <w:t>于合同工程。</w:t>
      </w:r>
    </w:p>
    <w:p w14:paraId="282C8AB6">
      <w:pPr>
        <w:spacing w:line="334" w:lineRule="auto"/>
        <w:outlineLvl w:val="9"/>
        <w:rPr>
          <w:rFonts w:ascii="Arial"/>
          <w:color w:val="auto"/>
          <w:sz w:val="21"/>
          <w:highlight w:val="none"/>
        </w:rPr>
      </w:pPr>
    </w:p>
    <w:p w14:paraId="65FFE073">
      <w:pPr>
        <w:spacing w:before="92"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4.10</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承包人现场查勘</w:t>
      </w:r>
    </w:p>
    <w:p w14:paraId="3CDFB468">
      <w:pPr>
        <w:spacing w:before="279" w:line="290" w:lineRule="auto"/>
        <w:ind w:left="9" w:right="59" w:firstLine="41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4.10.1 发包人应将其持有的现场地质勘探</w:t>
      </w:r>
      <w:r>
        <w:rPr>
          <w:rFonts w:ascii="宋体" w:hAnsi="宋体" w:eastAsia="宋体" w:cs="宋体"/>
          <w:color w:val="auto"/>
          <w:spacing w:val="-2"/>
          <w:sz w:val="21"/>
          <w:szCs w:val="21"/>
          <w:highlight w:val="none"/>
        </w:rPr>
        <w:t>资料、水文气象资料提供给承包人，并对其准确性负</w:t>
      </w:r>
      <w:r>
        <w:rPr>
          <w:rFonts w:ascii="宋体" w:hAnsi="宋体" w:eastAsia="宋体" w:cs="宋体"/>
          <w:color w:val="auto"/>
          <w:sz w:val="21"/>
          <w:szCs w:val="21"/>
          <w:highlight w:val="none"/>
        </w:rPr>
        <w:t xml:space="preserve"> 责。但承包人应对其阅读上述有关资料后所作</w:t>
      </w:r>
      <w:r>
        <w:rPr>
          <w:rFonts w:ascii="宋体" w:hAnsi="宋体" w:eastAsia="宋体" w:cs="宋体"/>
          <w:color w:val="auto"/>
          <w:spacing w:val="-1"/>
          <w:sz w:val="21"/>
          <w:szCs w:val="21"/>
          <w:highlight w:val="none"/>
        </w:rPr>
        <w:t>出的解释和推断负责。</w:t>
      </w:r>
    </w:p>
    <w:p w14:paraId="35B462D9">
      <w:pPr>
        <w:spacing w:before="158" w:line="350" w:lineRule="auto"/>
        <w:ind w:right="62"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4.10.2 承包人应对施工场地和周围</w:t>
      </w:r>
      <w:r>
        <w:rPr>
          <w:rFonts w:ascii="宋体" w:hAnsi="宋体" w:eastAsia="宋体" w:cs="宋体"/>
          <w:color w:val="auto"/>
          <w:spacing w:val="-2"/>
          <w:sz w:val="21"/>
          <w:szCs w:val="21"/>
          <w:highlight w:val="none"/>
        </w:rPr>
        <w:t>环境进行查勘，并收集有关地质、水文、气象条件、交通条</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件、风俗习惯以及其他为完成合同工作有关的当地资料。在全</w:t>
      </w:r>
      <w:r>
        <w:rPr>
          <w:rFonts w:ascii="宋体" w:hAnsi="宋体" w:eastAsia="宋体" w:cs="宋体"/>
          <w:color w:val="auto"/>
          <w:sz w:val="21"/>
          <w:szCs w:val="21"/>
          <w:highlight w:val="none"/>
        </w:rPr>
        <w:t xml:space="preserve">部合同工作中，应视为承包人已充分 </w:t>
      </w:r>
      <w:r>
        <w:rPr>
          <w:rFonts w:ascii="宋体" w:hAnsi="宋体" w:eastAsia="宋体" w:cs="宋体"/>
          <w:color w:val="auto"/>
          <w:spacing w:val="-2"/>
          <w:sz w:val="21"/>
          <w:szCs w:val="21"/>
          <w:highlight w:val="none"/>
        </w:rPr>
        <w:t>估计了应承担的责任和风险。</w:t>
      </w:r>
    </w:p>
    <w:p w14:paraId="5B18D62F">
      <w:pPr>
        <w:spacing w:before="301"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4.11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不利物质条件</w:t>
      </w:r>
    </w:p>
    <w:p w14:paraId="5938AEBB">
      <w:pPr>
        <w:spacing w:before="280" w:line="290" w:lineRule="auto"/>
        <w:ind w:left="36" w:right="59" w:firstLine="38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4.11.1 不利物质条件，除专用合同条款另</w:t>
      </w:r>
      <w:r>
        <w:rPr>
          <w:rFonts w:ascii="宋体" w:hAnsi="宋体" w:eastAsia="宋体" w:cs="宋体"/>
          <w:color w:val="auto"/>
          <w:spacing w:val="-2"/>
          <w:sz w:val="21"/>
          <w:szCs w:val="21"/>
          <w:highlight w:val="none"/>
        </w:rPr>
        <w:t>有约定外，是指承包人在施工场地遇到的不可预见的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自然物质条件、非自然的物质障碍和污染物，包括地下和水文条件，但不包括气候条件。</w:t>
      </w:r>
    </w:p>
    <w:p w14:paraId="036A10DE">
      <w:pPr>
        <w:spacing w:before="157"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4.11.2 承包人遇到不利物质条件时，应采</w:t>
      </w:r>
      <w:r>
        <w:rPr>
          <w:rFonts w:ascii="宋体" w:hAnsi="宋体" w:eastAsia="宋体" w:cs="宋体"/>
          <w:color w:val="auto"/>
          <w:spacing w:val="-2"/>
          <w:sz w:val="21"/>
          <w:szCs w:val="21"/>
          <w:highlight w:val="none"/>
        </w:rPr>
        <w:t>取适应不利物质条件的合理措施继续施工，并及时通</w:t>
      </w:r>
    </w:p>
    <w:p w14:paraId="6B17EF89">
      <w:pPr>
        <w:spacing w:before="42" w:line="345" w:lineRule="auto"/>
        <w:ind w:left="18" w:hanging="1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知监理人。监理人应当及时发出指示，指示构成变更的，按第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3"/>
          <w:sz w:val="21"/>
          <w:szCs w:val="21"/>
          <w:highlight w:val="none"/>
        </w:rPr>
        <w:t>15</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条约定办理。监理人没有发出指示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的，承包人因采取合理措施而增加的费用和（或）工期延误，由发包人承担。</w:t>
      </w:r>
    </w:p>
    <w:p w14:paraId="26BFECCF">
      <w:pPr>
        <w:spacing w:before="46" w:line="224" w:lineRule="auto"/>
        <w:ind w:left="11"/>
        <w:outlineLvl w:val="9"/>
        <w:rPr>
          <w:rFonts w:ascii="宋体" w:hAnsi="宋体" w:eastAsia="宋体" w:cs="宋体"/>
          <w:color w:val="auto"/>
          <w:sz w:val="31"/>
          <w:szCs w:val="31"/>
          <w:highlight w:val="none"/>
        </w:rPr>
      </w:pPr>
      <w:bookmarkStart w:id="231" w:name="_Toc22952"/>
      <w:bookmarkStart w:id="232" w:name="_Toc5035"/>
      <w:r>
        <w:rPr>
          <w:rFonts w:ascii="宋体" w:hAnsi="宋体" w:eastAsia="宋体" w:cs="宋体"/>
          <w:b/>
          <w:bCs/>
          <w:color w:val="auto"/>
          <w:spacing w:val="4"/>
          <w:sz w:val="31"/>
          <w:szCs w:val="31"/>
          <w:highlight w:val="none"/>
        </w:rPr>
        <w:t>5.</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材料和工程设备</w:t>
      </w:r>
      <w:bookmarkEnd w:id="231"/>
      <w:bookmarkEnd w:id="232"/>
    </w:p>
    <w:p w14:paraId="4240637F">
      <w:pPr>
        <w:spacing w:before="278" w:line="219"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5.1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承包人提供的材料和工程设备</w:t>
      </w:r>
    </w:p>
    <w:p w14:paraId="06AD5CAA">
      <w:pPr>
        <w:spacing w:before="282" w:line="289" w:lineRule="auto"/>
        <w:ind w:left="1" w:right="3"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5.1.1 除专用合同条款另有约定外，承包人提供的材料和</w:t>
      </w:r>
      <w:r>
        <w:rPr>
          <w:rFonts w:ascii="宋体" w:hAnsi="宋体" w:eastAsia="宋体" w:cs="宋体"/>
          <w:color w:val="auto"/>
          <w:sz w:val="21"/>
          <w:szCs w:val="21"/>
          <w:highlight w:val="none"/>
        </w:rPr>
        <w:t xml:space="preserve">工程设备均由承包人负责采购、运输 </w:t>
      </w:r>
      <w:r>
        <w:rPr>
          <w:rFonts w:ascii="宋体" w:hAnsi="宋体" w:eastAsia="宋体" w:cs="宋体"/>
          <w:color w:val="auto"/>
          <w:spacing w:val="-1"/>
          <w:sz w:val="21"/>
          <w:szCs w:val="21"/>
          <w:highlight w:val="none"/>
        </w:rPr>
        <w:t>和保管。承包人应对其采购的材料和工程设备负责。</w:t>
      </w:r>
    </w:p>
    <w:p w14:paraId="70B2847A">
      <w:pPr>
        <w:spacing w:before="159" w:line="313" w:lineRule="auto"/>
        <w:ind w:right="1"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5.1.2 承包人应按专用合同条款的约定，将各项材料和工</w:t>
      </w:r>
      <w:r>
        <w:rPr>
          <w:rFonts w:ascii="宋体" w:hAnsi="宋体" w:eastAsia="宋体" w:cs="宋体"/>
          <w:color w:val="auto"/>
          <w:sz w:val="21"/>
          <w:szCs w:val="21"/>
          <w:highlight w:val="none"/>
        </w:rPr>
        <w:t xml:space="preserve">程设备的供货人及品种、规格、数量 </w:t>
      </w:r>
      <w:r>
        <w:rPr>
          <w:rFonts w:ascii="宋体" w:hAnsi="宋体" w:eastAsia="宋体" w:cs="宋体"/>
          <w:color w:val="auto"/>
          <w:spacing w:val="1"/>
          <w:sz w:val="21"/>
          <w:szCs w:val="21"/>
          <w:highlight w:val="none"/>
        </w:rPr>
        <w:t>和供货时间等报送监理人审批。承包人应向监理人提交其负责提供的材料和工程设</w:t>
      </w:r>
      <w:r>
        <w:rPr>
          <w:rFonts w:ascii="宋体" w:hAnsi="宋体" w:eastAsia="宋体" w:cs="宋体"/>
          <w:color w:val="auto"/>
          <w:sz w:val="21"/>
          <w:szCs w:val="21"/>
          <w:highlight w:val="none"/>
        </w:rPr>
        <w:t xml:space="preserve">备的质量证明文 </w:t>
      </w:r>
      <w:r>
        <w:rPr>
          <w:rFonts w:ascii="宋体" w:hAnsi="宋体" w:eastAsia="宋体" w:cs="宋体"/>
          <w:color w:val="auto"/>
          <w:spacing w:val="-1"/>
          <w:sz w:val="21"/>
          <w:szCs w:val="21"/>
          <w:highlight w:val="none"/>
        </w:rPr>
        <w:t>件，并满足合同约定的质量标准。</w:t>
      </w:r>
    </w:p>
    <w:p w14:paraId="6162DAD8">
      <w:pPr>
        <w:spacing w:before="156" w:line="313" w:lineRule="auto"/>
        <w:ind w:right="1"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5.1.3 对承包人提供的材料和工程设备，承包人应会同监理</w:t>
      </w:r>
      <w:r>
        <w:rPr>
          <w:rFonts w:ascii="宋体" w:hAnsi="宋体" w:eastAsia="宋体" w:cs="宋体"/>
          <w:color w:val="auto"/>
          <w:sz w:val="21"/>
          <w:szCs w:val="21"/>
          <w:highlight w:val="none"/>
        </w:rPr>
        <w:t xml:space="preserve">人进行检验和交货验收，查验材料 </w:t>
      </w:r>
      <w:r>
        <w:rPr>
          <w:rFonts w:ascii="宋体" w:hAnsi="宋体" w:eastAsia="宋体" w:cs="宋体"/>
          <w:color w:val="auto"/>
          <w:spacing w:val="1"/>
          <w:sz w:val="21"/>
          <w:szCs w:val="21"/>
          <w:highlight w:val="none"/>
        </w:rPr>
        <w:t>合格证明和产品合格证书，并按合同约定和监理人指示，进行材料的抽样检验和</w:t>
      </w:r>
      <w:r>
        <w:rPr>
          <w:rFonts w:ascii="宋体" w:hAnsi="宋体" w:eastAsia="宋体" w:cs="宋体"/>
          <w:color w:val="auto"/>
          <w:sz w:val="21"/>
          <w:szCs w:val="21"/>
          <w:highlight w:val="none"/>
        </w:rPr>
        <w:t xml:space="preserve">工程设备的检验测 </w:t>
      </w:r>
      <w:r>
        <w:rPr>
          <w:rFonts w:ascii="宋体" w:hAnsi="宋体" w:eastAsia="宋体" w:cs="宋体"/>
          <w:color w:val="auto"/>
          <w:spacing w:val="-1"/>
          <w:sz w:val="21"/>
          <w:szCs w:val="21"/>
          <w:highlight w:val="none"/>
        </w:rPr>
        <w:t>试，检验和测试结果应提交监理人，所需费用由承包人承担。</w:t>
      </w:r>
    </w:p>
    <w:p w14:paraId="7D47AC58">
      <w:pPr>
        <w:spacing w:line="335" w:lineRule="auto"/>
        <w:outlineLvl w:val="9"/>
        <w:rPr>
          <w:rFonts w:ascii="Arial"/>
          <w:color w:val="auto"/>
          <w:sz w:val="21"/>
          <w:highlight w:val="none"/>
        </w:rPr>
      </w:pPr>
    </w:p>
    <w:p w14:paraId="06B93DEE">
      <w:pPr>
        <w:spacing w:before="92" w:line="219"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5.2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发包人提供的材料和工程设备</w:t>
      </w:r>
    </w:p>
    <w:p w14:paraId="114C660C">
      <w:pPr>
        <w:spacing w:before="281" w:line="289" w:lineRule="auto"/>
        <w:ind w:left="2" w:right="31" w:firstLine="42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5.2.1 发包人提供的材料和工程设备，应在专用合同条款中写明材料和工程设备的名称、规格、</w:t>
      </w:r>
      <w:r>
        <w:rPr>
          <w:rFonts w:ascii="宋体" w:hAnsi="宋体" w:eastAsia="宋体" w:cs="宋体"/>
          <w:color w:val="auto"/>
          <w:spacing w:val="15"/>
          <w:sz w:val="21"/>
          <w:szCs w:val="21"/>
          <w:highlight w:val="none"/>
        </w:rPr>
        <w:t xml:space="preserve"> </w:t>
      </w:r>
      <w:r>
        <w:rPr>
          <w:rFonts w:ascii="宋体" w:hAnsi="宋体" w:eastAsia="宋体" w:cs="宋体"/>
          <w:color w:val="auto"/>
          <w:spacing w:val="-1"/>
          <w:sz w:val="21"/>
          <w:szCs w:val="21"/>
          <w:highlight w:val="none"/>
        </w:rPr>
        <w:t>数量、价格、交货方式、交货地点和计划交货日期等。</w:t>
      </w:r>
    </w:p>
    <w:p w14:paraId="1D205313">
      <w:pPr>
        <w:spacing w:before="160" w:line="289" w:lineRule="auto"/>
        <w:ind w:right="3"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5.2.2 承包人应根据合同进度计划的安排，向监理人报送</w:t>
      </w:r>
      <w:r>
        <w:rPr>
          <w:rFonts w:ascii="宋体" w:hAnsi="宋体" w:eastAsia="宋体" w:cs="宋体"/>
          <w:color w:val="auto"/>
          <w:sz w:val="21"/>
          <w:szCs w:val="21"/>
          <w:highlight w:val="none"/>
        </w:rPr>
        <w:t xml:space="preserve">要求发包人交货的日期计划。发包人 </w:t>
      </w:r>
      <w:r>
        <w:rPr>
          <w:rFonts w:ascii="宋体" w:hAnsi="宋体" w:eastAsia="宋体" w:cs="宋体"/>
          <w:color w:val="auto"/>
          <w:spacing w:val="-1"/>
          <w:sz w:val="21"/>
          <w:szCs w:val="21"/>
          <w:highlight w:val="none"/>
        </w:rPr>
        <w:t>应按照监理人与合同双方当事人商定的交货日期，向承包人提交材料和工程设备。</w:t>
      </w:r>
    </w:p>
    <w:p w14:paraId="690848D7">
      <w:pPr>
        <w:spacing w:before="159" w:line="313" w:lineRule="auto"/>
        <w:ind w:left="26" w:firstLine="39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5.2.3 发包人应在材料和工程设备到货</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7</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天前通知承包人，承包人应会同监理人在约定的时间</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内，赴交货地点共同进行验收。除专用合同条</w:t>
      </w:r>
      <w:r>
        <w:rPr>
          <w:rFonts w:ascii="宋体" w:hAnsi="宋体" w:eastAsia="宋体" w:cs="宋体"/>
          <w:color w:val="auto"/>
          <w:spacing w:val="-5"/>
          <w:sz w:val="21"/>
          <w:szCs w:val="21"/>
          <w:highlight w:val="none"/>
        </w:rPr>
        <w:t>款另有约定外，发包人提供的材料和工程设备验收后，</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由承包人负责接收、运输和保管。</w:t>
      </w:r>
    </w:p>
    <w:p w14:paraId="336D038F">
      <w:pPr>
        <w:spacing w:before="157" w:line="290" w:lineRule="auto"/>
        <w:ind w:left="12" w:right="3" w:firstLine="41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5.2.4 发包人要求向承包人提前交货的，承包人不得拒绝</w:t>
      </w:r>
      <w:r>
        <w:rPr>
          <w:rFonts w:ascii="宋体" w:hAnsi="宋体" w:eastAsia="宋体" w:cs="宋体"/>
          <w:color w:val="auto"/>
          <w:sz w:val="21"/>
          <w:szCs w:val="21"/>
          <w:highlight w:val="none"/>
        </w:rPr>
        <w:t xml:space="preserve">，但发包人应承担承包人由此增加的 </w:t>
      </w:r>
      <w:r>
        <w:rPr>
          <w:rFonts w:ascii="宋体" w:hAnsi="宋体" w:eastAsia="宋体" w:cs="宋体"/>
          <w:color w:val="auto"/>
          <w:spacing w:val="-11"/>
          <w:sz w:val="21"/>
          <w:szCs w:val="21"/>
          <w:highlight w:val="none"/>
        </w:rPr>
        <w:t>费用。</w:t>
      </w:r>
    </w:p>
    <w:p w14:paraId="3D612592">
      <w:pPr>
        <w:spacing w:before="158" w:line="290" w:lineRule="auto"/>
        <w:ind w:left="10" w:right="3" w:firstLine="41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5.2.5 承包人要求更改交货日期或地点的，应事先报请监</w:t>
      </w:r>
      <w:r>
        <w:rPr>
          <w:rFonts w:ascii="宋体" w:hAnsi="宋体" w:eastAsia="宋体" w:cs="宋体"/>
          <w:color w:val="auto"/>
          <w:sz w:val="21"/>
          <w:szCs w:val="21"/>
          <w:highlight w:val="none"/>
        </w:rPr>
        <w:t xml:space="preserve">理人批准。由于承包人要求更改交货 </w:t>
      </w:r>
      <w:r>
        <w:rPr>
          <w:rFonts w:ascii="宋体" w:hAnsi="宋体" w:eastAsia="宋体" w:cs="宋体"/>
          <w:color w:val="auto"/>
          <w:spacing w:val="-1"/>
          <w:sz w:val="21"/>
          <w:szCs w:val="21"/>
          <w:highlight w:val="none"/>
        </w:rPr>
        <w:t>时间或地点所增加的费用和（或）工期延误由承包人承担。</w:t>
      </w:r>
    </w:p>
    <w:p w14:paraId="224C8F1D">
      <w:pPr>
        <w:spacing w:before="157" w:line="313" w:lineRule="auto"/>
        <w:ind w:left="4" w:right="1"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5.2.6 发包人提供的材料和工程设备的规格、数量或质量不</w:t>
      </w:r>
      <w:r>
        <w:rPr>
          <w:rFonts w:ascii="宋体" w:hAnsi="宋体" w:eastAsia="宋体" w:cs="宋体"/>
          <w:color w:val="auto"/>
          <w:sz w:val="21"/>
          <w:szCs w:val="21"/>
          <w:highlight w:val="none"/>
        </w:rPr>
        <w:t xml:space="preserve">符合合同要求，或由于发包人原因 </w:t>
      </w:r>
      <w:r>
        <w:rPr>
          <w:rFonts w:ascii="宋体" w:hAnsi="宋体" w:eastAsia="宋体" w:cs="宋体"/>
          <w:color w:val="auto"/>
          <w:spacing w:val="1"/>
          <w:sz w:val="21"/>
          <w:szCs w:val="21"/>
          <w:highlight w:val="none"/>
        </w:rPr>
        <w:t>发生交货日期延误及交货地点变更等情况的，发包人应承担由此增加的费</w:t>
      </w:r>
      <w:r>
        <w:rPr>
          <w:rFonts w:ascii="宋体" w:hAnsi="宋体" w:eastAsia="宋体" w:cs="宋体"/>
          <w:color w:val="auto"/>
          <w:sz w:val="21"/>
          <w:szCs w:val="21"/>
          <w:highlight w:val="none"/>
        </w:rPr>
        <w:t xml:space="preserve">用和（或）工期延误，并 </w:t>
      </w:r>
      <w:r>
        <w:rPr>
          <w:rFonts w:ascii="宋体" w:hAnsi="宋体" w:eastAsia="宋体" w:cs="宋体"/>
          <w:color w:val="auto"/>
          <w:spacing w:val="-3"/>
          <w:sz w:val="21"/>
          <w:szCs w:val="21"/>
          <w:highlight w:val="none"/>
        </w:rPr>
        <w:t>向承包人支付合理利润。</w:t>
      </w:r>
    </w:p>
    <w:p w14:paraId="64BCAD8A">
      <w:pPr>
        <w:spacing w:line="335" w:lineRule="auto"/>
        <w:outlineLvl w:val="9"/>
        <w:rPr>
          <w:rFonts w:ascii="Arial"/>
          <w:color w:val="auto"/>
          <w:sz w:val="21"/>
          <w:highlight w:val="none"/>
        </w:rPr>
      </w:pPr>
    </w:p>
    <w:p w14:paraId="70EDA0E0">
      <w:pPr>
        <w:spacing w:before="92" w:line="219"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5.3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材料和工程设备专用于合同工程</w:t>
      </w:r>
    </w:p>
    <w:p w14:paraId="55551A91">
      <w:pPr>
        <w:spacing w:before="280" w:line="290" w:lineRule="auto"/>
        <w:ind w:left="2" w:right="3"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5.3.1 运入施工场地的材料、工程设备，包括备品备件、</w:t>
      </w:r>
      <w:r>
        <w:rPr>
          <w:rFonts w:ascii="宋体" w:hAnsi="宋体" w:eastAsia="宋体" w:cs="宋体"/>
          <w:color w:val="auto"/>
          <w:sz w:val="21"/>
          <w:szCs w:val="21"/>
          <w:highlight w:val="none"/>
        </w:rPr>
        <w:t>安装专用工器具与随机资料，必须专 用于合同工程，未经监理人同意，承包人不得运出施工场地或挪</w:t>
      </w:r>
      <w:r>
        <w:rPr>
          <w:rFonts w:ascii="宋体" w:hAnsi="宋体" w:eastAsia="宋体" w:cs="宋体"/>
          <w:color w:val="auto"/>
          <w:spacing w:val="-1"/>
          <w:sz w:val="21"/>
          <w:szCs w:val="21"/>
          <w:highlight w:val="none"/>
        </w:rPr>
        <w:t>作他用。</w:t>
      </w:r>
    </w:p>
    <w:p w14:paraId="0F6B52AE">
      <w:pPr>
        <w:spacing w:before="157" w:line="220" w:lineRule="auto"/>
        <w:ind w:right="3"/>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5.3.2 随同工程设备运入施工场地的备品备件、专用工器</w:t>
      </w:r>
      <w:r>
        <w:rPr>
          <w:rFonts w:ascii="宋体" w:hAnsi="宋体" w:eastAsia="宋体" w:cs="宋体"/>
          <w:color w:val="auto"/>
          <w:sz w:val="21"/>
          <w:szCs w:val="21"/>
          <w:highlight w:val="none"/>
        </w:rPr>
        <w:t>具与随机资料，应由承包人会同监理</w:t>
      </w:r>
    </w:p>
    <w:p w14:paraId="1ED1FF77">
      <w:pPr>
        <w:spacing w:before="41" w:line="346" w:lineRule="auto"/>
        <w:ind w:firstLine="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人按供货人的装箱单清点后共同封存，未经监理人同意不得启用。承包人因</w:t>
      </w:r>
      <w:r>
        <w:rPr>
          <w:rFonts w:ascii="宋体" w:hAnsi="宋体" w:eastAsia="宋体" w:cs="宋体"/>
          <w:color w:val="auto"/>
          <w:sz w:val="21"/>
          <w:szCs w:val="21"/>
          <w:highlight w:val="none"/>
        </w:rPr>
        <w:t xml:space="preserve">合同工作需要使用上述 </w:t>
      </w:r>
      <w:r>
        <w:rPr>
          <w:rFonts w:ascii="宋体" w:hAnsi="宋体" w:eastAsia="宋体" w:cs="宋体"/>
          <w:color w:val="auto"/>
          <w:spacing w:val="-2"/>
          <w:sz w:val="21"/>
          <w:szCs w:val="21"/>
          <w:highlight w:val="none"/>
        </w:rPr>
        <w:t>物品时，应向监理人提出申请。</w:t>
      </w:r>
    </w:p>
    <w:p w14:paraId="6E16DB21">
      <w:pPr>
        <w:spacing w:before="299" w:line="219"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5.4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禁止使用不合格的材料和工程设备</w:t>
      </w:r>
    </w:p>
    <w:p w14:paraId="7682D015">
      <w:pPr>
        <w:spacing w:before="280" w:line="290" w:lineRule="auto"/>
        <w:ind w:left="2" w:right="2"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5.4.1 监理人有权拒绝承包人提供的不合格材料或工程设</w:t>
      </w:r>
      <w:r>
        <w:rPr>
          <w:rFonts w:ascii="宋体" w:hAnsi="宋体" w:eastAsia="宋体" w:cs="宋体"/>
          <w:color w:val="auto"/>
          <w:sz w:val="21"/>
          <w:szCs w:val="21"/>
          <w:highlight w:val="none"/>
        </w:rPr>
        <w:t>备，并要求承包人立即进行更换。监 理人应在更换后再次进行检查和检验，由此增加的费用和（或）工期延误由承包</w:t>
      </w:r>
      <w:r>
        <w:rPr>
          <w:rFonts w:ascii="宋体" w:hAnsi="宋体" w:eastAsia="宋体" w:cs="宋体"/>
          <w:color w:val="auto"/>
          <w:spacing w:val="-1"/>
          <w:sz w:val="21"/>
          <w:szCs w:val="21"/>
          <w:highlight w:val="none"/>
        </w:rPr>
        <w:t>人承担。</w:t>
      </w:r>
    </w:p>
    <w:p w14:paraId="0EF083FC">
      <w:pPr>
        <w:spacing w:before="160" w:line="289" w:lineRule="auto"/>
        <w:ind w:left="4"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5.4.2 监理人发现承包人使用了不合格的材料和工程设备</w:t>
      </w:r>
      <w:r>
        <w:rPr>
          <w:rFonts w:ascii="宋体" w:hAnsi="宋体" w:eastAsia="宋体" w:cs="宋体"/>
          <w:color w:val="auto"/>
          <w:sz w:val="21"/>
          <w:szCs w:val="21"/>
          <w:highlight w:val="none"/>
        </w:rPr>
        <w:t xml:space="preserve">，应即时发出指示要求承包人立即改 </w:t>
      </w:r>
      <w:r>
        <w:rPr>
          <w:rFonts w:ascii="宋体" w:hAnsi="宋体" w:eastAsia="宋体" w:cs="宋体"/>
          <w:color w:val="auto"/>
          <w:spacing w:val="-1"/>
          <w:sz w:val="21"/>
          <w:szCs w:val="21"/>
          <w:highlight w:val="none"/>
        </w:rPr>
        <w:t>正，并禁止在工程中继续使用不合格的材料和工程</w:t>
      </w:r>
      <w:r>
        <w:rPr>
          <w:rFonts w:ascii="宋体" w:hAnsi="宋体" w:eastAsia="宋体" w:cs="宋体"/>
          <w:color w:val="auto"/>
          <w:spacing w:val="-2"/>
          <w:sz w:val="21"/>
          <w:szCs w:val="21"/>
          <w:highlight w:val="none"/>
        </w:rPr>
        <w:t>设备。</w:t>
      </w:r>
    </w:p>
    <w:p w14:paraId="6B885310">
      <w:pPr>
        <w:spacing w:before="157" w:line="290" w:lineRule="auto"/>
        <w:ind w:left="1" w:right="2"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5.4.3 发包人提供的材料或工程设备不符合合同要求的，</w:t>
      </w:r>
      <w:r>
        <w:rPr>
          <w:rFonts w:ascii="宋体" w:hAnsi="宋体" w:eastAsia="宋体" w:cs="宋体"/>
          <w:color w:val="auto"/>
          <w:sz w:val="21"/>
          <w:szCs w:val="21"/>
          <w:highlight w:val="none"/>
        </w:rPr>
        <w:t xml:space="preserve">承包人有权拒绝，并可要求发包人更 </w:t>
      </w:r>
      <w:r>
        <w:rPr>
          <w:rFonts w:ascii="宋体" w:hAnsi="宋体" w:eastAsia="宋体" w:cs="宋体"/>
          <w:color w:val="auto"/>
          <w:spacing w:val="-1"/>
          <w:sz w:val="21"/>
          <w:szCs w:val="21"/>
          <w:highlight w:val="none"/>
        </w:rPr>
        <w:t>换，由此增加的费用和（或）工期延误由发包人承担。</w:t>
      </w:r>
    </w:p>
    <w:p w14:paraId="7340E870">
      <w:pPr>
        <w:spacing w:before="175" w:line="225" w:lineRule="auto"/>
        <w:ind w:left="6"/>
        <w:outlineLvl w:val="9"/>
        <w:rPr>
          <w:rFonts w:ascii="宋体" w:hAnsi="宋体" w:eastAsia="宋体" w:cs="宋体"/>
          <w:color w:val="auto"/>
          <w:sz w:val="31"/>
          <w:szCs w:val="31"/>
          <w:highlight w:val="none"/>
        </w:rPr>
      </w:pPr>
      <w:bookmarkStart w:id="233" w:name="_Toc10681"/>
      <w:bookmarkStart w:id="234" w:name="_Toc15331"/>
      <w:r>
        <w:rPr>
          <w:rFonts w:ascii="宋体" w:hAnsi="宋体" w:eastAsia="宋体" w:cs="宋体"/>
          <w:b/>
          <w:bCs/>
          <w:color w:val="auto"/>
          <w:spacing w:val="5"/>
          <w:sz w:val="31"/>
          <w:szCs w:val="31"/>
          <w:highlight w:val="none"/>
        </w:rPr>
        <w:t>6.</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施工设备和临时设施</w:t>
      </w:r>
      <w:bookmarkEnd w:id="233"/>
      <w:bookmarkEnd w:id="234"/>
    </w:p>
    <w:p w14:paraId="4E5D3E86">
      <w:pPr>
        <w:spacing w:before="275" w:line="219"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承包人提供的施工设备和临时设施</w:t>
      </w:r>
    </w:p>
    <w:p w14:paraId="6CC61B71">
      <w:pPr>
        <w:spacing w:before="282" w:line="351" w:lineRule="auto"/>
        <w:ind w:firstLine="421"/>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6.1.1 承包人应按合同进度计划的要求，及时配置施工设备和修建临时设施。进入施工场地的</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承包人设备需经监理人核查后才能投入使用。承包人更换合同约定的承包人设备</w:t>
      </w:r>
      <w:r>
        <w:rPr>
          <w:rFonts w:ascii="宋体" w:hAnsi="宋体" w:eastAsia="宋体" w:cs="宋体"/>
          <w:color w:val="auto"/>
          <w:sz w:val="21"/>
          <w:szCs w:val="21"/>
          <w:highlight w:val="none"/>
        </w:rPr>
        <w:t xml:space="preserve">的，应报监理人批 </w:t>
      </w:r>
      <w:r>
        <w:rPr>
          <w:rFonts w:ascii="宋体" w:hAnsi="宋体" w:eastAsia="宋体" w:cs="宋体"/>
          <w:color w:val="auto"/>
          <w:spacing w:val="-10"/>
          <w:sz w:val="21"/>
          <w:szCs w:val="21"/>
          <w:highlight w:val="none"/>
        </w:rPr>
        <w:t>准。</w:t>
      </w:r>
    </w:p>
    <w:p w14:paraId="360CC3B6">
      <w:pPr>
        <w:spacing w:before="28" w:line="345" w:lineRule="auto"/>
        <w:ind w:right="44" w:firstLine="42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6.1.2</w:t>
      </w:r>
      <w:r>
        <w:rPr>
          <w:rFonts w:ascii="宋体" w:hAnsi="宋体" w:eastAsia="宋体" w:cs="宋体"/>
          <w:color w:val="auto"/>
          <w:spacing w:val="-34"/>
          <w:sz w:val="21"/>
          <w:szCs w:val="21"/>
          <w:highlight w:val="none"/>
        </w:rPr>
        <w:t xml:space="preserve"> </w:t>
      </w:r>
      <w:r>
        <w:rPr>
          <w:rFonts w:ascii="宋体" w:hAnsi="宋体" w:eastAsia="宋体" w:cs="宋体"/>
          <w:color w:val="auto"/>
          <w:spacing w:val="-4"/>
          <w:sz w:val="21"/>
          <w:szCs w:val="21"/>
          <w:highlight w:val="none"/>
        </w:rPr>
        <w:t>除专用合同条款另有约定外，承包人应自行承担修建临时设施</w:t>
      </w:r>
      <w:r>
        <w:rPr>
          <w:rFonts w:ascii="宋体" w:hAnsi="宋体" w:eastAsia="宋体" w:cs="宋体"/>
          <w:color w:val="auto"/>
          <w:spacing w:val="-5"/>
          <w:sz w:val="21"/>
          <w:szCs w:val="21"/>
          <w:highlight w:val="none"/>
        </w:rPr>
        <w:t>的费用，需要临时占地的，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应由发包人办理申请手续并承担相应费用。</w:t>
      </w:r>
    </w:p>
    <w:p w14:paraId="47A8E02C">
      <w:pPr>
        <w:spacing w:before="301" w:line="219"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发包人提供的施工设备和临时设施</w:t>
      </w:r>
    </w:p>
    <w:p w14:paraId="45052C72">
      <w:pPr>
        <w:spacing w:line="319" w:lineRule="auto"/>
        <w:outlineLvl w:val="9"/>
        <w:rPr>
          <w:rFonts w:ascii="Arial"/>
          <w:color w:val="auto"/>
          <w:sz w:val="21"/>
          <w:highlight w:val="none"/>
        </w:rPr>
      </w:pPr>
    </w:p>
    <w:p w14:paraId="42D6E5D0">
      <w:pPr>
        <w:spacing w:before="68" w:line="220" w:lineRule="auto"/>
        <w:ind w:left="42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发包人提供的施工设备或临时设施在专用合同</w:t>
      </w:r>
      <w:r>
        <w:rPr>
          <w:rFonts w:ascii="宋体" w:hAnsi="宋体" w:eastAsia="宋体" w:cs="宋体"/>
          <w:color w:val="auto"/>
          <w:spacing w:val="-1"/>
          <w:sz w:val="21"/>
          <w:szCs w:val="21"/>
          <w:highlight w:val="none"/>
        </w:rPr>
        <w:t>条款中约定。</w:t>
      </w:r>
    </w:p>
    <w:p w14:paraId="23DD1E03">
      <w:pPr>
        <w:spacing w:before="312"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要求承包人增加或更换施工设备</w:t>
      </w:r>
    </w:p>
    <w:p w14:paraId="291B686E">
      <w:pPr>
        <w:spacing w:before="281" w:line="345"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承包人使用的施工设备不能满足合同进度计划和（或）质量要求时，监理</w:t>
      </w:r>
      <w:r>
        <w:rPr>
          <w:rFonts w:ascii="宋体" w:hAnsi="宋体" w:eastAsia="宋体" w:cs="宋体"/>
          <w:color w:val="auto"/>
          <w:sz w:val="21"/>
          <w:szCs w:val="21"/>
          <w:highlight w:val="none"/>
        </w:rPr>
        <w:t>人有权要求承包人增 加或更换施工设备，承包人应及时增加或更换，由此增加的费用和（或）工期延误由承包人承担。</w:t>
      </w:r>
    </w:p>
    <w:p w14:paraId="16C863DA">
      <w:pPr>
        <w:spacing w:before="300"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施工设备和临时设施专用于合同工程</w:t>
      </w:r>
    </w:p>
    <w:p w14:paraId="3E2D97EB">
      <w:pPr>
        <w:spacing w:before="281" w:line="351" w:lineRule="auto"/>
        <w:ind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6.4.1 除合同另有约定外，运入施工场地的所有施工设备以及在</w:t>
      </w:r>
      <w:r>
        <w:rPr>
          <w:rFonts w:ascii="宋体" w:hAnsi="宋体" w:eastAsia="宋体" w:cs="宋体"/>
          <w:color w:val="auto"/>
          <w:sz w:val="21"/>
          <w:szCs w:val="21"/>
          <w:highlight w:val="none"/>
        </w:rPr>
        <w:t xml:space="preserve">施工场地建设的临时设施应专 </w:t>
      </w:r>
      <w:r>
        <w:rPr>
          <w:rFonts w:ascii="宋体" w:hAnsi="宋体" w:eastAsia="宋体" w:cs="宋体"/>
          <w:color w:val="auto"/>
          <w:spacing w:val="1"/>
          <w:sz w:val="21"/>
          <w:szCs w:val="21"/>
          <w:highlight w:val="none"/>
        </w:rPr>
        <w:t>用于合同工程。未经监理人同意，不得将上述施工设备和临时设施中的任何部</w:t>
      </w:r>
      <w:r>
        <w:rPr>
          <w:rFonts w:ascii="宋体" w:hAnsi="宋体" w:eastAsia="宋体" w:cs="宋体"/>
          <w:color w:val="auto"/>
          <w:sz w:val="21"/>
          <w:szCs w:val="21"/>
          <w:highlight w:val="none"/>
        </w:rPr>
        <w:t xml:space="preserve">分运出施工场地或挪 </w:t>
      </w:r>
      <w:r>
        <w:rPr>
          <w:rFonts w:ascii="宋体" w:hAnsi="宋体" w:eastAsia="宋体" w:cs="宋体"/>
          <w:color w:val="auto"/>
          <w:spacing w:val="-2"/>
          <w:sz w:val="21"/>
          <w:szCs w:val="21"/>
          <w:highlight w:val="none"/>
        </w:rPr>
        <w:t>作他用。</w:t>
      </w:r>
    </w:p>
    <w:p w14:paraId="6424D709">
      <w:pPr>
        <w:spacing w:before="28" w:line="221"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6.4.2 经监理人同意，承包人可根据合同进度计划撤走闲置的</w:t>
      </w:r>
      <w:r>
        <w:rPr>
          <w:rFonts w:ascii="宋体" w:hAnsi="宋体" w:eastAsia="宋体" w:cs="宋体"/>
          <w:color w:val="auto"/>
          <w:spacing w:val="-1"/>
          <w:sz w:val="21"/>
          <w:szCs w:val="21"/>
          <w:highlight w:val="none"/>
        </w:rPr>
        <w:t>施工设备。</w:t>
      </w:r>
    </w:p>
    <w:p w14:paraId="61399962">
      <w:pPr>
        <w:spacing w:before="63" w:line="225" w:lineRule="auto"/>
        <w:ind w:left="12"/>
        <w:outlineLvl w:val="9"/>
        <w:rPr>
          <w:rFonts w:ascii="宋体" w:hAnsi="宋体" w:eastAsia="宋体" w:cs="宋体"/>
          <w:color w:val="auto"/>
          <w:sz w:val="31"/>
          <w:szCs w:val="31"/>
          <w:highlight w:val="none"/>
        </w:rPr>
      </w:pPr>
      <w:bookmarkStart w:id="235" w:name="_Toc19357"/>
      <w:bookmarkStart w:id="236" w:name="_Toc30201"/>
      <w:r>
        <w:rPr>
          <w:rFonts w:ascii="宋体" w:hAnsi="宋体" w:eastAsia="宋体" w:cs="宋体"/>
          <w:b/>
          <w:bCs/>
          <w:color w:val="auto"/>
          <w:spacing w:val="-1"/>
          <w:sz w:val="31"/>
          <w:szCs w:val="31"/>
          <w:highlight w:val="none"/>
        </w:rPr>
        <w:t>7.</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1"/>
          <w:sz w:val="31"/>
          <w:szCs w:val="31"/>
          <w:highlight w:val="none"/>
        </w:rPr>
        <w:t>交通运输</w:t>
      </w:r>
      <w:bookmarkEnd w:id="235"/>
      <w:bookmarkEnd w:id="236"/>
    </w:p>
    <w:p w14:paraId="234D7FD3">
      <w:pPr>
        <w:spacing w:before="274"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7.1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道路通行权和场外设施</w:t>
      </w:r>
    </w:p>
    <w:p w14:paraId="34861D6B">
      <w:pPr>
        <w:spacing w:before="279" w:line="351" w:lineRule="auto"/>
        <w:ind w:right="2" w:firstLine="432"/>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除专用合同条款另有约定外，发包人应根据合</w:t>
      </w:r>
      <w:r>
        <w:rPr>
          <w:rFonts w:ascii="宋体" w:hAnsi="宋体" w:eastAsia="宋体" w:cs="宋体"/>
          <w:color w:val="auto"/>
          <w:sz w:val="21"/>
          <w:szCs w:val="21"/>
          <w:highlight w:val="none"/>
        </w:rPr>
        <w:t xml:space="preserve">同工程的施工需要，负责办理取得出入施工场地 </w:t>
      </w:r>
      <w:r>
        <w:rPr>
          <w:rFonts w:ascii="宋体" w:hAnsi="宋体" w:eastAsia="宋体" w:cs="宋体"/>
          <w:color w:val="auto"/>
          <w:spacing w:val="1"/>
          <w:sz w:val="21"/>
          <w:szCs w:val="21"/>
          <w:highlight w:val="none"/>
        </w:rPr>
        <w:t>的专用和临时道路的通行权，以及取得为工程建设所需修</w:t>
      </w:r>
      <w:r>
        <w:rPr>
          <w:rFonts w:ascii="宋体" w:hAnsi="宋体" w:eastAsia="宋体" w:cs="宋体"/>
          <w:color w:val="auto"/>
          <w:sz w:val="21"/>
          <w:szCs w:val="21"/>
          <w:highlight w:val="none"/>
        </w:rPr>
        <w:t xml:space="preserve">建场外设施的权利，并承担有关费用。承 </w:t>
      </w:r>
      <w:r>
        <w:rPr>
          <w:rFonts w:ascii="宋体" w:hAnsi="宋体" w:eastAsia="宋体" w:cs="宋体"/>
          <w:color w:val="auto"/>
          <w:spacing w:val="-1"/>
          <w:sz w:val="21"/>
          <w:szCs w:val="21"/>
          <w:highlight w:val="none"/>
        </w:rPr>
        <w:t>包人应协助发包人办理上述手续。</w:t>
      </w:r>
    </w:p>
    <w:p w14:paraId="452747CA">
      <w:pPr>
        <w:spacing w:before="298"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7.2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场内施工道路</w:t>
      </w:r>
    </w:p>
    <w:p w14:paraId="6B7E5BA4">
      <w:pPr>
        <w:spacing w:before="281" w:line="289" w:lineRule="auto"/>
        <w:ind w:left="2" w:right="1"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7.2.1 除专用合同条款另有约定外，承包人应负责修建、</w:t>
      </w:r>
      <w:r>
        <w:rPr>
          <w:rFonts w:ascii="宋体" w:hAnsi="宋体" w:eastAsia="宋体" w:cs="宋体"/>
          <w:color w:val="auto"/>
          <w:sz w:val="21"/>
          <w:szCs w:val="21"/>
          <w:highlight w:val="none"/>
        </w:rPr>
        <w:t>维修、养护和管理施工所需的临时道 路和交通设施，包括维修、养护和管理发包人提供的道路和交通设施，并承担相应</w:t>
      </w:r>
      <w:r>
        <w:rPr>
          <w:rFonts w:ascii="宋体" w:hAnsi="宋体" w:eastAsia="宋体" w:cs="宋体"/>
          <w:color w:val="auto"/>
          <w:spacing w:val="-1"/>
          <w:sz w:val="21"/>
          <w:szCs w:val="21"/>
          <w:highlight w:val="none"/>
        </w:rPr>
        <w:t>费用。</w:t>
      </w:r>
    </w:p>
    <w:p w14:paraId="48193E53">
      <w:pPr>
        <w:spacing w:before="160" w:line="290" w:lineRule="auto"/>
        <w:ind w:left="3" w:right="2"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7.2.2 除专用合同条款另有约定外，承包人修建的临时</w:t>
      </w:r>
      <w:r>
        <w:rPr>
          <w:rFonts w:ascii="宋体" w:hAnsi="宋体" w:eastAsia="宋体" w:cs="宋体"/>
          <w:color w:val="auto"/>
          <w:sz w:val="21"/>
          <w:szCs w:val="21"/>
          <w:highlight w:val="none"/>
        </w:rPr>
        <w:t xml:space="preserve">道路和交通设施应免费提供发包人和监 </w:t>
      </w:r>
      <w:r>
        <w:rPr>
          <w:rFonts w:ascii="宋体" w:hAnsi="宋体" w:eastAsia="宋体" w:cs="宋体"/>
          <w:color w:val="auto"/>
          <w:spacing w:val="-5"/>
          <w:sz w:val="21"/>
          <w:szCs w:val="21"/>
          <w:highlight w:val="none"/>
        </w:rPr>
        <w:t>理人使用。</w:t>
      </w:r>
    </w:p>
    <w:p w14:paraId="2D9EB597">
      <w:pPr>
        <w:spacing w:line="332" w:lineRule="auto"/>
        <w:outlineLvl w:val="9"/>
        <w:rPr>
          <w:rFonts w:ascii="Arial"/>
          <w:color w:val="auto"/>
          <w:sz w:val="21"/>
          <w:highlight w:val="none"/>
        </w:rPr>
      </w:pPr>
    </w:p>
    <w:p w14:paraId="25097576">
      <w:pPr>
        <w:spacing w:before="92" w:line="221"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7.3</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场外交通</w:t>
      </w:r>
    </w:p>
    <w:p w14:paraId="7A4A38E9">
      <w:pPr>
        <w:spacing w:before="279" w:line="221" w:lineRule="auto"/>
        <w:ind w:left="42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7.3.1 承包人车辆外出行驶所需的场外公</w:t>
      </w:r>
      <w:r>
        <w:rPr>
          <w:rFonts w:ascii="宋体" w:hAnsi="宋体" w:eastAsia="宋体" w:cs="宋体"/>
          <w:color w:val="auto"/>
          <w:spacing w:val="-1"/>
          <w:sz w:val="21"/>
          <w:szCs w:val="21"/>
          <w:highlight w:val="none"/>
        </w:rPr>
        <w:t>共道路的通行费、养路费和税款等由承包人承担。</w:t>
      </w:r>
    </w:p>
    <w:p w14:paraId="0558551F">
      <w:pPr>
        <w:spacing w:before="156" w:line="290" w:lineRule="auto"/>
        <w:ind w:left="3" w:right="2"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7.3.2 承包人应遵守有关交通法规，严格按照道路和桥</w:t>
      </w:r>
      <w:r>
        <w:rPr>
          <w:rFonts w:ascii="宋体" w:hAnsi="宋体" w:eastAsia="宋体" w:cs="宋体"/>
          <w:color w:val="auto"/>
          <w:sz w:val="21"/>
          <w:szCs w:val="21"/>
          <w:highlight w:val="none"/>
        </w:rPr>
        <w:t xml:space="preserve">梁的限制荷重安全行驶，并服从交通管 </w:t>
      </w:r>
      <w:r>
        <w:rPr>
          <w:rFonts w:ascii="宋体" w:hAnsi="宋体" w:eastAsia="宋体" w:cs="宋体"/>
          <w:color w:val="auto"/>
          <w:spacing w:val="-1"/>
          <w:sz w:val="21"/>
          <w:szCs w:val="21"/>
          <w:highlight w:val="none"/>
        </w:rPr>
        <w:t>理部门的检查和监督。</w:t>
      </w:r>
    </w:p>
    <w:p w14:paraId="2985A669">
      <w:pPr>
        <w:spacing w:line="335" w:lineRule="auto"/>
        <w:outlineLvl w:val="9"/>
        <w:rPr>
          <w:rFonts w:ascii="Arial"/>
          <w:color w:val="auto"/>
          <w:sz w:val="21"/>
          <w:highlight w:val="none"/>
        </w:rPr>
      </w:pPr>
    </w:p>
    <w:p w14:paraId="5A8BE48C">
      <w:pPr>
        <w:spacing w:before="92"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7.4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超大件和超重件的运输</w:t>
      </w:r>
    </w:p>
    <w:p w14:paraId="785096D6">
      <w:pPr>
        <w:spacing w:before="280" w:line="350" w:lineRule="auto"/>
        <w:ind w:left="1" w:firstLine="444"/>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由承包人负责运输的超大件或超重件，应由承包人负责向交通管理部门办理申请手续，发包人</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给予协助。运输超大件或超重件所需的道路和桥梁临时加固改造费用和其他有</w:t>
      </w:r>
      <w:r>
        <w:rPr>
          <w:rFonts w:ascii="宋体" w:hAnsi="宋体" w:eastAsia="宋体" w:cs="宋体"/>
          <w:color w:val="auto"/>
          <w:sz w:val="21"/>
          <w:szCs w:val="21"/>
          <w:highlight w:val="none"/>
        </w:rPr>
        <w:t xml:space="preserve">关费用，由承包人承 </w:t>
      </w:r>
      <w:r>
        <w:rPr>
          <w:rFonts w:ascii="宋体" w:hAnsi="宋体" w:eastAsia="宋体" w:cs="宋体"/>
          <w:color w:val="auto"/>
          <w:spacing w:val="-2"/>
          <w:sz w:val="21"/>
          <w:szCs w:val="21"/>
          <w:highlight w:val="none"/>
        </w:rPr>
        <w:t>担，但专用合同条款另有约定除外。</w:t>
      </w:r>
    </w:p>
    <w:p w14:paraId="0BEDEE1D">
      <w:pPr>
        <w:spacing w:before="299"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7.5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道路和桥梁的损坏责任</w:t>
      </w:r>
    </w:p>
    <w:p w14:paraId="6E11F673">
      <w:pPr>
        <w:spacing w:before="281" w:line="345" w:lineRule="auto"/>
        <w:ind w:left="2" w:right="2" w:firstLine="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因承包人运输造成施工场地内外公共道路和桥梁损坏的，由承包人承担修复损坏的全部费用和</w:t>
      </w:r>
      <w:r>
        <w:rPr>
          <w:rFonts w:ascii="宋体" w:hAnsi="宋体" w:eastAsia="宋体" w:cs="宋体"/>
          <w:color w:val="auto"/>
          <w:spacing w:val="16"/>
          <w:sz w:val="21"/>
          <w:szCs w:val="21"/>
          <w:highlight w:val="none"/>
        </w:rPr>
        <w:t xml:space="preserve"> </w:t>
      </w:r>
      <w:r>
        <w:rPr>
          <w:rFonts w:ascii="宋体" w:hAnsi="宋体" w:eastAsia="宋体" w:cs="宋体"/>
          <w:color w:val="auto"/>
          <w:spacing w:val="-1"/>
          <w:sz w:val="21"/>
          <w:szCs w:val="21"/>
          <w:highlight w:val="none"/>
        </w:rPr>
        <w:t>可能引起的赔偿。</w:t>
      </w:r>
    </w:p>
    <w:p w14:paraId="3096236F">
      <w:pPr>
        <w:spacing w:before="302" w:line="220" w:lineRule="auto"/>
        <w:ind w:left="14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7.6</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水路和航空运输</w:t>
      </w:r>
    </w:p>
    <w:p w14:paraId="0DEC733B">
      <w:pPr>
        <w:spacing w:before="283" w:line="349" w:lineRule="auto"/>
        <w:ind w:right="1" w:firstLine="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本条上述各款的内容适用于水路运输和航空运输，其中“道路”一词的涵义包括河道、航线、 </w:t>
      </w:r>
      <w:r>
        <w:rPr>
          <w:rFonts w:ascii="宋体" w:hAnsi="宋体" w:eastAsia="宋体" w:cs="宋体"/>
          <w:color w:val="auto"/>
          <w:spacing w:val="-4"/>
          <w:sz w:val="21"/>
          <w:szCs w:val="21"/>
          <w:highlight w:val="none"/>
        </w:rPr>
        <w:t>船闸、机场、码头、堤防以及水路或航空运输中其他相似结构物；“车辆”一词的涵义包括船舶和飞</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机等。</w:t>
      </w:r>
    </w:p>
    <w:p w14:paraId="18CD72DB">
      <w:pPr>
        <w:spacing w:before="63" w:line="226" w:lineRule="auto"/>
        <w:ind w:left="6"/>
        <w:outlineLvl w:val="9"/>
        <w:rPr>
          <w:rFonts w:ascii="宋体" w:hAnsi="宋体" w:eastAsia="宋体" w:cs="宋体"/>
          <w:color w:val="auto"/>
          <w:sz w:val="31"/>
          <w:szCs w:val="31"/>
          <w:highlight w:val="none"/>
        </w:rPr>
      </w:pPr>
      <w:bookmarkStart w:id="237" w:name="_Toc1074"/>
      <w:bookmarkStart w:id="238" w:name="_Toc15060"/>
      <w:r>
        <w:rPr>
          <w:rFonts w:ascii="宋体" w:hAnsi="宋体" w:eastAsia="宋体" w:cs="宋体"/>
          <w:b/>
          <w:bCs/>
          <w:color w:val="auto"/>
          <w:spacing w:val="1"/>
          <w:sz w:val="31"/>
          <w:szCs w:val="31"/>
          <w:highlight w:val="none"/>
        </w:rPr>
        <w:t>8.</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1"/>
          <w:sz w:val="31"/>
          <w:szCs w:val="31"/>
          <w:highlight w:val="none"/>
        </w:rPr>
        <w:t>测量放线</w:t>
      </w:r>
      <w:bookmarkEnd w:id="237"/>
      <w:bookmarkEnd w:id="238"/>
    </w:p>
    <w:p w14:paraId="63054BE3">
      <w:pPr>
        <w:spacing w:before="273" w:line="221"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8.1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施工控制网</w:t>
      </w:r>
    </w:p>
    <w:p w14:paraId="2289230B">
      <w:pPr>
        <w:spacing w:before="277" w:line="325" w:lineRule="auto"/>
        <w:ind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8.1.1 发包人应在专用合同条款约定的期限内，通过监理人向承包</w:t>
      </w:r>
      <w:r>
        <w:rPr>
          <w:rFonts w:ascii="宋体" w:hAnsi="宋体" w:eastAsia="宋体" w:cs="宋体"/>
          <w:color w:val="auto"/>
          <w:sz w:val="21"/>
          <w:szCs w:val="21"/>
          <w:highlight w:val="none"/>
        </w:rPr>
        <w:t xml:space="preserve">人提供测量基准点、基准线 </w:t>
      </w:r>
      <w:r>
        <w:rPr>
          <w:rFonts w:ascii="宋体" w:hAnsi="宋体" w:eastAsia="宋体" w:cs="宋体"/>
          <w:color w:val="auto"/>
          <w:spacing w:val="1"/>
          <w:sz w:val="21"/>
          <w:szCs w:val="21"/>
          <w:highlight w:val="none"/>
        </w:rPr>
        <w:t>和水准点及其书面资料。除专用合同条款另有约定外，承包人应根据国家测绘基准</w:t>
      </w:r>
      <w:r>
        <w:rPr>
          <w:rFonts w:ascii="宋体" w:hAnsi="宋体" w:eastAsia="宋体" w:cs="宋体"/>
          <w:color w:val="auto"/>
          <w:sz w:val="21"/>
          <w:szCs w:val="21"/>
          <w:highlight w:val="none"/>
        </w:rPr>
        <w:t xml:space="preserve">、测绘系统和工 </w:t>
      </w:r>
      <w:r>
        <w:rPr>
          <w:rFonts w:ascii="宋体" w:hAnsi="宋体" w:eastAsia="宋体" w:cs="宋体"/>
          <w:color w:val="auto"/>
          <w:spacing w:val="1"/>
          <w:sz w:val="21"/>
          <w:szCs w:val="21"/>
          <w:highlight w:val="none"/>
        </w:rPr>
        <w:t>程测量技术规范，按上述基准点（线）以及合同工程精度要求，测设施工控制网，</w:t>
      </w:r>
      <w:r>
        <w:rPr>
          <w:rFonts w:ascii="宋体" w:hAnsi="宋体" w:eastAsia="宋体" w:cs="宋体"/>
          <w:color w:val="auto"/>
          <w:sz w:val="21"/>
          <w:szCs w:val="21"/>
          <w:highlight w:val="none"/>
        </w:rPr>
        <w:t xml:space="preserve">并在专用合同条 </w:t>
      </w:r>
      <w:r>
        <w:rPr>
          <w:rFonts w:ascii="宋体" w:hAnsi="宋体" w:eastAsia="宋体" w:cs="宋体"/>
          <w:color w:val="auto"/>
          <w:spacing w:val="-1"/>
          <w:sz w:val="21"/>
          <w:szCs w:val="21"/>
          <w:highlight w:val="none"/>
        </w:rPr>
        <w:t>款约定的期限内，将施工控制网资料报送监理人审批。</w:t>
      </w:r>
    </w:p>
    <w:p w14:paraId="1B73CDC1">
      <w:pPr>
        <w:spacing w:before="156" w:line="291"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8.1.2 承包人应负责管理施工控制网点。施工控制网点丢失或损坏</w:t>
      </w:r>
      <w:r>
        <w:rPr>
          <w:rFonts w:ascii="宋体" w:hAnsi="宋体" w:eastAsia="宋体" w:cs="宋体"/>
          <w:color w:val="auto"/>
          <w:sz w:val="21"/>
          <w:szCs w:val="21"/>
          <w:highlight w:val="none"/>
        </w:rPr>
        <w:t>的，承包人应及时修复。承 包人应承担施工控制网点的管理与修复费用，并在工</w:t>
      </w:r>
      <w:r>
        <w:rPr>
          <w:rFonts w:ascii="宋体" w:hAnsi="宋体" w:eastAsia="宋体" w:cs="宋体"/>
          <w:color w:val="auto"/>
          <w:spacing w:val="-1"/>
          <w:sz w:val="21"/>
          <w:szCs w:val="21"/>
          <w:highlight w:val="none"/>
        </w:rPr>
        <w:t>程竣工后将施工控制网点移交发包人。</w:t>
      </w:r>
    </w:p>
    <w:p w14:paraId="72C4BFE6">
      <w:pPr>
        <w:spacing w:line="334" w:lineRule="auto"/>
        <w:outlineLvl w:val="9"/>
        <w:rPr>
          <w:rFonts w:ascii="Arial"/>
          <w:color w:val="auto"/>
          <w:sz w:val="21"/>
          <w:highlight w:val="none"/>
        </w:rPr>
      </w:pPr>
    </w:p>
    <w:p w14:paraId="4F173759">
      <w:pPr>
        <w:spacing w:before="91" w:line="221"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8.2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施工测量</w:t>
      </w:r>
    </w:p>
    <w:p w14:paraId="5AC3E95B">
      <w:pPr>
        <w:spacing w:before="277" w:line="346" w:lineRule="auto"/>
        <w:ind w:left="1"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8.2.1 承包人应负责施工过程中的全部施工测量放线工作，并配置</w:t>
      </w:r>
      <w:r>
        <w:rPr>
          <w:rFonts w:ascii="宋体" w:hAnsi="宋体" w:eastAsia="宋体" w:cs="宋体"/>
          <w:color w:val="auto"/>
          <w:sz w:val="21"/>
          <w:szCs w:val="21"/>
          <w:highlight w:val="none"/>
        </w:rPr>
        <w:t xml:space="preserve">合格的人员、仪器、设备和 </w:t>
      </w:r>
      <w:r>
        <w:rPr>
          <w:rFonts w:ascii="宋体" w:hAnsi="宋体" w:eastAsia="宋体" w:cs="宋体"/>
          <w:color w:val="auto"/>
          <w:spacing w:val="-5"/>
          <w:sz w:val="21"/>
          <w:szCs w:val="21"/>
          <w:highlight w:val="none"/>
        </w:rPr>
        <w:t>其他物品。</w:t>
      </w:r>
    </w:p>
    <w:p w14:paraId="41C0A13A">
      <w:pPr>
        <w:spacing w:before="30" w:line="345" w:lineRule="auto"/>
        <w:ind w:right="44" w:firstLine="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8.2.2</w:t>
      </w:r>
      <w:r>
        <w:rPr>
          <w:rFonts w:ascii="宋体" w:hAnsi="宋体" w:eastAsia="宋体" w:cs="宋体"/>
          <w:color w:val="auto"/>
          <w:spacing w:val="-45"/>
          <w:sz w:val="21"/>
          <w:szCs w:val="21"/>
          <w:highlight w:val="none"/>
        </w:rPr>
        <w:t xml:space="preserve"> </w:t>
      </w:r>
      <w:r>
        <w:rPr>
          <w:rFonts w:ascii="宋体" w:hAnsi="宋体" w:eastAsia="宋体" w:cs="宋体"/>
          <w:color w:val="auto"/>
          <w:spacing w:val="-4"/>
          <w:sz w:val="21"/>
          <w:szCs w:val="21"/>
          <w:highlight w:val="none"/>
        </w:rPr>
        <w:t>监理人可以指示承包人进行抽样复测，当复测中发现错误或出现超过合同约定的误差时，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承包人应按监理人指示进行修正或补测，并承担相应的复测费用。</w:t>
      </w:r>
    </w:p>
    <w:p w14:paraId="5C790BC6">
      <w:pPr>
        <w:spacing w:before="302"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8.3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基准资料错误的责任</w:t>
      </w:r>
    </w:p>
    <w:p w14:paraId="5D28A735">
      <w:pPr>
        <w:spacing w:before="281" w:line="352" w:lineRule="auto"/>
        <w:ind w:firstLine="423"/>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发包人应对其提供的测量基准点、基准线和水准点及其书面资料的</w:t>
      </w:r>
      <w:r>
        <w:rPr>
          <w:rFonts w:ascii="宋体" w:hAnsi="宋体" w:eastAsia="宋体" w:cs="宋体"/>
          <w:color w:val="auto"/>
          <w:sz w:val="21"/>
          <w:szCs w:val="21"/>
          <w:highlight w:val="none"/>
        </w:rPr>
        <w:t xml:space="preserve">真实性、准确性和完整性负 </w:t>
      </w:r>
      <w:r>
        <w:rPr>
          <w:rFonts w:ascii="宋体" w:hAnsi="宋体" w:eastAsia="宋体" w:cs="宋体"/>
          <w:color w:val="auto"/>
          <w:spacing w:val="1"/>
          <w:sz w:val="21"/>
          <w:szCs w:val="21"/>
          <w:highlight w:val="none"/>
        </w:rPr>
        <w:t>责。发包人提供上述基准资料错误导致承包人测量放线工作的返工或造成工程损</w:t>
      </w:r>
      <w:r>
        <w:rPr>
          <w:rFonts w:ascii="宋体" w:hAnsi="宋体" w:eastAsia="宋体" w:cs="宋体"/>
          <w:color w:val="auto"/>
          <w:sz w:val="21"/>
          <w:szCs w:val="21"/>
          <w:highlight w:val="none"/>
        </w:rPr>
        <w:t xml:space="preserve">失的，发包人应当 </w:t>
      </w:r>
      <w:r>
        <w:rPr>
          <w:rFonts w:ascii="宋体" w:hAnsi="宋体" w:eastAsia="宋体" w:cs="宋体"/>
          <w:color w:val="auto"/>
          <w:spacing w:val="1"/>
          <w:sz w:val="21"/>
          <w:szCs w:val="21"/>
          <w:highlight w:val="none"/>
        </w:rPr>
        <w:t>承担由此增加的费用和（或）工期延误，并向承包人支付合理利润。承包人发现</w:t>
      </w:r>
      <w:r>
        <w:rPr>
          <w:rFonts w:ascii="宋体" w:hAnsi="宋体" w:eastAsia="宋体" w:cs="宋体"/>
          <w:color w:val="auto"/>
          <w:sz w:val="21"/>
          <w:szCs w:val="21"/>
          <w:highlight w:val="none"/>
        </w:rPr>
        <w:t xml:space="preserve">发包人提供的上述 </w:t>
      </w:r>
      <w:r>
        <w:rPr>
          <w:rFonts w:ascii="宋体" w:hAnsi="宋体" w:eastAsia="宋体" w:cs="宋体"/>
          <w:color w:val="auto"/>
          <w:spacing w:val="-1"/>
          <w:sz w:val="21"/>
          <w:szCs w:val="21"/>
          <w:highlight w:val="none"/>
        </w:rPr>
        <w:t>基准资料存在明显错误或疏忽的，应及时通知监理人。</w:t>
      </w:r>
    </w:p>
    <w:p w14:paraId="74E0FD77">
      <w:pPr>
        <w:spacing w:before="300"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8.4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监理人使用施工控制网</w:t>
      </w:r>
    </w:p>
    <w:p w14:paraId="7791F10C">
      <w:pPr>
        <w:spacing w:before="280" w:line="220"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监理人需要使用施工控制网的，承包人应提供必</w:t>
      </w:r>
      <w:r>
        <w:rPr>
          <w:rFonts w:ascii="宋体" w:hAnsi="宋体" w:eastAsia="宋体" w:cs="宋体"/>
          <w:color w:val="auto"/>
          <w:spacing w:val="-1"/>
          <w:sz w:val="21"/>
          <w:szCs w:val="21"/>
          <w:highlight w:val="none"/>
        </w:rPr>
        <w:t>要的协助，发包人不再为此支付费用。</w:t>
      </w:r>
    </w:p>
    <w:p w14:paraId="4C44C380">
      <w:pPr>
        <w:spacing w:before="175" w:line="226" w:lineRule="auto"/>
        <w:ind w:left="6"/>
        <w:outlineLvl w:val="9"/>
        <w:rPr>
          <w:rFonts w:ascii="宋体" w:hAnsi="宋体" w:eastAsia="宋体" w:cs="宋体"/>
          <w:color w:val="auto"/>
          <w:sz w:val="31"/>
          <w:szCs w:val="31"/>
          <w:highlight w:val="none"/>
        </w:rPr>
      </w:pPr>
      <w:bookmarkStart w:id="239" w:name="_Toc24674"/>
      <w:bookmarkStart w:id="240" w:name="_Toc4768"/>
      <w:r>
        <w:rPr>
          <w:rFonts w:ascii="宋体" w:hAnsi="宋体" w:eastAsia="宋体" w:cs="宋体"/>
          <w:b/>
          <w:bCs/>
          <w:color w:val="auto"/>
          <w:spacing w:val="6"/>
          <w:sz w:val="31"/>
          <w:szCs w:val="31"/>
          <w:highlight w:val="none"/>
        </w:rPr>
        <w:t>9.</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施工安全、治安保卫和环境保护</w:t>
      </w:r>
      <w:bookmarkEnd w:id="239"/>
      <w:bookmarkEnd w:id="240"/>
    </w:p>
    <w:p w14:paraId="111E4659">
      <w:pPr>
        <w:spacing w:before="273"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发包人的施工安全责任</w:t>
      </w:r>
    </w:p>
    <w:p w14:paraId="2864824E">
      <w:pPr>
        <w:spacing w:before="281" w:line="290" w:lineRule="auto"/>
        <w:ind w:right="1"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9.1.1 发包人应按合同约定履行安全职责，授权监理人按合同约定</w:t>
      </w:r>
      <w:r>
        <w:rPr>
          <w:rFonts w:ascii="宋体" w:hAnsi="宋体" w:eastAsia="宋体" w:cs="宋体"/>
          <w:color w:val="auto"/>
          <w:sz w:val="21"/>
          <w:szCs w:val="21"/>
          <w:highlight w:val="none"/>
        </w:rPr>
        <w:t>的安全工作内容监督、检查 承包人安全工作的实施，组织承包人和有关单位进行安全</w:t>
      </w:r>
      <w:r>
        <w:rPr>
          <w:rFonts w:ascii="宋体" w:hAnsi="宋体" w:eastAsia="宋体" w:cs="宋体"/>
          <w:color w:val="auto"/>
          <w:spacing w:val="-1"/>
          <w:sz w:val="21"/>
          <w:szCs w:val="21"/>
          <w:highlight w:val="none"/>
        </w:rPr>
        <w:t>检查。</w:t>
      </w:r>
    </w:p>
    <w:p w14:paraId="4AA84913">
      <w:pPr>
        <w:spacing w:before="158" w:line="290"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9.1.2 发包人应对其现场机构雇佣的全部人员的工伤事故承担责任</w:t>
      </w:r>
      <w:r>
        <w:rPr>
          <w:rFonts w:ascii="宋体" w:hAnsi="宋体" w:eastAsia="宋体" w:cs="宋体"/>
          <w:color w:val="auto"/>
          <w:sz w:val="21"/>
          <w:szCs w:val="21"/>
          <w:highlight w:val="none"/>
        </w:rPr>
        <w:t xml:space="preserve">，但由于承包人原因造成发 </w:t>
      </w:r>
      <w:r>
        <w:rPr>
          <w:rFonts w:ascii="宋体" w:hAnsi="宋体" w:eastAsia="宋体" w:cs="宋体"/>
          <w:color w:val="auto"/>
          <w:spacing w:val="-2"/>
          <w:sz w:val="21"/>
          <w:szCs w:val="21"/>
          <w:highlight w:val="none"/>
        </w:rPr>
        <w:t>包人人员工伤的，应由承包人承担责任。</w:t>
      </w:r>
    </w:p>
    <w:p w14:paraId="1CA115F6">
      <w:pPr>
        <w:spacing w:before="157" w:line="221" w:lineRule="auto"/>
        <w:ind w:left="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9.1.3 发包人应负责赔偿以下各种情况造成的第三者人身伤亡和财产损失：</w:t>
      </w:r>
    </w:p>
    <w:p w14:paraId="3C924C27">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 工程或工程的任何部分对土地的占用所造成的第三者财产损</w:t>
      </w:r>
      <w:r>
        <w:rPr>
          <w:rFonts w:ascii="宋体" w:hAnsi="宋体" w:eastAsia="宋体" w:cs="宋体"/>
          <w:color w:val="auto"/>
          <w:spacing w:val="-2"/>
          <w:sz w:val="21"/>
          <w:szCs w:val="21"/>
          <w:highlight w:val="none"/>
        </w:rPr>
        <w:t>失；</w:t>
      </w:r>
    </w:p>
    <w:p w14:paraId="70AA0D37">
      <w:pPr>
        <w:spacing w:before="41"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r>
        <w:rPr>
          <w:rFonts w:ascii="宋体" w:hAnsi="宋体" w:eastAsia="宋体" w:cs="宋体"/>
          <w:color w:val="auto"/>
          <w:spacing w:val="33"/>
          <w:sz w:val="21"/>
          <w:szCs w:val="21"/>
          <w:highlight w:val="none"/>
        </w:rPr>
        <w:t xml:space="preserve"> </w:t>
      </w:r>
      <w:r>
        <w:rPr>
          <w:rFonts w:ascii="宋体" w:hAnsi="宋体" w:eastAsia="宋体" w:cs="宋体"/>
          <w:color w:val="auto"/>
          <w:spacing w:val="-1"/>
          <w:sz w:val="21"/>
          <w:szCs w:val="21"/>
          <w:highlight w:val="none"/>
        </w:rPr>
        <w:t>由于发包人原因在施工场地及其毗邻地带造成的第三者人身伤亡和财</w:t>
      </w:r>
      <w:r>
        <w:rPr>
          <w:rFonts w:ascii="宋体" w:hAnsi="宋体" w:eastAsia="宋体" w:cs="宋体"/>
          <w:color w:val="auto"/>
          <w:spacing w:val="-2"/>
          <w:sz w:val="21"/>
          <w:szCs w:val="21"/>
          <w:highlight w:val="none"/>
        </w:rPr>
        <w:t>产损失。</w:t>
      </w:r>
    </w:p>
    <w:p w14:paraId="76B26FC1">
      <w:pPr>
        <w:spacing w:line="333" w:lineRule="auto"/>
        <w:outlineLvl w:val="9"/>
        <w:rPr>
          <w:rFonts w:ascii="Arial"/>
          <w:color w:val="auto"/>
          <w:sz w:val="21"/>
          <w:highlight w:val="none"/>
        </w:rPr>
      </w:pPr>
    </w:p>
    <w:p w14:paraId="5651F012">
      <w:pPr>
        <w:spacing w:before="91"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承包人的施工安全责任</w:t>
      </w:r>
    </w:p>
    <w:p w14:paraId="664C93E3">
      <w:pPr>
        <w:spacing w:before="279" w:line="290" w:lineRule="auto"/>
        <w:ind w:left="5" w:right="4" w:firstLine="41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9.2.1 承包人应按合同约定履行安全职责,执行监理人有关安</w:t>
      </w:r>
      <w:r>
        <w:rPr>
          <w:rFonts w:ascii="宋体" w:hAnsi="宋体" w:eastAsia="宋体" w:cs="宋体"/>
          <w:color w:val="auto"/>
          <w:sz w:val="21"/>
          <w:szCs w:val="21"/>
          <w:highlight w:val="none"/>
        </w:rPr>
        <w:t xml:space="preserve">全工作的指示,并在专用合同条款 </w:t>
      </w:r>
      <w:r>
        <w:rPr>
          <w:rFonts w:ascii="宋体" w:hAnsi="宋体" w:eastAsia="宋体" w:cs="宋体"/>
          <w:color w:val="auto"/>
          <w:spacing w:val="-1"/>
          <w:sz w:val="21"/>
          <w:szCs w:val="21"/>
          <w:highlight w:val="none"/>
        </w:rPr>
        <w:t>约定的期限内，按合同约定的安全工作内容，编制施工安全措施计划报送监理人审批。</w:t>
      </w:r>
    </w:p>
    <w:p w14:paraId="7D7C864D">
      <w:pPr>
        <w:spacing w:before="157" w:line="290"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9.2.2 承包人应加强施工作业安全管理，特别应加强易燃、易爆材</w:t>
      </w:r>
      <w:r>
        <w:rPr>
          <w:rFonts w:ascii="宋体" w:hAnsi="宋体" w:eastAsia="宋体" w:cs="宋体"/>
          <w:color w:val="auto"/>
          <w:sz w:val="21"/>
          <w:szCs w:val="21"/>
          <w:highlight w:val="none"/>
        </w:rPr>
        <w:t xml:space="preserve">料、火工器材、有毒与腐蚀 </w:t>
      </w:r>
      <w:r>
        <w:rPr>
          <w:rFonts w:ascii="宋体" w:hAnsi="宋体" w:eastAsia="宋体" w:cs="宋体"/>
          <w:color w:val="auto"/>
          <w:spacing w:val="-1"/>
          <w:sz w:val="21"/>
          <w:szCs w:val="21"/>
          <w:highlight w:val="none"/>
        </w:rPr>
        <w:t>性材料和其他危险品的管理，以及对爆破作业和地下工程施工等危险作业的管理。</w:t>
      </w:r>
    </w:p>
    <w:p w14:paraId="1B1BB365">
      <w:pPr>
        <w:spacing w:before="157" w:line="290" w:lineRule="auto"/>
        <w:ind w:left="1"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9.2.3 承包人应严格按照国家安全标准制定施工安全操作规程，配</w:t>
      </w:r>
      <w:r>
        <w:rPr>
          <w:rFonts w:ascii="宋体" w:hAnsi="宋体" w:eastAsia="宋体" w:cs="宋体"/>
          <w:color w:val="auto"/>
          <w:sz w:val="21"/>
          <w:szCs w:val="21"/>
          <w:highlight w:val="none"/>
        </w:rPr>
        <w:t xml:space="preserve">备必要的安全生产和劳动保 </w:t>
      </w:r>
      <w:r>
        <w:rPr>
          <w:rFonts w:ascii="宋体" w:hAnsi="宋体" w:eastAsia="宋体" w:cs="宋体"/>
          <w:color w:val="auto"/>
          <w:spacing w:val="-1"/>
          <w:sz w:val="21"/>
          <w:szCs w:val="21"/>
          <w:highlight w:val="none"/>
        </w:rPr>
        <w:t>护设施，加强对承包人人员的安全教育，并发放安全工作手册和劳动保护用具。</w:t>
      </w:r>
    </w:p>
    <w:p w14:paraId="7CE84E94">
      <w:pPr>
        <w:spacing w:before="156" w:line="291" w:lineRule="auto"/>
        <w:ind w:left="2" w:right="11"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9.2.4 承包人应按监理人的指示制定应对灾害</w:t>
      </w:r>
      <w:r>
        <w:rPr>
          <w:rFonts w:ascii="宋体" w:hAnsi="宋体" w:eastAsia="宋体" w:cs="宋体"/>
          <w:color w:val="auto"/>
          <w:sz w:val="21"/>
          <w:szCs w:val="21"/>
          <w:highlight w:val="none"/>
        </w:rPr>
        <w:t>的紧急预案，报送监理人审批。承包人还应按预 案做好安全检查，配置必要的救助物资和器材，切实保护好有关人员的人身和财产</w:t>
      </w:r>
      <w:r>
        <w:rPr>
          <w:rFonts w:ascii="宋体" w:hAnsi="宋体" w:eastAsia="宋体" w:cs="宋体"/>
          <w:color w:val="auto"/>
          <w:spacing w:val="-1"/>
          <w:sz w:val="21"/>
          <w:szCs w:val="21"/>
          <w:highlight w:val="none"/>
        </w:rPr>
        <w:t>安全。</w:t>
      </w:r>
    </w:p>
    <w:p w14:paraId="55524497">
      <w:pPr>
        <w:spacing w:before="158" w:line="313" w:lineRule="auto"/>
        <w:ind w:left="1" w:right="1"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9.2.5 合同约定的安全作业环境及安全施工措施所需费用应遵守有</w:t>
      </w:r>
      <w:r>
        <w:rPr>
          <w:rFonts w:ascii="宋体" w:hAnsi="宋体" w:eastAsia="宋体" w:cs="宋体"/>
          <w:color w:val="auto"/>
          <w:sz w:val="21"/>
          <w:szCs w:val="21"/>
          <w:highlight w:val="none"/>
        </w:rPr>
        <w:t xml:space="preserve">关规定，并包括在相关工作 </w:t>
      </w:r>
      <w:r>
        <w:rPr>
          <w:rFonts w:ascii="宋体" w:hAnsi="宋体" w:eastAsia="宋体" w:cs="宋体"/>
          <w:color w:val="auto"/>
          <w:spacing w:val="1"/>
          <w:sz w:val="21"/>
          <w:szCs w:val="21"/>
          <w:highlight w:val="none"/>
        </w:rPr>
        <w:t>的合同价格中。因采取合同未约定的安全作业环境及安全施工措施增加的费</w:t>
      </w:r>
      <w:r>
        <w:rPr>
          <w:rFonts w:ascii="宋体" w:hAnsi="宋体" w:eastAsia="宋体" w:cs="宋体"/>
          <w:color w:val="auto"/>
          <w:sz w:val="21"/>
          <w:szCs w:val="21"/>
          <w:highlight w:val="none"/>
        </w:rPr>
        <w:t xml:space="preserve">用，由监理人按第 3.5 </w:t>
      </w:r>
      <w:r>
        <w:rPr>
          <w:rFonts w:ascii="宋体" w:hAnsi="宋体" w:eastAsia="宋体" w:cs="宋体"/>
          <w:color w:val="auto"/>
          <w:spacing w:val="-3"/>
          <w:sz w:val="21"/>
          <w:szCs w:val="21"/>
          <w:highlight w:val="none"/>
        </w:rPr>
        <w:t>款商定或确定。</w:t>
      </w:r>
    </w:p>
    <w:p w14:paraId="628AD838">
      <w:pPr>
        <w:spacing w:before="156" w:line="291" w:lineRule="auto"/>
        <w:ind w:left="4" w:right="2"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9.2.6 承包人应对其履行合同所雇佣的全部人员，包括分包人人员</w:t>
      </w:r>
      <w:r>
        <w:rPr>
          <w:rFonts w:ascii="宋体" w:hAnsi="宋体" w:eastAsia="宋体" w:cs="宋体"/>
          <w:color w:val="auto"/>
          <w:sz w:val="21"/>
          <w:szCs w:val="21"/>
          <w:highlight w:val="none"/>
        </w:rPr>
        <w:t xml:space="preserve">的工伤事故承担责任，但由 </w:t>
      </w:r>
      <w:r>
        <w:rPr>
          <w:rFonts w:ascii="宋体" w:hAnsi="宋体" w:eastAsia="宋体" w:cs="宋体"/>
          <w:color w:val="auto"/>
          <w:spacing w:val="-1"/>
          <w:sz w:val="21"/>
          <w:szCs w:val="21"/>
          <w:highlight w:val="none"/>
        </w:rPr>
        <w:t>于发包人原因造成承包人人员工伤事故的，应由发包人承担责任。</w:t>
      </w:r>
    </w:p>
    <w:p w14:paraId="191A4947">
      <w:pPr>
        <w:spacing w:before="156" w:line="290" w:lineRule="auto"/>
        <w:ind w:left="2" w:right="1" w:firstLine="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9.2.7</w:t>
      </w:r>
      <w:r>
        <w:rPr>
          <w:rFonts w:ascii="宋体" w:hAnsi="宋体" w:eastAsia="宋体" w:cs="宋体"/>
          <w:color w:val="auto"/>
          <w:spacing w:val="34"/>
          <w:sz w:val="21"/>
          <w:szCs w:val="21"/>
          <w:highlight w:val="none"/>
        </w:rPr>
        <w:t xml:space="preserve"> </w:t>
      </w:r>
      <w:r>
        <w:rPr>
          <w:rFonts w:ascii="宋体" w:hAnsi="宋体" w:eastAsia="宋体" w:cs="宋体"/>
          <w:color w:val="auto"/>
          <w:sz w:val="21"/>
          <w:szCs w:val="21"/>
          <w:highlight w:val="none"/>
        </w:rPr>
        <w:t>由于承包人原因在施工场地内及其毗邻地带造成的第三者人员伤亡和财产损失，由</w:t>
      </w:r>
      <w:r>
        <w:rPr>
          <w:rFonts w:ascii="宋体" w:hAnsi="宋体" w:eastAsia="宋体" w:cs="宋体"/>
          <w:color w:val="auto"/>
          <w:spacing w:val="-1"/>
          <w:sz w:val="21"/>
          <w:szCs w:val="21"/>
          <w:highlight w:val="none"/>
        </w:rPr>
        <w:t>承包</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人负责赔偿。</w:t>
      </w:r>
    </w:p>
    <w:p w14:paraId="2311ABB6">
      <w:pPr>
        <w:spacing w:line="333" w:lineRule="auto"/>
        <w:outlineLvl w:val="9"/>
        <w:rPr>
          <w:rFonts w:ascii="Arial"/>
          <w:color w:val="auto"/>
          <w:sz w:val="21"/>
          <w:highlight w:val="none"/>
        </w:rPr>
      </w:pPr>
    </w:p>
    <w:p w14:paraId="426A8278">
      <w:pPr>
        <w:spacing w:before="91" w:line="221"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9.3</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6"/>
          <w:sz w:val="28"/>
          <w:szCs w:val="28"/>
          <w:highlight w:val="none"/>
        </w:rPr>
        <w:t>治安保卫</w:t>
      </w:r>
    </w:p>
    <w:p w14:paraId="627124F6">
      <w:pPr>
        <w:spacing w:before="278" w:line="290" w:lineRule="auto"/>
        <w:ind w:left="4" w:right="2"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9.3.1 除合同另有约定外，发包人应与当地公安部门协商，在现场</w:t>
      </w:r>
      <w:r>
        <w:rPr>
          <w:rFonts w:ascii="宋体" w:hAnsi="宋体" w:eastAsia="宋体" w:cs="宋体"/>
          <w:color w:val="auto"/>
          <w:sz w:val="21"/>
          <w:szCs w:val="21"/>
          <w:highlight w:val="none"/>
        </w:rPr>
        <w:t>建立治安管理机构或联防组 织，统一管理施工场地的治安保卫事项，履行合同工程的治</w:t>
      </w:r>
      <w:r>
        <w:rPr>
          <w:rFonts w:ascii="宋体" w:hAnsi="宋体" w:eastAsia="宋体" w:cs="宋体"/>
          <w:color w:val="auto"/>
          <w:spacing w:val="-1"/>
          <w:sz w:val="21"/>
          <w:szCs w:val="21"/>
          <w:highlight w:val="none"/>
        </w:rPr>
        <w:t>安保卫职责。</w:t>
      </w:r>
    </w:p>
    <w:p w14:paraId="69316FA4">
      <w:pPr>
        <w:spacing w:before="160" w:line="289" w:lineRule="auto"/>
        <w:ind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9.3.2 发包人和承包人除应协助现场治安管理机构或联防组织维护</w:t>
      </w:r>
      <w:r>
        <w:rPr>
          <w:rFonts w:ascii="宋体" w:hAnsi="宋体" w:eastAsia="宋体" w:cs="宋体"/>
          <w:color w:val="auto"/>
          <w:sz w:val="21"/>
          <w:szCs w:val="21"/>
          <w:highlight w:val="none"/>
        </w:rPr>
        <w:t xml:space="preserve">施工场地的社会治安外，还 </w:t>
      </w:r>
      <w:r>
        <w:rPr>
          <w:rFonts w:ascii="宋体" w:hAnsi="宋体" w:eastAsia="宋体" w:cs="宋体"/>
          <w:color w:val="auto"/>
          <w:spacing w:val="-1"/>
          <w:sz w:val="21"/>
          <w:szCs w:val="21"/>
          <w:highlight w:val="none"/>
        </w:rPr>
        <w:t>应做好包括生活区在内的各自管辖区的治安保卫工作。</w:t>
      </w:r>
    </w:p>
    <w:p w14:paraId="29B0CBB5">
      <w:pPr>
        <w:spacing w:before="156" w:line="325" w:lineRule="auto"/>
        <w:ind w:firstLine="42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9.3.3 除合同另有约定外，发包人和承包人应在工程开工后，共同编制施工场地治安管理计划，</w:t>
      </w:r>
      <w:r>
        <w:rPr>
          <w:rFonts w:ascii="宋体" w:hAnsi="宋体" w:eastAsia="宋体" w:cs="宋体"/>
          <w:color w:val="auto"/>
          <w:spacing w:val="4"/>
          <w:sz w:val="21"/>
          <w:szCs w:val="21"/>
          <w:highlight w:val="none"/>
        </w:rPr>
        <w:t xml:space="preserve"> </w:t>
      </w:r>
      <w:r>
        <w:rPr>
          <w:rFonts w:ascii="宋体" w:hAnsi="宋体" w:eastAsia="宋体" w:cs="宋体"/>
          <w:color w:val="auto"/>
          <w:spacing w:val="-4"/>
          <w:sz w:val="21"/>
          <w:szCs w:val="21"/>
          <w:highlight w:val="none"/>
        </w:rPr>
        <w:t>并制定应对突发治安事件的紧急预案。在工程施工过程中，发生暴乱、爆炸等恐怖事件，以及群殴、</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械斗等群体性突发治安事件的，发包人和承包人应立即向当地政府报告。发包人和</w:t>
      </w:r>
      <w:r>
        <w:rPr>
          <w:rFonts w:ascii="宋体" w:hAnsi="宋体" w:eastAsia="宋体" w:cs="宋体"/>
          <w:color w:val="auto"/>
          <w:sz w:val="21"/>
          <w:szCs w:val="21"/>
          <w:highlight w:val="none"/>
        </w:rPr>
        <w:t>承包人应积极协 助当地有关部门采取措施平息事态，防止事态扩大，尽量减少财产损失和避免人员伤亡。</w:t>
      </w:r>
    </w:p>
    <w:p w14:paraId="3A7B6E4E">
      <w:pPr>
        <w:spacing w:line="334" w:lineRule="auto"/>
        <w:outlineLvl w:val="9"/>
        <w:rPr>
          <w:rFonts w:ascii="Arial"/>
          <w:color w:val="auto"/>
          <w:sz w:val="21"/>
          <w:highlight w:val="none"/>
        </w:rPr>
      </w:pPr>
    </w:p>
    <w:p w14:paraId="4BEFCA46">
      <w:pPr>
        <w:spacing w:before="91" w:line="221"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环境保护</w:t>
      </w:r>
    </w:p>
    <w:p w14:paraId="6FF7849C">
      <w:pPr>
        <w:spacing w:before="279" w:line="290" w:lineRule="auto"/>
        <w:ind w:right="2"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9.4.1 承包人在施工过程中，应遵守有关环境保护的法律，履行合</w:t>
      </w:r>
      <w:r>
        <w:rPr>
          <w:rFonts w:ascii="宋体" w:hAnsi="宋体" w:eastAsia="宋体" w:cs="宋体"/>
          <w:color w:val="auto"/>
          <w:sz w:val="21"/>
          <w:szCs w:val="21"/>
          <w:highlight w:val="none"/>
        </w:rPr>
        <w:t xml:space="preserve">同约定的环境保护义务，并 </w:t>
      </w:r>
      <w:r>
        <w:rPr>
          <w:rFonts w:ascii="宋体" w:hAnsi="宋体" w:eastAsia="宋体" w:cs="宋体"/>
          <w:color w:val="auto"/>
          <w:spacing w:val="-1"/>
          <w:sz w:val="21"/>
          <w:szCs w:val="21"/>
          <w:highlight w:val="none"/>
        </w:rPr>
        <w:t>对违反法律和合同约定义务所造成的环境破坏、人身伤害和财产损失负责。</w:t>
      </w:r>
    </w:p>
    <w:p w14:paraId="40F55934">
      <w:pPr>
        <w:spacing w:before="156" w:line="221"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9.4.2 承包人应按合同约定的环保工作内容，编制施工环保措施计划，报送监理人审</w:t>
      </w:r>
      <w:r>
        <w:rPr>
          <w:rFonts w:ascii="宋体" w:hAnsi="宋体" w:eastAsia="宋体" w:cs="宋体"/>
          <w:color w:val="auto"/>
          <w:spacing w:val="-1"/>
          <w:sz w:val="21"/>
          <w:szCs w:val="21"/>
          <w:highlight w:val="none"/>
        </w:rPr>
        <w:t>批。</w:t>
      </w:r>
    </w:p>
    <w:p w14:paraId="7765F05F">
      <w:pPr>
        <w:spacing w:before="159" w:line="221" w:lineRule="auto"/>
        <w:ind w:right="9"/>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9.4.3 承包人应按照批准的施工环保措施计划有序</w:t>
      </w:r>
      <w:r>
        <w:rPr>
          <w:rFonts w:ascii="宋体" w:hAnsi="宋体" w:eastAsia="宋体" w:cs="宋体"/>
          <w:color w:val="auto"/>
          <w:sz w:val="21"/>
          <w:szCs w:val="21"/>
          <w:highlight w:val="none"/>
        </w:rPr>
        <w:t>地堆放和处理施工废弃物，避免对环境造成</w:t>
      </w:r>
    </w:p>
    <w:p w14:paraId="7FA6B546">
      <w:pPr>
        <w:spacing w:before="41" w:line="346" w:lineRule="auto"/>
        <w:ind w:left="9" w:right="73" w:hanging="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破坏。因承包人任意堆放或弃置施工废弃物造成妨碍公共交通、影响城镇居民生活</w:t>
      </w:r>
      <w:r>
        <w:rPr>
          <w:rFonts w:ascii="宋体" w:hAnsi="宋体" w:eastAsia="宋体" w:cs="宋体"/>
          <w:color w:val="auto"/>
          <w:sz w:val="21"/>
          <w:szCs w:val="21"/>
          <w:highlight w:val="none"/>
        </w:rPr>
        <w:t xml:space="preserve">、降低河流行洪 </w:t>
      </w:r>
      <w:r>
        <w:rPr>
          <w:rFonts w:ascii="宋体" w:hAnsi="宋体" w:eastAsia="宋体" w:cs="宋体"/>
          <w:color w:val="auto"/>
          <w:spacing w:val="-1"/>
          <w:sz w:val="21"/>
          <w:szCs w:val="21"/>
          <w:highlight w:val="none"/>
        </w:rPr>
        <w:t>能力、危及居民安全、破坏周边环境，或者影响其他承包人施工等后果的，承包人应承担责任。</w:t>
      </w:r>
    </w:p>
    <w:p w14:paraId="62B15910">
      <w:pPr>
        <w:spacing w:before="29" w:line="290" w:lineRule="auto"/>
        <w:ind w:right="73"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9.4.4 承包人应按合同约定采取有效措</w:t>
      </w:r>
      <w:r>
        <w:rPr>
          <w:rFonts w:ascii="宋体" w:hAnsi="宋体" w:eastAsia="宋体" w:cs="宋体"/>
          <w:color w:val="auto"/>
          <w:spacing w:val="-2"/>
          <w:sz w:val="21"/>
          <w:szCs w:val="21"/>
          <w:highlight w:val="none"/>
        </w:rPr>
        <w:t>施，对施工开挖的边坡及时进行支护,维护排水设施，并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进行水土保护，避免因施工造成的地质灾害。</w:t>
      </w:r>
    </w:p>
    <w:p w14:paraId="2457337C">
      <w:pPr>
        <w:spacing w:before="159"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9.4.5 承包人应按国家饮用水管理标准定期对饮用水源进行监测，防</w:t>
      </w:r>
      <w:r>
        <w:rPr>
          <w:rFonts w:ascii="宋体" w:hAnsi="宋体" w:eastAsia="宋体" w:cs="宋体"/>
          <w:color w:val="auto"/>
          <w:spacing w:val="-3"/>
          <w:sz w:val="21"/>
          <w:szCs w:val="21"/>
          <w:highlight w:val="none"/>
        </w:rPr>
        <w:t>止施工活动污染饮用水源。</w:t>
      </w:r>
    </w:p>
    <w:p w14:paraId="77239460">
      <w:pPr>
        <w:spacing w:before="156" w:line="290" w:lineRule="auto"/>
        <w:ind w:right="121" w:firstLine="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9.4.6 承包人应按合同约定，加强对噪声、粉尘、废气、废水</w:t>
      </w:r>
      <w:r>
        <w:rPr>
          <w:rFonts w:ascii="宋体" w:hAnsi="宋体" w:eastAsia="宋体" w:cs="宋体"/>
          <w:color w:val="auto"/>
          <w:spacing w:val="-1"/>
          <w:sz w:val="21"/>
          <w:szCs w:val="21"/>
          <w:highlight w:val="none"/>
        </w:rPr>
        <w:t>和废油的控制，努力降低噪声，</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控制粉尘和废气浓度，做好废水和废油的治理和排放。</w:t>
      </w:r>
    </w:p>
    <w:p w14:paraId="3B37E0C4">
      <w:pPr>
        <w:spacing w:line="332" w:lineRule="auto"/>
        <w:outlineLvl w:val="9"/>
        <w:rPr>
          <w:rFonts w:ascii="Arial"/>
          <w:color w:val="auto"/>
          <w:sz w:val="21"/>
          <w:highlight w:val="none"/>
        </w:rPr>
      </w:pPr>
    </w:p>
    <w:p w14:paraId="2CBD3818">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事故处理</w:t>
      </w:r>
    </w:p>
    <w:p w14:paraId="42C57A87">
      <w:pPr>
        <w:spacing w:before="281" w:line="352" w:lineRule="auto"/>
        <w:ind w:left="1" w:right="73" w:firstLine="422"/>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工程施工过程中发生事故的，承包人应立即通知监理人，监理人应立</w:t>
      </w:r>
      <w:r>
        <w:rPr>
          <w:rFonts w:ascii="宋体" w:hAnsi="宋体" w:eastAsia="宋体" w:cs="宋体"/>
          <w:color w:val="auto"/>
          <w:sz w:val="21"/>
          <w:szCs w:val="21"/>
          <w:highlight w:val="none"/>
        </w:rPr>
        <w:t xml:space="preserve">即通知发包人。发包人和 </w:t>
      </w:r>
      <w:r>
        <w:rPr>
          <w:rFonts w:ascii="宋体" w:hAnsi="宋体" w:eastAsia="宋体" w:cs="宋体"/>
          <w:color w:val="auto"/>
          <w:spacing w:val="1"/>
          <w:sz w:val="21"/>
          <w:szCs w:val="21"/>
          <w:highlight w:val="none"/>
        </w:rPr>
        <w:t>承包人应立即组织人员和设备进行紧急抢救和抢修，减少人员伤亡和财产损失，</w:t>
      </w:r>
      <w:r>
        <w:rPr>
          <w:rFonts w:ascii="宋体" w:hAnsi="宋体" w:eastAsia="宋体" w:cs="宋体"/>
          <w:color w:val="auto"/>
          <w:sz w:val="21"/>
          <w:szCs w:val="21"/>
          <w:highlight w:val="none"/>
        </w:rPr>
        <w:t xml:space="preserve">防止事故扩大，并 </w:t>
      </w:r>
      <w:r>
        <w:rPr>
          <w:rFonts w:ascii="宋体" w:hAnsi="宋体" w:eastAsia="宋体" w:cs="宋体"/>
          <w:color w:val="auto"/>
          <w:spacing w:val="1"/>
          <w:sz w:val="21"/>
          <w:szCs w:val="21"/>
          <w:highlight w:val="none"/>
        </w:rPr>
        <w:t>保护事故现场。需要移动现场物品时，应作出标记和书面记录，妥善保管有关证</w:t>
      </w:r>
      <w:r>
        <w:rPr>
          <w:rFonts w:ascii="宋体" w:hAnsi="宋体" w:eastAsia="宋体" w:cs="宋体"/>
          <w:color w:val="auto"/>
          <w:sz w:val="21"/>
          <w:szCs w:val="21"/>
          <w:highlight w:val="none"/>
        </w:rPr>
        <w:t>据。发包人和承包 人应按国家有关规定，及时如实地向有关部门报告事故发生的情况，以及正在采取的紧急措施等。</w:t>
      </w:r>
    </w:p>
    <w:p w14:paraId="4E53E3B6">
      <w:pPr>
        <w:spacing w:before="46" w:line="226" w:lineRule="auto"/>
        <w:ind w:left="29"/>
        <w:outlineLvl w:val="9"/>
        <w:rPr>
          <w:rFonts w:ascii="宋体" w:hAnsi="宋体" w:eastAsia="宋体" w:cs="宋体"/>
          <w:color w:val="auto"/>
          <w:sz w:val="31"/>
          <w:szCs w:val="31"/>
          <w:highlight w:val="none"/>
        </w:rPr>
      </w:pPr>
      <w:bookmarkStart w:id="241" w:name="_Toc6467"/>
      <w:bookmarkStart w:id="242" w:name="_Toc22517"/>
      <w:r>
        <w:rPr>
          <w:rFonts w:ascii="宋体" w:hAnsi="宋体" w:eastAsia="宋体" w:cs="宋体"/>
          <w:b/>
          <w:bCs/>
          <w:color w:val="auto"/>
          <w:spacing w:val="1"/>
          <w:sz w:val="31"/>
          <w:szCs w:val="31"/>
          <w:highlight w:val="none"/>
        </w:rPr>
        <w:t>10.</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进度计划</w:t>
      </w:r>
      <w:bookmarkEnd w:id="241"/>
      <w:bookmarkEnd w:id="242"/>
    </w:p>
    <w:p w14:paraId="66B50540">
      <w:pPr>
        <w:spacing w:before="275"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10.1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合同进度计划</w:t>
      </w:r>
    </w:p>
    <w:p w14:paraId="6A82B2D0">
      <w:pPr>
        <w:spacing w:before="279" w:line="352" w:lineRule="auto"/>
        <w:ind w:left="2" w:right="73" w:firstLine="419"/>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承包人应按专用合同条款约定的内容和期限，编制详细的施工进度计划和</w:t>
      </w:r>
      <w:r>
        <w:rPr>
          <w:rFonts w:ascii="宋体" w:hAnsi="宋体" w:eastAsia="宋体" w:cs="宋体"/>
          <w:color w:val="auto"/>
          <w:sz w:val="21"/>
          <w:szCs w:val="21"/>
          <w:highlight w:val="none"/>
        </w:rPr>
        <w:t xml:space="preserve">施工方案说明报送监 </w:t>
      </w:r>
      <w:r>
        <w:rPr>
          <w:rFonts w:ascii="宋体" w:hAnsi="宋体" w:eastAsia="宋体" w:cs="宋体"/>
          <w:color w:val="auto"/>
          <w:spacing w:val="1"/>
          <w:sz w:val="21"/>
          <w:szCs w:val="21"/>
          <w:highlight w:val="none"/>
        </w:rPr>
        <w:t>理人。监理人应在专用合同条款约定的期限内批复或提出修改意见，否则该进</w:t>
      </w:r>
      <w:r>
        <w:rPr>
          <w:rFonts w:ascii="宋体" w:hAnsi="宋体" w:eastAsia="宋体" w:cs="宋体"/>
          <w:color w:val="auto"/>
          <w:sz w:val="21"/>
          <w:szCs w:val="21"/>
          <w:highlight w:val="none"/>
        </w:rPr>
        <w:t xml:space="preserve">度计划视为已得到批 </w:t>
      </w:r>
      <w:r>
        <w:rPr>
          <w:rFonts w:ascii="宋体" w:hAnsi="宋体" w:eastAsia="宋体" w:cs="宋体"/>
          <w:color w:val="auto"/>
          <w:spacing w:val="1"/>
          <w:sz w:val="21"/>
          <w:szCs w:val="21"/>
          <w:highlight w:val="none"/>
        </w:rPr>
        <w:t>准。经监理人批准的施工进度计划称合同进度计划，是控制合同工程进度的依</w:t>
      </w:r>
      <w:r>
        <w:rPr>
          <w:rFonts w:ascii="宋体" w:hAnsi="宋体" w:eastAsia="宋体" w:cs="宋体"/>
          <w:color w:val="auto"/>
          <w:sz w:val="21"/>
          <w:szCs w:val="21"/>
          <w:highlight w:val="none"/>
        </w:rPr>
        <w:t>据。承包人还应根据 合同进度计划，编制更为详细的分阶段或分项进度计划，报监理</w:t>
      </w:r>
      <w:r>
        <w:rPr>
          <w:rFonts w:ascii="宋体" w:hAnsi="宋体" w:eastAsia="宋体" w:cs="宋体"/>
          <w:color w:val="auto"/>
          <w:spacing w:val="-1"/>
          <w:sz w:val="21"/>
          <w:szCs w:val="21"/>
          <w:highlight w:val="none"/>
        </w:rPr>
        <w:t>人审批。</w:t>
      </w:r>
    </w:p>
    <w:p w14:paraId="0000EC95">
      <w:pPr>
        <w:spacing w:before="30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10.2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合同进度计划的修订</w:t>
      </w:r>
    </w:p>
    <w:p w14:paraId="2F88191D">
      <w:pPr>
        <w:spacing w:before="279" w:line="354" w:lineRule="auto"/>
        <w:ind w:right="72" w:firstLine="424"/>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不论何种原因造成工程的实际进度与第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10.1</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款的合同</w:t>
      </w:r>
      <w:r>
        <w:rPr>
          <w:rFonts w:ascii="宋体" w:hAnsi="宋体" w:eastAsia="宋体" w:cs="宋体"/>
          <w:color w:val="auto"/>
          <w:spacing w:val="-3"/>
          <w:sz w:val="21"/>
          <w:szCs w:val="21"/>
          <w:highlight w:val="none"/>
        </w:rPr>
        <w:t>进度计划不符时，承包人可以在专用合同</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条款约定的期限内向监理人提交修订合同进度计划的申请报告，并附有关措施和相关</w:t>
      </w:r>
      <w:r>
        <w:rPr>
          <w:rFonts w:ascii="宋体" w:hAnsi="宋体" w:eastAsia="宋体" w:cs="宋体"/>
          <w:color w:val="auto"/>
          <w:sz w:val="21"/>
          <w:szCs w:val="21"/>
          <w:highlight w:val="none"/>
        </w:rPr>
        <w:t xml:space="preserve">资料，报监理 </w:t>
      </w:r>
      <w:r>
        <w:rPr>
          <w:rFonts w:ascii="宋体" w:hAnsi="宋体" w:eastAsia="宋体" w:cs="宋体"/>
          <w:color w:val="auto"/>
          <w:spacing w:val="1"/>
          <w:sz w:val="21"/>
          <w:szCs w:val="21"/>
          <w:highlight w:val="none"/>
        </w:rPr>
        <w:t>人审批；监理人也可以直接向承包人作出修订合同进度计划的指示，承包人应按该</w:t>
      </w:r>
      <w:r>
        <w:rPr>
          <w:rFonts w:ascii="宋体" w:hAnsi="宋体" w:eastAsia="宋体" w:cs="宋体"/>
          <w:color w:val="auto"/>
          <w:sz w:val="21"/>
          <w:szCs w:val="21"/>
          <w:highlight w:val="none"/>
        </w:rPr>
        <w:t xml:space="preserve">指示修订合同进 </w:t>
      </w:r>
      <w:r>
        <w:rPr>
          <w:rFonts w:ascii="宋体" w:hAnsi="宋体" w:eastAsia="宋体" w:cs="宋体"/>
          <w:color w:val="auto"/>
          <w:spacing w:val="1"/>
          <w:sz w:val="21"/>
          <w:szCs w:val="21"/>
          <w:highlight w:val="none"/>
        </w:rPr>
        <w:t>度计划，报监理人审批。监理人应在专用合同条款约定的期限内批复。监理人在批</w:t>
      </w:r>
      <w:r>
        <w:rPr>
          <w:rFonts w:ascii="宋体" w:hAnsi="宋体" w:eastAsia="宋体" w:cs="宋体"/>
          <w:color w:val="auto"/>
          <w:sz w:val="21"/>
          <w:szCs w:val="21"/>
          <w:highlight w:val="none"/>
        </w:rPr>
        <w:t xml:space="preserve">复前应获得发包 </w:t>
      </w:r>
      <w:r>
        <w:rPr>
          <w:rFonts w:ascii="宋体" w:hAnsi="宋体" w:eastAsia="宋体" w:cs="宋体"/>
          <w:color w:val="auto"/>
          <w:spacing w:val="-1"/>
          <w:sz w:val="21"/>
          <w:szCs w:val="21"/>
          <w:highlight w:val="none"/>
        </w:rPr>
        <w:t>人同意。</w:t>
      </w:r>
    </w:p>
    <w:p w14:paraId="1460909B">
      <w:pPr>
        <w:spacing w:before="46" w:line="225" w:lineRule="auto"/>
        <w:ind w:left="29"/>
        <w:outlineLvl w:val="9"/>
        <w:rPr>
          <w:rFonts w:ascii="宋体" w:hAnsi="宋体" w:eastAsia="宋体" w:cs="宋体"/>
          <w:color w:val="auto"/>
          <w:sz w:val="31"/>
          <w:szCs w:val="31"/>
          <w:highlight w:val="none"/>
        </w:rPr>
      </w:pPr>
      <w:bookmarkStart w:id="243" w:name="_Toc13057"/>
      <w:bookmarkStart w:id="244" w:name="_Toc26224"/>
      <w:r>
        <w:rPr>
          <w:rFonts w:ascii="宋体" w:hAnsi="宋体" w:eastAsia="宋体" w:cs="宋体"/>
          <w:b/>
          <w:bCs/>
          <w:color w:val="auto"/>
          <w:spacing w:val="2"/>
          <w:sz w:val="31"/>
          <w:szCs w:val="31"/>
          <w:highlight w:val="none"/>
        </w:rPr>
        <w:t>11.</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开工和竣工</w:t>
      </w:r>
      <w:bookmarkEnd w:id="243"/>
      <w:bookmarkEnd w:id="244"/>
    </w:p>
    <w:p w14:paraId="64CB667A">
      <w:pPr>
        <w:spacing w:before="276"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11.1</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9"/>
          <w:sz w:val="28"/>
          <w:szCs w:val="28"/>
          <w:highlight w:val="none"/>
        </w:rPr>
        <w:t>开工</w:t>
      </w:r>
    </w:p>
    <w:p w14:paraId="6546D40B">
      <w:pPr>
        <w:spacing w:before="277" w:line="319" w:lineRule="auto"/>
        <w:ind w:left="1" w:right="72"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11.1.1 监理人应在开工日期</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7</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天前向承包人发</w:t>
      </w:r>
      <w:r>
        <w:rPr>
          <w:rFonts w:ascii="宋体" w:hAnsi="宋体" w:eastAsia="宋体" w:cs="宋体"/>
          <w:color w:val="auto"/>
          <w:spacing w:val="-3"/>
          <w:sz w:val="21"/>
          <w:szCs w:val="21"/>
          <w:highlight w:val="none"/>
        </w:rPr>
        <w:t>出开工通知。监理人在发出开工通知前应获得发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包人同意。工期自监理人发出的开工通知中载明的开工日期起计算。承包人应在</w:t>
      </w:r>
      <w:r>
        <w:rPr>
          <w:rFonts w:ascii="宋体" w:hAnsi="宋体" w:eastAsia="宋体" w:cs="宋体"/>
          <w:color w:val="auto"/>
          <w:sz w:val="21"/>
          <w:szCs w:val="21"/>
          <w:highlight w:val="none"/>
        </w:rPr>
        <w:t xml:space="preserve">开工日期后尽快施 </w:t>
      </w:r>
      <w:r>
        <w:rPr>
          <w:rFonts w:ascii="宋体" w:hAnsi="宋体" w:eastAsia="宋体" w:cs="宋体"/>
          <w:color w:val="auto"/>
          <w:spacing w:val="-10"/>
          <w:sz w:val="21"/>
          <w:szCs w:val="21"/>
          <w:highlight w:val="none"/>
        </w:rPr>
        <w:t>工。</w:t>
      </w:r>
    </w:p>
    <w:p w14:paraId="2FCEAE96">
      <w:pPr>
        <w:spacing w:before="41" w:line="346" w:lineRule="auto"/>
        <w:ind w:left="2" w:firstLine="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11.1.2 承包人应按第 10.1</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款约定的合同进度计划，向监理人提</w:t>
      </w:r>
      <w:r>
        <w:rPr>
          <w:rFonts w:ascii="宋体" w:hAnsi="宋体" w:eastAsia="宋体" w:cs="宋体"/>
          <w:color w:val="auto"/>
          <w:spacing w:val="-2"/>
          <w:sz w:val="21"/>
          <w:szCs w:val="21"/>
          <w:highlight w:val="none"/>
        </w:rPr>
        <w:t>交工程开工报审表，经监理人</w:t>
      </w:r>
      <w:r>
        <w:rPr>
          <w:rFonts w:ascii="宋体" w:hAnsi="宋体" w:eastAsia="宋体" w:cs="宋体"/>
          <w:color w:val="auto"/>
          <w:spacing w:val="1"/>
          <w:sz w:val="21"/>
          <w:szCs w:val="21"/>
          <w:highlight w:val="none"/>
        </w:rPr>
        <w:t>审批后执行。开工报审表应详细说明按合同进度计划正常施工所</w:t>
      </w:r>
      <w:r>
        <w:rPr>
          <w:rFonts w:ascii="宋体" w:hAnsi="宋体" w:eastAsia="宋体" w:cs="宋体"/>
          <w:color w:val="auto"/>
          <w:sz w:val="21"/>
          <w:szCs w:val="21"/>
          <w:highlight w:val="none"/>
        </w:rPr>
        <w:t>需的施工道路、临时设施、材料设 备、施工人员等施工组织措施的落实情况以及工程的</w:t>
      </w:r>
      <w:r>
        <w:rPr>
          <w:rFonts w:ascii="宋体" w:hAnsi="宋体" w:eastAsia="宋体" w:cs="宋体"/>
          <w:color w:val="auto"/>
          <w:spacing w:val="-1"/>
          <w:sz w:val="21"/>
          <w:szCs w:val="21"/>
          <w:highlight w:val="none"/>
        </w:rPr>
        <w:t>进度安排。</w:t>
      </w:r>
    </w:p>
    <w:p w14:paraId="0D64EAB4">
      <w:pPr>
        <w:spacing w:before="299"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11.2</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9"/>
          <w:sz w:val="28"/>
          <w:szCs w:val="28"/>
          <w:highlight w:val="none"/>
        </w:rPr>
        <w:t>竣工</w:t>
      </w:r>
    </w:p>
    <w:p w14:paraId="71F52511">
      <w:pPr>
        <w:spacing w:line="318" w:lineRule="auto"/>
        <w:outlineLvl w:val="9"/>
        <w:rPr>
          <w:rFonts w:ascii="Arial"/>
          <w:color w:val="auto"/>
          <w:sz w:val="21"/>
          <w:highlight w:val="none"/>
        </w:rPr>
      </w:pPr>
    </w:p>
    <w:p w14:paraId="77C32E13">
      <w:pPr>
        <w:spacing w:before="68"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承包人应在第</w:t>
      </w:r>
      <w:r>
        <w:rPr>
          <w:rFonts w:ascii="宋体" w:hAnsi="宋体" w:eastAsia="宋体" w:cs="宋体"/>
          <w:color w:val="auto"/>
          <w:spacing w:val="-20"/>
          <w:sz w:val="21"/>
          <w:szCs w:val="21"/>
          <w:highlight w:val="none"/>
        </w:rPr>
        <w:t xml:space="preserve"> </w:t>
      </w:r>
      <w:r>
        <w:rPr>
          <w:color w:val="auto"/>
          <w:highlight w:val="none"/>
        </w:rPr>
        <w:fldChar w:fldCharType="begin"/>
      </w:r>
      <w:r>
        <w:rPr>
          <w:color w:val="auto"/>
          <w:highlight w:val="none"/>
        </w:rPr>
        <w:instrText xml:space="preserve"> HYPERLINK "1.1.4.3" </w:instrText>
      </w:r>
      <w:r>
        <w:rPr>
          <w:color w:val="auto"/>
          <w:highlight w:val="none"/>
        </w:rPr>
        <w:fldChar w:fldCharType="separate"/>
      </w:r>
      <w:r>
        <w:rPr>
          <w:rFonts w:ascii="宋体" w:hAnsi="宋体" w:eastAsia="宋体" w:cs="宋体"/>
          <w:color w:val="auto"/>
          <w:spacing w:val="-2"/>
          <w:sz w:val="21"/>
          <w:szCs w:val="21"/>
          <w:highlight w:val="none"/>
        </w:rPr>
        <w:t>1.1.4.3</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目约定的期限内完成合同工程。实际竣工日期在接收证书中写明。</w:t>
      </w:r>
    </w:p>
    <w:p w14:paraId="7D6858E1">
      <w:pPr>
        <w:spacing w:before="311" w:line="221"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11.3</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发包人的工期延误</w:t>
      </w:r>
    </w:p>
    <w:p w14:paraId="396FAF53">
      <w:pPr>
        <w:spacing w:before="279" w:line="345" w:lineRule="auto"/>
        <w:ind w:right="2" w:firstLine="41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在履行合同过程中，由于发包人的下列原因造成工期延误的，承包人有权要</w:t>
      </w:r>
      <w:r>
        <w:rPr>
          <w:rFonts w:ascii="宋体" w:hAnsi="宋体" w:eastAsia="宋体" w:cs="宋体"/>
          <w:color w:val="auto"/>
          <w:sz w:val="21"/>
          <w:szCs w:val="21"/>
          <w:highlight w:val="none"/>
        </w:rPr>
        <w:t xml:space="preserve">求发包人延长工期 </w:t>
      </w:r>
      <w:r>
        <w:rPr>
          <w:rFonts w:ascii="宋体" w:hAnsi="宋体" w:eastAsia="宋体" w:cs="宋体"/>
          <w:color w:val="auto"/>
          <w:spacing w:val="-1"/>
          <w:sz w:val="21"/>
          <w:szCs w:val="21"/>
          <w:highlight w:val="none"/>
        </w:rPr>
        <w:t>和（或）增加费用，并支付合理利润。需要修订合同进度计划的，按照第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1"/>
          <w:sz w:val="21"/>
          <w:szCs w:val="21"/>
          <w:highlight w:val="none"/>
        </w:rPr>
        <w:t>1</w:t>
      </w:r>
      <w:r>
        <w:rPr>
          <w:rFonts w:ascii="宋体" w:hAnsi="宋体" w:eastAsia="宋体" w:cs="宋体"/>
          <w:color w:val="auto"/>
          <w:spacing w:val="-2"/>
          <w:sz w:val="21"/>
          <w:szCs w:val="21"/>
          <w:highlight w:val="none"/>
        </w:rPr>
        <w:t>0.2</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款的约定办理。</w:t>
      </w:r>
    </w:p>
    <w:p w14:paraId="31D3F922">
      <w:pPr>
        <w:spacing w:before="30"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（1）增加合同工作内容；</w:t>
      </w:r>
    </w:p>
    <w:p w14:paraId="1A268876">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（2）改变合同中任何一项工作的质量要求或其他特性；</w:t>
      </w:r>
    </w:p>
    <w:p w14:paraId="59955401">
      <w:pPr>
        <w:spacing w:before="157"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（3）发包人迟延提供材料、工程设备或变更交货地点的；</w:t>
      </w:r>
    </w:p>
    <w:p w14:paraId="74CAD45C">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（4）因发包人原因导致的暂停施工；</w:t>
      </w:r>
    </w:p>
    <w:p w14:paraId="122AD347">
      <w:pPr>
        <w:spacing w:before="156"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（5）提供图纸延误；</w:t>
      </w:r>
    </w:p>
    <w:p w14:paraId="0C4F7F7D">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（6）未按合同约定及时支付预付款、进度款；</w:t>
      </w:r>
    </w:p>
    <w:p w14:paraId="3BEF3CC0">
      <w:pPr>
        <w:spacing w:before="160"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（7）发包人造成工期延误的其他原因。</w:t>
      </w:r>
    </w:p>
    <w:p w14:paraId="6F331E33">
      <w:pPr>
        <w:spacing w:line="332" w:lineRule="auto"/>
        <w:outlineLvl w:val="9"/>
        <w:rPr>
          <w:rFonts w:ascii="Arial"/>
          <w:color w:val="auto"/>
          <w:sz w:val="21"/>
          <w:highlight w:val="none"/>
        </w:rPr>
      </w:pPr>
    </w:p>
    <w:p w14:paraId="58EF8E0D">
      <w:pPr>
        <w:spacing w:before="91"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11.4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异常恶劣的气候条件</w:t>
      </w:r>
    </w:p>
    <w:p w14:paraId="0E9E47DF">
      <w:pPr>
        <w:spacing w:before="280" w:line="346" w:lineRule="auto"/>
        <w:ind w:right="2" w:firstLine="44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由于出现专用合同条款规定的异常恶劣气候的条件导致工期延误的，承包人有权要求发包人延</w:t>
      </w:r>
      <w:r>
        <w:rPr>
          <w:rFonts w:ascii="宋体" w:hAnsi="宋体" w:eastAsia="宋体" w:cs="宋体"/>
          <w:color w:val="auto"/>
          <w:spacing w:val="7"/>
          <w:sz w:val="21"/>
          <w:szCs w:val="21"/>
          <w:highlight w:val="none"/>
        </w:rPr>
        <w:t xml:space="preserve"> </w:t>
      </w:r>
      <w:r>
        <w:rPr>
          <w:rFonts w:ascii="宋体" w:hAnsi="宋体" w:eastAsia="宋体" w:cs="宋体"/>
          <w:color w:val="auto"/>
          <w:spacing w:val="-2"/>
          <w:sz w:val="21"/>
          <w:szCs w:val="21"/>
          <w:highlight w:val="none"/>
        </w:rPr>
        <w:t>长工期。</w:t>
      </w:r>
    </w:p>
    <w:p w14:paraId="552A10AF">
      <w:pPr>
        <w:spacing w:before="299"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11.5</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承包人的工期延误</w:t>
      </w:r>
    </w:p>
    <w:p w14:paraId="3A5FDF3C">
      <w:pPr>
        <w:spacing w:before="279" w:line="353" w:lineRule="auto"/>
        <w:ind w:left="1" w:firstLine="443"/>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由于承包人原因，未能按合同进度计划完成工作，或监理人认为承包人施工进度不能满足合同</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工期要求的，承包人应采取措施加快进度，并承担加快进度所增加的费用。</w:t>
      </w:r>
      <w:r>
        <w:rPr>
          <w:rFonts w:ascii="宋体" w:hAnsi="宋体" w:eastAsia="宋体" w:cs="宋体"/>
          <w:color w:val="auto"/>
          <w:sz w:val="21"/>
          <w:szCs w:val="21"/>
          <w:highlight w:val="none"/>
        </w:rPr>
        <w:t xml:space="preserve">由于承包人原因造成工 </w:t>
      </w:r>
      <w:r>
        <w:rPr>
          <w:rFonts w:ascii="宋体" w:hAnsi="宋体" w:eastAsia="宋体" w:cs="宋体"/>
          <w:color w:val="auto"/>
          <w:spacing w:val="1"/>
          <w:sz w:val="21"/>
          <w:szCs w:val="21"/>
          <w:highlight w:val="none"/>
        </w:rPr>
        <w:t>期延误，承包人应支付逾期竣工违约金。逾期竣工违约金的计算方法在专用</w:t>
      </w:r>
      <w:r>
        <w:rPr>
          <w:rFonts w:ascii="宋体" w:hAnsi="宋体" w:eastAsia="宋体" w:cs="宋体"/>
          <w:color w:val="auto"/>
          <w:sz w:val="21"/>
          <w:szCs w:val="21"/>
          <w:highlight w:val="none"/>
        </w:rPr>
        <w:t>合同条款中约定。承包 人支付逾期竣工违约金，不免除承包人完成工程及修补缺</w:t>
      </w:r>
      <w:r>
        <w:rPr>
          <w:rFonts w:ascii="宋体" w:hAnsi="宋体" w:eastAsia="宋体" w:cs="宋体"/>
          <w:color w:val="auto"/>
          <w:spacing w:val="-1"/>
          <w:sz w:val="21"/>
          <w:szCs w:val="21"/>
          <w:highlight w:val="none"/>
        </w:rPr>
        <w:t>陷的义务。</w:t>
      </w:r>
    </w:p>
    <w:p w14:paraId="15CA501B">
      <w:pPr>
        <w:spacing w:before="298" w:line="221"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11.6</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工期提前</w:t>
      </w:r>
    </w:p>
    <w:p w14:paraId="1E4576F2">
      <w:pPr>
        <w:spacing w:before="279" w:line="350" w:lineRule="auto"/>
        <w:ind w:firstLine="423"/>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发包人要求承包人提前竣工，或承包人提出提前竣工的建议能够给</w:t>
      </w:r>
      <w:r>
        <w:rPr>
          <w:rFonts w:ascii="宋体" w:hAnsi="宋体" w:eastAsia="宋体" w:cs="宋体"/>
          <w:color w:val="auto"/>
          <w:sz w:val="21"/>
          <w:szCs w:val="21"/>
          <w:highlight w:val="none"/>
        </w:rPr>
        <w:t xml:space="preserve">发包人带来效益的，应由监 </w:t>
      </w:r>
      <w:r>
        <w:rPr>
          <w:rFonts w:ascii="宋体" w:hAnsi="宋体" w:eastAsia="宋体" w:cs="宋体"/>
          <w:color w:val="auto"/>
          <w:spacing w:val="1"/>
          <w:sz w:val="21"/>
          <w:szCs w:val="21"/>
          <w:highlight w:val="none"/>
        </w:rPr>
        <w:t>理人与承包人共同协商采取加快工程进度的措施和修订合同进度计划。发包人应</w:t>
      </w:r>
      <w:r>
        <w:rPr>
          <w:rFonts w:ascii="宋体" w:hAnsi="宋体" w:eastAsia="宋体" w:cs="宋体"/>
          <w:color w:val="auto"/>
          <w:sz w:val="21"/>
          <w:szCs w:val="21"/>
          <w:highlight w:val="none"/>
        </w:rPr>
        <w:t>承担承包人由此增 加的费用，并向承包人支付专用合同条款约定的相应</w:t>
      </w:r>
      <w:r>
        <w:rPr>
          <w:rFonts w:ascii="宋体" w:hAnsi="宋体" w:eastAsia="宋体" w:cs="宋体"/>
          <w:color w:val="auto"/>
          <w:spacing w:val="-1"/>
          <w:sz w:val="21"/>
          <w:szCs w:val="21"/>
          <w:highlight w:val="none"/>
        </w:rPr>
        <w:t>奖金。</w:t>
      </w:r>
    </w:p>
    <w:p w14:paraId="054685B5">
      <w:pPr>
        <w:spacing w:before="63" w:line="226" w:lineRule="auto"/>
        <w:ind w:left="29"/>
        <w:outlineLvl w:val="9"/>
        <w:rPr>
          <w:rFonts w:ascii="宋体" w:hAnsi="宋体" w:eastAsia="宋体" w:cs="宋体"/>
          <w:color w:val="auto"/>
          <w:sz w:val="31"/>
          <w:szCs w:val="31"/>
          <w:highlight w:val="none"/>
        </w:rPr>
      </w:pPr>
      <w:bookmarkStart w:id="245" w:name="bookmark236"/>
      <w:bookmarkEnd w:id="245"/>
      <w:bookmarkStart w:id="246" w:name="_Toc27137"/>
      <w:bookmarkStart w:id="247" w:name="_Toc15515"/>
      <w:r>
        <w:rPr>
          <w:rFonts w:ascii="宋体" w:hAnsi="宋体" w:eastAsia="宋体" w:cs="宋体"/>
          <w:b/>
          <w:bCs/>
          <w:color w:val="auto"/>
          <w:spacing w:val="-3"/>
          <w:sz w:val="31"/>
          <w:szCs w:val="31"/>
          <w:highlight w:val="none"/>
        </w:rPr>
        <w:t>12.</w:t>
      </w:r>
      <w:r>
        <w:rPr>
          <w:rFonts w:ascii="宋体" w:hAnsi="宋体" w:eastAsia="宋体" w:cs="宋体"/>
          <w:color w:val="auto"/>
          <w:spacing w:val="30"/>
          <w:sz w:val="31"/>
          <w:szCs w:val="31"/>
          <w:highlight w:val="none"/>
        </w:rPr>
        <w:t xml:space="preserve"> </w:t>
      </w:r>
      <w:r>
        <w:rPr>
          <w:rFonts w:ascii="宋体" w:hAnsi="宋体" w:eastAsia="宋体" w:cs="宋体"/>
          <w:b/>
          <w:bCs/>
          <w:color w:val="auto"/>
          <w:spacing w:val="-3"/>
          <w:sz w:val="31"/>
          <w:szCs w:val="31"/>
          <w:highlight w:val="none"/>
        </w:rPr>
        <w:t>暂停施工</w:t>
      </w:r>
      <w:bookmarkEnd w:id="246"/>
      <w:bookmarkEnd w:id="247"/>
    </w:p>
    <w:p w14:paraId="179F4CC6">
      <w:pPr>
        <w:spacing w:before="273"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12.1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承包人暂停施工的责任</w:t>
      </w:r>
    </w:p>
    <w:p w14:paraId="7F77E5E0">
      <w:pPr>
        <w:spacing w:before="279" w:line="221" w:lineRule="auto"/>
        <w:ind w:left="43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因下列暂停施工增加的费用和（或）工期延误由承包人承担：</w:t>
      </w:r>
    </w:p>
    <w:p w14:paraId="3953B797">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（1）承包人违约引起的暂停施工；</w:t>
      </w:r>
    </w:p>
    <w:p w14:paraId="119BC602">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（2）由于承包人原因为工程合理施工和安全</w:t>
      </w:r>
      <w:r>
        <w:rPr>
          <w:rFonts w:ascii="宋体" w:hAnsi="宋体" w:eastAsia="宋体" w:cs="宋体"/>
          <w:color w:val="auto"/>
          <w:spacing w:val="-1"/>
          <w:sz w:val="21"/>
          <w:szCs w:val="21"/>
          <w:highlight w:val="none"/>
        </w:rPr>
        <w:t>保障所必需的暂停施工；</w:t>
      </w:r>
    </w:p>
    <w:p w14:paraId="2666B225">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（3）承包人擅自暂停施工；</w:t>
      </w:r>
    </w:p>
    <w:p w14:paraId="5285D1CF">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（4）承包人其他原因引起的暂停施工；</w:t>
      </w:r>
    </w:p>
    <w:p w14:paraId="222B0FFF">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（5）专用合同条款约定由承包人承担的其他暂停</w:t>
      </w:r>
      <w:r>
        <w:rPr>
          <w:rFonts w:ascii="宋体" w:hAnsi="宋体" w:eastAsia="宋体" w:cs="宋体"/>
          <w:color w:val="auto"/>
          <w:spacing w:val="-2"/>
          <w:sz w:val="21"/>
          <w:szCs w:val="21"/>
          <w:highlight w:val="none"/>
        </w:rPr>
        <w:t>施工。</w:t>
      </w:r>
    </w:p>
    <w:p w14:paraId="6AA00724">
      <w:pPr>
        <w:spacing w:line="333" w:lineRule="auto"/>
        <w:outlineLvl w:val="9"/>
        <w:rPr>
          <w:rFonts w:ascii="Arial"/>
          <w:color w:val="auto"/>
          <w:sz w:val="21"/>
          <w:highlight w:val="none"/>
        </w:rPr>
      </w:pPr>
    </w:p>
    <w:p w14:paraId="6D43FE8C">
      <w:pPr>
        <w:spacing w:before="9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12.2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发包人暂停施工的责任</w:t>
      </w:r>
    </w:p>
    <w:p w14:paraId="48BCCBC0">
      <w:pPr>
        <w:spacing w:before="281" w:line="345" w:lineRule="auto"/>
        <w:ind w:left="1" w:right="79" w:firstLine="44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由于发包人原因引起的暂停施工造成工期延误的，承包人有权要求发包人延长工期和（或）增</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加费用，并支付合理利润。</w:t>
      </w:r>
    </w:p>
    <w:p w14:paraId="0B53E75C">
      <w:pPr>
        <w:spacing w:before="299"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12.3</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监理人暂停施工指示</w:t>
      </w:r>
    </w:p>
    <w:p w14:paraId="5A8F1297">
      <w:pPr>
        <w:spacing w:before="280" w:line="289" w:lineRule="auto"/>
        <w:ind w:left="4" w:right="78"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12.3.1 监理人认为有必要时，可向承包人作出暂停施工的指示，承包人应按监理人指示暂停施</w:t>
      </w:r>
      <w:r>
        <w:rPr>
          <w:rFonts w:ascii="宋体" w:hAnsi="宋体" w:eastAsia="宋体" w:cs="宋体"/>
          <w:color w:val="auto"/>
          <w:spacing w:val="3"/>
          <w:sz w:val="21"/>
          <w:szCs w:val="21"/>
          <w:highlight w:val="none"/>
        </w:rPr>
        <w:t xml:space="preserve"> </w:t>
      </w:r>
      <w:r>
        <w:rPr>
          <w:rFonts w:ascii="宋体" w:hAnsi="宋体" w:eastAsia="宋体" w:cs="宋体"/>
          <w:color w:val="auto"/>
          <w:spacing w:val="-5"/>
          <w:sz w:val="21"/>
          <w:szCs w:val="21"/>
          <w:highlight w:val="none"/>
        </w:rPr>
        <w:t>工。不论由于何种原因引起的暂停施工，暂停施工期间承包人应负责妥善保护工程并提供安全保障。</w:t>
      </w:r>
    </w:p>
    <w:p w14:paraId="7B21CD24">
      <w:pPr>
        <w:spacing w:before="160" w:line="350" w:lineRule="auto"/>
        <w:ind w:left="1" w:right="75" w:firstLine="435"/>
        <w:jc w:val="both"/>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12.3.2</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由于发包人的原因发生暂停施工的紧急情况，且监理人未及时下达暂停施工指示的，承</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包人可先暂停施工，并及时向监理人提出暂停施工的书面请求。监理人应在接到书面请</w:t>
      </w:r>
      <w:r>
        <w:rPr>
          <w:rFonts w:ascii="宋体" w:hAnsi="宋体" w:eastAsia="宋体" w:cs="宋体"/>
          <w:color w:val="auto"/>
          <w:spacing w:val="-3"/>
          <w:sz w:val="21"/>
          <w:szCs w:val="21"/>
          <w:highlight w:val="none"/>
        </w:rPr>
        <w:t>求后的</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24</w:t>
      </w:r>
      <w:r>
        <w:rPr>
          <w:rFonts w:ascii="宋体" w:hAnsi="宋体" w:eastAsia="宋体" w:cs="宋体"/>
          <w:color w:val="auto"/>
          <w:spacing w:val="-38"/>
          <w:sz w:val="21"/>
          <w:szCs w:val="21"/>
          <w:highlight w:val="none"/>
        </w:rPr>
        <w:t xml:space="preserve"> </w:t>
      </w:r>
      <w:r>
        <w:rPr>
          <w:rFonts w:ascii="宋体" w:hAnsi="宋体" w:eastAsia="宋体" w:cs="宋体"/>
          <w:color w:val="auto"/>
          <w:spacing w:val="-3"/>
          <w:sz w:val="21"/>
          <w:szCs w:val="21"/>
          <w:highlight w:val="none"/>
        </w:rPr>
        <w:t>小</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时内予以答复，逾期未答复的，视为同意承包人的暂停施工请求。</w:t>
      </w:r>
    </w:p>
    <w:p w14:paraId="7770D0E3">
      <w:pPr>
        <w:spacing w:before="299"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12.4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暂停施工后的复工</w:t>
      </w:r>
    </w:p>
    <w:p w14:paraId="1D499216">
      <w:pPr>
        <w:spacing w:before="279" w:line="351" w:lineRule="auto"/>
        <w:ind w:left="3" w:firstLine="433"/>
        <w:jc w:val="both"/>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12.4.1 暂停施工后，监理人应与发包人和承包人协商，采取有效措施积极消除暂停施工的影响。</w:t>
      </w:r>
      <w:r>
        <w:rPr>
          <w:rFonts w:ascii="宋体" w:hAnsi="宋体" w:eastAsia="宋体" w:cs="宋体"/>
          <w:color w:val="auto"/>
          <w:spacing w:val="11"/>
          <w:sz w:val="21"/>
          <w:szCs w:val="21"/>
          <w:highlight w:val="none"/>
        </w:rPr>
        <w:t xml:space="preserve"> </w:t>
      </w:r>
      <w:r>
        <w:rPr>
          <w:rFonts w:ascii="宋体" w:hAnsi="宋体" w:eastAsia="宋体" w:cs="宋体"/>
          <w:color w:val="auto"/>
          <w:spacing w:val="1"/>
          <w:sz w:val="21"/>
          <w:szCs w:val="21"/>
          <w:highlight w:val="none"/>
        </w:rPr>
        <w:t>当工程具备复工条件时，监理人应立即向承包人发出复工通知。承包人收到</w:t>
      </w:r>
      <w:r>
        <w:rPr>
          <w:rFonts w:ascii="宋体" w:hAnsi="宋体" w:eastAsia="宋体" w:cs="宋体"/>
          <w:color w:val="auto"/>
          <w:sz w:val="21"/>
          <w:szCs w:val="21"/>
          <w:highlight w:val="none"/>
        </w:rPr>
        <w:t xml:space="preserve">复工通知后，应在监理 </w:t>
      </w:r>
      <w:r>
        <w:rPr>
          <w:rFonts w:ascii="宋体" w:hAnsi="宋体" w:eastAsia="宋体" w:cs="宋体"/>
          <w:color w:val="auto"/>
          <w:spacing w:val="-1"/>
          <w:sz w:val="21"/>
          <w:szCs w:val="21"/>
          <w:highlight w:val="none"/>
        </w:rPr>
        <w:t>人指定的期限内复工。</w:t>
      </w:r>
    </w:p>
    <w:p w14:paraId="33CF27AD">
      <w:pPr>
        <w:spacing w:before="30" w:line="345" w:lineRule="auto"/>
        <w:ind w:left="18" w:right="75" w:firstLine="41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12.4.2 承包人无故拖延和拒绝复工的，由此增加的费用和工期延误由承包人承担；因发包人原</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因无法按时复工的，承包人有权要求发包人延长工期和（或）增加费用，并支付合理利润。</w:t>
      </w:r>
    </w:p>
    <w:p w14:paraId="3DC0E39D">
      <w:pPr>
        <w:spacing w:before="300"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12.5</w:t>
      </w:r>
      <w:r>
        <w:rPr>
          <w:rFonts w:ascii="宋体" w:hAnsi="宋体" w:eastAsia="宋体" w:cs="宋体"/>
          <w:color w:val="auto"/>
          <w:spacing w:val="-6"/>
          <w:sz w:val="28"/>
          <w:szCs w:val="28"/>
          <w:highlight w:val="none"/>
        </w:rPr>
        <w:t xml:space="preserve"> </w:t>
      </w:r>
      <w:r>
        <w:rPr>
          <w:rFonts w:ascii="宋体" w:hAnsi="宋体" w:eastAsia="宋体" w:cs="宋体"/>
          <w:b/>
          <w:bCs/>
          <w:color w:val="auto"/>
          <w:spacing w:val="-6"/>
          <w:sz w:val="28"/>
          <w:szCs w:val="28"/>
          <w:highlight w:val="none"/>
        </w:rPr>
        <w:t>暂停施工持续</w:t>
      </w:r>
      <w:r>
        <w:rPr>
          <w:rFonts w:ascii="宋体" w:hAnsi="宋体" w:eastAsia="宋体" w:cs="宋体"/>
          <w:color w:val="auto"/>
          <w:spacing w:val="-51"/>
          <w:sz w:val="28"/>
          <w:szCs w:val="28"/>
          <w:highlight w:val="none"/>
        </w:rPr>
        <w:t xml:space="preserve"> </w:t>
      </w:r>
      <w:r>
        <w:rPr>
          <w:rFonts w:ascii="宋体" w:hAnsi="宋体" w:eastAsia="宋体" w:cs="宋体"/>
          <w:b/>
          <w:bCs/>
          <w:color w:val="auto"/>
          <w:spacing w:val="-6"/>
          <w:sz w:val="28"/>
          <w:szCs w:val="28"/>
          <w:highlight w:val="none"/>
        </w:rPr>
        <w:t>56</w:t>
      </w:r>
      <w:r>
        <w:rPr>
          <w:rFonts w:ascii="宋体" w:hAnsi="宋体" w:eastAsia="宋体" w:cs="宋体"/>
          <w:color w:val="auto"/>
          <w:spacing w:val="-52"/>
          <w:sz w:val="28"/>
          <w:szCs w:val="28"/>
          <w:highlight w:val="none"/>
        </w:rPr>
        <w:t xml:space="preserve"> </w:t>
      </w:r>
      <w:r>
        <w:rPr>
          <w:rFonts w:ascii="宋体" w:hAnsi="宋体" w:eastAsia="宋体" w:cs="宋体"/>
          <w:b/>
          <w:bCs/>
          <w:color w:val="auto"/>
          <w:spacing w:val="-6"/>
          <w:sz w:val="28"/>
          <w:szCs w:val="28"/>
          <w:highlight w:val="none"/>
        </w:rPr>
        <w:t>天以上</w:t>
      </w:r>
    </w:p>
    <w:p w14:paraId="68F2832D">
      <w:pPr>
        <w:spacing w:before="280"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12.5.1 监理人发出暂停施工指示后 56 天</w:t>
      </w:r>
      <w:r>
        <w:rPr>
          <w:rFonts w:ascii="宋体" w:hAnsi="宋体" w:eastAsia="宋体" w:cs="宋体"/>
          <w:color w:val="auto"/>
          <w:spacing w:val="2"/>
          <w:sz w:val="21"/>
          <w:szCs w:val="21"/>
          <w:highlight w:val="none"/>
        </w:rPr>
        <w:t>内未向承包人发出复工通知，除了该项停工属于第</w:t>
      </w:r>
    </w:p>
    <w:p w14:paraId="4F4C490E">
      <w:pPr>
        <w:spacing w:before="158" w:line="313" w:lineRule="auto"/>
        <w:ind w:right="75" w:firstLine="1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12.1 款的情况外，承包人可向监理人提交书面通知，要求监理人在收到书面通知后 28 天内准许已</w:t>
      </w:r>
      <w:r>
        <w:rPr>
          <w:rFonts w:ascii="宋体" w:hAnsi="宋体" w:eastAsia="宋体" w:cs="宋体"/>
          <w:color w:val="auto"/>
          <w:spacing w:val="12"/>
          <w:sz w:val="21"/>
          <w:szCs w:val="21"/>
          <w:highlight w:val="none"/>
        </w:rPr>
        <w:t xml:space="preserve"> </w:t>
      </w:r>
      <w:r>
        <w:rPr>
          <w:rFonts w:ascii="宋体" w:hAnsi="宋体" w:eastAsia="宋体" w:cs="宋体"/>
          <w:color w:val="auto"/>
          <w:spacing w:val="1"/>
          <w:sz w:val="21"/>
          <w:szCs w:val="21"/>
          <w:highlight w:val="none"/>
        </w:rPr>
        <w:t>暂停施工的工程或其中一部分工程继续施工。如监理人逾期不</w:t>
      </w:r>
      <w:r>
        <w:rPr>
          <w:rFonts w:ascii="宋体" w:hAnsi="宋体" w:eastAsia="宋体" w:cs="宋体"/>
          <w:color w:val="auto"/>
          <w:sz w:val="21"/>
          <w:szCs w:val="21"/>
          <w:highlight w:val="none"/>
        </w:rPr>
        <w:t xml:space="preserve">予批准，则承包人可以通知监理人， </w:t>
      </w:r>
      <w:r>
        <w:rPr>
          <w:rFonts w:ascii="宋体" w:hAnsi="宋体" w:eastAsia="宋体" w:cs="宋体"/>
          <w:color w:val="auto"/>
          <w:spacing w:val="1"/>
          <w:sz w:val="21"/>
          <w:szCs w:val="21"/>
          <w:highlight w:val="none"/>
        </w:rPr>
        <w:t>将工程受影响的部分视为按第 15.1（1）项的可取消工作。如暂停施工影响到</w:t>
      </w:r>
      <w:r>
        <w:rPr>
          <w:rFonts w:ascii="宋体" w:hAnsi="宋体" w:eastAsia="宋体" w:cs="宋体"/>
          <w:color w:val="auto"/>
          <w:sz w:val="21"/>
          <w:szCs w:val="21"/>
          <w:highlight w:val="none"/>
        </w:rPr>
        <w:t>整个工程，可视为发</w:t>
      </w:r>
    </w:p>
    <w:p w14:paraId="2B554C6A">
      <w:pPr>
        <w:spacing w:before="41" w:line="221" w:lineRule="auto"/>
        <w:ind w:left="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包人违约，应按第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22.2</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款的规定办理。</w:t>
      </w:r>
    </w:p>
    <w:p w14:paraId="4A5F632B">
      <w:pPr>
        <w:spacing w:before="157" w:line="345" w:lineRule="auto"/>
        <w:ind w:left="4" w:right="75"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12.5.2</w:t>
      </w:r>
      <w:r>
        <w:rPr>
          <w:rFonts w:ascii="宋体" w:hAnsi="宋体" w:eastAsia="宋体" w:cs="宋体"/>
          <w:color w:val="auto"/>
          <w:spacing w:val="47"/>
          <w:sz w:val="21"/>
          <w:szCs w:val="21"/>
          <w:highlight w:val="none"/>
        </w:rPr>
        <w:t xml:space="preserve"> </w:t>
      </w:r>
      <w:r>
        <w:rPr>
          <w:rFonts w:ascii="宋体" w:hAnsi="宋体" w:eastAsia="宋体" w:cs="宋体"/>
          <w:color w:val="auto"/>
          <w:spacing w:val="-2"/>
          <w:sz w:val="21"/>
          <w:szCs w:val="21"/>
          <w:highlight w:val="none"/>
        </w:rPr>
        <w:t>由于承包人责任引起的暂停施工，如承包人在收到监理人暂停施工指示后</w:t>
      </w:r>
      <w:r>
        <w:rPr>
          <w:rFonts w:ascii="宋体" w:hAnsi="宋体" w:eastAsia="宋体" w:cs="宋体"/>
          <w:color w:val="auto"/>
          <w:spacing w:val="-20"/>
          <w:sz w:val="21"/>
          <w:szCs w:val="21"/>
          <w:highlight w:val="none"/>
        </w:rPr>
        <w:t xml:space="preserve"> </w:t>
      </w:r>
      <w:r>
        <w:rPr>
          <w:rFonts w:ascii="宋体" w:hAnsi="宋体" w:eastAsia="宋体" w:cs="宋体"/>
          <w:color w:val="auto"/>
          <w:spacing w:val="-2"/>
          <w:sz w:val="21"/>
          <w:szCs w:val="21"/>
          <w:highlight w:val="none"/>
        </w:rPr>
        <w:t>56</w:t>
      </w:r>
      <w:r>
        <w:rPr>
          <w:rFonts w:ascii="宋体" w:hAnsi="宋体" w:eastAsia="宋体" w:cs="宋体"/>
          <w:color w:val="auto"/>
          <w:spacing w:val="-23"/>
          <w:sz w:val="21"/>
          <w:szCs w:val="21"/>
          <w:highlight w:val="none"/>
        </w:rPr>
        <w:t xml:space="preserve"> </w:t>
      </w:r>
      <w:r>
        <w:rPr>
          <w:rFonts w:ascii="宋体" w:hAnsi="宋体" w:eastAsia="宋体" w:cs="宋体"/>
          <w:color w:val="auto"/>
          <w:spacing w:val="-2"/>
          <w:sz w:val="21"/>
          <w:szCs w:val="21"/>
          <w:highlight w:val="none"/>
        </w:rPr>
        <w:t>天内不认</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真采取有效的复工措施，造成工期延误，可视为承包人违约，应按第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22.1</w:t>
      </w:r>
      <w:r>
        <w:rPr>
          <w:rFonts w:ascii="宋体" w:hAnsi="宋体" w:eastAsia="宋体" w:cs="宋体"/>
          <w:color w:val="auto"/>
          <w:spacing w:val="-46"/>
          <w:sz w:val="21"/>
          <w:szCs w:val="21"/>
          <w:highlight w:val="none"/>
        </w:rPr>
        <w:t xml:space="preserve"> </w:t>
      </w:r>
      <w:r>
        <w:rPr>
          <w:rFonts w:ascii="宋体" w:hAnsi="宋体" w:eastAsia="宋体" w:cs="宋体"/>
          <w:color w:val="auto"/>
          <w:spacing w:val="-1"/>
          <w:sz w:val="21"/>
          <w:szCs w:val="21"/>
          <w:highlight w:val="none"/>
        </w:rPr>
        <w:t>款的规定办理。</w:t>
      </w:r>
    </w:p>
    <w:p w14:paraId="34239FE3">
      <w:pPr>
        <w:spacing w:before="46" w:line="226" w:lineRule="auto"/>
        <w:ind w:left="29"/>
        <w:outlineLvl w:val="9"/>
        <w:rPr>
          <w:rFonts w:ascii="宋体" w:hAnsi="宋体" w:eastAsia="宋体" w:cs="宋体"/>
          <w:color w:val="auto"/>
          <w:sz w:val="31"/>
          <w:szCs w:val="31"/>
          <w:highlight w:val="none"/>
        </w:rPr>
      </w:pPr>
      <w:bookmarkStart w:id="248" w:name="bookmark237"/>
      <w:bookmarkEnd w:id="248"/>
      <w:bookmarkStart w:id="249" w:name="_Toc1099"/>
      <w:bookmarkStart w:id="250" w:name="_Toc3314"/>
      <w:r>
        <w:rPr>
          <w:rFonts w:ascii="宋体" w:hAnsi="宋体" w:eastAsia="宋体" w:cs="宋体"/>
          <w:b/>
          <w:bCs/>
          <w:color w:val="auto"/>
          <w:spacing w:val="-2"/>
          <w:sz w:val="31"/>
          <w:szCs w:val="31"/>
          <w:highlight w:val="none"/>
        </w:rPr>
        <w:t>13.</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2"/>
          <w:sz w:val="31"/>
          <w:szCs w:val="31"/>
          <w:highlight w:val="none"/>
        </w:rPr>
        <w:t>工程质量</w:t>
      </w:r>
      <w:bookmarkEnd w:id="249"/>
      <w:bookmarkEnd w:id="250"/>
    </w:p>
    <w:p w14:paraId="50EAAEC5">
      <w:pPr>
        <w:spacing w:before="275"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13.1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工程质量要求</w:t>
      </w:r>
    </w:p>
    <w:p w14:paraId="31B0E667">
      <w:pPr>
        <w:spacing w:before="278"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13.1.1 工程质量验收按合同约定验收标准执行。</w:t>
      </w:r>
    </w:p>
    <w:p w14:paraId="373EB02F">
      <w:pPr>
        <w:spacing w:before="156" w:line="291" w:lineRule="auto"/>
        <w:ind w:left="3" w:right="75"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13.1.2 因承包人原因造成工程质量达不到合同约定验收标准的，监理人有权要求承包人返工直</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至符合合同要求为止，由此造成的费用增加和（或）工期延误由承包</w:t>
      </w:r>
      <w:r>
        <w:rPr>
          <w:rFonts w:ascii="宋体" w:hAnsi="宋体" w:eastAsia="宋体" w:cs="宋体"/>
          <w:color w:val="auto"/>
          <w:spacing w:val="-1"/>
          <w:sz w:val="21"/>
          <w:szCs w:val="21"/>
          <w:highlight w:val="none"/>
        </w:rPr>
        <w:t>人承担。</w:t>
      </w:r>
    </w:p>
    <w:p w14:paraId="1D41095C">
      <w:pPr>
        <w:spacing w:before="157" w:line="290" w:lineRule="auto"/>
        <w:ind w:right="75"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13.1.3 因发包人原因造成工程质量达不到合同约定验收标准的，发包人应承担由于承包人返工</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造成的费用增加和（或）工期延误，并支付承包人合理利润。</w:t>
      </w:r>
    </w:p>
    <w:p w14:paraId="7F0204E8">
      <w:pPr>
        <w:spacing w:line="333" w:lineRule="auto"/>
        <w:outlineLvl w:val="9"/>
        <w:rPr>
          <w:rFonts w:ascii="Arial"/>
          <w:color w:val="auto"/>
          <w:sz w:val="21"/>
          <w:highlight w:val="none"/>
        </w:rPr>
      </w:pPr>
    </w:p>
    <w:p w14:paraId="31D95DD6">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13.2</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承包人的质量管理</w:t>
      </w:r>
    </w:p>
    <w:p w14:paraId="33F11929">
      <w:pPr>
        <w:spacing w:before="280" w:line="351" w:lineRule="auto"/>
        <w:ind w:left="1" w:right="75" w:firstLine="435"/>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13.2.1 承包人应在施工场地设置专门的质量检查机构，配备专职质量检查人员，建立完善的质</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量检查制度。承包人应在合同约定的期限内，提交工程质量保证措施文件，包括</w:t>
      </w:r>
      <w:r>
        <w:rPr>
          <w:rFonts w:ascii="宋体" w:hAnsi="宋体" w:eastAsia="宋体" w:cs="宋体"/>
          <w:color w:val="auto"/>
          <w:sz w:val="21"/>
          <w:szCs w:val="21"/>
          <w:highlight w:val="none"/>
        </w:rPr>
        <w:t xml:space="preserve">质量检查机构的组 </w:t>
      </w:r>
      <w:r>
        <w:rPr>
          <w:rFonts w:ascii="宋体" w:hAnsi="宋体" w:eastAsia="宋体" w:cs="宋体"/>
          <w:color w:val="auto"/>
          <w:spacing w:val="-1"/>
          <w:sz w:val="21"/>
          <w:szCs w:val="21"/>
          <w:highlight w:val="none"/>
        </w:rPr>
        <w:t>织和岗位责任、质检人员的组成、质量检查程序和实施细则等，报送监理人审批。</w:t>
      </w:r>
    </w:p>
    <w:p w14:paraId="29BB9A36">
      <w:pPr>
        <w:spacing w:before="30" w:line="345" w:lineRule="auto"/>
        <w:ind w:left="1" w:right="75"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13.2.2 承包人应加强对施工人员的质量教育和技术培训，定期考核施工人员的劳动技能，严格</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执行规范和操作规程。</w:t>
      </w:r>
    </w:p>
    <w:p w14:paraId="2BFD4750">
      <w:pPr>
        <w:spacing w:before="300"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13.3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承包人的质量检查</w:t>
      </w:r>
    </w:p>
    <w:p w14:paraId="46BAF995">
      <w:pPr>
        <w:spacing w:before="281" w:line="345" w:lineRule="auto"/>
        <w:ind w:left="4" w:right="78"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承包人应按合同约定对材料、工程设备以及工程的所有部位及其施工工艺</w:t>
      </w:r>
      <w:r>
        <w:rPr>
          <w:rFonts w:ascii="宋体" w:hAnsi="宋体" w:eastAsia="宋体" w:cs="宋体"/>
          <w:color w:val="auto"/>
          <w:sz w:val="21"/>
          <w:szCs w:val="21"/>
          <w:highlight w:val="none"/>
        </w:rPr>
        <w:t xml:space="preserve">进行全过程的质量检 </w:t>
      </w:r>
      <w:r>
        <w:rPr>
          <w:rFonts w:ascii="宋体" w:hAnsi="宋体" w:eastAsia="宋体" w:cs="宋体"/>
          <w:color w:val="auto"/>
          <w:spacing w:val="-1"/>
          <w:sz w:val="21"/>
          <w:szCs w:val="21"/>
          <w:highlight w:val="none"/>
        </w:rPr>
        <w:t>查和检验，并作详细记录，编制工程质量报表，报送监理人审查。</w:t>
      </w:r>
    </w:p>
    <w:p w14:paraId="13534909">
      <w:pPr>
        <w:spacing w:before="30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13.4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监理人的质量检查</w:t>
      </w:r>
    </w:p>
    <w:p w14:paraId="4B9C3848">
      <w:pPr>
        <w:spacing w:before="283" w:line="353" w:lineRule="auto"/>
        <w:ind w:right="76" w:firstLine="422"/>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监理人有权对工程的所有部位及其施工工艺、材料和工程设备进行检查和</w:t>
      </w:r>
      <w:r>
        <w:rPr>
          <w:rFonts w:ascii="宋体" w:hAnsi="宋体" w:eastAsia="宋体" w:cs="宋体"/>
          <w:color w:val="auto"/>
          <w:sz w:val="21"/>
          <w:szCs w:val="21"/>
          <w:highlight w:val="none"/>
        </w:rPr>
        <w:t xml:space="preserve">检验。承包人应为监 </w:t>
      </w:r>
      <w:r>
        <w:rPr>
          <w:rFonts w:ascii="宋体" w:hAnsi="宋体" w:eastAsia="宋体" w:cs="宋体"/>
          <w:color w:val="auto"/>
          <w:spacing w:val="1"/>
          <w:sz w:val="21"/>
          <w:szCs w:val="21"/>
          <w:highlight w:val="none"/>
        </w:rPr>
        <w:t>理人的检查和检验提供方便，包括监理人到施工场地，或制造、加工地点，或合同约</w:t>
      </w:r>
      <w:r>
        <w:rPr>
          <w:rFonts w:ascii="宋体" w:hAnsi="宋体" w:eastAsia="宋体" w:cs="宋体"/>
          <w:color w:val="auto"/>
          <w:sz w:val="21"/>
          <w:szCs w:val="21"/>
          <w:highlight w:val="none"/>
        </w:rPr>
        <w:t xml:space="preserve">定的其他地方 </w:t>
      </w:r>
      <w:r>
        <w:rPr>
          <w:rFonts w:ascii="宋体" w:hAnsi="宋体" w:eastAsia="宋体" w:cs="宋体"/>
          <w:color w:val="auto"/>
          <w:spacing w:val="1"/>
          <w:sz w:val="21"/>
          <w:szCs w:val="21"/>
          <w:highlight w:val="none"/>
        </w:rPr>
        <w:t>进行察看和查阅施工原始记录。承包人还应按监理人指示，进行施工场地取样试验、</w:t>
      </w:r>
      <w:r>
        <w:rPr>
          <w:rFonts w:ascii="宋体" w:hAnsi="宋体" w:eastAsia="宋体" w:cs="宋体"/>
          <w:color w:val="auto"/>
          <w:sz w:val="21"/>
          <w:szCs w:val="21"/>
          <w:highlight w:val="none"/>
        </w:rPr>
        <w:t xml:space="preserve">工程复核测量 </w:t>
      </w:r>
      <w:r>
        <w:rPr>
          <w:rFonts w:ascii="宋体" w:hAnsi="宋体" w:eastAsia="宋体" w:cs="宋体"/>
          <w:color w:val="auto"/>
          <w:spacing w:val="1"/>
          <w:sz w:val="21"/>
          <w:szCs w:val="21"/>
          <w:highlight w:val="none"/>
        </w:rPr>
        <w:t>和设备性能检测，提供试验样品、提交试验报告和测量成果以及监理人要求进行的其</w:t>
      </w:r>
      <w:r>
        <w:rPr>
          <w:rFonts w:ascii="宋体" w:hAnsi="宋体" w:eastAsia="宋体" w:cs="宋体"/>
          <w:color w:val="auto"/>
          <w:sz w:val="21"/>
          <w:szCs w:val="21"/>
          <w:highlight w:val="none"/>
        </w:rPr>
        <w:t xml:space="preserve">他工作。监理 </w:t>
      </w:r>
      <w:r>
        <w:rPr>
          <w:rFonts w:ascii="宋体" w:hAnsi="宋体" w:eastAsia="宋体" w:cs="宋体"/>
          <w:color w:val="auto"/>
          <w:spacing w:val="-1"/>
          <w:sz w:val="21"/>
          <w:szCs w:val="21"/>
          <w:highlight w:val="none"/>
        </w:rPr>
        <w:t>人的检查和检验，不免除承包人按合同约定应负的责任。</w:t>
      </w:r>
    </w:p>
    <w:p w14:paraId="7AF5C691">
      <w:pPr>
        <w:spacing w:before="30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13.5</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工程隐蔽部位覆盖前的检查</w:t>
      </w:r>
    </w:p>
    <w:p w14:paraId="1D8381B1">
      <w:pPr>
        <w:spacing w:before="28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13.5.1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通知监理人检查</w:t>
      </w:r>
    </w:p>
    <w:p w14:paraId="1A3C957A">
      <w:pPr>
        <w:spacing w:before="156"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经承包人自检确认的工程隐蔽部位具备覆盖条件后，承包人</w:t>
      </w:r>
      <w:r>
        <w:rPr>
          <w:rFonts w:ascii="宋体" w:hAnsi="宋体" w:eastAsia="宋体" w:cs="宋体"/>
          <w:color w:val="auto"/>
          <w:spacing w:val="-3"/>
          <w:sz w:val="21"/>
          <w:szCs w:val="21"/>
          <w:highlight w:val="none"/>
        </w:rPr>
        <w:t>应通知监理人在约定的期限内检查。</w:t>
      </w:r>
    </w:p>
    <w:p w14:paraId="6CC97AE7">
      <w:pPr>
        <w:spacing w:before="41" w:line="350" w:lineRule="auto"/>
        <w:ind w:left="1" w:right="75"/>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承包人的通知应附有自检记录和必要的检查资料。监理人应按时到场检查。经监</w:t>
      </w:r>
      <w:r>
        <w:rPr>
          <w:rFonts w:ascii="宋体" w:hAnsi="宋体" w:eastAsia="宋体" w:cs="宋体"/>
          <w:color w:val="auto"/>
          <w:sz w:val="21"/>
          <w:szCs w:val="21"/>
          <w:highlight w:val="none"/>
        </w:rPr>
        <w:t xml:space="preserve">理人检查确认质量 </w:t>
      </w:r>
      <w:r>
        <w:rPr>
          <w:rFonts w:ascii="宋体" w:hAnsi="宋体" w:eastAsia="宋体" w:cs="宋体"/>
          <w:color w:val="auto"/>
          <w:spacing w:val="1"/>
          <w:sz w:val="21"/>
          <w:szCs w:val="21"/>
          <w:highlight w:val="none"/>
        </w:rPr>
        <w:t>符合隐蔽要求，并在检查记录上签字后，承包人才能进行覆盖。监理人检查确认</w:t>
      </w:r>
      <w:r>
        <w:rPr>
          <w:rFonts w:ascii="宋体" w:hAnsi="宋体" w:eastAsia="宋体" w:cs="宋体"/>
          <w:color w:val="auto"/>
          <w:sz w:val="21"/>
          <w:szCs w:val="21"/>
          <w:highlight w:val="none"/>
        </w:rPr>
        <w:t>质量不合格的，承 包人应在监理人指示的时间内修整返工后，由监理人重新</w:t>
      </w:r>
      <w:r>
        <w:rPr>
          <w:rFonts w:ascii="宋体" w:hAnsi="宋体" w:eastAsia="宋体" w:cs="宋体"/>
          <w:color w:val="auto"/>
          <w:spacing w:val="-1"/>
          <w:sz w:val="21"/>
          <w:szCs w:val="21"/>
          <w:highlight w:val="none"/>
        </w:rPr>
        <w:t>检查。</w:t>
      </w:r>
    </w:p>
    <w:p w14:paraId="337C15D3">
      <w:pPr>
        <w:spacing w:before="3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13.5.2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监理人未到场检查</w:t>
      </w:r>
    </w:p>
    <w:p w14:paraId="10BA2F2F">
      <w:pPr>
        <w:spacing w:before="158" w:line="350" w:lineRule="auto"/>
        <w:ind w:left="4" w:right="74" w:firstLine="418"/>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监理人未按第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13.5.1</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项约定的时间进行检查的，</w:t>
      </w:r>
      <w:r>
        <w:rPr>
          <w:rFonts w:ascii="宋体" w:hAnsi="宋体" w:eastAsia="宋体" w:cs="宋体"/>
          <w:color w:val="auto"/>
          <w:spacing w:val="-3"/>
          <w:sz w:val="21"/>
          <w:szCs w:val="21"/>
          <w:highlight w:val="none"/>
        </w:rPr>
        <w:t>除监理人另有指示外，承包人可自行完成覆盖</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工作，并作相应记录报送监理人，监理人应签字确认。监理人事</w:t>
      </w:r>
      <w:r>
        <w:rPr>
          <w:rFonts w:ascii="宋体" w:hAnsi="宋体" w:eastAsia="宋体" w:cs="宋体"/>
          <w:color w:val="auto"/>
          <w:spacing w:val="-10"/>
          <w:sz w:val="21"/>
          <w:szCs w:val="21"/>
          <w:highlight w:val="none"/>
        </w:rPr>
        <w:t>后对检查记录有疑问的，可按第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10"/>
          <w:sz w:val="21"/>
          <w:szCs w:val="21"/>
          <w:highlight w:val="none"/>
        </w:rPr>
        <w:t>13.5.3</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项的约定重新检查。</w:t>
      </w:r>
    </w:p>
    <w:p w14:paraId="683C2BCA">
      <w:pPr>
        <w:spacing w:before="3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13.5.3</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监理人重新检查</w:t>
      </w:r>
    </w:p>
    <w:p w14:paraId="164C3B67">
      <w:pPr>
        <w:spacing w:before="161" w:line="353" w:lineRule="auto"/>
        <w:ind w:left="1" w:right="74" w:firstLine="420"/>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承包人按第</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13.5.1</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项或第 13.5.2</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项覆盖工程隐蔽部位后，监理人对质量有疑问的，可要求承</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包人对已覆盖的部位进行钻孔探测或揭开重新检验，承包人应遵照执行，并在检</w:t>
      </w:r>
      <w:r>
        <w:rPr>
          <w:rFonts w:ascii="宋体" w:hAnsi="宋体" w:eastAsia="宋体" w:cs="宋体"/>
          <w:color w:val="auto"/>
          <w:sz w:val="21"/>
          <w:szCs w:val="21"/>
          <w:highlight w:val="none"/>
        </w:rPr>
        <w:t xml:space="preserve">验后重新覆盖恢复 </w:t>
      </w:r>
      <w:r>
        <w:rPr>
          <w:rFonts w:ascii="宋体" w:hAnsi="宋体" w:eastAsia="宋体" w:cs="宋体"/>
          <w:color w:val="auto"/>
          <w:spacing w:val="1"/>
          <w:sz w:val="21"/>
          <w:szCs w:val="21"/>
          <w:highlight w:val="none"/>
        </w:rPr>
        <w:t>原状。经检验证明工程质量符合合同要求的，由发包人承担由此增加的费用和（</w:t>
      </w:r>
      <w:r>
        <w:rPr>
          <w:rFonts w:ascii="宋体" w:hAnsi="宋体" w:eastAsia="宋体" w:cs="宋体"/>
          <w:color w:val="auto"/>
          <w:sz w:val="21"/>
          <w:szCs w:val="21"/>
          <w:highlight w:val="none"/>
        </w:rPr>
        <w:t xml:space="preserve">或）工期延误，并 </w:t>
      </w:r>
      <w:r>
        <w:rPr>
          <w:rFonts w:ascii="宋体" w:hAnsi="宋体" w:eastAsia="宋体" w:cs="宋体"/>
          <w:color w:val="auto"/>
          <w:spacing w:val="1"/>
          <w:sz w:val="21"/>
          <w:szCs w:val="21"/>
          <w:highlight w:val="none"/>
        </w:rPr>
        <w:t>支付承包人合理利润；经检验证明工程质量不符合合同要求的，由此增加的费用</w:t>
      </w:r>
      <w:r>
        <w:rPr>
          <w:rFonts w:ascii="宋体" w:hAnsi="宋体" w:eastAsia="宋体" w:cs="宋体"/>
          <w:color w:val="auto"/>
          <w:sz w:val="21"/>
          <w:szCs w:val="21"/>
          <w:highlight w:val="none"/>
        </w:rPr>
        <w:t xml:space="preserve">和（或）工期延误 </w:t>
      </w:r>
      <w:r>
        <w:rPr>
          <w:rFonts w:ascii="宋体" w:hAnsi="宋体" w:eastAsia="宋体" w:cs="宋体"/>
          <w:color w:val="auto"/>
          <w:spacing w:val="-3"/>
          <w:sz w:val="21"/>
          <w:szCs w:val="21"/>
          <w:highlight w:val="none"/>
        </w:rPr>
        <w:t>由承包人承担。</w:t>
      </w:r>
    </w:p>
    <w:p w14:paraId="2DFE8142">
      <w:pPr>
        <w:spacing w:before="32"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13.5.4</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承包人私自覆盖</w:t>
      </w:r>
    </w:p>
    <w:p w14:paraId="22FE2DB2">
      <w:pPr>
        <w:spacing w:before="158" w:line="345" w:lineRule="auto"/>
        <w:ind w:left="4" w:right="77"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承包人未通知监理人到场检查，私自将工程隐蔽部位覆盖的，监理人有权指</w:t>
      </w:r>
      <w:r>
        <w:rPr>
          <w:rFonts w:ascii="宋体" w:hAnsi="宋体" w:eastAsia="宋体" w:cs="宋体"/>
          <w:color w:val="auto"/>
          <w:sz w:val="21"/>
          <w:szCs w:val="21"/>
          <w:highlight w:val="none"/>
        </w:rPr>
        <w:t>示承包人钻孔探测 或揭开检查，由此增加的费用和（或）工期延误由承</w:t>
      </w:r>
      <w:r>
        <w:rPr>
          <w:rFonts w:ascii="宋体" w:hAnsi="宋体" w:eastAsia="宋体" w:cs="宋体"/>
          <w:color w:val="auto"/>
          <w:spacing w:val="-1"/>
          <w:sz w:val="21"/>
          <w:szCs w:val="21"/>
          <w:highlight w:val="none"/>
        </w:rPr>
        <w:t>包人承担。</w:t>
      </w:r>
    </w:p>
    <w:p w14:paraId="39C09A55">
      <w:pPr>
        <w:spacing w:before="300"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13.6</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清除不合格工程</w:t>
      </w:r>
    </w:p>
    <w:p w14:paraId="10C37939">
      <w:pPr>
        <w:spacing w:before="282" w:line="313" w:lineRule="auto"/>
        <w:ind w:left="1" w:right="75"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13.6.1 承包人使用不合格材料、工程设备，或采用不适当的施工工艺，或施工不当，造成工程</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不合格的，监理人可以随时发出指示，要求承包人立即采取措施进行补救，直至</w:t>
      </w:r>
      <w:r>
        <w:rPr>
          <w:rFonts w:ascii="宋体" w:hAnsi="宋体" w:eastAsia="宋体" w:cs="宋体"/>
          <w:color w:val="auto"/>
          <w:sz w:val="21"/>
          <w:szCs w:val="21"/>
          <w:highlight w:val="none"/>
        </w:rPr>
        <w:t>达到合同要求的质 量标准，由此增加的费用和（或）工期延误由承包人</w:t>
      </w:r>
      <w:r>
        <w:rPr>
          <w:rFonts w:ascii="宋体" w:hAnsi="宋体" w:eastAsia="宋体" w:cs="宋体"/>
          <w:color w:val="auto"/>
          <w:spacing w:val="-1"/>
          <w:sz w:val="21"/>
          <w:szCs w:val="21"/>
          <w:highlight w:val="none"/>
        </w:rPr>
        <w:t>承担。</w:t>
      </w:r>
    </w:p>
    <w:p w14:paraId="231A983F">
      <w:pPr>
        <w:spacing w:before="156" w:line="290" w:lineRule="auto"/>
        <w:ind w:left="19" w:right="74" w:firstLine="418"/>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13.6.2</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由于发包人提供的材料或工程设备不合格造成的工程不合格，需要承包人采取措施补救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的，发包人应承担由此增加的费用和（或）工期延误，并支付承包人合理利润。</w:t>
      </w:r>
    </w:p>
    <w:p w14:paraId="1BBED7E4">
      <w:pPr>
        <w:spacing w:before="172" w:line="225" w:lineRule="auto"/>
        <w:ind w:left="29"/>
        <w:outlineLvl w:val="9"/>
        <w:rPr>
          <w:rFonts w:ascii="宋体" w:hAnsi="宋体" w:eastAsia="宋体" w:cs="宋体"/>
          <w:color w:val="auto"/>
          <w:sz w:val="31"/>
          <w:szCs w:val="31"/>
          <w:highlight w:val="none"/>
        </w:rPr>
      </w:pPr>
      <w:bookmarkStart w:id="251" w:name="bookmark238"/>
      <w:bookmarkEnd w:id="251"/>
      <w:bookmarkStart w:id="252" w:name="_Toc28801"/>
      <w:bookmarkStart w:id="253" w:name="_Toc16274"/>
      <w:r>
        <w:rPr>
          <w:rFonts w:ascii="宋体" w:hAnsi="宋体" w:eastAsia="宋体" w:cs="宋体"/>
          <w:b/>
          <w:bCs/>
          <w:color w:val="auto"/>
          <w:spacing w:val="2"/>
          <w:sz w:val="31"/>
          <w:szCs w:val="31"/>
          <w:highlight w:val="none"/>
        </w:rPr>
        <w:t>14.</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试验和检验</w:t>
      </w:r>
      <w:bookmarkEnd w:id="252"/>
      <w:bookmarkEnd w:id="253"/>
    </w:p>
    <w:p w14:paraId="3CFE8F8A">
      <w:pPr>
        <w:spacing w:before="277"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14.1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材料、工程设备和工程的试验和检验</w:t>
      </w:r>
    </w:p>
    <w:p w14:paraId="6E8A0549">
      <w:pPr>
        <w:spacing w:before="281" w:line="313" w:lineRule="auto"/>
        <w:ind w:firstLine="43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14.1.1 承包人应按合同约定进行材料、工程设备和工程的试验和检验，并为监理人对上述材料、</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工程设备和工程的质量检查提供必要的试验资料和原始记录。按合同约定应由监理人</w:t>
      </w:r>
      <w:r>
        <w:rPr>
          <w:rFonts w:ascii="宋体" w:hAnsi="宋体" w:eastAsia="宋体" w:cs="宋体"/>
          <w:color w:val="auto"/>
          <w:sz w:val="21"/>
          <w:szCs w:val="21"/>
          <w:highlight w:val="none"/>
        </w:rPr>
        <w:t>与承包人共同 进行试验和检验的，由承包人负责提供必要的试验资料和原始记录。</w:t>
      </w:r>
    </w:p>
    <w:p w14:paraId="35496A86">
      <w:pPr>
        <w:spacing w:before="159" w:line="290" w:lineRule="auto"/>
        <w:ind w:left="2" w:right="74"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14.1.2 监理人未按合同约定派员参加试验和检验的，除监理人另有指示外，承包人可自行试验</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和检验，并应立即将试验和检验结果报送监理人，监理人应签字确认。</w:t>
      </w:r>
    </w:p>
    <w:p w14:paraId="065BFDA5">
      <w:pPr>
        <w:spacing w:before="158" w:line="312" w:lineRule="auto"/>
        <w:ind w:left="1" w:right="74"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14.1.3 监理人对承包人的试验和检验结果有疑问的，或为查清承包人试验和检验成果的可靠性</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要求承包人重新试验和检验的，可按合同约定由监理人与承包人共同进行。重新</w:t>
      </w:r>
      <w:r>
        <w:rPr>
          <w:rFonts w:ascii="宋体" w:hAnsi="宋体" w:eastAsia="宋体" w:cs="宋体"/>
          <w:color w:val="auto"/>
          <w:sz w:val="21"/>
          <w:szCs w:val="21"/>
          <w:highlight w:val="none"/>
        </w:rPr>
        <w:t xml:space="preserve">试验和检验的结果 </w:t>
      </w:r>
      <w:r>
        <w:rPr>
          <w:rFonts w:ascii="宋体" w:hAnsi="宋体" w:eastAsia="宋体" w:cs="宋体"/>
          <w:color w:val="auto"/>
          <w:spacing w:val="1"/>
          <w:sz w:val="21"/>
          <w:szCs w:val="21"/>
          <w:highlight w:val="none"/>
        </w:rPr>
        <w:t>证明该项材料、工程设备或工程的质量不符合合同要求的，由此增加的费用和（</w:t>
      </w:r>
      <w:r>
        <w:rPr>
          <w:rFonts w:ascii="宋体" w:hAnsi="宋体" w:eastAsia="宋体" w:cs="宋体"/>
          <w:color w:val="auto"/>
          <w:sz w:val="21"/>
          <w:szCs w:val="21"/>
          <w:highlight w:val="none"/>
        </w:rPr>
        <w:t>或）工期延误由承</w:t>
      </w:r>
    </w:p>
    <w:p w14:paraId="0AC4E2BD">
      <w:pPr>
        <w:spacing w:before="41" w:line="346" w:lineRule="auto"/>
        <w:ind w:right="17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包人承担；重新试验和检验结果证明该项材料、工程设备和工程符合合同要求，</w:t>
      </w:r>
      <w:r>
        <w:rPr>
          <w:rFonts w:ascii="宋体" w:hAnsi="宋体" w:eastAsia="宋体" w:cs="宋体"/>
          <w:color w:val="auto"/>
          <w:sz w:val="21"/>
          <w:szCs w:val="21"/>
          <w:highlight w:val="none"/>
        </w:rPr>
        <w:t xml:space="preserve">由发包人承担由此 </w:t>
      </w:r>
      <w:r>
        <w:rPr>
          <w:rFonts w:ascii="宋体" w:hAnsi="宋体" w:eastAsia="宋体" w:cs="宋体"/>
          <w:color w:val="auto"/>
          <w:spacing w:val="-1"/>
          <w:sz w:val="21"/>
          <w:szCs w:val="21"/>
          <w:highlight w:val="none"/>
        </w:rPr>
        <w:t>增加的费用和（或）工期延误，并支付承包人合理利润。</w:t>
      </w:r>
    </w:p>
    <w:p w14:paraId="445170D0">
      <w:pPr>
        <w:spacing w:before="299"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14.2</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现场材料试验</w:t>
      </w:r>
    </w:p>
    <w:p w14:paraId="1E4F8526">
      <w:pPr>
        <w:spacing w:before="282" w:line="289" w:lineRule="auto"/>
        <w:ind w:right="178"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14.2.1 承包人根据合同约定或监理人指示进行的现场材料试验，应由承包人提供试验场所、试</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验人员、试验设备器材以及其他必要的试验条件。</w:t>
      </w:r>
    </w:p>
    <w:p w14:paraId="4653F9D0">
      <w:pPr>
        <w:spacing w:before="160" w:line="289" w:lineRule="auto"/>
        <w:ind w:left="3" w:right="178"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14.2.2 监理人在必要时可以使用承包人的试验场所、试验设备器材以及其他试验条件，进行以</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工程质量检查为目的的复核性材料试验，承包人应予以协助。</w:t>
      </w:r>
    </w:p>
    <w:p w14:paraId="3C3FBD6A">
      <w:pPr>
        <w:spacing w:line="333" w:lineRule="auto"/>
        <w:outlineLvl w:val="9"/>
        <w:rPr>
          <w:rFonts w:ascii="Arial"/>
          <w:color w:val="auto"/>
          <w:sz w:val="21"/>
          <w:highlight w:val="none"/>
        </w:rPr>
      </w:pPr>
    </w:p>
    <w:p w14:paraId="13BD8712">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14.3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现场工艺试验</w:t>
      </w:r>
    </w:p>
    <w:p w14:paraId="3C7B2F35">
      <w:pPr>
        <w:spacing w:before="280" w:line="345" w:lineRule="auto"/>
        <w:ind w:left="1" w:right="181"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承包人应按合同约定或监理人指示进行现场工艺试验。对大型的现场工艺</w:t>
      </w:r>
      <w:r>
        <w:rPr>
          <w:rFonts w:ascii="宋体" w:hAnsi="宋体" w:eastAsia="宋体" w:cs="宋体"/>
          <w:color w:val="auto"/>
          <w:sz w:val="21"/>
          <w:szCs w:val="21"/>
          <w:highlight w:val="none"/>
        </w:rPr>
        <w:t>试验，监理人认为必 要时，应由承包人根据监理人提出的工艺试验要求，编制</w:t>
      </w:r>
      <w:r>
        <w:rPr>
          <w:rFonts w:ascii="宋体" w:hAnsi="宋体" w:eastAsia="宋体" w:cs="宋体"/>
          <w:color w:val="auto"/>
          <w:spacing w:val="-1"/>
          <w:sz w:val="21"/>
          <w:szCs w:val="21"/>
          <w:highlight w:val="none"/>
        </w:rPr>
        <w:t>工艺试验措施计划，报送监理人审批。</w:t>
      </w:r>
    </w:p>
    <w:p w14:paraId="78A2CD39">
      <w:pPr>
        <w:spacing w:before="47" w:line="226" w:lineRule="auto"/>
        <w:ind w:left="28"/>
        <w:outlineLvl w:val="9"/>
        <w:rPr>
          <w:rFonts w:ascii="宋体" w:hAnsi="宋体" w:eastAsia="宋体" w:cs="宋体"/>
          <w:color w:val="auto"/>
          <w:sz w:val="31"/>
          <w:szCs w:val="31"/>
          <w:highlight w:val="none"/>
        </w:rPr>
      </w:pPr>
      <w:bookmarkStart w:id="254" w:name="bookmark239"/>
      <w:bookmarkEnd w:id="254"/>
      <w:bookmarkStart w:id="255" w:name="_Toc20435"/>
      <w:bookmarkStart w:id="256" w:name="_Toc10296"/>
      <w:r>
        <w:rPr>
          <w:rFonts w:ascii="宋体" w:hAnsi="宋体" w:eastAsia="宋体" w:cs="宋体"/>
          <w:b/>
          <w:bCs/>
          <w:color w:val="auto"/>
          <w:spacing w:val="-6"/>
          <w:sz w:val="31"/>
          <w:szCs w:val="31"/>
          <w:highlight w:val="none"/>
        </w:rPr>
        <w:t>15.</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6"/>
          <w:sz w:val="31"/>
          <w:szCs w:val="31"/>
          <w:highlight w:val="none"/>
        </w:rPr>
        <w:t>变更</w:t>
      </w:r>
      <w:bookmarkEnd w:id="255"/>
      <w:bookmarkEnd w:id="256"/>
    </w:p>
    <w:p w14:paraId="3C326DDB">
      <w:pPr>
        <w:spacing w:before="275"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15.1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变更的范围和内容</w:t>
      </w:r>
    </w:p>
    <w:p w14:paraId="25F6F8F0">
      <w:pPr>
        <w:spacing w:before="280" w:line="220" w:lineRule="auto"/>
        <w:ind w:left="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除专用合同条款另有约定外，在履行合同中发生以下情形之一，应按照本条规定进行变更。</w:t>
      </w:r>
    </w:p>
    <w:p w14:paraId="40AD6390">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（1）取消合同中任何一项工作，但被取消的工作不能转由发包人或其他人实施；</w:t>
      </w:r>
    </w:p>
    <w:p w14:paraId="643403B1">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（2）改变合同中任何一项工作的质量或其他特性；</w:t>
      </w:r>
    </w:p>
    <w:p w14:paraId="08CF96A6">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（3）改变合同工程的基线、标高、位置或尺寸；</w:t>
      </w:r>
    </w:p>
    <w:p w14:paraId="6C89352F">
      <w:pPr>
        <w:spacing w:before="158"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（4）改变合同中任何一项工作的施工时间或改变已批准的施工工艺或顺序；</w:t>
      </w:r>
    </w:p>
    <w:p w14:paraId="2BD77671">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（5）为完成工程需要追加的额外工作。</w:t>
      </w:r>
    </w:p>
    <w:p w14:paraId="65C7AF78">
      <w:pPr>
        <w:spacing w:line="333" w:lineRule="auto"/>
        <w:outlineLvl w:val="9"/>
        <w:rPr>
          <w:rFonts w:ascii="Arial"/>
          <w:color w:val="auto"/>
          <w:sz w:val="21"/>
          <w:highlight w:val="none"/>
        </w:rPr>
      </w:pPr>
    </w:p>
    <w:p w14:paraId="4EC152F0">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15.2</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8"/>
          <w:sz w:val="28"/>
          <w:szCs w:val="28"/>
          <w:highlight w:val="none"/>
        </w:rPr>
        <w:t>变更权</w:t>
      </w:r>
    </w:p>
    <w:p w14:paraId="2BECC1BF">
      <w:pPr>
        <w:spacing w:before="281" w:line="347" w:lineRule="auto"/>
        <w:ind w:left="1" w:right="178" w:firstLine="41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在履行合同过程中，经发包人同意，监理人可按第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15.3</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款</w:t>
      </w:r>
      <w:r>
        <w:rPr>
          <w:rFonts w:ascii="宋体" w:hAnsi="宋体" w:eastAsia="宋体" w:cs="宋体"/>
          <w:color w:val="auto"/>
          <w:spacing w:val="-3"/>
          <w:sz w:val="21"/>
          <w:szCs w:val="21"/>
          <w:highlight w:val="none"/>
        </w:rPr>
        <w:t>约定的变更程序向承包人作出变更指</w:t>
      </w:r>
      <w:r>
        <w:rPr>
          <w:rFonts w:ascii="宋体" w:hAnsi="宋体" w:eastAsia="宋体" w:cs="宋体"/>
          <w:color w:val="auto"/>
          <w:sz w:val="21"/>
          <w:szCs w:val="21"/>
          <w:highlight w:val="none"/>
        </w:rPr>
        <w:t xml:space="preserve"> 示，承包人应遵照执行。没有监理人的变更指示，承包人不得擅</w:t>
      </w:r>
      <w:r>
        <w:rPr>
          <w:rFonts w:ascii="宋体" w:hAnsi="宋体" w:eastAsia="宋体" w:cs="宋体"/>
          <w:color w:val="auto"/>
          <w:spacing w:val="-1"/>
          <w:sz w:val="21"/>
          <w:szCs w:val="21"/>
          <w:highlight w:val="none"/>
        </w:rPr>
        <w:t>自变更。</w:t>
      </w:r>
    </w:p>
    <w:p w14:paraId="6FAC1499">
      <w:pPr>
        <w:spacing w:before="297"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15.3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变更程序</w:t>
      </w:r>
    </w:p>
    <w:p w14:paraId="670B71EF">
      <w:pPr>
        <w:spacing w:before="280"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15.3.1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变更的提出</w:t>
      </w:r>
    </w:p>
    <w:p w14:paraId="0C32FC67">
      <w:pPr>
        <w:spacing w:before="156"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（1）在合同履行过程中，可能发生第</w:t>
      </w:r>
      <w:r>
        <w:rPr>
          <w:rFonts w:ascii="宋体" w:hAnsi="宋体" w:eastAsia="宋体" w:cs="宋体"/>
          <w:color w:val="auto"/>
          <w:spacing w:val="-23"/>
          <w:sz w:val="21"/>
          <w:szCs w:val="21"/>
          <w:highlight w:val="none"/>
        </w:rPr>
        <w:t xml:space="preserve"> </w:t>
      </w:r>
      <w:r>
        <w:rPr>
          <w:rFonts w:ascii="宋体" w:hAnsi="宋体" w:eastAsia="宋体" w:cs="宋体"/>
          <w:color w:val="auto"/>
          <w:spacing w:val="-5"/>
          <w:sz w:val="21"/>
          <w:szCs w:val="21"/>
          <w:highlight w:val="none"/>
        </w:rPr>
        <w:t>15.1</w:t>
      </w:r>
      <w:r>
        <w:rPr>
          <w:rFonts w:ascii="宋体" w:hAnsi="宋体" w:eastAsia="宋体" w:cs="宋体"/>
          <w:color w:val="auto"/>
          <w:spacing w:val="-44"/>
          <w:sz w:val="21"/>
          <w:szCs w:val="21"/>
          <w:highlight w:val="none"/>
        </w:rPr>
        <w:t xml:space="preserve"> </w:t>
      </w:r>
      <w:r>
        <w:rPr>
          <w:rFonts w:ascii="宋体" w:hAnsi="宋体" w:eastAsia="宋体" w:cs="宋体"/>
          <w:color w:val="auto"/>
          <w:spacing w:val="-5"/>
          <w:sz w:val="21"/>
          <w:szCs w:val="21"/>
          <w:highlight w:val="none"/>
        </w:rPr>
        <w:t>款约定情形的，监理人可向承包人发出变更意向书。</w:t>
      </w:r>
    </w:p>
    <w:p w14:paraId="09083B69">
      <w:pPr>
        <w:spacing w:before="156" w:line="351" w:lineRule="auto"/>
        <w:ind w:left="5" w:hanging="5"/>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变更意向书应说明变更的具体内容和发包人对变更的时间要求，并附必要的图纸</w:t>
      </w:r>
      <w:r>
        <w:rPr>
          <w:rFonts w:ascii="宋体" w:hAnsi="宋体" w:eastAsia="宋体" w:cs="宋体"/>
          <w:color w:val="auto"/>
          <w:sz w:val="21"/>
          <w:szCs w:val="21"/>
          <w:highlight w:val="none"/>
        </w:rPr>
        <w:t xml:space="preserve">和相关资料。变更  </w:t>
      </w:r>
      <w:r>
        <w:rPr>
          <w:rFonts w:ascii="宋体" w:hAnsi="宋体" w:eastAsia="宋体" w:cs="宋体"/>
          <w:color w:val="auto"/>
          <w:spacing w:val="1"/>
          <w:sz w:val="21"/>
          <w:szCs w:val="21"/>
          <w:highlight w:val="none"/>
        </w:rPr>
        <w:t>意向书应要求承包人提交包括拟实施变更工作的计划、措施和竣工</w:t>
      </w:r>
      <w:r>
        <w:rPr>
          <w:rFonts w:ascii="宋体" w:hAnsi="宋体" w:eastAsia="宋体" w:cs="宋体"/>
          <w:color w:val="auto"/>
          <w:sz w:val="21"/>
          <w:szCs w:val="21"/>
          <w:highlight w:val="none"/>
        </w:rPr>
        <w:t xml:space="preserve">时间等内容的实施方案。发包人  </w:t>
      </w:r>
      <w:r>
        <w:rPr>
          <w:rFonts w:ascii="宋体" w:hAnsi="宋体" w:eastAsia="宋体" w:cs="宋体"/>
          <w:color w:val="auto"/>
          <w:spacing w:val="-3"/>
          <w:sz w:val="21"/>
          <w:szCs w:val="21"/>
          <w:highlight w:val="none"/>
        </w:rPr>
        <w:t>同意承包人根据变更意向书要求提交的变更实施方案的，由监理人按第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15.3.3</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项约定发出变更指示。</w:t>
      </w:r>
    </w:p>
    <w:p w14:paraId="1C33C27F">
      <w:pPr>
        <w:spacing w:before="30"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（2）在合同履行过程中，发生第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3"/>
          <w:sz w:val="21"/>
          <w:szCs w:val="21"/>
          <w:highlight w:val="none"/>
        </w:rPr>
        <w:t>15.1</w:t>
      </w:r>
      <w:r>
        <w:rPr>
          <w:rFonts w:ascii="宋体" w:hAnsi="宋体" w:eastAsia="宋体" w:cs="宋体"/>
          <w:color w:val="auto"/>
          <w:spacing w:val="-43"/>
          <w:sz w:val="21"/>
          <w:szCs w:val="21"/>
          <w:highlight w:val="none"/>
        </w:rPr>
        <w:t xml:space="preserve"> </w:t>
      </w:r>
      <w:r>
        <w:rPr>
          <w:rFonts w:ascii="宋体" w:hAnsi="宋体" w:eastAsia="宋体" w:cs="宋体"/>
          <w:color w:val="auto"/>
          <w:spacing w:val="-3"/>
          <w:sz w:val="21"/>
          <w:szCs w:val="21"/>
          <w:highlight w:val="none"/>
        </w:rPr>
        <w:t>款约定情形的，监理人应按照第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15.3.3</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项约定向承包人</w:t>
      </w:r>
    </w:p>
    <w:p w14:paraId="270018F6">
      <w:pPr>
        <w:spacing w:before="42" w:line="221" w:lineRule="auto"/>
        <w:ind w:left="3"/>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发出变更指示。</w:t>
      </w:r>
    </w:p>
    <w:p w14:paraId="19CFEC1B">
      <w:pPr>
        <w:spacing w:before="154" w:line="325" w:lineRule="auto"/>
        <w:ind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（3）承包人收到监理人按合同约定发出的图纸和文件，经检查认为其中存在第 15.</w:t>
      </w:r>
      <w:r>
        <w:rPr>
          <w:rFonts w:ascii="宋体" w:hAnsi="宋体" w:eastAsia="宋体" w:cs="宋体"/>
          <w:color w:val="auto"/>
          <w:spacing w:val="-2"/>
          <w:sz w:val="21"/>
          <w:szCs w:val="21"/>
          <w:highlight w:val="none"/>
        </w:rPr>
        <w:t>1</w:t>
      </w:r>
      <w:r>
        <w:rPr>
          <w:rFonts w:ascii="宋体" w:hAnsi="宋体" w:eastAsia="宋体" w:cs="宋体"/>
          <w:color w:val="auto"/>
          <w:spacing w:val="-26"/>
          <w:sz w:val="21"/>
          <w:szCs w:val="21"/>
          <w:highlight w:val="none"/>
        </w:rPr>
        <w:t xml:space="preserve"> </w:t>
      </w:r>
      <w:r>
        <w:rPr>
          <w:rFonts w:ascii="宋体" w:hAnsi="宋体" w:eastAsia="宋体" w:cs="宋体"/>
          <w:color w:val="auto"/>
          <w:spacing w:val="-2"/>
          <w:sz w:val="21"/>
          <w:szCs w:val="21"/>
          <w:highlight w:val="none"/>
        </w:rPr>
        <w:t>款约定情</w:t>
      </w:r>
      <w:r>
        <w:rPr>
          <w:rFonts w:ascii="宋体" w:hAnsi="宋体" w:eastAsia="宋体" w:cs="宋体"/>
          <w:color w:val="auto"/>
          <w:sz w:val="21"/>
          <w:szCs w:val="21"/>
          <w:highlight w:val="none"/>
        </w:rPr>
        <w:t xml:space="preserve"> 形的，可向监理人提出书面变更建议。变更建议应阐明要求变更的依据，并附必要的图纸和说明。</w:t>
      </w:r>
      <w:r>
        <w:rPr>
          <w:rFonts w:ascii="宋体" w:hAnsi="宋体" w:eastAsia="宋体" w:cs="宋体"/>
          <w:color w:val="auto"/>
          <w:spacing w:val="4"/>
          <w:sz w:val="21"/>
          <w:szCs w:val="21"/>
          <w:highlight w:val="none"/>
        </w:rPr>
        <w:t xml:space="preserve"> </w:t>
      </w:r>
      <w:r>
        <w:rPr>
          <w:rFonts w:ascii="宋体" w:hAnsi="宋体" w:eastAsia="宋体" w:cs="宋体"/>
          <w:color w:val="auto"/>
          <w:spacing w:val="1"/>
          <w:sz w:val="21"/>
          <w:szCs w:val="21"/>
          <w:highlight w:val="none"/>
        </w:rPr>
        <w:t>监理人收到承包人书面建议后，应与发包人共同研究，确认存在变更的，应在</w:t>
      </w:r>
      <w:r>
        <w:rPr>
          <w:rFonts w:ascii="宋体" w:hAnsi="宋体" w:eastAsia="宋体" w:cs="宋体"/>
          <w:color w:val="auto"/>
          <w:sz w:val="21"/>
          <w:szCs w:val="21"/>
          <w:highlight w:val="none"/>
        </w:rPr>
        <w:t xml:space="preserve">收到承包人书面建议 </w:t>
      </w:r>
      <w:r>
        <w:rPr>
          <w:rFonts w:ascii="宋体" w:hAnsi="宋体" w:eastAsia="宋体" w:cs="宋体"/>
          <w:color w:val="auto"/>
          <w:spacing w:val="-1"/>
          <w:sz w:val="21"/>
          <w:szCs w:val="21"/>
          <w:highlight w:val="none"/>
        </w:rPr>
        <w:t>后的</w:t>
      </w:r>
      <w:r>
        <w:rPr>
          <w:rFonts w:ascii="宋体" w:hAnsi="宋体" w:eastAsia="宋体" w:cs="宋体"/>
          <w:color w:val="auto"/>
          <w:spacing w:val="-28"/>
          <w:sz w:val="21"/>
          <w:szCs w:val="21"/>
          <w:highlight w:val="none"/>
        </w:rPr>
        <w:t xml:space="preserve"> </w:t>
      </w:r>
      <w:r>
        <w:rPr>
          <w:rFonts w:ascii="宋体" w:hAnsi="宋体" w:eastAsia="宋体" w:cs="宋体"/>
          <w:color w:val="auto"/>
          <w:spacing w:val="-1"/>
          <w:sz w:val="21"/>
          <w:szCs w:val="21"/>
          <w:highlight w:val="none"/>
        </w:rPr>
        <w:t>14</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天内作出变更指示。经研究后不同意作为</w:t>
      </w:r>
      <w:r>
        <w:rPr>
          <w:rFonts w:ascii="宋体" w:hAnsi="宋体" w:eastAsia="宋体" w:cs="宋体"/>
          <w:color w:val="auto"/>
          <w:spacing w:val="-2"/>
          <w:sz w:val="21"/>
          <w:szCs w:val="21"/>
          <w:highlight w:val="none"/>
        </w:rPr>
        <w:t>变更的，应由监理人书面答复承包人。</w:t>
      </w:r>
    </w:p>
    <w:p w14:paraId="03B4A18C">
      <w:pPr>
        <w:spacing w:before="158" w:line="289" w:lineRule="auto"/>
        <w:ind w:left="16" w:right="16" w:firstLine="40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（4）若承包人收到监理人的变更意向书后认为难以实施此项变更，应立即通知</w:t>
      </w:r>
      <w:r>
        <w:rPr>
          <w:rFonts w:ascii="宋体" w:hAnsi="宋体" w:eastAsia="宋体" w:cs="宋体"/>
          <w:color w:val="auto"/>
          <w:spacing w:val="-3"/>
          <w:sz w:val="21"/>
          <w:szCs w:val="21"/>
          <w:highlight w:val="none"/>
        </w:rPr>
        <w:t>监理人，说明原</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因并附详细依据。监理人与承包人和发包人协商后确定撤销、改变或不改变原变更意向书。</w:t>
      </w:r>
    </w:p>
    <w:p w14:paraId="05BCD315">
      <w:pPr>
        <w:spacing w:before="158" w:line="219"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15.3.2</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变更估价</w:t>
      </w:r>
    </w:p>
    <w:p w14:paraId="64A4BCB4">
      <w:pPr>
        <w:spacing w:before="159" w:line="313" w:lineRule="auto"/>
        <w:ind w:left="1" w:firstLine="424"/>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（1）除专用合同条款对期限另有约定外，承包人应在收到变更指示或变更意向书后的</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5"/>
          <w:sz w:val="21"/>
          <w:szCs w:val="21"/>
          <w:highlight w:val="none"/>
        </w:rPr>
        <w:t>天内，</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向监理人提交变更报价书，报价内容应根据第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15.4</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款约定的估价原则，</w:t>
      </w:r>
      <w:r>
        <w:rPr>
          <w:rFonts w:ascii="宋体" w:hAnsi="宋体" w:eastAsia="宋体" w:cs="宋体"/>
          <w:color w:val="auto"/>
          <w:spacing w:val="-3"/>
          <w:sz w:val="21"/>
          <w:szCs w:val="21"/>
          <w:highlight w:val="none"/>
        </w:rPr>
        <w:t>详细开列变更工作的价格组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成及其依据，并附必要的施工方法说明和有关图纸。</w:t>
      </w:r>
    </w:p>
    <w:p w14:paraId="5E2B6CAE">
      <w:pPr>
        <w:spacing w:before="157" w:line="290" w:lineRule="auto"/>
        <w:ind w:right="10"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（2）变更工作影响工期的，承包人应提出调整工期的具体细节。监理人认为有必要时，可</w:t>
      </w:r>
      <w:r>
        <w:rPr>
          <w:rFonts w:ascii="宋体" w:hAnsi="宋体" w:eastAsia="宋体" w:cs="宋体"/>
          <w:color w:val="auto"/>
          <w:spacing w:val="-3"/>
          <w:sz w:val="21"/>
          <w:szCs w:val="21"/>
          <w:highlight w:val="none"/>
        </w:rPr>
        <w:t>要求</w:t>
      </w:r>
      <w:r>
        <w:rPr>
          <w:rFonts w:ascii="宋体" w:hAnsi="宋体" w:eastAsia="宋体" w:cs="宋体"/>
          <w:color w:val="auto"/>
          <w:sz w:val="21"/>
          <w:szCs w:val="21"/>
          <w:highlight w:val="none"/>
        </w:rPr>
        <w:t xml:space="preserve"> 承包人提交要求提前或延长工期的施工进度计划及相应施工措施等详细</w:t>
      </w:r>
      <w:r>
        <w:rPr>
          <w:rFonts w:ascii="宋体" w:hAnsi="宋体" w:eastAsia="宋体" w:cs="宋体"/>
          <w:color w:val="auto"/>
          <w:spacing w:val="-1"/>
          <w:sz w:val="21"/>
          <w:szCs w:val="21"/>
          <w:highlight w:val="none"/>
        </w:rPr>
        <w:t>资料。</w:t>
      </w:r>
    </w:p>
    <w:p w14:paraId="2D492F8B">
      <w:pPr>
        <w:spacing w:before="160" w:line="219" w:lineRule="auto"/>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（3）除专用合同条款对期限另有约定外，监理人收到承包人变更报价</w:t>
      </w:r>
      <w:r>
        <w:rPr>
          <w:rFonts w:ascii="宋体" w:hAnsi="宋体" w:eastAsia="宋体" w:cs="宋体"/>
          <w:color w:val="auto"/>
          <w:spacing w:val="-2"/>
          <w:sz w:val="21"/>
          <w:szCs w:val="21"/>
          <w:highlight w:val="none"/>
        </w:rPr>
        <w:t>书后的 14</w:t>
      </w:r>
      <w:r>
        <w:rPr>
          <w:rFonts w:ascii="宋体" w:hAnsi="宋体" w:eastAsia="宋体" w:cs="宋体"/>
          <w:color w:val="auto"/>
          <w:spacing w:val="-21"/>
          <w:sz w:val="21"/>
          <w:szCs w:val="21"/>
          <w:highlight w:val="none"/>
        </w:rPr>
        <w:t xml:space="preserve"> </w:t>
      </w:r>
      <w:r>
        <w:rPr>
          <w:rFonts w:ascii="宋体" w:hAnsi="宋体" w:eastAsia="宋体" w:cs="宋体"/>
          <w:color w:val="auto"/>
          <w:spacing w:val="-2"/>
          <w:sz w:val="21"/>
          <w:szCs w:val="21"/>
          <w:highlight w:val="none"/>
        </w:rPr>
        <w:t>天内，根据第</w:t>
      </w:r>
    </w:p>
    <w:p w14:paraId="5CDF1A67">
      <w:pPr>
        <w:spacing w:before="158" w:line="219" w:lineRule="auto"/>
        <w:ind w:left="1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15.4</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款约定的估价原则，按照第</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款商定或确定变更</w:t>
      </w:r>
      <w:r>
        <w:rPr>
          <w:rFonts w:ascii="宋体" w:hAnsi="宋体" w:eastAsia="宋体" w:cs="宋体"/>
          <w:color w:val="auto"/>
          <w:spacing w:val="-3"/>
          <w:sz w:val="21"/>
          <w:szCs w:val="21"/>
          <w:highlight w:val="none"/>
        </w:rPr>
        <w:t>价格。</w:t>
      </w:r>
    </w:p>
    <w:p w14:paraId="4D2B8637">
      <w:pPr>
        <w:spacing w:before="159" w:line="222"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15.3.3</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变更指示</w:t>
      </w:r>
    </w:p>
    <w:p w14:paraId="346CF3FA">
      <w:pPr>
        <w:spacing w:before="156"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（1）变更指示只能由监理人发出。</w:t>
      </w:r>
    </w:p>
    <w:p w14:paraId="470B3252">
      <w:pPr>
        <w:spacing w:before="157" w:line="290" w:lineRule="auto"/>
        <w:ind w:left="16" w:right="9" w:firstLine="40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（2）变更指示应说明变更的目的、范围、变更内容以及变更的工程量及其进度和技术要求，并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附有关图纸和文件。承包人收到变更指示后，应按变更指示进行变更工作。</w:t>
      </w:r>
    </w:p>
    <w:p w14:paraId="0D8BBF7C">
      <w:pPr>
        <w:spacing w:line="333" w:lineRule="auto"/>
        <w:outlineLvl w:val="9"/>
        <w:rPr>
          <w:rFonts w:ascii="Arial"/>
          <w:color w:val="auto"/>
          <w:sz w:val="21"/>
          <w:highlight w:val="none"/>
        </w:rPr>
      </w:pPr>
    </w:p>
    <w:p w14:paraId="4D18041A">
      <w:pPr>
        <w:spacing w:before="92" w:line="219"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15.4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变更的估价原则</w:t>
      </w:r>
    </w:p>
    <w:p w14:paraId="46AC8BF0">
      <w:pPr>
        <w:spacing w:before="282" w:line="219" w:lineRule="auto"/>
        <w:ind w:left="4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除专用合同条款另有约定外，因变更引起的价格调整按照本款约定处理。</w:t>
      </w:r>
    </w:p>
    <w:p w14:paraId="23A147CC">
      <w:pPr>
        <w:spacing w:before="159" w:line="219" w:lineRule="auto"/>
        <w:ind w:left="43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15.4.1</w:t>
      </w:r>
      <w:r>
        <w:rPr>
          <w:rFonts w:ascii="宋体" w:hAnsi="宋体" w:eastAsia="宋体" w:cs="宋体"/>
          <w:color w:val="auto"/>
          <w:spacing w:val="30"/>
          <w:sz w:val="21"/>
          <w:szCs w:val="21"/>
          <w:highlight w:val="none"/>
        </w:rPr>
        <w:t xml:space="preserve"> </w:t>
      </w:r>
      <w:r>
        <w:rPr>
          <w:rFonts w:ascii="宋体" w:hAnsi="宋体" w:eastAsia="宋体" w:cs="宋体"/>
          <w:color w:val="auto"/>
          <w:spacing w:val="-1"/>
          <w:sz w:val="21"/>
          <w:szCs w:val="21"/>
          <w:highlight w:val="none"/>
        </w:rPr>
        <w:t>已标价工程量清单中有适用于变更工作的</w:t>
      </w:r>
      <w:r>
        <w:rPr>
          <w:rFonts w:ascii="宋体" w:hAnsi="宋体" w:eastAsia="宋体" w:cs="宋体"/>
          <w:color w:val="auto"/>
          <w:spacing w:val="-2"/>
          <w:sz w:val="21"/>
          <w:szCs w:val="21"/>
          <w:highlight w:val="none"/>
        </w:rPr>
        <w:t>子目的，采用该子目的单价。</w:t>
      </w:r>
    </w:p>
    <w:p w14:paraId="139B8E89">
      <w:pPr>
        <w:spacing w:before="159" w:line="290" w:lineRule="auto"/>
        <w:ind w:firstLine="43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15.4.2</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已标价工程量清单中无适用于变更工作的子目，但有类似子目的，可在合理范围内参照</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类似子目的单价，由监理人按第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46"/>
          <w:sz w:val="21"/>
          <w:szCs w:val="21"/>
          <w:highlight w:val="none"/>
        </w:rPr>
        <w:t xml:space="preserve"> </w:t>
      </w:r>
      <w:r>
        <w:rPr>
          <w:rFonts w:ascii="宋体" w:hAnsi="宋体" w:eastAsia="宋体" w:cs="宋体"/>
          <w:color w:val="auto"/>
          <w:spacing w:val="-1"/>
          <w:sz w:val="21"/>
          <w:szCs w:val="21"/>
          <w:highlight w:val="none"/>
        </w:rPr>
        <w:t>款商定或确定变更工作的单价。</w:t>
      </w:r>
    </w:p>
    <w:p w14:paraId="542FDC54">
      <w:pPr>
        <w:spacing w:before="158" w:line="289" w:lineRule="auto"/>
        <w:ind w:firstLine="43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15.4.3</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已标价工程量清单中无适用或类似子目的单价，可按照成本加利润的原则，由监理人按</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款商定或确定变更工作的单价。</w:t>
      </w:r>
    </w:p>
    <w:p w14:paraId="12177412">
      <w:pPr>
        <w:spacing w:line="334" w:lineRule="auto"/>
        <w:outlineLvl w:val="9"/>
        <w:rPr>
          <w:rFonts w:ascii="Arial"/>
          <w:color w:val="auto"/>
          <w:sz w:val="21"/>
          <w:highlight w:val="none"/>
        </w:rPr>
      </w:pPr>
    </w:p>
    <w:p w14:paraId="571D95BB">
      <w:pPr>
        <w:spacing w:before="92"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15.5</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承包人的合理化建议</w:t>
      </w:r>
    </w:p>
    <w:p w14:paraId="12E25281">
      <w:pPr>
        <w:spacing w:before="279" w:line="325" w:lineRule="auto"/>
        <w:ind w:right="1"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15.5.1 在履行合同过程中，承包人对发包人提供的图纸、技术要求以及其他方面提出的合理化</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建议，均应以书面形式提交监理人。合理化建议书的内容应包括建议工作的详细</w:t>
      </w:r>
      <w:r>
        <w:rPr>
          <w:rFonts w:ascii="宋体" w:hAnsi="宋体" w:eastAsia="宋体" w:cs="宋体"/>
          <w:color w:val="auto"/>
          <w:sz w:val="21"/>
          <w:szCs w:val="21"/>
          <w:highlight w:val="none"/>
        </w:rPr>
        <w:t xml:space="preserve">说明、进度计划和 </w:t>
      </w:r>
      <w:r>
        <w:rPr>
          <w:rFonts w:ascii="宋体" w:hAnsi="宋体" w:eastAsia="宋体" w:cs="宋体"/>
          <w:color w:val="auto"/>
          <w:spacing w:val="1"/>
          <w:sz w:val="21"/>
          <w:szCs w:val="21"/>
          <w:highlight w:val="none"/>
        </w:rPr>
        <w:t>效益以及与其他工作的协调等，并附必要的设计文件。监理人应与发包人协商是</w:t>
      </w:r>
      <w:r>
        <w:rPr>
          <w:rFonts w:ascii="宋体" w:hAnsi="宋体" w:eastAsia="宋体" w:cs="宋体"/>
          <w:color w:val="auto"/>
          <w:sz w:val="21"/>
          <w:szCs w:val="21"/>
          <w:highlight w:val="none"/>
        </w:rPr>
        <w:t xml:space="preserve">否采纳建议。建议 </w:t>
      </w:r>
      <w:r>
        <w:rPr>
          <w:rFonts w:ascii="宋体" w:hAnsi="宋体" w:eastAsia="宋体" w:cs="宋体"/>
          <w:color w:val="auto"/>
          <w:spacing w:val="-1"/>
          <w:sz w:val="21"/>
          <w:szCs w:val="21"/>
          <w:highlight w:val="none"/>
        </w:rPr>
        <w:t>被采纳并构成变更的，应按第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1"/>
          <w:sz w:val="21"/>
          <w:szCs w:val="21"/>
          <w:highlight w:val="none"/>
        </w:rPr>
        <w:t>15.3.3</w:t>
      </w:r>
      <w:r>
        <w:rPr>
          <w:rFonts w:ascii="宋体" w:hAnsi="宋体" w:eastAsia="宋体" w:cs="宋体"/>
          <w:color w:val="auto"/>
          <w:spacing w:val="-41"/>
          <w:sz w:val="21"/>
          <w:szCs w:val="21"/>
          <w:highlight w:val="none"/>
        </w:rPr>
        <w:t xml:space="preserve"> </w:t>
      </w:r>
      <w:r>
        <w:rPr>
          <w:rFonts w:ascii="宋体" w:hAnsi="宋体" w:eastAsia="宋体" w:cs="宋体"/>
          <w:color w:val="auto"/>
          <w:spacing w:val="-1"/>
          <w:sz w:val="21"/>
          <w:szCs w:val="21"/>
          <w:highlight w:val="none"/>
        </w:rPr>
        <w:t>项约定向承包</w:t>
      </w:r>
      <w:r>
        <w:rPr>
          <w:rFonts w:ascii="宋体" w:hAnsi="宋体" w:eastAsia="宋体" w:cs="宋体"/>
          <w:color w:val="auto"/>
          <w:spacing w:val="-2"/>
          <w:sz w:val="21"/>
          <w:szCs w:val="21"/>
          <w:highlight w:val="none"/>
        </w:rPr>
        <w:t>人发出变更指示。</w:t>
      </w:r>
    </w:p>
    <w:p w14:paraId="3072AE9D">
      <w:pPr>
        <w:spacing w:before="158" w:line="219"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15.5.2 承包人提出的合理化建议降低了合同价格、缩短了工期或者提高了工程经济效益的，发</w:t>
      </w:r>
    </w:p>
    <w:p w14:paraId="777D1EAD">
      <w:pPr>
        <w:spacing w:before="41" w:line="221"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包人可按国家有关规定在专用合同条款中约定给予奖励。</w:t>
      </w:r>
    </w:p>
    <w:p w14:paraId="748DD889">
      <w:pPr>
        <w:spacing w:line="333" w:lineRule="auto"/>
        <w:outlineLvl w:val="9"/>
        <w:rPr>
          <w:rFonts w:ascii="Arial"/>
          <w:color w:val="auto"/>
          <w:sz w:val="21"/>
          <w:highlight w:val="none"/>
        </w:rPr>
      </w:pPr>
    </w:p>
    <w:p w14:paraId="1FD35217">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15.6</w:t>
      </w:r>
      <w:r>
        <w:rPr>
          <w:rFonts w:ascii="宋体" w:hAnsi="宋体" w:eastAsia="宋体" w:cs="宋体"/>
          <w:color w:val="auto"/>
          <w:spacing w:val="22"/>
          <w:sz w:val="28"/>
          <w:szCs w:val="28"/>
          <w:highlight w:val="none"/>
        </w:rPr>
        <w:t xml:space="preserve"> </w:t>
      </w:r>
      <w:r>
        <w:rPr>
          <w:rFonts w:ascii="宋体" w:hAnsi="宋体" w:eastAsia="宋体" w:cs="宋体"/>
          <w:b/>
          <w:bCs/>
          <w:color w:val="auto"/>
          <w:spacing w:val="-8"/>
          <w:sz w:val="28"/>
          <w:szCs w:val="28"/>
          <w:highlight w:val="none"/>
        </w:rPr>
        <w:t>暂列金额</w:t>
      </w:r>
    </w:p>
    <w:p w14:paraId="04EA45A3">
      <w:pPr>
        <w:spacing w:before="280" w:line="219"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暂列金额只能按照监理人的指示使用，并对合同</w:t>
      </w:r>
      <w:r>
        <w:rPr>
          <w:rFonts w:ascii="宋体" w:hAnsi="宋体" w:eastAsia="宋体" w:cs="宋体"/>
          <w:color w:val="auto"/>
          <w:spacing w:val="-1"/>
          <w:sz w:val="21"/>
          <w:szCs w:val="21"/>
          <w:highlight w:val="none"/>
        </w:rPr>
        <w:t>价格进行相应调整。</w:t>
      </w:r>
    </w:p>
    <w:p w14:paraId="24169457">
      <w:pPr>
        <w:spacing w:line="335" w:lineRule="auto"/>
        <w:outlineLvl w:val="9"/>
        <w:rPr>
          <w:rFonts w:ascii="Arial"/>
          <w:color w:val="auto"/>
          <w:sz w:val="21"/>
          <w:highlight w:val="none"/>
        </w:rPr>
      </w:pPr>
    </w:p>
    <w:p w14:paraId="763D3A1F">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15.7</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8"/>
          <w:sz w:val="28"/>
          <w:szCs w:val="28"/>
          <w:highlight w:val="none"/>
        </w:rPr>
        <w:t>计日工</w:t>
      </w:r>
    </w:p>
    <w:p w14:paraId="0F750133">
      <w:pPr>
        <w:spacing w:before="278" w:line="289" w:lineRule="auto"/>
        <w:ind w:left="2"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15.7.1 发包人认为有必要时，由监理人通知承包人以计日工方式实施变更的零星工作。其价款</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按列入已标价工程量清单中的计日工计价子目及其单价进行计算。</w:t>
      </w:r>
    </w:p>
    <w:p w14:paraId="6DF72685">
      <w:pPr>
        <w:spacing w:before="160" w:line="290" w:lineRule="auto"/>
        <w:ind w:right="2"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15.7.2 采用计日工计价的任何一项变更工作，应从暂列金额中支付，承包人应在该项变更的实</w:t>
      </w:r>
      <w:r>
        <w:rPr>
          <w:rFonts w:ascii="宋体" w:hAnsi="宋体" w:eastAsia="宋体" w:cs="宋体"/>
          <w:color w:val="auto"/>
          <w:spacing w:val="3"/>
          <w:sz w:val="21"/>
          <w:szCs w:val="21"/>
          <w:highlight w:val="none"/>
        </w:rPr>
        <w:t xml:space="preserve"> </w:t>
      </w:r>
      <w:r>
        <w:rPr>
          <w:rFonts w:ascii="宋体" w:hAnsi="宋体" w:eastAsia="宋体" w:cs="宋体"/>
          <w:color w:val="auto"/>
          <w:sz w:val="21"/>
          <w:szCs w:val="21"/>
          <w:highlight w:val="none"/>
        </w:rPr>
        <w:t>施过程中，每天提交以下报表和有关凭证报送监理人审</w:t>
      </w:r>
      <w:r>
        <w:rPr>
          <w:rFonts w:ascii="宋体" w:hAnsi="宋体" w:eastAsia="宋体" w:cs="宋体"/>
          <w:color w:val="auto"/>
          <w:spacing w:val="-1"/>
          <w:sz w:val="21"/>
          <w:szCs w:val="21"/>
          <w:highlight w:val="none"/>
        </w:rPr>
        <w:t>批：</w:t>
      </w:r>
    </w:p>
    <w:p w14:paraId="2F6D9E5F">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（1）工作名称、内容和数量；</w:t>
      </w:r>
    </w:p>
    <w:p w14:paraId="2102C5EA">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（2）投入该工作所有人员的姓名、工种、级别和耗用工时；</w:t>
      </w:r>
    </w:p>
    <w:p w14:paraId="732C5460">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（3）投入该工作的材料类别和数量；</w:t>
      </w:r>
    </w:p>
    <w:p w14:paraId="3E84126E">
      <w:pPr>
        <w:spacing w:before="160"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（4）投入该工作的施工设备型号、台数和耗用台时；</w:t>
      </w:r>
    </w:p>
    <w:p w14:paraId="01114B82">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（5）监理人要求提交的其他资料和凭证。</w:t>
      </w:r>
    </w:p>
    <w:p w14:paraId="2CCB5B55">
      <w:pPr>
        <w:spacing w:before="157" w:line="290" w:lineRule="auto"/>
        <w:ind w:left="2"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15.7.3 计日工由承包人汇总后，按第 17.3.2</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项的约定列入</w:t>
      </w:r>
      <w:r>
        <w:rPr>
          <w:rFonts w:ascii="宋体" w:hAnsi="宋体" w:eastAsia="宋体" w:cs="宋体"/>
          <w:color w:val="auto"/>
          <w:spacing w:val="-2"/>
          <w:sz w:val="21"/>
          <w:szCs w:val="21"/>
          <w:highlight w:val="none"/>
        </w:rPr>
        <w:t>进度付款申请单，由监理人复核并</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经发包人同意后列入进度付款。</w:t>
      </w:r>
    </w:p>
    <w:p w14:paraId="6C730DFF">
      <w:pPr>
        <w:spacing w:line="334" w:lineRule="auto"/>
        <w:outlineLvl w:val="9"/>
        <w:rPr>
          <w:rFonts w:ascii="Arial"/>
          <w:color w:val="auto"/>
          <w:sz w:val="21"/>
          <w:highlight w:val="none"/>
        </w:rPr>
      </w:pPr>
    </w:p>
    <w:p w14:paraId="4300A0CC">
      <w:pPr>
        <w:spacing w:before="91"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15.8</w:t>
      </w:r>
      <w:r>
        <w:rPr>
          <w:rFonts w:ascii="宋体" w:hAnsi="宋体" w:eastAsia="宋体" w:cs="宋体"/>
          <w:color w:val="auto"/>
          <w:spacing w:val="25"/>
          <w:sz w:val="28"/>
          <w:szCs w:val="28"/>
          <w:highlight w:val="none"/>
        </w:rPr>
        <w:t xml:space="preserve"> </w:t>
      </w:r>
      <w:r>
        <w:rPr>
          <w:rFonts w:ascii="宋体" w:hAnsi="宋体" w:eastAsia="宋体" w:cs="宋体"/>
          <w:b/>
          <w:bCs/>
          <w:color w:val="auto"/>
          <w:spacing w:val="-9"/>
          <w:sz w:val="28"/>
          <w:szCs w:val="28"/>
          <w:highlight w:val="none"/>
        </w:rPr>
        <w:t>暂估价</w:t>
      </w:r>
    </w:p>
    <w:p w14:paraId="300AEBB9">
      <w:pPr>
        <w:spacing w:before="283" w:line="324" w:lineRule="auto"/>
        <w:ind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15.8.1 发包人在工程量清单中给定暂估价的材料、工程设备和专业工程属于依法必须招标的范</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围并达到规定的规模标准的，由发包人和承包人以招标的方式选择供应商或分包</w:t>
      </w:r>
      <w:r>
        <w:rPr>
          <w:rFonts w:ascii="宋体" w:hAnsi="宋体" w:eastAsia="宋体" w:cs="宋体"/>
          <w:color w:val="auto"/>
          <w:sz w:val="21"/>
          <w:szCs w:val="21"/>
          <w:highlight w:val="none"/>
        </w:rPr>
        <w:t xml:space="preserve">人。发包人和承包 </w:t>
      </w:r>
      <w:r>
        <w:rPr>
          <w:rFonts w:ascii="宋体" w:hAnsi="宋体" w:eastAsia="宋体" w:cs="宋体"/>
          <w:color w:val="auto"/>
          <w:spacing w:val="1"/>
          <w:sz w:val="21"/>
          <w:szCs w:val="21"/>
          <w:highlight w:val="none"/>
        </w:rPr>
        <w:t>人的权利义务关系在专用合同条款中约定。中标金额与工程量清单中所列的暂估</w:t>
      </w:r>
      <w:r>
        <w:rPr>
          <w:rFonts w:ascii="宋体" w:hAnsi="宋体" w:eastAsia="宋体" w:cs="宋体"/>
          <w:color w:val="auto"/>
          <w:sz w:val="21"/>
          <w:szCs w:val="21"/>
          <w:highlight w:val="none"/>
        </w:rPr>
        <w:t xml:space="preserve">价的金额差以及相 </w:t>
      </w:r>
      <w:r>
        <w:rPr>
          <w:rFonts w:ascii="宋体" w:hAnsi="宋体" w:eastAsia="宋体" w:cs="宋体"/>
          <w:color w:val="auto"/>
          <w:spacing w:val="-2"/>
          <w:sz w:val="21"/>
          <w:szCs w:val="21"/>
          <w:highlight w:val="none"/>
        </w:rPr>
        <w:t>应的税金等其他费用列入合同价格。</w:t>
      </w:r>
    </w:p>
    <w:p w14:paraId="62A26A28">
      <w:pPr>
        <w:spacing w:before="158" w:line="313" w:lineRule="auto"/>
        <w:ind w:firstLine="43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15.8.2 发包人在工程量清单中给定暂估价的材料和</w:t>
      </w:r>
      <w:r>
        <w:rPr>
          <w:rFonts w:ascii="宋体" w:hAnsi="宋体" w:eastAsia="宋体" w:cs="宋体"/>
          <w:color w:val="auto"/>
          <w:spacing w:val="2"/>
          <w:sz w:val="21"/>
          <w:szCs w:val="21"/>
          <w:highlight w:val="none"/>
        </w:rPr>
        <w:t>工程设备不属于依法必须招标的范围或未</w:t>
      </w:r>
      <w:r>
        <w:rPr>
          <w:rFonts w:ascii="宋体" w:hAnsi="宋体" w:eastAsia="宋体" w:cs="宋体"/>
          <w:color w:val="auto"/>
          <w:sz w:val="21"/>
          <w:szCs w:val="21"/>
          <w:highlight w:val="none"/>
        </w:rPr>
        <w:t xml:space="preserve"> 达到规定的规模标准的，应由承包人按第</w:t>
      </w:r>
      <w:r>
        <w:rPr>
          <w:rFonts w:ascii="宋体" w:hAnsi="宋体" w:eastAsia="宋体" w:cs="宋体"/>
          <w:color w:val="auto"/>
          <w:spacing w:val="-20"/>
          <w:sz w:val="21"/>
          <w:szCs w:val="21"/>
          <w:highlight w:val="none"/>
        </w:rPr>
        <w:t xml:space="preserve"> </w:t>
      </w:r>
      <w:r>
        <w:rPr>
          <w:rFonts w:ascii="宋体" w:hAnsi="宋体" w:eastAsia="宋体" w:cs="宋体"/>
          <w:color w:val="auto"/>
          <w:sz w:val="21"/>
          <w:szCs w:val="21"/>
          <w:highlight w:val="none"/>
        </w:rPr>
        <w:t>5.</w:t>
      </w:r>
      <w:r>
        <w:rPr>
          <w:rFonts w:ascii="宋体" w:hAnsi="宋体" w:eastAsia="宋体" w:cs="宋体"/>
          <w:color w:val="auto"/>
          <w:spacing w:val="-1"/>
          <w:sz w:val="21"/>
          <w:szCs w:val="21"/>
          <w:highlight w:val="none"/>
        </w:rPr>
        <w:t>1</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款的约定提供。经监理人确认的材料、工程设备的价</w:t>
      </w:r>
      <w:r>
        <w:rPr>
          <w:rFonts w:ascii="宋体" w:hAnsi="宋体" w:eastAsia="宋体" w:cs="宋体"/>
          <w:color w:val="auto"/>
          <w:sz w:val="21"/>
          <w:szCs w:val="21"/>
          <w:highlight w:val="none"/>
        </w:rPr>
        <w:t xml:space="preserve"> 格与工程量清单中所列的暂估价的金额差以及相应的税金等其他费用列入合同价格。</w:t>
      </w:r>
    </w:p>
    <w:p w14:paraId="4EA5913D">
      <w:pPr>
        <w:spacing w:before="160" w:line="312" w:lineRule="auto"/>
        <w:ind w:firstLine="43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15.8.3 发包人在工程量清单中给定暂估价的专业工</w:t>
      </w:r>
      <w:r>
        <w:rPr>
          <w:rFonts w:ascii="宋体" w:hAnsi="宋体" w:eastAsia="宋体" w:cs="宋体"/>
          <w:color w:val="auto"/>
          <w:spacing w:val="2"/>
          <w:sz w:val="21"/>
          <w:szCs w:val="21"/>
          <w:highlight w:val="none"/>
        </w:rPr>
        <w:t>程不属于依法必须招标的范围或未达到规</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定的规模标准的，由监理人按照第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15.4</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款进行估价，但专用合同条款另有约定</w:t>
      </w:r>
      <w:r>
        <w:rPr>
          <w:rFonts w:ascii="宋体" w:hAnsi="宋体" w:eastAsia="宋体" w:cs="宋体"/>
          <w:color w:val="auto"/>
          <w:spacing w:val="-3"/>
          <w:sz w:val="21"/>
          <w:szCs w:val="21"/>
          <w:highlight w:val="none"/>
        </w:rPr>
        <w:t>的除外。经估价的专</w:t>
      </w:r>
      <w:r>
        <w:rPr>
          <w:rFonts w:ascii="宋体" w:hAnsi="宋体" w:eastAsia="宋体" w:cs="宋体"/>
          <w:color w:val="auto"/>
          <w:sz w:val="21"/>
          <w:szCs w:val="21"/>
          <w:highlight w:val="none"/>
        </w:rPr>
        <w:t xml:space="preserve"> 业工程与工程量清单中所列的暂估价的金额差以及相应的税金等其他费用列入合同价格。</w:t>
      </w:r>
    </w:p>
    <w:p w14:paraId="4172D8E7">
      <w:pPr>
        <w:spacing w:before="175" w:line="224" w:lineRule="auto"/>
        <w:ind w:left="28"/>
        <w:outlineLvl w:val="9"/>
        <w:rPr>
          <w:rFonts w:ascii="宋体" w:hAnsi="宋体" w:eastAsia="宋体" w:cs="宋体"/>
          <w:color w:val="auto"/>
          <w:sz w:val="31"/>
          <w:szCs w:val="31"/>
          <w:highlight w:val="none"/>
        </w:rPr>
      </w:pPr>
      <w:bookmarkStart w:id="257" w:name="bookmark240"/>
      <w:bookmarkEnd w:id="257"/>
      <w:bookmarkStart w:id="258" w:name="_Toc1645"/>
      <w:bookmarkStart w:id="259" w:name="_Toc27242"/>
      <w:r>
        <w:rPr>
          <w:rFonts w:ascii="宋体" w:hAnsi="宋体" w:eastAsia="宋体" w:cs="宋体"/>
          <w:b/>
          <w:bCs/>
          <w:color w:val="auto"/>
          <w:spacing w:val="-2"/>
          <w:sz w:val="31"/>
          <w:szCs w:val="31"/>
          <w:highlight w:val="none"/>
        </w:rPr>
        <w:t>16.</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2"/>
          <w:sz w:val="31"/>
          <w:szCs w:val="31"/>
          <w:highlight w:val="none"/>
        </w:rPr>
        <w:t>价格调整</w:t>
      </w:r>
      <w:bookmarkEnd w:id="258"/>
      <w:bookmarkEnd w:id="259"/>
    </w:p>
    <w:p w14:paraId="58912724">
      <w:pPr>
        <w:spacing w:before="277"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16.1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物价波动引起的价格调整</w:t>
      </w:r>
    </w:p>
    <w:p w14:paraId="73EC4D63">
      <w:pPr>
        <w:spacing w:before="282" w:line="219" w:lineRule="auto"/>
        <w:ind w:left="43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除专用合同条款另有约定外，因物价波动引</w:t>
      </w:r>
      <w:r>
        <w:rPr>
          <w:rFonts w:ascii="宋体" w:hAnsi="宋体" w:eastAsia="宋体" w:cs="宋体"/>
          <w:color w:val="auto"/>
          <w:spacing w:val="-1"/>
          <w:sz w:val="21"/>
          <w:szCs w:val="21"/>
          <w:highlight w:val="none"/>
        </w:rPr>
        <w:t>起的价格调整按照本款约定处理。</w:t>
      </w:r>
    </w:p>
    <w:p w14:paraId="10526279">
      <w:pPr>
        <w:spacing w:before="42" w:line="219"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16.1.1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采用价格指数调整价格差额</w:t>
      </w:r>
    </w:p>
    <w:p w14:paraId="42284855">
      <w:pPr>
        <w:spacing w:before="159" w:line="219"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"16.1.1.1" </w:instrText>
      </w:r>
      <w:r>
        <w:rPr>
          <w:color w:val="auto"/>
          <w:highlight w:val="none"/>
        </w:rPr>
        <w:fldChar w:fldCharType="separate"/>
      </w:r>
      <w:r>
        <w:rPr>
          <w:rFonts w:ascii="宋体" w:hAnsi="宋体" w:eastAsia="宋体" w:cs="宋体"/>
          <w:color w:val="auto"/>
          <w:spacing w:val="-2"/>
          <w:sz w:val="21"/>
          <w:szCs w:val="21"/>
          <w:highlight w:val="none"/>
        </w:rPr>
        <w:t>16.1.1.1</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价格调整公式</w:t>
      </w:r>
    </w:p>
    <w:p w14:paraId="7205BBC8">
      <w:pPr>
        <w:spacing w:before="159" w:line="344" w:lineRule="auto"/>
        <w:ind w:left="17" w:right="2" w:firstLine="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因人工、材料和设备等价格波动影响合同价格时，根据投标函附录中的价格指数和权重表约定</w:t>
      </w:r>
      <w:r>
        <w:rPr>
          <w:rFonts w:ascii="宋体" w:hAnsi="宋体" w:eastAsia="宋体" w:cs="宋体"/>
          <w:color w:val="auto"/>
          <w:spacing w:val="16"/>
          <w:sz w:val="21"/>
          <w:szCs w:val="21"/>
          <w:highlight w:val="none"/>
        </w:rPr>
        <w:t xml:space="preserve"> </w:t>
      </w:r>
      <w:r>
        <w:rPr>
          <w:rFonts w:ascii="宋体" w:hAnsi="宋体" w:eastAsia="宋体" w:cs="宋体"/>
          <w:color w:val="auto"/>
          <w:spacing w:val="-1"/>
          <w:sz w:val="21"/>
          <w:szCs w:val="21"/>
          <w:highlight w:val="none"/>
        </w:rPr>
        <w:t>的数据，按以下公式计算差额并调整合同价格。</w:t>
      </w:r>
    </w:p>
    <w:p w14:paraId="074F9237">
      <w:pPr>
        <w:spacing w:line="243" w:lineRule="auto"/>
        <w:outlineLvl w:val="9"/>
        <w:rPr>
          <w:rFonts w:ascii="Arial"/>
          <w:color w:val="auto"/>
          <w:sz w:val="21"/>
          <w:highlight w:val="none"/>
        </w:rPr>
      </w:pPr>
      <w:r>
        <w:rPr>
          <w:color w:val="auto"/>
          <w:highlight w:val="none"/>
        </w:rPr>
        <w:pict>
          <v:shape id="_x0000_i1026" o:spt="75" type="#_x0000_t75" style="height:61.1pt;width:452.7pt;" filled="f" o:preferrelative="t" stroked="f" coordsize="21600,21600">
            <v:path/>
            <v:fill on="f" focussize="0,0"/>
            <v:stroke on="f"/>
            <v:imagedata r:id="rId11" o:title=""/>
            <o:lock v:ext="edit" aspectratio="t"/>
            <w10:wrap type="none"/>
            <w10:anchorlock/>
          </v:shape>
        </w:pict>
      </w:r>
    </w:p>
    <w:p w14:paraId="7AEE8DE9">
      <w:pPr>
        <w:spacing w:before="69" w:line="219" w:lineRule="auto"/>
        <w:ind w:left="42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式中： △P --</w:t>
      </w:r>
      <w:r>
        <w:rPr>
          <w:rFonts w:ascii="宋体" w:hAnsi="宋体" w:eastAsia="宋体" w:cs="宋体"/>
          <w:color w:val="auto"/>
          <w:spacing w:val="20"/>
          <w:sz w:val="21"/>
          <w:szCs w:val="21"/>
          <w:highlight w:val="none"/>
        </w:rPr>
        <w:t xml:space="preserve"> </w:t>
      </w:r>
      <w:r>
        <w:rPr>
          <w:rFonts w:ascii="宋体" w:hAnsi="宋体" w:eastAsia="宋体" w:cs="宋体"/>
          <w:color w:val="auto"/>
          <w:spacing w:val="-3"/>
          <w:sz w:val="21"/>
          <w:szCs w:val="21"/>
          <w:highlight w:val="none"/>
        </w:rPr>
        <w:t>需调整的价格差额；</w:t>
      </w:r>
    </w:p>
    <w:p w14:paraId="31E5999B">
      <w:pPr>
        <w:spacing w:before="157" w:line="351" w:lineRule="auto"/>
        <w:ind w:firstLine="8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P0</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 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17.3.3</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项、第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2"/>
          <w:sz w:val="21"/>
          <w:szCs w:val="21"/>
          <w:highlight w:val="none"/>
        </w:rPr>
        <w:t>17.5.2</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项和第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17</w:t>
      </w:r>
      <w:r>
        <w:rPr>
          <w:rFonts w:ascii="宋体" w:hAnsi="宋体" w:eastAsia="宋体" w:cs="宋体"/>
          <w:color w:val="auto"/>
          <w:spacing w:val="-3"/>
          <w:sz w:val="21"/>
          <w:szCs w:val="21"/>
          <w:highlight w:val="none"/>
        </w:rPr>
        <w:t>.6.2</w:t>
      </w:r>
      <w:r>
        <w:rPr>
          <w:rFonts w:ascii="宋体" w:hAnsi="宋体" w:eastAsia="宋体" w:cs="宋体"/>
          <w:color w:val="auto"/>
          <w:spacing w:val="-43"/>
          <w:sz w:val="21"/>
          <w:szCs w:val="21"/>
          <w:highlight w:val="none"/>
        </w:rPr>
        <w:t xml:space="preserve"> </w:t>
      </w:r>
      <w:r>
        <w:rPr>
          <w:rFonts w:ascii="宋体" w:hAnsi="宋体" w:eastAsia="宋体" w:cs="宋体"/>
          <w:color w:val="auto"/>
          <w:spacing w:val="-3"/>
          <w:sz w:val="21"/>
          <w:szCs w:val="21"/>
          <w:highlight w:val="none"/>
        </w:rPr>
        <w:t>项约定的付款证书中承包人应得到的已完成</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工程量的金额。此项金额应不包括价格调整、不计质量保证金的扣留和支付、预付款的支付和扣回。</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15</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条约定的变更及其他金额已按现行价格计价的，也不计在内；</w:t>
      </w:r>
    </w:p>
    <w:p w14:paraId="7ABA8342">
      <w:pPr>
        <w:spacing w:before="30" w:line="221" w:lineRule="auto"/>
        <w:ind w:left="83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A -- 定值权重(即不调部分的权重)；</w:t>
      </w:r>
    </w:p>
    <w:p w14:paraId="12A0CAAE">
      <w:pPr>
        <w:spacing w:before="156" w:line="347" w:lineRule="auto"/>
        <w:ind w:right="2" w:firstLine="834"/>
        <w:outlineLvl w:val="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B1； B2</w:t>
      </w:r>
      <w:r>
        <w:rPr>
          <w:rFonts w:ascii="宋体" w:hAnsi="宋体" w:eastAsia="宋体" w:cs="宋体"/>
          <w:color w:val="auto"/>
          <w:spacing w:val="27"/>
          <w:sz w:val="21"/>
          <w:szCs w:val="21"/>
          <w:highlight w:val="none"/>
        </w:rPr>
        <w:t xml:space="preserve"> </w:t>
      </w:r>
      <w:r>
        <w:rPr>
          <w:rFonts w:ascii="宋体" w:hAnsi="宋体" w:eastAsia="宋体" w:cs="宋体"/>
          <w:color w:val="auto"/>
          <w:spacing w:val="-10"/>
          <w:sz w:val="21"/>
          <w:szCs w:val="21"/>
          <w:highlight w:val="none"/>
        </w:rPr>
        <w:t>；B3</w:t>
      </w:r>
      <w:r>
        <w:rPr>
          <w:rFonts w:ascii="宋体" w:hAnsi="宋体" w:eastAsia="宋体" w:cs="宋体"/>
          <w:color w:val="auto"/>
          <w:spacing w:val="-24"/>
          <w:sz w:val="21"/>
          <w:szCs w:val="21"/>
          <w:highlight w:val="none"/>
        </w:rPr>
        <w:t xml:space="preserve"> </w:t>
      </w:r>
      <w:r>
        <w:rPr>
          <w:rFonts w:ascii="宋体" w:hAnsi="宋体" w:eastAsia="宋体" w:cs="宋体"/>
          <w:color w:val="auto"/>
          <w:spacing w:val="-10"/>
          <w:sz w:val="21"/>
          <w:szCs w:val="21"/>
          <w:highlight w:val="none"/>
        </w:rPr>
        <w:t>·····Bn -- 各可调因子的变值权重(即可调部分的权</w:t>
      </w:r>
      <w:r>
        <w:rPr>
          <w:rFonts w:ascii="宋体" w:hAnsi="宋体" w:eastAsia="宋体" w:cs="宋体"/>
          <w:color w:val="auto"/>
          <w:spacing w:val="-11"/>
          <w:sz w:val="21"/>
          <w:szCs w:val="21"/>
          <w:highlight w:val="none"/>
        </w:rPr>
        <w:t>重)为各可调因子在投</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标函投标总报价中所占的比例；</w:t>
      </w:r>
    </w:p>
    <w:p w14:paraId="7CCF2DA5">
      <w:pPr>
        <w:spacing w:before="31" w:line="344" w:lineRule="auto"/>
        <w:ind w:right="2" w:firstLine="835"/>
        <w:outlineLvl w:val="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Ft1；Ft2；Ft3</w:t>
      </w:r>
      <w:r>
        <w:rPr>
          <w:rFonts w:ascii="宋体" w:hAnsi="宋体" w:eastAsia="宋体" w:cs="宋体"/>
          <w:color w:val="auto"/>
          <w:spacing w:val="-20"/>
          <w:sz w:val="21"/>
          <w:szCs w:val="21"/>
          <w:highlight w:val="none"/>
        </w:rPr>
        <w:t xml:space="preserve"> </w:t>
      </w:r>
      <w:r>
        <w:rPr>
          <w:rFonts w:ascii="宋体" w:hAnsi="宋体" w:eastAsia="宋体" w:cs="宋体"/>
          <w:color w:val="auto"/>
          <w:spacing w:val="-11"/>
          <w:sz w:val="21"/>
          <w:szCs w:val="21"/>
          <w:highlight w:val="none"/>
        </w:rPr>
        <w:t>·····Ftn -- 各可调因子的现行价格指数，指第 17.3.3</w:t>
      </w:r>
      <w:r>
        <w:rPr>
          <w:rFonts w:ascii="宋体" w:hAnsi="宋体" w:eastAsia="宋体" w:cs="宋体"/>
          <w:color w:val="auto"/>
          <w:spacing w:val="-31"/>
          <w:sz w:val="21"/>
          <w:szCs w:val="21"/>
          <w:highlight w:val="none"/>
        </w:rPr>
        <w:t xml:space="preserve"> </w:t>
      </w:r>
      <w:r>
        <w:rPr>
          <w:rFonts w:ascii="宋体" w:hAnsi="宋体" w:eastAsia="宋体" w:cs="宋体"/>
          <w:color w:val="auto"/>
          <w:spacing w:val="-11"/>
          <w:sz w:val="21"/>
          <w:szCs w:val="21"/>
          <w:highlight w:val="none"/>
        </w:rPr>
        <w:t>项、第 17.5.2</w:t>
      </w:r>
      <w:r>
        <w:rPr>
          <w:rFonts w:ascii="宋体" w:hAnsi="宋体" w:eastAsia="宋体" w:cs="宋体"/>
          <w:color w:val="auto"/>
          <w:spacing w:val="-31"/>
          <w:sz w:val="21"/>
          <w:szCs w:val="21"/>
          <w:highlight w:val="none"/>
        </w:rPr>
        <w:t xml:space="preserve"> </w:t>
      </w:r>
      <w:r>
        <w:rPr>
          <w:rFonts w:ascii="宋体" w:hAnsi="宋体" w:eastAsia="宋体" w:cs="宋体"/>
          <w:color w:val="auto"/>
          <w:spacing w:val="-11"/>
          <w:sz w:val="21"/>
          <w:szCs w:val="21"/>
          <w:highlight w:val="none"/>
        </w:rPr>
        <w:t>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和第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1"/>
          <w:sz w:val="21"/>
          <w:szCs w:val="21"/>
          <w:highlight w:val="none"/>
        </w:rPr>
        <w:t>17.6.2</w:t>
      </w:r>
      <w:r>
        <w:rPr>
          <w:rFonts w:ascii="宋体" w:hAnsi="宋体" w:eastAsia="宋体" w:cs="宋体"/>
          <w:color w:val="auto"/>
          <w:spacing w:val="-41"/>
          <w:sz w:val="21"/>
          <w:szCs w:val="21"/>
          <w:highlight w:val="none"/>
        </w:rPr>
        <w:t xml:space="preserve"> </w:t>
      </w:r>
      <w:r>
        <w:rPr>
          <w:rFonts w:ascii="宋体" w:hAnsi="宋体" w:eastAsia="宋体" w:cs="宋体"/>
          <w:color w:val="auto"/>
          <w:spacing w:val="-1"/>
          <w:sz w:val="21"/>
          <w:szCs w:val="21"/>
          <w:highlight w:val="none"/>
        </w:rPr>
        <w:t>项约定的付款证书相关周期最后</w:t>
      </w:r>
      <w:r>
        <w:rPr>
          <w:rFonts w:ascii="宋体" w:hAnsi="宋体" w:eastAsia="宋体" w:cs="宋体"/>
          <w:color w:val="auto"/>
          <w:spacing w:val="-2"/>
          <w:sz w:val="21"/>
          <w:szCs w:val="21"/>
          <w:highlight w:val="none"/>
        </w:rPr>
        <w:t>一天的前</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42</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天的各可调因子的价格指数；</w:t>
      </w:r>
    </w:p>
    <w:p w14:paraId="3FEF5155">
      <w:pPr>
        <w:spacing w:before="32" w:line="345" w:lineRule="auto"/>
        <w:ind w:right="2" w:firstLine="836"/>
        <w:outlineLvl w:val="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Fo1； Fo2；Fo3</w:t>
      </w:r>
      <w:r>
        <w:rPr>
          <w:rFonts w:ascii="宋体" w:hAnsi="宋体" w:eastAsia="宋体" w:cs="宋体"/>
          <w:color w:val="auto"/>
          <w:spacing w:val="-6"/>
          <w:sz w:val="21"/>
          <w:szCs w:val="21"/>
          <w:highlight w:val="none"/>
        </w:rPr>
        <w:t xml:space="preserve"> </w:t>
      </w:r>
      <w:r>
        <w:rPr>
          <w:rFonts w:ascii="宋体" w:hAnsi="宋体" w:eastAsia="宋体" w:cs="宋体"/>
          <w:color w:val="auto"/>
          <w:spacing w:val="-11"/>
          <w:sz w:val="21"/>
          <w:szCs w:val="21"/>
          <w:highlight w:val="none"/>
        </w:rPr>
        <w:t>·····Fon</w:t>
      </w:r>
      <w:r>
        <w:rPr>
          <w:rFonts w:ascii="宋体" w:hAnsi="宋体" w:eastAsia="宋体" w:cs="宋体"/>
          <w:color w:val="auto"/>
          <w:spacing w:val="-48"/>
          <w:sz w:val="21"/>
          <w:szCs w:val="21"/>
          <w:highlight w:val="none"/>
        </w:rPr>
        <w:t xml:space="preserve"> </w:t>
      </w:r>
      <w:r>
        <w:rPr>
          <w:rFonts w:ascii="宋体" w:hAnsi="宋体" w:eastAsia="宋体" w:cs="宋体"/>
          <w:color w:val="auto"/>
          <w:spacing w:val="-11"/>
          <w:sz w:val="21"/>
          <w:szCs w:val="21"/>
          <w:highlight w:val="none"/>
        </w:rPr>
        <w:t>-- 各可调因子的基本价格指数，指基准日期的各可调因子的价</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格指数。</w:t>
      </w:r>
    </w:p>
    <w:p w14:paraId="27F85A9E">
      <w:pPr>
        <w:spacing w:before="35" w:line="349" w:lineRule="auto"/>
        <w:ind w:right="3" w:firstLine="44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以上价格调整公式中的各可调因子、定值和变值权重，以及基本价格指数及其来源在投标函附</w:t>
      </w:r>
      <w:r>
        <w:rPr>
          <w:rFonts w:ascii="宋体" w:hAnsi="宋体" w:eastAsia="宋体" w:cs="宋体"/>
          <w:color w:val="auto"/>
          <w:spacing w:val="9"/>
          <w:sz w:val="21"/>
          <w:szCs w:val="21"/>
          <w:highlight w:val="none"/>
        </w:rPr>
        <w:t xml:space="preserve"> </w:t>
      </w:r>
      <w:r>
        <w:rPr>
          <w:rFonts w:ascii="宋体" w:hAnsi="宋体" w:eastAsia="宋体" w:cs="宋体"/>
          <w:color w:val="auto"/>
          <w:spacing w:val="-4"/>
          <w:sz w:val="21"/>
          <w:szCs w:val="21"/>
          <w:highlight w:val="none"/>
        </w:rPr>
        <w:t>录价格指数和权重表中约定。价格指数应首先采用有关部门提供的价格指数，缺乏上述价格指数</w:t>
      </w:r>
      <w:r>
        <w:rPr>
          <w:rFonts w:ascii="宋体" w:hAnsi="宋体" w:eastAsia="宋体" w:cs="宋体"/>
          <w:color w:val="auto"/>
          <w:spacing w:val="-5"/>
          <w:sz w:val="21"/>
          <w:szCs w:val="21"/>
          <w:highlight w:val="none"/>
        </w:rPr>
        <w:t>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可采用有关部门提供的价格代替。</w:t>
      </w:r>
    </w:p>
    <w:p w14:paraId="7127E54B">
      <w:pPr>
        <w:spacing w:before="32"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"16.1.1.2" </w:instrText>
      </w:r>
      <w:r>
        <w:rPr>
          <w:color w:val="auto"/>
          <w:highlight w:val="none"/>
        </w:rPr>
        <w:fldChar w:fldCharType="separate"/>
      </w:r>
      <w:r>
        <w:rPr>
          <w:rFonts w:ascii="宋体" w:hAnsi="宋体" w:eastAsia="宋体" w:cs="宋体"/>
          <w:color w:val="auto"/>
          <w:spacing w:val="-2"/>
          <w:sz w:val="21"/>
          <w:szCs w:val="21"/>
          <w:highlight w:val="none"/>
        </w:rPr>
        <w:t>16.1.1.2</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暂时确定调整差额</w:t>
      </w:r>
    </w:p>
    <w:p w14:paraId="2AC29C83">
      <w:pPr>
        <w:spacing w:before="156" w:line="347" w:lineRule="auto"/>
        <w:ind w:left="1" w:right="3"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在计算调整差额时得不到现行价格指数的，可暂用上一次价格指数计算，并</w:t>
      </w:r>
      <w:r>
        <w:rPr>
          <w:rFonts w:ascii="宋体" w:hAnsi="宋体" w:eastAsia="宋体" w:cs="宋体"/>
          <w:color w:val="auto"/>
          <w:sz w:val="21"/>
          <w:szCs w:val="21"/>
          <w:highlight w:val="none"/>
        </w:rPr>
        <w:t xml:space="preserve">在以后的付款中再 </w:t>
      </w:r>
      <w:r>
        <w:rPr>
          <w:rFonts w:ascii="宋体" w:hAnsi="宋体" w:eastAsia="宋体" w:cs="宋体"/>
          <w:color w:val="auto"/>
          <w:spacing w:val="-1"/>
          <w:sz w:val="21"/>
          <w:szCs w:val="21"/>
          <w:highlight w:val="none"/>
        </w:rPr>
        <w:t>按实际价格指数进行调整。</w:t>
      </w:r>
    </w:p>
    <w:p w14:paraId="2A6A4CB7">
      <w:pPr>
        <w:spacing w:before="29" w:line="221"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"16.1.1.3" </w:instrText>
      </w:r>
      <w:r>
        <w:rPr>
          <w:color w:val="auto"/>
          <w:highlight w:val="none"/>
        </w:rPr>
        <w:fldChar w:fldCharType="separate"/>
      </w:r>
      <w:r>
        <w:rPr>
          <w:rFonts w:ascii="宋体" w:hAnsi="宋体" w:eastAsia="宋体" w:cs="宋体"/>
          <w:color w:val="auto"/>
          <w:spacing w:val="-2"/>
          <w:sz w:val="21"/>
          <w:szCs w:val="21"/>
          <w:highlight w:val="none"/>
        </w:rPr>
        <w:t>16.1.1.3</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xml:space="preserve"> 权重的调整</w:t>
      </w:r>
    </w:p>
    <w:p w14:paraId="454EFE29">
      <w:pPr>
        <w:spacing w:before="156" w:line="346" w:lineRule="auto"/>
        <w:ind w:left="3" w:firstLine="41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按第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15.1</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款约定的变更导致原定合同中的权重不合理时，</w:t>
      </w:r>
      <w:r>
        <w:rPr>
          <w:rFonts w:ascii="宋体" w:hAnsi="宋体" w:eastAsia="宋体" w:cs="宋体"/>
          <w:color w:val="auto"/>
          <w:spacing w:val="-3"/>
          <w:sz w:val="21"/>
          <w:szCs w:val="21"/>
          <w:highlight w:val="none"/>
        </w:rPr>
        <w:t>由监理人与承包人和发包人协商后进</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行调整。</w:t>
      </w:r>
    </w:p>
    <w:p w14:paraId="5DCA7216">
      <w:pPr>
        <w:spacing w:before="33" w:line="219" w:lineRule="auto"/>
        <w:ind w:left="435"/>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"16.1.1.4" </w:instrText>
      </w:r>
      <w:r>
        <w:rPr>
          <w:color w:val="auto"/>
          <w:highlight w:val="none"/>
        </w:rPr>
        <w:fldChar w:fldCharType="separate"/>
      </w:r>
      <w:r>
        <w:rPr>
          <w:rFonts w:ascii="宋体" w:hAnsi="宋体" w:eastAsia="宋体" w:cs="宋体"/>
          <w:color w:val="auto"/>
          <w:spacing w:val="-1"/>
          <w:sz w:val="21"/>
          <w:szCs w:val="21"/>
          <w:highlight w:val="none"/>
        </w:rPr>
        <w:t>16.1.1.4</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承包人工期延误后的价格调整</w:t>
      </w:r>
    </w:p>
    <w:p w14:paraId="44841063">
      <w:pPr>
        <w:spacing w:before="160" w:line="349" w:lineRule="auto"/>
        <w:ind w:right="2" w:firstLine="44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由于承包人原因未在约定的工期内竣工的，则对原约定竣工日期后继续施工的工程，在使用第</w:t>
      </w:r>
      <w:r>
        <w:rPr>
          <w:rFonts w:ascii="宋体" w:hAnsi="宋体" w:eastAsia="宋体" w:cs="宋体"/>
          <w:color w:val="auto"/>
          <w:spacing w:val="7"/>
          <w:sz w:val="21"/>
          <w:szCs w:val="21"/>
          <w:highlight w:val="none"/>
        </w:rPr>
        <w:t xml:space="preserve"> </w:t>
      </w:r>
      <w:r>
        <w:rPr>
          <w:color w:val="auto"/>
          <w:highlight w:val="none"/>
        </w:rPr>
        <w:fldChar w:fldCharType="begin"/>
      </w:r>
      <w:r>
        <w:rPr>
          <w:color w:val="auto"/>
          <w:highlight w:val="none"/>
        </w:rPr>
        <w:instrText xml:space="preserve"> HYPERLINK "16.1.1.1" </w:instrText>
      </w:r>
      <w:r>
        <w:rPr>
          <w:color w:val="auto"/>
          <w:highlight w:val="none"/>
        </w:rPr>
        <w:fldChar w:fldCharType="separate"/>
      </w:r>
      <w:r>
        <w:rPr>
          <w:rFonts w:ascii="宋体" w:hAnsi="宋体" w:eastAsia="宋体" w:cs="宋体"/>
          <w:color w:val="auto"/>
          <w:spacing w:val="-1"/>
          <w:sz w:val="21"/>
          <w:szCs w:val="21"/>
          <w:highlight w:val="none"/>
        </w:rPr>
        <w:t>16.1.1.1</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目价格调整公式时，应采用原约定</w:t>
      </w:r>
      <w:r>
        <w:rPr>
          <w:rFonts w:ascii="宋体" w:hAnsi="宋体" w:eastAsia="宋体" w:cs="宋体"/>
          <w:color w:val="auto"/>
          <w:spacing w:val="-2"/>
          <w:sz w:val="21"/>
          <w:szCs w:val="21"/>
          <w:highlight w:val="none"/>
        </w:rPr>
        <w:t>竣工日期与实际竣工日期的两个价格指数中较低的一个</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作为现行价格指数。</w:t>
      </w:r>
    </w:p>
    <w:p w14:paraId="3F97BB54">
      <w:pPr>
        <w:spacing w:before="32" w:line="219"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16.1.2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采用造价信息调整价格差额</w:t>
      </w:r>
    </w:p>
    <w:p w14:paraId="4CA4F8A8">
      <w:pPr>
        <w:spacing w:before="162" w:line="344" w:lineRule="auto"/>
        <w:ind w:left="20" w:firstLine="39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施工期内，因人工、材料、设备和机械台班</w:t>
      </w:r>
      <w:r>
        <w:rPr>
          <w:rFonts w:ascii="宋体" w:hAnsi="宋体" w:eastAsia="宋体" w:cs="宋体"/>
          <w:color w:val="auto"/>
          <w:sz w:val="21"/>
          <w:szCs w:val="21"/>
          <w:highlight w:val="none"/>
        </w:rPr>
        <w:t>价格波动影响合同价格时，人工、机械使用费按照 国家或省、自治区、直辖市建设行政管理部门、行业建设管理部门或其授权的工程造价管理机构发</w:t>
      </w:r>
    </w:p>
    <w:p w14:paraId="7A6BA5D6">
      <w:pPr>
        <w:spacing w:before="41" w:line="350" w:lineRule="auto"/>
        <w:ind w:right="57"/>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布的人工成本信息、机械台班单价或机械使用费系数进行调整；需要进行价格调</w:t>
      </w:r>
      <w:r>
        <w:rPr>
          <w:rFonts w:ascii="宋体" w:hAnsi="宋体" w:eastAsia="宋体" w:cs="宋体"/>
          <w:color w:val="auto"/>
          <w:sz w:val="21"/>
          <w:szCs w:val="21"/>
          <w:highlight w:val="none"/>
        </w:rPr>
        <w:t xml:space="preserve">整的材料，其单价 </w:t>
      </w:r>
      <w:r>
        <w:rPr>
          <w:rFonts w:ascii="宋体" w:hAnsi="宋体" w:eastAsia="宋体" w:cs="宋体"/>
          <w:color w:val="auto"/>
          <w:spacing w:val="1"/>
          <w:sz w:val="21"/>
          <w:szCs w:val="21"/>
          <w:highlight w:val="none"/>
        </w:rPr>
        <w:t>和采购数应由监理人复核，监理人确认需调整的材料单价及数量，作为调整工程合</w:t>
      </w:r>
      <w:r>
        <w:rPr>
          <w:rFonts w:ascii="宋体" w:hAnsi="宋体" w:eastAsia="宋体" w:cs="宋体"/>
          <w:color w:val="auto"/>
          <w:sz w:val="21"/>
          <w:szCs w:val="21"/>
          <w:highlight w:val="none"/>
        </w:rPr>
        <w:t xml:space="preserve">同价格差额的依 </w:t>
      </w:r>
      <w:r>
        <w:rPr>
          <w:rFonts w:ascii="宋体" w:hAnsi="宋体" w:eastAsia="宋体" w:cs="宋体"/>
          <w:color w:val="auto"/>
          <w:spacing w:val="-9"/>
          <w:sz w:val="21"/>
          <w:szCs w:val="21"/>
          <w:highlight w:val="none"/>
        </w:rPr>
        <w:t>据。</w:t>
      </w:r>
    </w:p>
    <w:p w14:paraId="25E53013">
      <w:pPr>
        <w:spacing w:before="298"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16.2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法律变化引起的价格调整</w:t>
      </w:r>
    </w:p>
    <w:p w14:paraId="5C091CEC">
      <w:pPr>
        <w:spacing w:before="283" w:line="350" w:lineRule="auto"/>
        <w:ind w:left="5" w:right="55" w:firstLine="414"/>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在基准日后，因法律变化导致承包人在合同履行中所需要的工程费用</w:t>
      </w:r>
      <w:r>
        <w:rPr>
          <w:rFonts w:ascii="宋体" w:hAnsi="宋体" w:eastAsia="宋体" w:cs="宋体"/>
          <w:color w:val="auto"/>
          <w:spacing w:val="-3"/>
          <w:sz w:val="21"/>
          <w:szCs w:val="21"/>
          <w:highlight w:val="none"/>
        </w:rPr>
        <w:t>发生除第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3"/>
          <w:sz w:val="21"/>
          <w:szCs w:val="21"/>
          <w:highlight w:val="none"/>
        </w:rPr>
        <w:t>16.1</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款约定以外</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的增减时，监理人应根据法律、国家或省、自治区、直辖市有关部门的规定，按第 3.5</w:t>
      </w:r>
      <w:r>
        <w:rPr>
          <w:rFonts w:ascii="宋体" w:hAnsi="宋体" w:eastAsia="宋体" w:cs="宋体"/>
          <w:color w:val="auto"/>
          <w:spacing w:val="-24"/>
          <w:sz w:val="21"/>
          <w:szCs w:val="21"/>
          <w:highlight w:val="none"/>
        </w:rPr>
        <w:t xml:space="preserve"> </w:t>
      </w:r>
      <w:r>
        <w:rPr>
          <w:rFonts w:ascii="宋体" w:hAnsi="宋体" w:eastAsia="宋体" w:cs="宋体"/>
          <w:color w:val="auto"/>
          <w:spacing w:val="-2"/>
          <w:sz w:val="21"/>
          <w:szCs w:val="21"/>
          <w:highlight w:val="none"/>
        </w:rPr>
        <w:t>款商定或确</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定需调整的合同价款。</w:t>
      </w:r>
    </w:p>
    <w:p w14:paraId="2622EE82">
      <w:pPr>
        <w:spacing w:before="46" w:line="225" w:lineRule="auto"/>
        <w:ind w:left="28"/>
        <w:outlineLvl w:val="9"/>
        <w:rPr>
          <w:rFonts w:ascii="宋体" w:hAnsi="宋体" w:eastAsia="宋体" w:cs="宋体"/>
          <w:color w:val="auto"/>
          <w:sz w:val="31"/>
          <w:szCs w:val="31"/>
          <w:highlight w:val="none"/>
        </w:rPr>
      </w:pPr>
      <w:bookmarkStart w:id="260" w:name="bookmark241"/>
      <w:bookmarkEnd w:id="260"/>
      <w:bookmarkStart w:id="261" w:name="_Toc25504"/>
      <w:bookmarkStart w:id="262" w:name="_Toc30294"/>
      <w:r>
        <w:rPr>
          <w:rFonts w:ascii="宋体" w:hAnsi="宋体" w:eastAsia="宋体" w:cs="宋体"/>
          <w:b/>
          <w:bCs/>
          <w:color w:val="auto"/>
          <w:spacing w:val="2"/>
          <w:sz w:val="31"/>
          <w:szCs w:val="31"/>
          <w:highlight w:val="none"/>
        </w:rPr>
        <w:t>17.</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计量与支付</w:t>
      </w:r>
      <w:bookmarkEnd w:id="261"/>
      <w:bookmarkEnd w:id="262"/>
    </w:p>
    <w:p w14:paraId="0ACF979F">
      <w:pPr>
        <w:spacing w:before="278"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17.1</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9"/>
          <w:sz w:val="28"/>
          <w:szCs w:val="28"/>
          <w:highlight w:val="none"/>
        </w:rPr>
        <w:t>计量</w:t>
      </w:r>
    </w:p>
    <w:p w14:paraId="307A3415">
      <w:pPr>
        <w:spacing w:before="279"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17.1.1</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计量单位</w:t>
      </w:r>
    </w:p>
    <w:p w14:paraId="29AAB10F">
      <w:pPr>
        <w:spacing w:before="156"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计量采用国家法定的计量单位。</w:t>
      </w:r>
    </w:p>
    <w:p w14:paraId="3728CD36">
      <w:pPr>
        <w:spacing w:before="158" w:line="222"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17.1.2</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计量方法</w:t>
      </w:r>
    </w:p>
    <w:p w14:paraId="0C6A39FC">
      <w:pPr>
        <w:spacing w:before="155" w:line="221" w:lineRule="auto"/>
        <w:ind w:left="42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工程量清单中的工程量计算规则应按有关国家标准、行业标准的规定，并在合同中约</w:t>
      </w:r>
      <w:r>
        <w:rPr>
          <w:rFonts w:ascii="宋体" w:hAnsi="宋体" w:eastAsia="宋体" w:cs="宋体"/>
          <w:color w:val="auto"/>
          <w:spacing w:val="-1"/>
          <w:sz w:val="21"/>
          <w:szCs w:val="21"/>
          <w:highlight w:val="none"/>
        </w:rPr>
        <w:t>定执行。</w:t>
      </w:r>
    </w:p>
    <w:p w14:paraId="5AB71F34">
      <w:pPr>
        <w:spacing w:before="160"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17.1.3</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计量周期</w:t>
      </w:r>
    </w:p>
    <w:p w14:paraId="29C506B5">
      <w:pPr>
        <w:spacing w:before="157" w:line="344" w:lineRule="auto"/>
        <w:ind w:left="1" w:right="59" w:firstLine="43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除专用合同条款另有约定外，单价子目已完成</w:t>
      </w:r>
      <w:r>
        <w:rPr>
          <w:rFonts w:ascii="宋体" w:hAnsi="宋体" w:eastAsia="宋体" w:cs="宋体"/>
          <w:color w:val="auto"/>
          <w:sz w:val="21"/>
          <w:szCs w:val="21"/>
          <w:highlight w:val="none"/>
        </w:rPr>
        <w:t xml:space="preserve">工程量按月计量，总价子目的计量周期按批准的 </w:t>
      </w:r>
      <w:r>
        <w:rPr>
          <w:rFonts w:ascii="宋体" w:hAnsi="宋体" w:eastAsia="宋体" w:cs="宋体"/>
          <w:color w:val="auto"/>
          <w:spacing w:val="-3"/>
          <w:sz w:val="21"/>
          <w:szCs w:val="21"/>
          <w:highlight w:val="none"/>
        </w:rPr>
        <w:t>支付分解报告确定。</w:t>
      </w:r>
    </w:p>
    <w:p w14:paraId="0A2B47AA">
      <w:pPr>
        <w:spacing w:before="32" w:line="219"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17.1.4</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单价子目的计量</w:t>
      </w:r>
    </w:p>
    <w:p w14:paraId="7FBE0C6D">
      <w:pPr>
        <w:spacing w:before="159" w:line="291" w:lineRule="auto"/>
        <w:ind w:left="5" w:firstLine="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（1）已标价工程量清单中的单价子目工程量为估算</w:t>
      </w:r>
      <w:r>
        <w:rPr>
          <w:rFonts w:ascii="宋体" w:hAnsi="宋体" w:eastAsia="宋体" w:cs="宋体"/>
          <w:color w:val="auto"/>
          <w:spacing w:val="-1"/>
          <w:sz w:val="21"/>
          <w:szCs w:val="21"/>
          <w:highlight w:val="none"/>
        </w:rPr>
        <w:t>工程量。结算工程量是承包人实际完成的，</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并按合同约定的计量方法进行计量的工程量。</w:t>
      </w:r>
    </w:p>
    <w:p w14:paraId="522FE962">
      <w:pPr>
        <w:spacing w:before="157" w:line="290" w:lineRule="auto"/>
        <w:ind w:left="4" w:right="66"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（2）承包人对已完成的工程进行计量，向监理人提交进度付款申请单、已完成工程量报表</w:t>
      </w:r>
      <w:r>
        <w:rPr>
          <w:rFonts w:ascii="宋体" w:hAnsi="宋体" w:eastAsia="宋体" w:cs="宋体"/>
          <w:color w:val="auto"/>
          <w:spacing w:val="-3"/>
          <w:sz w:val="21"/>
          <w:szCs w:val="21"/>
          <w:highlight w:val="none"/>
        </w:rPr>
        <w:t>和有</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关计量资料。</w:t>
      </w:r>
    </w:p>
    <w:p w14:paraId="708C4F96">
      <w:pPr>
        <w:spacing w:before="155" w:line="325" w:lineRule="auto"/>
        <w:ind w:left="1" w:right="56" w:firstLine="425"/>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（3）监理人对承包人提交的工程量报表进行复核，以确定实际完成的工程量。对数量有异议的，</w:t>
      </w:r>
      <w:r>
        <w:rPr>
          <w:rFonts w:ascii="宋体" w:hAnsi="宋体" w:eastAsia="宋体" w:cs="宋体"/>
          <w:color w:val="auto"/>
          <w:spacing w:val="16"/>
          <w:sz w:val="21"/>
          <w:szCs w:val="21"/>
          <w:highlight w:val="none"/>
        </w:rPr>
        <w:t xml:space="preserve"> </w:t>
      </w:r>
      <w:r>
        <w:rPr>
          <w:rFonts w:ascii="宋体" w:hAnsi="宋体" w:eastAsia="宋体" w:cs="宋体"/>
          <w:color w:val="auto"/>
          <w:sz w:val="21"/>
          <w:szCs w:val="21"/>
          <w:highlight w:val="none"/>
        </w:rPr>
        <w:t>可要求承包人按第</w:t>
      </w:r>
      <w:r>
        <w:rPr>
          <w:rFonts w:ascii="宋体" w:hAnsi="宋体" w:eastAsia="宋体" w:cs="宋体"/>
          <w:color w:val="auto"/>
          <w:spacing w:val="-25"/>
          <w:sz w:val="21"/>
          <w:szCs w:val="21"/>
          <w:highlight w:val="none"/>
        </w:rPr>
        <w:t xml:space="preserve"> </w:t>
      </w:r>
      <w:r>
        <w:rPr>
          <w:rFonts w:ascii="宋体" w:hAnsi="宋体" w:eastAsia="宋体" w:cs="宋体"/>
          <w:color w:val="auto"/>
          <w:sz w:val="21"/>
          <w:szCs w:val="21"/>
          <w:highlight w:val="none"/>
        </w:rPr>
        <w:t>8.2</w:t>
      </w:r>
      <w:r>
        <w:rPr>
          <w:rFonts w:ascii="宋体" w:hAnsi="宋体" w:eastAsia="宋体" w:cs="宋体"/>
          <w:color w:val="auto"/>
          <w:spacing w:val="-26"/>
          <w:sz w:val="21"/>
          <w:szCs w:val="21"/>
          <w:highlight w:val="none"/>
        </w:rPr>
        <w:t xml:space="preserve"> </w:t>
      </w:r>
      <w:r>
        <w:rPr>
          <w:rFonts w:ascii="宋体" w:hAnsi="宋体" w:eastAsia="宋体" w:cs="宋体"/>
          <w:color w:val="auto"/>
          <w:sz w:val="21"/>
          <w:szCs w:val="21"/>
          <w:highlight w:val="none"/>
        </w:rPr>
        <w:t>款约定进行共同复核和抽样复测</w:t>
      </w:r>
      <w:r>
        <w:rPr>
          <w:rFonts w:ascii="宋体" w:hAnsi="宋体" w:eastAsia="宋体" w:cs="宋体"/>
          <w:color w:val="auto"/>
          <w:spacing w:val="-1"/>
          <w:sz w:val="21"/>
          <w:szCs w:val="21"/>
          <w:highlight w:val="none"/>
        </w:rPr>
        <w:t>。承包人应协助监理人进行复核并按监理人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要求提供补充计量资料。承包人未按监理人要求参加复核，监理人复核或修正</w:t>
      </w:r>
      <w:r>
        <w:rPr>
          <w:rFonts w:ascii="宋体" w:hAnsi="宋体" w:eastAsia="宋体" w:cs="宋体"/>
          <w:color w:val="auto"/>
          <w:sz w:val="21"/>
          <w:szCs w:val="21"/>
          <w:highlight w:val="none"/>
        </w:rPr>
        <w:t xml:space="preserve">的工程量视为承包人 </w:t>
      </w:r>
      <w:r>
        <w:rPr>
          <w:rFonts w:ascii="宋体" w:hAnsi="宋体" w:eastAsia="宋体" w:cs="宋体"/>
          <w:color w:val="auto"/>
          <w:spacing w:val="-3"/>
          <w:sz w:val="21"/>
          <w:szCs w:val="21"/>
          <w:highlight w:val="none"/>
        </w:rPr>
        <w:t>实际完成的工程量。</w:t>
      </w:r>
    </w:p>
    <w:p w14:paraId="519A399E">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（4）监理人认为有必要时，可通知承包人共同进行联合测量、计量，</w:t>
      </w:r>
      <w:r>
        <w:rPr>
          <w:rFonts w:ascii="宋体" w:hAnsi="宋体" w:eastAsia="宋体" w:cs="宋体"/>
          <w:color w:val="auto"/>
          <w:spacing w:val="-1"/>
          <w:sz w:val="21"/>
          <w:szCs w:val="21"/>
          <w:highlight w:val="none"/>
        </w:rPr>
        <w:t>承包人应遵照执行。</w:t>
      </w:r>
    </w:p>
    <w:p w14:paraId="7DC724FF">
      <w:pPr>
        <w:spacing w:before="157" w:line="325" w:lineRule="auto"/>
        <w:ind w:right="57" w:firstLine="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（5）承包人完成工程量清单中每个子目的工程量后，监理人应要求承包人派员共同对每个子目</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的历次计量报表进行汇总，以核实最终结算工程量。监理人可要求承包人提供补充</w:t>
      </w:r>
      <w:r>
        <w:rPr>
          <w:rFonts w:ascii="宋体" w:hAnsi="宋体" w:eastAsia="宋体" w:cs="宋体"/>
          <w:color w:val="auto"/>
          <w:sz w:val="21"/>
          <w:szCs w:val="21"/>
          <w:highlight w:val="none"/>
        </w:rPr>
        <w:t xml:space="preserve">计量资料，以确 </w:t>
      </w:r>
      <w:r>
        <w:rPr>
          <w:rFonts w:ascii="宋体" w:hAnsi="宋体" w:eastAsia="宋体" w:cs="宋体"/>
          <w:color w:val="auto"/>
          <w:spacing w:val="1"/>
          <w:sz w:val="21"/>
          <w:szCs w:val="21"/>
          <w:highlight w:val="none"/>
        </w:rPr>
        <w:t>定最后一次进度付款的准确工程量。承包人未按监理人要求派员参加的，监理人最</w:t>
      </w:r>
      <w:r>
        <w:rPr>
          <w:rFonts w:ascii="宋体" w:hAnsi="宋体" w:eastAsia="宋体" w:cs="宋体"/>
          <w:color w:val="auto"/>
          <w:sz w:val="21"/>
          <w:szCs w:val="21"/>
          <w:highlight w:val="none"/>
        </w:rPr>
        <w:t xml:space="preserve">终核实的工程量 </w:t>
      </w:r>
      <w:r>
        <w:rPr>
          <w:rFonts w:ascii="宋体" w:hAnsi="宋体" w:eastAsia="宋体" w:cs="宋体"/>
          <w:color w:val="auto"/>
          <w:spacing w:val="-1"/>
          <w:sz w:val="21"/>
          <w:szCs w:val="21"/>
          <w:highlight w:val="none"/>
        </w:rPr>
        <w:t>视为承包人完成该子目的准确工程量。</w:t>
      </w:r>
    </w:p>
    <w:p w14:paraId="23EE71D4">
      <w:pPr>
        <w:spacing w:before="156" w:line="289" w:lineRule="auto"/>
        <w:ind w:left="3" w:right="55"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（6）监理人应在收到承包人提交的工程量报表后的</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7</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天内进</w:t>
      </w:r>
      <w:r>
        <w:rPr>
          <w:rFonts w:ascii="宋体" w:hAnsi="宋体" w:eastAsia="宋体" w:cs="宋体"/>
          <w:color w:val="auto"/>
          <w:spacing w:val="-3"/>
          <w:sz w:val="21"/>
          <w:szCs w:val="21"/>
          <w:highlight w:val="none"/>
        </w:rPr>
        <w:t>行复核，监理人未在约定时间内复</w:t>
      </w:r>
      <w:r>
        <w:rPr>
          <w:rFonts w:ascii="宋体" w:hAnsi="宋体" w:eastAsia="宋体" w:cs="宋体"/>
          <w:color w:val="auto"/>
          <w:sz w:val="21"/>
          <w:szCs w:val="21"/>
          <w:highlight w:val="none"/>
        </w:rPr>
        <w:t xml:space="preserve"> 核的，承包人提交的工程量报表中的工程量视为承包</w:t>
      </w:r>
      <w:r>
        <w:rPr>
          <w:rFonts w:ascii="宋体" w:hAnsi="宋体" w:eastAsia="宋体" w:cs="宋体"/>
          <w:color w:val="auto"/>
          <w:spacing w:val="-1"/>
          <w:sz w:val="21"/>
          <w:szCs w:val="21"/>
          <w:highlight w:val="none"/>
        </w:rPr>
        <w:t>人实际完成的工程量，据此计算工程价款。</w:t>
      </w:r>
    </w:p>
    <w:p w14:paraId="232A386F">
      <w:pPr>
        <w:spacing w:before="42" w:line="219"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17.1.5</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总价子目的计量</w:t>
      </w:r>
    </w:p>
    <w:p w14:paraId="22B32867">
      <w:pPr>
        <w:spacing w:before="159" w:line="219"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除专用合同条款另有约定外，总价子目的分解和计量按照下述约定进行。</w:t>
      </w:r>
    </w:p>
    <w:p w14:paraId="731A3865">
      <w:pPr>
        <w:spacing w:before="159" w:line="289" w:lineRule="auto"/>
        <w:ind w:left="16" w:firstLine="41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（1）总价子目的计量和支付应以总价为基础，不因第 16.1</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款中的因素而进行调整</w:t>
      </w:r>
      <w:r>
        <w:rPr>
          <w:rFonts w:ascii="宋体" w:hAnsi="宋体" w:eastAsia="宋体" w:cs="宋体"/>
          <w:color w:val="auto"/>
          <w:spacing w:val="-2"/>
          <w:sz w:val="21"/>
          <w:szCs w:val="21"/>
          <w:highlight w:val="none"/>
        </w:rPr>
        <w:t>。承包人实</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际完成的工程量，是进行工程目标管理和控制进度支付的依据。</w:t>
      </w:r>
    </w:p>
    <w:p w14:paraId="4B76301F">
      <w:pPr>
        <w:spacing w:before="159" w:line="313" w:lineRule="auto"/>
        <w:ind w:right="1" w:firstLine="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（2）承包人在合同约定的每个计量周期内，对已完成的工程进行计量，并向监理人提交进度付</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款申请单、专用合同条款约定的合同总价支付分解表所表示的阶段性或分项计量的</w:t>
      </w:r>
      <w:r>
        <w:rPr>
          <w:rFonts w:ascii="宋体" w:hAnsi="宋体" w:eastAsia="宋体" w:cs="宋体"/>
          <w:color w:val="auto"/>
          <w:sz w:val="21"/>
          <w:szCs w:val="21"/>
          <w:highlight w:val="none"/>
        </w:rPr>
        <w:t xml:space="preserve">支持性资料，以 </w:t>
      </w:r>
      <w:r>
        <w:rPr>
          <w:rFonts w:ascii="宋体" w:hAnsi="宋体" w:eastAsia="宋体" w:cs="宋体"/>
          <w:color w:val="auto"/>
          <w:spacing w:val="-1"/>
          <w:sz w:val="21"/>
          <w:szCs w:val="21"/>
          <w:highlight w:val="none"/>
        </w:rPr>
        <w:t>及所达到工程形象目标或分阶段需完成的工程量和有关计量资料。</w:t>
      </w:r>
    </w:p>
    <w:p w14:paraId="567C5A1A">
      <w:pPr>
        <w:spacing w:before="156" w:line="291" w:lineRule="auto"/>
        <w:ind w:left="2" w:right="40" w:firstLine="42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（3）监理人对承包人提交的上述资料进行复核，以确定分阶段实际完成的工程量和工程形象目</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标。对其有异议的，可要求承包人按第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1"/>
          <w:sz w:val="21"/>
          <w:szCs w:val="21"/>
          <w:highlight w:val="none"/>
        </w:rPr>
        <w:t>8.2</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款约定进行共同复核和抽样复测。</w:t>
      </w:r>
    </w:p>
    <w:p w14:paraId="222ED63D">
      <w:pPr>
        <w:spacing w:before="157" w:line="219"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（4）除按照第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15</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条约定的变更外，总价子目的工程量是承包人用于结算的最终工程量。</w:t>
      </w:r>
    </w:p>
    <w:p w14:paraId="624A3393">
      <w:pPr>
        <w:spacing w:line="335" w:lineRule="auto"/>
        <w:outlineLvl w:val="9"/>
        <w:rPr>
          <w:rFonts w:ascii="Arial"/>
          <w:color w:val="auto"/>
          <w:sz w:val="21"/>
          <w:highlight w:val="none"/>
        </w:rPr>
      </w:pPr>
    </w:p>
    <w:p w14:paraId="25054187">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17.2</w:t>
      </w:r>
      <w:r>
        <w:rPr>
          <w:rFonts w:ascii="宋体" w:hAnsi="宋体" w:eastAsia="宋体" w:cs="宋体"/>
          <w:color w:val="auto"/>
          <w:spacing w:val="16"/>
          <w:sz w:val="28"/>
          <w:szCs w:val="28"/>
          <w:highlight w:val="none"/>
        </w:rPr>
        <w:t xml:space="preserve"> </w:t>
      </w:r>
      <w:r>
        <w:rPr>
          <w:rFonts w:ascii="宋体" w:hAnsi="宋体" w:eastAsia="宋体" w:cs="宋体"/>
          <w:b/>
          <w:bCs/>
          <w:color w:val="auto"/>
          <w:spacing w:val="-8"/>
          <w:sz w:val="28"/>
          <w:szCs w:val="28"/>
          <w:highlight w:val="none"/>
        </w:rPr>
        <w:t>预付款</w:t>
      </w:r>
    </w:p>
    <w:p w14:paraId="2D2EBD2A">
      <w:pPr>
        <w:spacing w:before="28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17.2.1</w:t>
      </w:r>
      <w:r>
        <w:rPr>
          <w:rFonts w:ascii="宋体" w:hAnsi="宋体" w:eastAsia="宋体" w:cs="宋体"/>
          <w:color w:val="auto"/>
          <w:spacing w:val="12"/>
          <w:sz w:val="21"/>
          <w:szCs w:val="21"/>
          <w:highlight w:val="none"/>
        </w:rPr>
        <w:t xml:space="preserve"> </w:t>
      </w:r>
      <w:r>
        <w:rPr>
          <w:rFonts w:ascii="宋体" w:hAnsi="宋体" w:eastAsia="宋体" w:cs="宋体"/>
          <w:b/>
          <w:bCs/>
          <w:color w:val="auto"/>
          <w:spacing w:val="-5"/>
          <w:sz w:val="21"/>
          <w:szCs w:val="21"/>
          <w:highlight w:val="none"/>
        </w:rPr>
        <w:t>预付款</w:t>
      </w:r>
    </w:p>
    <w:p w14:paraId="743AF82E">
      <w:pPr>
        <w:spacing w:before="157" w:line="345" w:lineRule="auto"/>
        <w:ind w:left="4"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预付款用于承包人为合同工程施工购置材料、工程设备、施工设备、修</w:t>
      </w:r>
      <w:r>
        <w:rPr>
          <w:rFonts w:ascii="宋体" w:hAnsi="宋体" w:eastAsia="宋体" w:cs="宋体"/>
          <w:color w:val="auto"/>
          <w:sz w:val="21"/>
          <w:szCs w:val="21"/>
          <w:highlight w:val="none"/>
        </w:rPr>
        <w:t>建临时设施以及组织施 工队伍进场等。预付款的额度和预付办法在专用合同</w:t>
      </w:r>
      <w:r>
        <w:rPr>
          <w:rFonts w:ascii="宋体" w:hAnsi="宋体" w:eastAsia="宋体" w:cs="宋体"/>
          <w:color w:val="auto"/>
          <w:spacing w:val="-1"/>
          <w:sz w:val="21"/>
          <w:szCs w:val="21"/>
          <w:highlight w:val="none"/>
        </w:rPr>
        <w:t>条款中约定。预付款必须专用于合同工程。</w:t>
      </w:r>
    </w:p>
    <w:p w14:paraId="41BD21B8">
      <w:pPr>
        <w:spacing w:before="33"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17.2.2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预付款保函</w:t>
      </w:r>
    </w:p>
    <w:p w14:paraId="07818353">
      <w:pPr>
        <w:spacing w:before="157" w:line="345" w:lineRule="auto"/>
        <w:ind w:left="2" w:right="3" w:firstLine="43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除专用合同条款另有约定外，承包人应在收到</w:t>
      </w:r>
      <w:r>
        <w:rPr>
          <w:rFonts w:ascii="宋体" w:hAnsi="宋体" w:eastAsia="宋体" w:cs="宋体"/>
          <w:color w:val="auto"/>
          <w:sz w:val="21"/>
          <w:szCs w:val="21"/>
          <w:highlight w:val="none"/>
        </w:rPr>
        <w:t>预付款的同时向发包人提交预付款保函，预付款 保函的担保金额应与预付款金额相同。保函的担保金</w:t>
      </w:r>
      <w:r>
        <w:rPr>
          <w:rFonts w:ascii="宋体" w:hAnsi="宋体" w:eastAsia="宋体" w:cs="宋体"/>
          <w:color w:val="auto"/>
          <w:spacing w:val="-1"/>
          <w:sz w:val="21"/>
          <w:szCs w:val="21"/>
          <w:highlight w:val="none"/>
        </w:rPr>
        <w:t>额可根据预付款扣回的金额相应递减。</w:t>
      </w:r>
    </w:p>
    <w:p w14:paraId="7847E276">
      <w:pPr>
        <w:spacing w:before="3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17.2.3</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预付款的扣回与还清</w:t>
      </w:r>
    </w:p>
    <w:p w14:paraId="1B16B2C4">
      <w:pPr>
        <w:spacing w:before="157" w:line="351" w:lineRule="auto"/>
        <w:ind w:left="1" w:right="1" w:firstLine="421"/>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预付款在进度付款中扣回，扣回办法在专用合同条款中约定。在颁发工</w:t>
      </w:r>
      <w:r>
        <w:rPr>
          <w:rFonts w:ascii="宋体" w:hAnsi="宋体" w:eastAsia="宋体" w:cs="宋体"/>
          <w:color w:val="auto"/>
          <w:sz w:val="21"/>
          <w:szCs w:val="21"/>
          <w:highlight w:val="none"/>
        </w:rPr>
        <w:t xml:space="preserve">程接收证书前，由于不 </w:t>
      </w:r>
      <w:r>
        <w:rPr>
          <w:rFonts w:ascii="宋体" w:hAnsi="宋体" w:eastAsia="宋体" w:cs="宋体"/>
          <w:color w:val="auto"/>
          <w:spacing w:val="1"/>
          <w:sz w:val="21"/>
          <w:szCs w:val="21"/>
          <w:highlight w:val="none"/>
        </w:rPr>
        <w:t>可抗力或其他原因解除合同时，预付款尚未扣清的，尚未扣清的预付款余额应作</w:t>
      </w:r>
      <w:r>
        <w:rPr>
          <w:rFonts w:ascii="宋体" w:hAnsi="宋体" w:eastAsia="宋体" w:cs="宋体"/>
          <w:color w:val="auto"/>
          <w:sz w:val="21"/>
          <w:szCs w:val="21"/>
          <w:highlight w:val="none"/>
        </w:rPr>
        <w:t xml:space="preserve">为承包人的到期应 </w:t>
      </w:r>
      <w:r>
        <w:rPr>
          <w:rFonts w:ascii="宋体" w:hAnsi="宋体" w:eastAsia="宋体" w:cs="宋体"/>
          <w:color w:val="auto"/>
          <w:spacing w:val="-8"/>
          <w:sz w:val="21"/>
          <w:szCs w:val="21"/>
          <w:highlight w:val="none"/>
        </w:rPr>
        <w:t>付款。</w:t>
      </w:r>
    </w:p>
    <w:p w14:paraId="2D57E014">
      <w:pPr>
        <w:spacing w:before="299"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17.3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工程进度付款</w:t>
      </w:r>
    </w:p>
    <w:p w14:paraId="7347A0FB">
      <w:pPr>
        <w:spacing w:before="280"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17.3.1</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付款周期</w:t>
      </w:r>
    </w:p>
    <w:p w14:paraId="2237A979">
      <w:pPr>
        <w:spacing w:before="156" w:line="221" w:lineRule="auto"/>
        <w:ind w:left="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付款周期同计量周期。</w:t>
      </w:r>
    </w:p>
    <w:p w14:paraId="360CD298">
      <w:pPr>
        <w:spacing w:before="157" w:line="221" w:lineRule="auto"/>
        <w:ind w:left="43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17.3.2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进度付款申请单</w:t>
      </w:r>
    </w:p>
    <w:p w14:paraId="28A655CD">
      <w:pPr>
        <w:spacing w:before="159" w:line="350" w:lineRule="auto"/>
        <w:ind w:right="3" w:firstLine="421"/>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承包人应在每个付款周期末，按监理人批准的格式和专用合同条款约定的</w:t>
      </w:r>
      <w:r>
        <w:rPr>
          <w:rFonts w:ascii="宋体" w:hAnsi="宋体" w:eastAsia="宋体" w:cs="宋体"/>
          <w:color w:val="auto"/>
          <w:sz w:val="21"/>
          <w:szCs w:val="21"/>
          <w:highlight w:val="none"/>
        </w:rPr>
        <w:t xml:space="preserve">份数，向监理人提交 </w:t>
      </w:r>
      <w:r>
        <w:rPr>
          <w:rFonts w:ascii="宋体" w:hAnsi="宋体" w:eastAsia="宋体" w:cs="宋体"/>
          <w:color w:val="auto"/>
          <w:spacing w:val="1"/>
          <w:sz w:val="21"/>
          <w:szCs w:val="21"/>
          <w:highlight w:val="none"/>
        </w:rPr>
        <w:t>进度付款申请单，并附相应的支持性证明文件。除专用合同条</w:t>
      </w:r>
      <w:r>
        <w:rPr>
          <w:rFonts w:ascii="宋体" w:hAnsi="宋体" w:eastAsia="宋体" w:cs="宋体"/>
          <w:color w:val="auto"/>
          <w:sz w:val="21"/>
          <w:szCs w:val="21"/>
          <w:highlight w:val="none"/>
        </w:rPr>
        <w:t xml:space="preserve">款另有约定外，进度付款申请单应包 </w:t>
      </w:r>
      <w:r>
        <w:rPr>
          <w:rFonts w:ascii="宋体" w:hAnsi="宋体" w:eastAsia="宋体" w:cs="宋体"/>
          <w:color w:val="auto"/>
          <w:spacing w:val="-1"/>
          <w:sz w:val="21"/>
          <w:szCs w:val="21"/>
          <w:highlight w:val="none"/>
        </w:rPr>
        <w:t>括下列内容：</w:t>
      </w:r>
    </w:p>
    <w:p w14:paraId="7F7CE2F1">
      <w:pPr>
        <w:spacing w:before="31" w:line="219"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（1）截至本次付款周期末已实施工程的价款；</w:t>
      </w:r>
    </w:p>
    <w:p w14:paraId="3AF885B2">
      <w:pPr>
        <w:spacing w:before="160"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（2）根据第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4"/>
          <w:sz w:val="21"/>
          <w:szCs w:val="21"/>
          <w:highlight w:val="none"/>
        </w:rPr>
        <w:t>15</w:t>
      </w:r>
      <w:r>
        <w:rPr>
          <w:rFonts w:ascii="宋体" w:hAnsi="宋体" w:eastAsia="宋体" w:cs="宋体"/>
          <w:color w:val="auto"/>
          <w:spacing w:val="-45"/>
          <w:sz w:val="21"/>
          <w:szCs w:val="21"/>
          <w:highlight w:val="none"/>
        </w:rPr>
        <w:t xml:space="preserve"> </w:t>
      </w:r>
      <w:r>
        <w:rPr>
          <w:rFonts w:ascii="宋体" w:hAnsi="宋体" w:eastAsia="宋体" w:cs="宋体"/>
          <w:color w:val="auto"/>
          <w:spacing w:val="-4"/>
          <w:sz w:val="21"/>
          <w:szCs w:val="21"/>
          <w:highlight w:val="none"/>
        </w:rPr>
        <w:t>条应增加和扣减的变更金额；</w:t>
      </w:r>
    </w:p>
    <w:p w14:paraId="02D5F569">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（3）根据第</w:t>
      </w:r>
      <w:r>
        <w:rPr>
          <w:rFonts w:ascii="宋体" w:hAnsi="宋体" w:eastAsia="宋体" w:cs="宋体"/>
          <w:color w:val="auto"/>
          <w:spacing w:val="-33"/>
          <w:sz w:val="21"/>
          <w:szCs w:val="21"/>
          <w:highlight w:val="none"/>
        </w:rPr>
        <w:t xml:space="preserve"> </w:t>
      </w:r>
      <w:r>
        <w:rPr>
          <w:rFonts w:ascii="宋体" w:hAnsi="宋体" w:eastAsia="宋体" w:cs="宋体"/>
          <w:color w:val="auto"/>
          <w:spacing w:val="-3"/>
          <w:sz w:val="21"/>
          <w:szCs w:val="21"/>
          <w:highlight w:val="none"/>
        </w:rPr>
        <w:t>23</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条应增加和扣减的索赔金额；</w:t>
      </w:r>
    </w:p>
    <w:p w14:paraId="59ED6B54">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（4）根据第</w:t>
      </w:r>
      <w:r>
        <w:rPr>
          <w:rFonts w:ascii="宋体" w:hAnsi="宋体" w:eastAsia="宋体" w:cs="宋体"/>
          <w:color w:val="auto"/>
          <w:spacing w:val="-11"/>
          <w:sz w:val="21"/>
          <w:szCs w:val="21"/>
          <w:highlight w:val="none"/>
        </w:rPr>
        <w:t xml:space="preserve"> </w:t>
      </w:r>
      <w:r>
        <w:rPr>
          <w:rFonts w:ascii="宋体" w:hAnsi="宋体" w:eastAsia="宋体" w:cs="宋体"/>
          <w:color w:val="auto"/>
          <w:spacing w:val="-2"/>
          <w:sz w:val="21"/>
          <w:szCs w:val="21"/>
          <w:highlight w:val="none"/>
        </w:rPr>
        <w:t>17.2</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款约定应支付的预付款和扣减的返还预付款；</w:t>
      </w:r>
    </w:p>
    <w:p w14:paraId="32970D6D">
      <w:pPr>
        <w:spacing w:before="41"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（5）根据第</w:t>
      </w:r>
      <w:r>
        <w:rPr>
          <w:rFonts w:ascii="宋体" w:hAnsi="宋体" w:eastAsia="宋体" w:cs="宋体"/>
          <w:color w:val="auto"/>
          <w:spacing w:val="-23"/>
          <w:sz w:val="21"/>
          <w:szCs w:val="21"/>
          <w:highlight w:val="none"/>
        </w:rPr>
        <w:t xml:space="preserve"> </w:t>
      </w:r>
      <w:r>
        <w:rPr>
          <w:rFonts w:ascii="宋体" w:hAnsi="宋体" w:eastAsia="宋体" w:cs="宋体"/>
          <w:color w:val="auto"/>
          <w:spacing w:val="-3"/>
          <w:sz w:val="21"/>
          <w:szCs w:val="21"/>
          <w:highlight w:val="none"/>
        </w:rPr>
        <w:t>17.4.1</w:t>
      </w:r>
      <w:r>
        <w:rPr>
          <w:rFonts w:ascii="宋体" w:hAnsi="宋体" w:eastAsia="宋体" w:cs="宋体"/>
          <w:color w:val="auto"/>
          <w:spacing w:val="-43"/>
          <w:sz w:val="21"/>
          <w:szCs w:val="21"/>
          <w:highlight w:val="none"/>
        </w:rPr>
        <w:t xml:space="preserve"> </w:t>
      </w:r>
      <w:r>
        <w:rPr>
          <w:rFonts w:ascii="宋体" w:hAnsi="宋体" w:eastAsia="宋体" w:cs="宋体"/>
          <w:color w:val="auto"/>
          <w:spacing w:val="-3"/>
          <w:sz w:val="21"/>
          <w:szCs w:val="21"/>
          <w:highlight w:val="none"/>
        </w:rPr>
        <w:t>项约定应扣减的质量保证金；</w:t>
      </w:r>
    </w:p>
    <w:p w14:paraId="6E51F068">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（6）根据合同应增加和扣减的其他金额。</w:t>
      </w:r>
    </w:p>
    <w:p w14:paraId="5F3FA560">
      <w:pPr>
        <w:spacing w:before="156" w:line="220"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17.3.3</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进度付款证书和支付时间</w:t>
      </w:r>
    </w:p>
    <w:p w14:paraId="7B22B331">
      <w:pPr>
        <w:spacing w:before="156" w:line="325" w:lineRule="auto"/>
        <w:ind w:right="179"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（1）监理人在收到承包人进度付款申请单以及相应的支持性证明文件后的</w:t>
      </w:r>
      <w:r>
        <w:rPr>
          <w:rFonts w:ascii="宋体" w:hAnsi="宋体" w:eastAsia="宋体" w:cs="宋体"/>
          <w:color w:val="auto"/>
          <w:spacing w:val="-2"/>
          <w:sz w:val="21"/>
          <w:szCs w:val="21"/>
          <w:highlight w:val="none"/>
        </w:rPr>
        <w:t xml:space="preserve"> 14</w:t>
      </w:r>
      <w:r>
        <w:rPr>
          <w:rFonts w:ascii="宋体" w:hAnsi="宋体" w:eastAsia="宋体" w:cs="宋体"/>
          <w:color w:val="auto"/>
          <w:spacing w:val="-23"/>
          <w:sz w:val="21"/>
          <w:szCs w:val="21"/>
          <w:highlight w:val="none"/>
        </w:rPr>
        <w:t xml:space="preserve"> </w:t>
      </w:r>
      <w:r>
        <w:rPr>
          <w:rFonts w:ascii="宋体" w:hAnsi="宋体" w:eastAsia="宋体" w:cs="宋体"/>
          <w:color w:val="auto"/>
          <w:spacing w:val="-2"/>
          <w:sz w:val="21"/>
          <w:szCs w:val="21"/>
          <w:highlight w:val="none"/>
        </w:rPr>
        <w:t>天内完成核查，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提出发包人到期应支付给承包人的金额以及相应的支持性材料，经发包人审查同</w:t>
      </w:r>
      <w:r>
        <w:rPr>
          <w:rFonts w:ascii="宋体" w:hAnsi="宋体" w:eastAsia="宋体" w:cs="宋体"/>
          <w:color w:val="auto"/>
          <w:sz w:val="21"/>
          <w:szCs w:val="21"/>
          <w:highlight w:val="none"/>
        </w:rPr>
        <w:t xml:space="preserve">意后，由监理人向 </w:t>
      </w:r>
      <w:r>
        <w:rPr>
          <w:rFonts w:ascii="宋体" w:hAnsi="宋体" w:eastAsia="宋体" w:cs="宋体"/>
          <w:color w:val="auto"/>
          <w:spacing w:val="1"/>
          <w:sz w:val="21"/>
          <w:szCs w:val="21"/>
          <w:highlight w:val="none"/>
        </w:rPr>
        <w:t>承包人出具经发包人签认的进度付款证书。监理人有权扣发承包人未能按照合同</w:t>
      </w:r>
      <w:r>
        <w:rPr>
          <w:rFonts w:ascii="宋体" w:hAnsi="宋体" w:eastAsia="宋体" w:cs="宋体"/>
          <w:color w:val="auto"/>
          <w:sz w:val="21"/>
          <w:szCs w:val="21"/>
          <w:highlight w:val="none"/>
        </w:rPr>
        <w:t xml:space="preserve">要求履行任何工作 </w:t>
      </w:r>
      <w:r>
        <w:rPr>
          <w:rFonts w:ascii="宋体" w:hAnsi="宋体" w:eastAsia="宋体" w:cs="宋体"/>
          <w:color w:val="auto"/>
          <w:spacing w:val="-3"/>
          <w:sz w:val="21"/>
          <w:szCs w:val="21"/>
          <w:highlight w:val="none"/>
        </w:rPr>
        <w:t>或义务的相应金额。</w:t>
      </w:r>
    </w:p>
    <w:p w14:paraId="5024F50F">
      <w:pPr>
        <w:spacing w:before="156" w:line="291" w:lineRule="auto"/>
        <w:ind w:left="2" w:right="178"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（2）发包人应在监理人收到进度付款申请单后的</w:t>
      </w:r>
      <w:r>
        <w:rPr>
          <w:rFonts w:ascii="宋体" w:hAnsi="宋体" w:eastAsia="宋体" w:cs="宋体"/>
          <w:color w:val="auto"/>
          <w:spacing w:val="-11"/>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天内，将进度应付款支付给承包人。发包</w:t>
      </w:r>
      <w:r>
        <w:rPr>
          <w:rFonts w:ascii="宋体" w:hAnsi="宋体" w:eastAsia="宋体" w:cs="宋体"/>
          <w:color w:val="auto"/>
          <w:sz w:val="21"/>
          <w:szCs w:val="21"/>
          <w:highlight w:val="none"/>
        </w:rPr>
        <w:t xml:space="preserve"> 人不按期支付的，按专用合同条款的约定支付逾期付</w:t>
      </w:r>
      <w:r>
        <w:rPr>
          <w:rFonts w:ascii="宋体" w:hAnsi="宋体" w:eastAsia="宋体" w:cs="宋体"/>
          <w:color w:val="auto"/>
          <w:spacing w:val="-1"/>
          <w:sz w:val="21"/>
          <w:szCs w:val="21"/>
          <w:highlight w:val="none"/>
        </w:rPr>
        <w:t>款违约金。</w:t>
      </w:r>
    </w:p>
    <w:p w14:paraId="2534D6E4">
      <w:pPr>
        <w:spacing w:before="158" w:line="290" w:lineRule="auto"/>
        <w:ind w:left="1" w:right="178" w:firstLine="42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（3）监理人出具进度付款证书，不应视为监理人已同意、批准或接受了承包人完成的该部分工</w:t>
      </w:r>
      <w:r>
        <w:rPr>
          <w:rFonts w:ascii="宋体" w:hAnsi="宋体" w:eastAsia="宋体" w:cs="宋体"/>
          <w:color w:val="auto"/>
          <w:spacing w:val="9"/>
          <w:sz w:val="21"/>
          <w:szCs w:val="21"/>
          <w:highlight w:val="none"/>
        </w:rPr>
        <w:t xml:space="preserve"> </w:t>
      </w:r>
      <w:r>
        <w:rPr>
          <w:rFonts w:ascii="宋体" w:hAnsi="宋体" w:eastAsia="宋体" w:cs="宋体"/>
          <w:color w:val="auto"/>
          <w:spacing w:val="-10"/>
          <w:sz w:val="21"/>
          <w:szCs w:val="21"/>
          <w:highlight w:val="none"/>
        </w:rPr>
        <w:t>作。</w:t>
      </w:r>
    </w:p>
    <w:p w14:paraId="2626D94E">
      <w:pPr>
        <w:spacing w:before="155" w:line="290" w:lineRule="auto"/>
        <w:ind w:left="5" w:right="192"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（4）进度付款涉及政府投资资金的，按照国库集中支付等国家相关规定和专用合同</w:t>
      </w:r>
      <w:r>
        <w:rPr>
          <w:rFonts w:ascii="宋体" w:hAnsi="宋体" w:eastAsia="宋体" w:cs="宋体"/>
          <w:color w:val="auto"/>
          <w:spacing w:val="-3"/>
          <w:sz w:val="21"/>
          <w:szCs w:val="21"/>
          <w:highlight w:val="none"/>
        </w:rPr>
        <w:t>条款的约定</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办理。</w:t>
      </w:r>
    </w:p>
    <w:p w14:paraId="4CD7F5C9">
      <w:pPr>
        <w:spacing w:before="159"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17.3.4</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工程进度付款的修正</w:t>
      </w:r>
    </w:p>
    <w:p w14:paraId="56D6859F">
      <w:pPr>
        <w:spacing w:before="157" w:line="345" w:lineRule="auto"/>
        <w:ind w:right="201" w:firstLine="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在对以往历次已签发的进度付款证书进行汇总和复核中发现错、漏或重复的，监理人有权予以</w:t>
      </w:r>
      <w:r>
        <w:rPr>
          <w:rFonts w:ascii="宋体" w:hAnsi="宋体" w:eastAsia="宋体" w:cs="宋体"/>
          <w:color w:val="auto"/>
          <w:spacing w:val="14"/>
          <w:sz w:val="21"/>
          <w:szCs w:val="21"/>
          <w:highlight w:val="none"/>
        </w:rPr>
        <w:t xml:space="preserve"> </w:t>
      </w:r>
      <w:r>
        <w:rPr>
          <w:rFonts w:ascii="宋体" w:hAnsi="宋体" w:eastAsia="宋体" w:cs="宋体"/>
          <w:color w:val="auto"/>
          <w:sz w:val="21"/>
          <w:szCs w:val="21"/>
          <w:highlight w:val="none"/>
        </w:rPr>
        <w:t>修正，承包人也有权提出修正申请。经双方复核同意的修正</w:t>
      </w:r>
      <w:r>
        <w:rPr>
          <w:rFonts w:ascii="宋体" w:hAnsi="宋体" w:eastAsia="宋体" w:cs="宋体"/>
          <w:color w:val="auto"/>
          <w:spacing w:val="-1"/>
          <w:sz w:val="21"/>
          <w:szCs w:val="21"/>
          <w:highlight w:val="none"/>
        </w:rPr>
        <w:t>，应在本次进度付款中支付或扣除。</w:t>
      </w:r>
    </w:p>
    <w:p w14:paraId="7D37691B">
      <w:pPr>
        <w:spacing w:before="300"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17.4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质量保证金</w:t>
      </w:r>
    </w:p>
    <w:p w14:paraId="4B9534B8">
      <w:pPr>
        <w:spacing w:before="279" w:line="313" w:lineRule="auto"/>
        <w:ind w:right="179" w:firstLine="43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17.4.1 监理人应从第一个付款周期开始，在发包人的进度付款中，按专用合同条款的约定扣留</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质量保证金，直至扣留的质量保证金总额达到专用合同条款约定的金额或比例为</w:t>
      </w:r>
      <w:r>
        <w:rPr>
          <w:rFonts w:ascii="宋体" w:hAnsi="宋体" w:eastAsia="宋体" w:cs="宋体"/>
          <w:color w:val="auto"/>
          <w:sz w:val="21"/>
          <w:szCs w:val="21"/>
          <w:highlight w:val="none"/>
        </w:rPr>
        <w:t>止。质量保证金的 计算额度不包括预付款的支付、扣回以及价格调整的</w:t>
      </w:r>
      <w:r>
        <w:rPr>
          <w:rFonts w:ascii="宋体" w:hAnsi="宋体" w:eastAsia="宋体" w:cs="宋体"/>
          <w:color w:val="auto"/>
          <w:spacing w:val="-1"/>
          <w:sz w:val="21"/>
          <w:szCs w:val="21"/>
          <w:highlight w:val="none"/>
        </w:rPr>
        <w:t>金额。</w:t>
      </w:r>
    </w:p>
    <w:p w14:paraId="4E571158">
      <w:pPr>
        <w:spacing w:before="158" w:line="313" w:lineRule="auto"/>
        <w:ind w:left="1" w:firstLine="43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17.4.2 在第</w:t>
      </w:r>
      <w:r>
        <w:rPr>
          <w:rFonts w:ascii="宋体" w:hAnsi="宋体" w:eastAsia="宋体" w:cs="宋体"/>
          <w:color w:val="auto"/>
          <w:spacing w:val="-28"/>
          <w:sz w:val="21"/>
          <w:szCs w:val="21"/>
          <w:highlight w:val="none"/>
        </w:rPr>
        <w:t xml:space="preserve"> </w:t>
      </w: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pacing w:val="-3"/>
          <w:sz w:val="21"/>
          <w:szCs w:val="21"/>
          <w:highlight w:val="none"/>
        </w:rPr>
        <w:t>1.1.4.5</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目约定的缺陷责任期满时，承包人向发</w:t>
      </w:r>
      <w:r>
        <w:rPr>
          <w:rFonts w:ascii="宋体" w:hAnsi="宋体" w:eastAsia="宋体" w:cs="宋体"/>
          <w:color w:val="auto"/>
          <w:spacing w:val="-4"/>
          <w:sz w:val="21"/>
          <w:szCs w:val="21"/>
          <w:highlight w:val="none"/>
        </w:rPr>
        <w:t>包人申请到期应返还承包人剩余的</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质量保证金金额，发包人应在</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天内会同承包人按照合同约定的内容核实承包人是否完成缺陷责任。</w:t>
      </w:r>
      <w:r>
        <w:rPr>
          <w:rFonts w:ascii="宋体" w:hAnsi="宋体" w:eastAsia="宋体" w:cs="宋体"/>
          <w:color w:val="auto"/>
          <w:sz w:val="21"/>
          <w:szCs w:val="21"/>
          <w:highlight w:val="none"/>
        </w:rPr>
        <w:t xml:space="preserve"> 如无异议，发包人应当在核实后将剩余保证金返还</w:t>
      </w:r>
      <w:r>
        <w:rPr>
          <w:rFonts w:ascii="宋体" w:hAnsi="宋体" w:eastAsia="宋体" w:cs="宋体"/>
          <w:color w:val="auto"/>
          <w:spacing w:val="-1"/>
          <w:sz w:val="21"/>
          <w:szCs w:val="21"/>
          <w:highlight w:val="none"/>
        </w:rPr>
        <w:t>承包人。</w:t>
      </w:r>
    </w:p>
    <w:p w14:paraId="05F8EFB3">
      <w:pPr>
        <w:spacing w:before="158" w:line="313" w:lineRule="auto"/>
        <w:ind w:right="178" w:firstLine="43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17.4.3 在第</w:t>
      </w:r>
      <w:r>
        <w:rPr>
          <w:rFonts w:ascii="宋体" w:hAnsi="宋体" w:eastAsia="宋体" w:cs="宋体"/>
          <w:color w:val="auto"/>
          <w:spacing w:val="-29"/>
          <w:sz w:val="21"/>
          <w:szCs w:val="21"/>
          <w:highlight w:val="none"/>
        </w:rPr>
        <w:t xml:space="preserve"> </w:t>
      </w: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pacing w:val="-3"/>
          <w:sz w:val="21"/>
          <w:szCs w:val="21"/>
          <w:highlight w:val="none"/>
        </w:rPr>
        <w:t>1.1.4.5</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目约定的缺陷责任期满时，承包人没有完</w:t>
      </w:r>
      <w:r>
        <w:rPr>
          <w:rFonts w:ascii="宋体" w:hAnsi="宋体" w:eastAsia="宋体" w:cs="宋体"/>
          <w:color w:val="auto"/>
          <w:spacing w:val="-4"/>
          <w:sz w:val="21"/>
          <w:szCs w:val="21"/>
          <w:highlight w:val="none"/>
        </w:rPr>
        <w:t>成缺陷责任的，发包人有权扣留</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与未履行责任剩余工作所需金额相应的质量保证金余额，并有权根据第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19.3</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w:t>
      </w:r>
      <w:r>
        <w:rPr>
          <w:rFonts w:ascii="宋体" w:hAnsi="宋体" w:eastAsia="宋体" w:cs="宋体"/>
          <w:color w:val="auto"/>
          <w:spacing w:val="-3"/>
          <w:sz w:val="21"/>
          <w:szCs w:val="21"/>
          <w:highlight w:val="none"/>
        </w:rPr>
        <w:t>约定要求延长缺陷责</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任期，直至完成剩余工作为止。</w:t>
      </w:r>
    </w:p>
    <w:p w14:paraId="0FB288D3">
      <w:pPr>
        <w:spacing w:line="333" w:lineRule="auto"/>
        <w:outlineLvl w:val="9"/>
        <w:rPr>
          <w:rFonts w:ascii="Arial"/>
          <w:color w:val="auto"/>
          <w:sz w:val="21"/>
          <w:highlight w:val="none"/>
        </w:rPr>
      </w:pPr>
    </w:p>
    <w:p w14:paraId="6D47DA14">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17.5</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竣工结算</w:t>
      </w:r>
    </w:p>
    <w:p w14:paraId="5BBA1A0E">
      <w:pPr>
        <w:spacing w:before="281" w:line="221"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17.5.1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竣工付款申请单</w:t>
      </w:r>
    </w:p>
    <w:p w14:paraId="46CCBD18">
      <w:pPr>
        <w:spacing w:before="156" w:line="313" w:lineRule="auto"/>
        <w:ind w:left="3" w:right="179"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（1）工程接收证书颁发后，承包人应按专用合同条款约定的份数和期限向监理人提交竣工付款</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申请单，并提供相关证明材料。除专用合同条款另有约定外，竣工付款申</w:t>
      </w:r>
      <w:r>
        <w:rPr>
          <w:rFonts w:ascii="宋体" w:hAnsi="宋体" w:eastAsia="宋体" w:cs="宋体"/>
          <w:color w:val="auto"/>
          <w:sz w:val="21"/>
          <w:szCs w:val="21"/>
          <w:highlight w:val="none"/>
        </w:rPr>
        <w:t xml:space="preserve">请单应包括下列内容：竣 </w:t>
      </w:r>
      <w:r>
        <w:rPr>
          <w:rFonts w:ascii="宋体" w:hAnsi="宋体" w:eastAsia="宋体" w:cs="宋体"/>
          <w:color w:val="auto"/>
          <w:spacing w:val="-4"/>
          <w:sz w:val="21"/>
          <w:szCs w:val="21"/>
          <w:highlight w:val="none"/>
        </w:rPr>
        <w:t>工结算合同总价、发包人已支付承包人的工程价款、应扣留的质量保证金、应支付的竣工付款金</w:t>
      </w:r>
      <w:r>
        <w:rPr>
          <w:rFonts w:ascii="宋体" w:hAnsi="宋体" w:eastAsia="宋体" w:cs="宋体"/>
          <w:color w:val="auto"/>
          <w:spacing w:val="-5"/>
          <w:sz w:val="21"/>
          <w:szCs w:val="21"/>
          <w:highlight w:val="none"/>
        </w:rPr>
        <w:t>额。</w:t>
      </w:r>
    </w:p>
    <w:p w14:paraId="6913A63D">
      <w:pPr>
        <w:spacing w:before="159"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（2）监理人对竣工付款申请单有异议的，有权要求承包人进行修正和提供补充资料。经监理人</w:t>
      </w:r>
    </w:p>
    <w:p w14:paraId="49FE7F1E">
      <w:pPr>
        <w:spacing w:before="41" w:line="221"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和承包人协商后，由承包人向监理人提交修正后的竣工付款</w:t>
      </w:r>
      <w:r>
        <w:rPr>
          <w:rFonts w:ascii="宋体" w:hAnsi="宋体" w:eastAsia="宋体" w:cs="宋体"/>
          <w:color w:val="auto"/>
          <w:spacing w:val="-1"/>
          <w:sz w:val="21"/>
          <w:szCs w:val="21"/>
          <w:highlight w:val="none"/>
        </w:rPr>
        <w:t>申请单。</w:t>
      </w:r>
    </w:p>
    <w:p w14:paraId="7690900B">
      <w:pPr>
        <w:spacing w:before="157" w:line="220"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17.5.2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竣工付款证书及支付时间</w:t>
      </w:r>
    </w:p>
    <w:p w14:paraId="46074274">
      <w:pPr>
        <w:spacing w:before="159" w:line="331" w:lineRule="auto"/>
        <w:ind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（1）监理人在收到承包人提交的竣工付款申请单后的 14</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天内完成</w:t>
      </w:r>
      <w:r>
        <w:rPr>
          <w:rFonts w:ascii="宋体" w:hAnsi="宋体" w:eastAsia="宋体" w:cs="宋体"/>
          <w:color w:val="auto"/>
          <w:spacing w:val="-2"/>
          <w:sz w:val="21"/>
          <w:szCs w:val="21"/>
          <w:highlight w:val="none"/>
        </w:rPr>
        <w:t>核查，提出发包人到期应支</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付给承包人的价款送发包人审核并抄送承包人。发包人应在收到后</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3"/>
          <w:sz w:val="21"/>
          <w:szCs w:val="21"/>
          <w:highlight w:val="none"/>
        </w:rPr>
        <w:t>天内审核完毕，由监理人向承</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包人出具经发包人签认的竣工付款证书。监理人未在约定时间内核查，又未提出</w:t>
      </w:r>
      <w:r>
        <w:rPr>
          <w:rFonts w:ascii="宋体" w:hAnsi="宋体" w:eastAsia="宋体" w:cs="宋体"/>
          <w:color w:val="auto"/>
          <w:sz w:val="21"/>
          <w:szCs w:val="21"/>
          <w:highlight w:val="none"/>
        </w:rPr>
        <w:t xml:space="preserve">具体意见的，视为 </w:t>
      </w:r>
      <w:r>
        <w:rPr>
          <w:rFonts w:ascii="宋体" w:hAnsi="宋体" w:eastAsia="宋体" w:cs="宋体"/>
          <w:color w:val="auto"/>
          <w:spacing w:val="1"/>
          <w:sz w:val="21"/>
          <w:szCs w:val="21"/>
          <w:highlight w:val="none"/>
        </w:rPr>
        <w:t>承包人提交的竣工付款申请单已经监理人核查同意；发包人未在约定时间内审核</w:t>
      </w:r>
      <w:r>
        <w:rPr>
          <w:rFonts w:ascii="宋体" w:hAnsi="宋体" w:eastAsia="宋体" w:cs="宋体"/>
          <w:color w:val="auto"/>
          <w:sz w:val="21"/>
          <w:szCs w:val="21"/>
          <w:highlight w:val="none"/>
        </w:rPr>
        <w:t>又未提出具体意见 的，监理人提出发包人到期应支付给承包人的价款视为已经发包人</w:t>
      </w:r>
      <w:r>
        <w:rPr>
          <w:rFonts w:ascii="宋体" w:hAnsi="宋体" w:eastAsia="宋体" w:cs="宋体"/>
          <w:color w:val="auto"/>
          <w:spacing w:val="-1"/>
          <w:sz w:val="21"/>
          <w:szCs w:val="21"/>
          <w:highlight w:val="none"/>
        </w:rPr>
        <w:t>同意。</w:t>
      </w:r>
    </w:p>
    <w:p w14:paraId="5B684771">
      <w:pPr>
        <w:spacing w:before="158" w:line="291" w:lineRule="auto"/>
        <w:ind w:left="1"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（2）发包人应在监理人出具竣工付款证书后的 14</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天内，将应支付</w:t>
      </w:r>
      <w:r>
        <w:rPr>
          <w:rFonts w:ascii="宋体" w:hAnsi="宋体" w:eastAsia="宋体" w:cs="宋体"/>
          <w:color w:val="auto"/>
          <w:spacing w:val="-2"/>
          <w:sz w:val="21"/>
          <w:szCs w:val="21"/>
          <w:highlight w:val="none"/>
        </w:rPr>
        <w:t>款支付给承包人。发包人不</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按期支付的，按第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3"/>
          <w:sz w:val="21"/>
          <w:szCs w:val="21"/>
          <w:highlight w:val="none"/>
        </w:rPr>
        <w:t>17.3.3（2）</w:t>
      </w:r>
      <w:r>
        <w:rPr>
          <w:rFonts w:ascii="宋体" w:hAnsi="宋体" w:eastAsia="宋体" w:cs="宋体"/>
          <w:color w:val="auto"/>
          <w:spacing w:val="-58"/>
          <w:sz w:val="21"/>
          <w:szCs w:val="21"/>
          <w:highlight w:val="none"/>
        </w:rPr>
        <w:t xml:space="preserve"> </w:t>
      </w:r>
      <w:r>
        <w:rPr>
          <w:rFonts w:ascii="宋体" w:hAnsi="宋体" w:eastAsia="宋体" w:cs="宋体"/>
          <w:color w:val="auto"/>
          <w:spacing w:val="-3"/>
          <w:sz w:val="21"/>
          <w:szCs w:val="21"/>
          <w:highlight w:val="none"/>
        </w:rPr>
        <w:t>目的约定，将逾期付款违约金支付给承包人。</w:t>
      </w:r>
    </w:p>
    <w:p w14:paraId="5FFD2BE5">
      <w:pPr>
        <w:spacing w:before="156" w:line="290" w:lineRule="auto"/>
        <w:ind w:left="20" w:right="14" w:firstLine="40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（3）承包人对发包人签认的竣工付款证书有异议的，发包人可出具竣工付款申请单</w:t>
      </w:r>
      <w:r>
        <w:rPr>
          <w:rFonts w:ascii="宋体" w:hAnsi="宋体" w:eastAsia="宋体" w:cs="宋体"/>
          <w:color w:val="auto"/>
          <w:spacing w:val="-3"/>
          <w:sz w:val="21"/>
          <w:szCs w:val="21"/>
          <w:highlight w:val="none"/>
        </w:rPr>
        <w:t>中承包人已</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同意部分的临时付款证书。存在争议的部分，按第</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24</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条的约定办理。</w:t>
      </w:r>
    </w:p>
    <w:p w14:paraId="1B3C33C0">
      <w:pPr>
        <w:spacing w:before="157"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（4）竣工付款涉及政府投资资金的，按第</w:t>
      </w:r>
      <w:r>
        <w:rPr>
          <w:rFonts w:ascii="宋体" w:hAnsi="宋体" w:eastAsia="宋体" w:cs="宋体"/>
          <w:color w:val="auto"/>
          <w:spacing w:val="-11"/>
          <w:sz w:val="21"/>
          <w:szCs w:val="21"/>
          <w:highlight w:val="none"/>
        </w:rPr>
        <w:t xml:space="preserve"> </w:t>
      </w:r>
      <w:r>
        <w:rPr>
          <w:rFonts w:ascii="宋体" w:hAnsi="宋体" w:eastAsia="宋体" w:cs="宋体"/>
          <w:color w:val="auto"/>
          <w:spacing w:val="-2"/>
          <w:sz w:val="21"/>
          <w:szCs w:val="21"/>
          <w:highlight w:val="none"/>
        </w:rPr>
        <w:t>17.3.3（4）目的约定办理。</w:t>
      </w:r>
    </w:p>
    <w:p w14:paraId="2B08FC75">
      <w:pPr>
        <w:spacing w:line="333" w:lineRule="auto"/>
        <w:outlineLvl w:val="9"/>
        <w:rPr>
          <w:rFonts w:ascii="Arial"/>
          <w:color w:val="auto"/>
          <w:sz w:val="21"/>
          <w:highlight w:val="none"/>
        </w:rPr>
      </w:pPr>
    </w:p>
    <w:p w14:paraId="1F29DB5B">
      <w:pPr>
        <w:spacing w:before="91"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17.6</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最终结清</w:t>
      </w:r>
    </w:p>
    <w:p w14:paraId="753EE9CF">
      <w:pPr>
        <w:spacing w:before="280" w:line="221"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17.6.1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最终结清申请单</w:t>
      </w:r>
    </w:p>
    <w:p w14:paraId="356174A9">
      <w:pPr>
        <w:spacing w:before="160" w:line="289" w:lineRule="auto"/>
        <w:ind w:left="3" w:right="10"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（1）缺陷责任期终止证书签发后，承包人可按专用合同条款约定的份数和期限向监理人提</w:t>
      </w:r>
      <w:r>
        <w:rPr>
          <w:rFonts w:ascii="宋体" w:hAnsi="宋体" w:eastAsia="宋体" w:cs="宋体"/>
          <w:color w:val="auto"/>
          <w:spacing w:val="-3"/>
          <w:sz w:val="21"/>
          <w:szCs w:val="21"/>
          <w:highlight w:val="none"/>
        </w:rPr>
        <w:t>交最</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终结清申请单，并提供相关证明材料。</w:t>
      </w:r>
    </w:p>
    <w:p w14:paraId="21715B58">
      <w:pPr>
        <w:spacing w:before="157" w:line="290" w:lineRule="auto"/>
        <w:ind w:right="10"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（2）发包人对最终结清申请单内容有异议的，有权要求承包人进行修正和提供补充资料，由承</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包人向监理人提交修正后的最终结清申请单。</w:t>
      </w:r>
    </w:p>
    <w:p w14:paraId="5FB43A5C">
      <w:pPr>
        <w:spacing w:before="158" w:line="220" w:lineRule="auto"/>
        <w:ind w:left="42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17.6.2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最终结清证书和支付时间</w:t>
      </w:r>
    </w:p>
    <w:p w14:paraId="046E2562">
      <w:pPr>
        <w:spacing w:before="161" w:line="331" w:lineRule="auto"/>
        <w:ind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（1）监理人收到承包人提交的最终结清申请单后的 14</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天内，提出</w:t>
      </w:r>
      <w:r>
        <w:rPr>
          <w:rFonts w:ascii="宋体" w:hAnsi="宋体" w:eastAsia="宋体" w:cs="宋体"/>
          <w:color w:val="auto"/>
          <w:spacing w:val="-2"/>
          <w:sz w:val="21"/>
          <w:szCs w:val="21"/>
          <w:highlight w:val="none"/>
        </w:rPr>
        <w:t>发包人应支付给承包人的价</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款送发包人审核并抄送承包人。发包人应在收到后</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14</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w:t>
      </w:r>
      <w:r>
        <w:rPr>
          <w:rFonts w:ascii="宋体" w:hAnsi="宋体" w:eastAsia="宋体" w:cs="宋体"/>
          <w:color w:val="auto"/>
          <w:spacing w:val="-3"/>
          <w:sz w:val="21"/>
          <w:szCs w:val="21"/>
          <w:highlight w:val="none"/>
        </w:rPr>
        <w:t>内审核完毕，由监理人向承包人出具经发包</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人签认的最终结清证书。监理人未在约定时间内核查，</w:t>
      </w:r>
      <w:r>
        <w:rPr>
          <w:rFonts w:ascii="宋体" w:hAnsi="宋体" w:eastAsia="宋体" w:cs="宋体"/>
          <w:color w:val="auto"/>
          <w:sz w:val="21"/>
          <w:szCs w:val="21"/>
          <w:highlight w:val="none"/>
        </w:rPr>
        <w:t xml:space="preserve">又未提出具体意见的，视为承包人提交的最 </w:t>
      </w:r>
      <w:r>
        <w:rPr>
          <w:rFonts w:ascii="宋体" w:hAnsi="宋体" w:eastAsia="宋体" w:cs="宋体"/>
          <w:color w:val="auto"/>
          <w:spacing w:val="1"/>
          <w:sz w:val="21"/>
          <w:szCs w:val="21"/>
          <w:highlight w:val="none"/>
        </w:rPr>
        <w:t>终结清申请已经监理人核查同意；发包人未在约定时间内审核又未提出具体意</w:t>
      </w:r>
      <w:r>
        <w:rPr>
          <w:rFonts w:ascii="宋体" w:hAnsi="宋体" w:eastAsia="宋体" w:cs="宋体"/>
          <w:color w:val="auto"/>
          <w:sz w:val="21"/>
          <w:szCs w:val="21"/>
          <w:highlight w:val="none"/>
        </w:rPr>
        <w:t xml:space="preserve">见的，监理人提出应 </w:t>
      </w:r>
      <w:r>
        <w:rPr>
          <w:rFonts w:ascii="宋体" w:hAnsi="宋体" w:eastAsia="宋体" w:cs="宋体"/>
          <w:color w:val="auto"/>
          <w:spacing w:val="-1"/>
          <w:sz w:val="21"/>
          <w:szCs w:val="21"/>
          <w:highlight w:val="none"/>
        </w:rPr>
        <w:t>支付给承包人的价款视为已经发包人同意。</w:t>
      </w:r>
    </w:p>
    <w:p w14:paraId="3BF45C7B">
      <w:pPr>
        <w:spacing w:before="158" w:line="290" w:lineRule="auto"/>
        <w:ind w:left="1"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（2）发包人应在监理人出具最终结清证书后的 14</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天内，将应支付</w:t>
      </w:r>
      <w:r>
        <w:rPr>
          <w:rFonts w:ascii="宋体" w:hAnsi="宋体" w:eastAsia="宋体" w:cs="宋体"/>
          <w:color w:val="auto"/>
          <w:spacing w:val="-2"/>
          <w:sz w:val="21"/>
          <w:szCs w:val="21"/>
          <w:highlight w:val="none"/>
        </w:rPr>
        <w:t>款支付给承包人。发包人不</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按期支付的，按第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3"/>
          <w:sz w:val="21"/>
          <w:szCs w:val="21"/>
          <w:highlight w:val="none"/>
        </w:rPr>
        <w:t>17.3.3（2）</w:t>
      </w:r>
      <w:r>
        <w:rPr>
          <w:rFonts w:ascii="宋体" w:hAnsi="宋体" w:eastAsia="宋体" w:cs="宋体"/>
          <w:color w:val="auto"/>
          <w:spacing w:val="-58"/>
          <w:sz w:val="21"/>
          <w:szCs w:val="21"/>
          <w:highlight w:val="none"/>
        </w:rPr>
        <w:t xml:space="preserve"> </w:t>
      </w:r>
      <w:r>
        <w:rPr>
          <w:rFonts w:ascii="宋体" w:hAnsi="宋体" w:eastAsia="宋体" w:cs="宋体"/>
          <w:color w:val="auto"/>
          <w:spacing w:val="-3"/>
          <w:sz w:val="21"/>
          <w:szCs w:val="21"/>
          <w:highlight w:val="none"/>
        </w:rPr>
        <w:t>目的约定，将逾期付款违约金支付给承包人。</w:t>
      </w:r>
    </w:p>
    <w:p w14:paraId="259DCD2A">
      <w:pPr>
        <w:spacing w:before="157"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（3）承包人对发包人签认的最终结清证书有异议的，按第</w:t>
      </w:r>
      <w:r>
        <w:rPr>
          <w:rFonts w:ascii="宋体" w:hAnsi="宋体" w:eastAsia="宋体" w:cs="宋体"/>
          <w:color w:val="auto"/>
          <w:spacing w:val="-37"/>
          <w:sz w:val="21"/>
          <w:szCs w:val="21"/>
          <w:highlight w:val="none"/>
        </w:rPr>
        <w:t xml:space="preserve"> </w:t>
      </w:r>
      <w:r>
        <w:rPr>
          <w:rFonts w:ascii="宋体" w:hAnsi="宋体" w:eastAsia="宋体" w:cs="宋体"/>
          <w:color w:val="auto"/>
          <w:spacing w:val="-1"/>
          <w:sz w:val="21"/>
          <w:szCs w:val="21"/>
          <w:highlight w:val="none"/>
        </w:rPr>
        <w:t>24</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条的约定办理。</w:t>
      </w:r>
    </w:p>
    <w:p w14:paraId="664112F0">
      <w:pPr>
        <w:spacing w:before="158" w:line="220" w:lineRule="auto"/>
        <w:ind w:left="426"/>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（4）最终结清付款涉及政府投资资金的，按第</w:t>
      </w:r>
      <w:r>
        <w:rPr>
          <w:rFonts w:ascii="宋体" w:hAnsi="宋体" w:eastAsia="宋体" w:cs="宋体"/>
          <w:color w:val="auto"/>
          <w:spacing w:val="-22"/>
          <w:sz w:val="21"/>
          <w:szCs w:val="21"/>
          <w:highlight w:val="none"/>
        </w:rPr>
        <w:t xml:space="preserve"> </w:t>
      </w:r>
      <w:r>
        <w:rPr>
          <w:rFonts w:ascii="宋体" w:hAnsi="宋体" w:eastAsia="宋体" w:cs="宋体"/>
          <w:color w:val="auto"/>
          <w:spacing w:val="4"/>
          <w:sz w:val="21"/>
          <w:szCs w:val="21"/>
          <w:highlight w:val="none"/>
        </w:rPr>
        <w:t>17.3.3 (4)目的约定办理。</w:t>
      </w:r>
    </w:p>
    <w:p w14:paraId="11FE2C2E">
      <w:pPr>
        <w:spacing w:before="176" w:line="225" w:lineRule="auto"/>
        <w:ind w:left="27"/>
        <w:outlineLvl w:val="9"/>
        <w:rPr>
          <w:rFonts w:ascii="宋体" w:hAnsi="宋体" w:eastAsia="宋体" w:cs="宋体"/>
          <w:color w:val="auto"/>
          <w:sz w:val="31"/>
          <w:szCs w:val="31"/>
          <w:highlight w:val="none"/>
        </w:rPr>
      </w:pPr>
      <w:bookmarkStart w:id="263" w:name="bookmark242"/>
      <w:bookmarkEnd w:id="263"/>
      <w:bookmarkStart w:id="264" w:name="_Toc3316"/>
      <w:bookmarkStart w:id="265" w:name="_Toc17983"/>
      <w:r>
        <w:rPr>
          <w:rFonts w:ascii="宋体" w:hAnsi="宋体" w:eastAsia="宋体" w:cs="宋体"/>
          <w:b/>
          <w:bCs/>
          <w:color w:val="auto"/>
          <w:spacing w:val="-2"/>
          <w:sz w:val="31"/>
          <w:szCs w:val="31"/>
          <w:highlight w:val="none"/>
        </w:rPr>
        <w:t>18.</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2"/>
          <w:sz w:val="31"/>
          <w:szCs w:val="31"/>
          <w:highlight w:val="none"/>
        </w:rPr>
        <w:t>竣工验收</w:t>
      </w:r>
      <w:bookmarkEnd w:id="264"/>
      <w:bookmarkEnd w:id="265"/>
    </w:p>
    <w:p w14:paraId="253FC798">
      <w:pPr>
        <w:spacing w:before="274" w:line="220" w:lineRule="auto"/>
        <w:ind w:left="16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18.1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竣工验收的含义</w:t>
      </w:r>
    </w:p>
    <w:p w14:paraId="516C5C72">
      <w:pPr>
        <w:spacing w:before="280" w:line="221" w:lineRule="auto"/>
        <w:ind w:left="43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18.1.1 竣工验收指承包人完成了全部合同工作后，发包人按合同要求进行的验收。</w:t>
      </w:r>
    </w:p>
    <w:p w14:paraId="05F7FB92">
      <w:pPr>
        <w:spacing w:before="41" w:line="221" w:lineRule="auto"/>
        <w:ind w:left="19" w:firstLine="412" w:firstLineChars="20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18.1.2</w:t>
      </w:r>
      <w:r>
        <w:rPr>
          <w:rFonts w:ascii="宋体" w:hAnsi="宋体" w:eastAsia="宋体" w:cs="宋体"/>
          <w:color w:val="auto"/>
          <w:spacing w:val="27"/>
          <w:sz w:val="21"/>
          <w:szCs w:val="21"/>
          <w:highlight w:val="none"/>
        </w:rPr>
        <w:t xml:space="preserve"> </w:t>
      </w:r>
      <w:r>
        <w:rPr>
          <w:rFonts w:ascii="宋体" w:hAnsi="宋体" w:eastAsia="宋体" w:cs="宋体"/>
          <w:color w:val="auto"/>
          <w:spacing w:val="-2"/>
          <w:sz w:val="21"/>
          <w:szCs w:val="21"/>
          <w:highlight w:val="none"/>
        </w:rPr>
        <w:t>国家验收是政府有关部门根据法</w:t>
      </w:r>
      <w:r>
        <w:rPr>
          <w:rFonts w:ascii="宋体" w:hAnsi="宋体" w:eastAsia="宋体" w:cs="宋体"/>
          <w:color w:val="auto"/>
          <w:spacing w:val="-3"/>
          <w:sz w:val="21"/>
          <w:szCs w:val="21"/>
          <w:highlight w:val="none"/>
        </w:rPr>
        <w:t>律、规范、规程和政策要求，针对发包人全面组织实施的整个工程正式交付投运前的验收。</w:t>
      </w:r>
    </w:p>
    <w:p w14:paraId="5A77BEC3">
      <w:pPr>
        <w:spacing w:before="158" w:line="350" w:lineRule="auto"/>
        <w:ind w:left="6" w:right="60" w:firstLine="430"/>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18.1.3 需要进行国家验收的，竣工验收是国家验收的一部分。竣工验收所采用的各项验收和评</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定标准应符合国家验收标准。发包人和承包人为竣工验收提供的各项</w:t>
      </w:r>
      <w:r>
        <w:rPr>
          <w:rFonts w:ascii="宋体" w:hAnsi="宋体" w:eastAsia="宋体" w:cs="宋体"/>
          <w:color w:val="auto"/>
          <w:sz w:val="21"/>
          <w:szCs w:val="21"/>
          <w:highlight w:val="none"/>
        </w:rPr>
        <w:t xml:space="preserve">竣工验收资料应符合国家验收 </w:t>
      </w:r>
      <w:r>
        <w:rPr>
          <w:rFonts w:ascii="宋体" w:hAnsi="宋体" w:eastAsia="宋体" w:cs="宋体"/>
          <w:color w:val="auto"/>
          <w:spacing w:val="-3"/>
          <w:sz w:val="21"/>
          <w:szCs w:val="21"/>
          <w:highlight w:val="none"/>
        </w:rPr>
        <w:t>的要求。</w:t>
      </w:r>
    </w:p>
    <w:p w14:paraId="55CD2CE6">
      <w:pPr>
        <w:spacing w:before="299"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18.2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竣工验收申请报告</w:t>
      </w:r>
    </w:p>
    <w:p w14:paraId="71D33A92">
      <w:pPr>
        <w:spacing w:before="282" w:line="219"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当工程具备以下条件时，承包人即可向监理人报</w:t>
      </w:r>
      <w:r>
        <w:rPr>
          <w:rFonts w:ascii="宋体" w:hAnsi="宋体" w:eastAsia="宋体" w:cs="宋体"/>
          <w:color w:val="auto"/>
          <w:spacing w:val="-2"/>
          <w:sz w:val="21"/>
          <w:szCs w:val="21"/>
          <w:highlight w:val="none"/>
        </w:rPr>
        <w:t>送竣工验收申请报告：</w:t>
      </w:r>
    </w:p>
    <w:p w14:paraId="59187218">
      <w:pPr>
        <w:spacing w:before="159" w:line="313" w:lineRule="auto"/>
        <w:ind w:left="19" w:right="60" w:firstLine="40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（1）除监理人同意列入缺陷责任期内完成的尾工（甩项）工程和缺陷修补工作外，合同范围内</w:t>
      </w:r>
      <w:r>
        <w:rPr>
          <w:rFonts w:ascii="宋体" w:hAnsi="宋体" w:eastAsia="宋体" w:cs="宋体"/>
          <w:color w:val="auto"/>
          <w:spacing w:val="8"/>
          <w:sz w:val="21"/>
          <w:szCs w:val="21"/>
          <w:highlight w:val="none"/>
        </w:rPr>
        <w:t xml:space="preserve"> </w:t>
      </w:r>
      <w:r>
        <w:rPr>
          <w:rFonts w:ascii="宋体" w:hAnsi="宋体" w:eastAsia="宋体" w:cs="宋体"/>
          <w:color w:val="auto"/>
          <w:sz w:val="21"/>
          <w:szCs w:val="21"/>
          <w:highlight w:val="none"/>
        </w:rPr>
        <w:t>的全部单位工程以及有关工作，包括合同要求的试验、试运行以及检验和验收均已完成，并符合合</w:t>
      </w:r>
      <w:r>
        <w:rPr>
          <w:rFonts w:ascii="宋体" w:hAnsi="宋体" w:eastAsia="宋体" w:cs="宋体"/>
          <w:color w:val="auto"/>
          <w:spacing w:val="18"/>
          <w:sz w:val="21"/>
          <w:szCs w:val="21"/>
          <w:highlight w:val="none"/>
        </w:rPr>
        <w:t xml:space="preserve"> </w:t>
      </w:r>
      <w:r>
        <w:rPr>
          <w:rFonts w:ascii="宋体" w:hAnsi="宋体" w:eastAsia="宋体" w:cs="宋体"/>
          <w:color w:val="auto"/>
          <w:spacing w:val="-6"/>
          <w:sz w:val="21"/>
          <w:szCs w:val="21"/>
          <w:highlight w:val="none"/>
        </w:rPr>
        <w:t>同要求；</w:t>
      </w:r>
    </w:p>
    <w:p w14:paraId="426743D4">
      <w:pPr>
        <w:spacing w:before="158"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（2）已按合同约定的内容和份数备齐了符合</w:t>
      </w:r>
      <w:r>
        <w:rPr>
          <w:rFonts w:ascii="宋体" w:hAnsi="宋体" w:eastAsia="宋体" w:cs="宋体"/>
          <w:color w:val="auto"/>
          <w:spacing w:val="-2"/>
          <w:sz w:val="21"/>
          <w:szCs w:val="21"/>
          <w:highlight w:val="none"/>
        </w:rPr>
        <w:t>要求的竣工资料；</w:t>
      </w:r>
    </w:p>
    <w:p w14:paraId="1EF956CD">
      <w:pPr>
        <w:spacing w:before="158" w:line="290" w:lineRule="auto"/>
        <w:ind w:right="78" w:firstLine="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（3）已按监理人的要求编制了在缺陷责任期内完成的尾工（甩项）工</w:t>
      </w:r>
      <w:r>
        <w:rPr>
          <w:rFonts w:ascii="宋体" w:hAnsi="宋体" w:eastAsia="宋体" w:cs="宋体"/>
          <w:color w:val="auto"/>
          <w:spacing w:val="-3"/>
          <w:sz w:val="21"/>
          <w:szCs w:val="21"/>
          <w:highlight w:val="none"/>
        </w:rPr>
        <w:t>程和缺陷修补工作清单以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及相应施工计划；</w:t>
      </w:r>
    </w:p>
    <w:p w14:paraId="4F769504">
      <w:pPr>
        <w:spacing w:before="155"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（4）监理人要求在竣工验收前应完成的其他工作；</w:t>
      </w:r>
    </w:p>
    <w:p w14:paraId="3AA3EB3E">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（5）监理人要求提交的竣工验收资料清单。</w:t>
      </w:r>
    </w:p>
    <w:p w14:paraId="4549D6D6">
      <w:pPr>
        <w:spacing w:line="335" w:lineRule="auto"/>
        <w:outlineLvl w:val="9"/>
        <w:rPr>
          <w:rFonts w:ascii="Arial"/>
          <w:color w:val="auto"/>
          <w:sz w:val="21"/>
          <w:highlight w:val="none"/>
        </w:rPr>
      </w:pPr>
    </w:p>
    <w:p w14:paraId="0A6A847B">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18.3</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9"/>
          <w:sz w:val="28"/>
          <w:szCs w:val="28"/>
          <w:highlight w:val="none"/>
        </w:rPr>
        <w:t>验收</w:t>
      </w:r>
    </w:p>
    <w:p w14:paraId="27D3F8FA">
      <w:pPr>
        <w:spacing w:before="281" w:line="345" w:lineRule="auto"/>
        <w:ind w:left="6" w:firstLine="41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监理人收到承包人按第 18.2</w:t>
      </w:r>
      <w:r>
        <w:rPr>
          <w:rFonts w:ascii="宋体" w:hAnsi="宋体" w:eastAsia="宋体" w:cs="宋体"/>
          <w:color w:val="auto"/>
          <w:spacing w:val="-24"/>
          <w:sz w:val="21"/>
          <w:szCs w:val="21"/>
          <w:highlight w:val="none"/>
        </w:rPr>
        <w:t xml:space="preserve"> </w:t>
      </w:r>
      <w:r>
        <w:rPr>
          <w:rFonts w:ascii="宋体" w:hAnsi="宋体" w:eastAsia="宋体" w:cs="宋体"/>
          <w:color w:val="auto"/>
          <w:spacing w:val="-2"/>
          <w:sz w:val="21"/>
          <w:szCs w:val="21"/>
          <w:highlight w:val="none"/>
        </w:rPr>
        <w:t>款约定提交的竣工验收申请报告后，应审查申请报告的各项</w:t>
      </w:r>
      <w:r>
        <w:rPr>
          <w:rFonts w:ascii="宋体" w:hAnsi="宋体" w:eastAsia="宋体" w:cs="宋体"/>
          <w:color w:val="auto"/>
          <w:spacing w:val="-3"/>
          <w:sz w:val="21"/>
          <w:szCs w:val="21"/>
          <w:highlight w:val="none"/>
        </w:rPr>
        <w:t>内容，</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并按以下不同情况进行处理。</w:t>
      </w:r>
    </w:p>
    <w:p w14:paraId="26ADCBF2">
      <w:pPr>
        <w:spacing w:before="32" w:line="312" w:lineRule="auto"/>
        <w:ind w:left="1" w:right="59" w:firstLine="43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18.3.1 监理人审查后认为尚不具备竣工验收条件的，应在收到竣工验收申请报告后的</w:t>
      </w:r>
      <w:r>
        <w:rPr>
          <w:rFonts w:ascii="宋体" w:hAnsi="宋体" w:eastAsia="宋体" w:cs="宋体"/>
          <w:color w:val="auto"/>
          <w:spacing w:val="-17"/>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天内</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通知承包人，指出在颁发接收证书前承包人还需进行的工作内容。承包人完成监</w:t>
      </w:r>
      <w:r>
        <w:rPr>
          <w:rFonts w:ascii="宋体" w:hAnsi="宋体" w:eastAsia="宋体" w:cs="宋体"/>
          <w:color w:val="auto"/>
          <w:sz w:val="21"/>
          <w:szCs w:val="21"/>
          <w:highlight w:val="none"/>
        </w:rPr>
        <w:t xml:space="preserve">理人通知的全部工 </w:t>
      </w:r>
      <w:r>
        <w:rPr>
          <w:rFonts w:ascii="宋体" w:hAnsi="宋体" w:eastAsia="宋体" w:cs="宋体"/>
          <w:color w:val="auto"/>
          <w:spacing w:val="-1"/>
          <w:sz w:val="21"/>
          <w:szCs w:val="21"/>
          <w:highlight w:val="none"/>
        </w:rPr>
        <w:t>作内容后，应再次提交竣工验收申请报告，直至监理人同意为止。</w:t>
      </w:r>
    </w:p>
    <w:p w14:paraId="17F89917">
      <w:pPr>
        <w:spacing w:before="160" w:line="290" w:lineRule="auto"/>
        <w:ind w:right="59" w:firstLine="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18.3.2 监理人审查后认为已具备竣工验收条件的，应在收到竣工验收申请报告后的</w:t>
      </w:r>
      <w:r>
        <w:rPr>
          <w:rFonts w:ascii="宋体" w:hAnsi="宋体" w:eastAsia="宋体" w:cs="宋体"/>
          <w:color w:val="auto"/>
          <w:spacing w:val="-19"/>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天内提</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请发包人进行工程验收。</w:t>
      </w:r>
    </w:p>
    <w:p w14:paraId="25671B7E">
      <w:pPr>
        <w:spacing w:before="159" w:line="352" w:lineRule="auto"/>
        <w:ind w:left="3" w:right="60"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18.3.3 发包人经过验收后同意接受工程的，应在监理人收到竣工验收申请报告后的 56 天内，</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由监理人向承包人出具经发包人签认的工程接收证书。发包人验收后同意接</w:t>
      </w:r>
      <w:r>
        <w:rPr>
          <w:rFonts w:ascii="宋体" w:hAnsi="宋体" w:eastAsia="宋体" w:cs="宋体"/>
          <w:color w:val="auto"/>
          <w:sz w:val="21"/>
          <w:szCs w:val="21"/>
          <w:highlight w:val="none"/>
        </w:rPr>
        <w:t xml:space="preserve">收工程但提出整修和完 </w:t>
      </w:r>
      <w:r>
        <w:rPr>
          <w:rFonts w:ascii="宋体" w:hAnsi="宋体" w:eastAsia="宋体" w:cs="宋体"/>
          <w:color w:val="auto"/>
          <w:spacing w:val="1"/>
          <w:sz w:val="21"/>
          <w:szCs w:val="21"/>
          <w:highlight w:val="none"/>
        </w:rPr>
        <w:t>善要求的，限期修好，并缓发工程接收证书。整修和完善工作完成后，监理</w:t>
      </w:r>
      <w:r>
        <w:rPr>
          <w:rFonts w:ascii="宋体" w:hAnsi="宋体" w:eastAsia="宋体" w:cs="宋体"/>
          <w:color w:val="auto"/>
          <w:sz w:val="21"/>
          <w:szCs w:val="21"/>
          <w:highlight w:val="none"/>
        </w:rPr>
        <w:t xml:space="preserve">人复查达到要求的，经 </w:t>
      </w:r>
      <w:r>
        <w:rPr>
          <w:rFonts w:ascii="宋体" w:hAnsi="宋体" w:eastAsia="宋体" w:cs="宋体"/>
          <w:color w:val="auto"/>
          <w:spacing w:val="-1"/>
          <w:sz w:val="21"/>
          <w:szCs w:val="21"/>
          <w:highlight w:val="none"/>
        </w:rPr>
        <w:t>发包人同意后，再向承包人出具工程接收证书。</w:t>
      </w:r>
    </w:p>
    <w:p w14:paraId="1E043F1C">
      <w:pPr>
        <w:spacing w:before="31" w:line="325" w:lineRule="auto"/>
        <w:ind w:left="3" w:right="59" w:firstLine="43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18.3.4 发包人验收后不同意接收工程的，监理人应按照发包人的验收意见发出指示，要求承包</w:t>
      </w:r>
      <w:r>
        <w:rPr>
          <w:rFonts w:ascii="宋体" w:hAnsi="宋体" w:eastAsia="宋体" w:cs="宋体"/>
          <w:color w:val="auto"/>
          <w:spacing w:val="5"/>
          <w:sz w:val="21"/>
          <w:szCs w:val="21"/>
          <w:highlight w:val="none"/>
        </w:rPr>
        <w:t xml:space="preserve"> </w:t>
      </w:r>
      <w:r>
        <w:rPr>
          <w:rFonts w:ascii="宋体" w:hAnsi="宋体" w:eastAsia="宋体" w:cs="宋体"/>
          <w:color w:val="auto"/>
          <w:spacing w:val="1"/>
          <w:sz w:val="21"/>
          <w:szCs w:val="21"/>
          <w:highlight w:val="none"/>
        </w:rPr>
        <w:t>人对不合格工程认真返工重作或进行补救处理，并承担由此产生的费用。承</w:t>
      </w:r>
      <w:r>
        <w:rPr>
          <w:rFonts w:ascii="宋体" w:hAnsi="宋体" w:eastAsia="宋体" w:cs="宋体"/>
          <w:color w:val="auto"/>
          <w:sz w:val="21"/>
          <w:szCs w:val="21"/>
          <w:highlight w:val="none"/>
        </w:rPr>
        <w:t xml:space="preserve">包人在完成不合格工程 </w:t>
      </w:r>
      <w:r>
        <w:rPr>
          <w:rFonts w:ascii="宋体" w:hAnsi="宋体" w:eastAsia="宋体" w:cs="宋体"/>
          <w:color w:val="auto"/>
          <w:spacing w:val="-6"/>
          <w:sz w:val="21"/>
          <w:szCs w:val="21"/>
          <w:highlight w:val="none"/>
        </w:rPr>
        <w:t>的返工重作或补救工作后，应重新提交竣工验收申请报告，按第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6"/>
          <w:sz w:val="21"/>
          <w:szCs w:val="21"/>
          <w:highlight w:val="none"/>
        </w:rPr>
        <w:t>18.3.1</w:t>
      </w:r>
      <w:r>
        <w:rPr>
          <w:rFonts w:ascii="宋体" w:hAnsi="宋体" w:eastAsia="宋体" w:cs="宋体"/>
          <w:color w:val="auto"/>
          <w:spacing w:val="-43"/>
          <w:sz w:val="21"/>
          <w:szCs w:val="21"/>
          <w:highlight w:val="none"/>
        </w:rPr>
        <w:t xml:space="preserve"> </w:t>
      </w:r>
      <w:r>
        <w:rPr>
          <w:rFonts w:ascii="宋体" w:hAnsi="宋体" w:eastAsia="宋体" w:cs="宋体"/>
          <w:color w:val="auto"/>
          <w:spacing w:val="-6"/>
          <w:sz w:val="21"/>
          <w:szCs w:val="21"/>
          <w:highlight w:val="none"/>
        </w:rPr>
        <w:t>项、第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6"/>
          <w:sz w:val="21"/>
          <w:szCs w:val="21"/>
          <w:highlight w:val="none"/>
        </w:rPr>
        <w:t>18.3.2</w:t>
      </w:r>
      <w:r>
        <w:rPr>
          <w:rFonts w:ascii="宋体" w:hAnsi="宋体" w:eastAsia="宋体" w:cs="宋体"/>
          <w:color w:val="auto"/>
          <w:spacing w:val="-43"/>
          <w:sz w:val="21"/>
          <w:szCs w:val="21"/>
          <w:highlight w:val="none"/>
        </w:rPr>
        <w:t xml:space="preserve"> </w:t>
      </w:r>
      <w:r>
        <w:rPr>
          <w:rFonts w:ascii="宋体" w:hAnsi="宋体" w:eastAsia="宋体" w:cs="宋体"/>
          <w:color w:val="auto"/>
          <w:spacing w:val="-6"/>
          <w:sz w:val="21"/>
          <w:szCs w:val="21"/>
          <w:highlight w:val="none"/>
        </w:rPr>
        <w:t>项和第</w:t>
      </w:r>
      <w:r>
        <w:rPr>
          <w:rFonts w:ascii="宋体" w:hAnsi="宋体" w:eastAsia="宋体" w:cs="宋体"/>
          <w:color w:val="auto"/>
          <w:spacing w:val="-27"/>
          <w:sz w:val="21"/>
          <w:szCs w:val="21"/>
          <w:highlight w:val="none"/>
        </w:rPr>
        <w:t xml:space="preserve"> </w:t>
      </w:r>
      <w:r>
        <w:rPr>
          <w:rFonts w:ascii="宋体" w:hAnsi="宋体" w:eastAsia="宋体" w:cs="宋体"/>
          <w:color w:val="auto"/>
          <w:spacing w:val="-7"/>
          <w:sz w:val="21"/>
          <w:szCs w:val="21"/>
          <w:highlight w:val="none"/>
        </w:rPr>
        <w:t>18.3.3</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项的约定进行。</w:t>
      </w:r>
    </w:p>
    <w:p w14:paraId="2E54C90C">
      <w:pPr>
        <w:spacing w:before="41" w:line="345" w:lineRule="auto"/>
        <w:ind w:left="3" w:right="162" w:firstLine="433"/>
        <w:outlineLvl w:val="9"/>
        <w:rPr>
          <w:rFonts w:ascii="宋体" w:hAnsi="宋体" w:eastAsia="宋体" w:cs="宋体"/>
          <w:color w:val="auto"/>
          <w:spacing w:val="-1"/>
          <w:sz w:val="21"/>
          <w:szCs w:val="21"/>
          <w:highlight w:val="none"/>
        </w:rPr>
      </w:pPr>
      <w:r>
        <w:rPr>
          <w:rFonts w:ascii="宋体" w:hAnsi="宋体" w:eastAsia="宋体" w:cs="宋体"/>
          <w:color w:val="auto"/>
          <w:spacing w:val="-2"/>
          <w:sz w:val="21"/>
          <w:szCs w:val="21"/>
          <w:highlight w:val="none"/>
        </w:rPr>
        <w:t>18.3.5 除专用合同条款另有约定外，经验收合格工程的实际竣工日期，以提交竣工验收申请报</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告的日期为准，并在工程接收证书中写明。</w:t>
      </w:r>
    </w:p>
    <w:p w14:paraId="4D43A257">
      <w:pPr>
        <w:spacing w:before="41" w:line="345" w:lineRule="auto"/>
        <w:ind w:left="3" w:right="162"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18.3.6 发包人在收到承包人竣工验收申请报告</w:t>
      </w:r>
      <w:r>
        <w:rPr>
          <w:rFonts w:ascii="宋体" w:hAnsi="宋体" w:eastAsia="宋体" w:cs="宋体"/>
          <w:color w:val="auto"/>
          <w:spacing w:val="-19"/>
          <w:sz w:val="21"/>
          <w:szCs w:val="21"/>
          <w:highlight w:val="none"/>
        </w:rPr>
        <w:t xml:space="preserve"> </w:t>
      </w:r>
      <w:r>
        <w:rPr>
          <w:rFonts w:ascii="宋体" w:hAnsi="宋体" w:eastAsia="宋体" w:cs="宋体"/>
          <w:color w:val="auto"/>
          <w:spacing w:val="-1"/>
          <w:sz w:val="21"/>
          <w:szCs w:val="21"/>
          <w:highlight w:val="none"/>
        </w:rPr>
        <w:t>56</w:t>
      </w:r>
      <w:r>
        <w:rPr>
          <w:rFonts w:ascii="宋体" w:hAnsi="宋体" w:eastAsia="宋体" w:cs="宋体"/>
          <w:color w:val="auto"/>
          <w:spacing w:val="-21"/>
          <w:sz w:val="21"/>
          <w:szCs w:val="21"/>
          <w:highlight w:val="none"/>
        </w:rPr>
        <w:t xml:space="preserve"> </w:t>
      </w:r>
      <w:r>
        <w:rPr>
          <w:rFonts w:ascii="宋体" w:hAnsi="宋体" w:eastAsia="宋体" w:cs="宋体"/>
          <w:color w:val="auto"/>
          <w:spacing w:val="-1"/>
          <w:sz w:val="21"/>
          <w:szCs w:val="21"/>
          <w:highlight w:val="none"/>
        </w:rPr>
        <w:t>天后未进行验收的，视为验收合格，实际竣</w:t>
      </w:r>
      <w:r>
        <w:rPr>
          <w:rFonts w:ascii="宋体" w:hAnsi="宋体" w:eastAsia="宋体" w:cs="宋体"/>
          <w:color w:val="auto"/>
          <w:sz w:val="21"/>
          <w:szCs w:val="21"/>
          <w:highlight w:val="none"/>
        </w:rPr>
        <w:t xml:space="preserve"> 工日期以提交竣工验收申请报告的日期为准，但</w:t>
      </w:r>
      <w:r>
        <w:rPr>
          <w:rFonts w:ascii="宋体" w:hAnsi="宋体" w:eastAsia="宋体" w:cs="宋体"/>
          <w:color w:val="auto"/>
          <w:spacing w:val="-1"/>
          <w:sz w:val="21"/>
          <w:szCs w:val="21"/>
          <w:highlight w:val="none"/>
        </w:rPr>
        <w:t>发包人由于不可抗力不能进行验收的除外。</w:t>
      </w:r>
    </w:p>
    <w:p w14:paraId="2D3F4168">
      <w:pPr>
        <w:spacing w:before="30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18.4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单位工程验收</w:t>
      </w:r>
    </w:p>
    <w:p w14:paraId="341AD1B5">
      <w:pPr>
        <w:spacing w:before="281" w:line="331" w:lineRule="auto"/>
        <w:ind w:right="162"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18.4.1 发包人根据合同进度计划安排，在全部工程竣工前需要使用已经竣工的单位工程时，或</w:t>
      </w:r>
      <w:r>
        <w:rPr>
          <w:rFonts w:ascii="宋体" w:hAnsi="宋体" w:eastAsia="宋体" w:cs="宋体"/>
          <w:color w:val="auto"/>
          <w:spacing w:val="5"/>
          <w:sz w:val="21"/>
          <w:szCs w:val="21"/>
          <w:highlight w:val="none"/>
        </w:rPr>
        <w:t xml:space="preserve"> </w:t>
      </w:r>
      <w:r>
        <w:rPr>
          <w:rFonts w:ascii="宋体" w:hAnsi="宋体" w:eastAsia="宋体" w:cs="宋体"/>
          <w:color w:val="auto"/>
          <w:spacing w:val="-2"/>
          <w:sz w:val="21"/>
          <w:szCs w:val="21"/>
          <w:highlight w:val="none"/>
        </w:rPr>
        <w:t>承包人提出经发包人同意时，可进行单位工程验收。验收的程序可参照第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2"/>
          <w:sz w:val="21"/>
          <w:szCs w:val="21"/>
          <w:highlight w:val="none"/>
        </w:rPr>
        <w:t>18.2</w:t>
      </w:r>
      <w:r>
        <w:rPr>
          <w:rFonts w:ascii="宋体" w:hAnsi="宋体" w:eastAsia="宋体" w:cs="宋体"/>
          <w:color w:val="auto"/>
          <w:spacing w:val="-33"/>
          <w:sz w:val="21"/>
          <w:szCs w:val="21"/>
          <w:highlight w:val="none"/>
        </w:rPr>
        <w:t xml:space="preserve"> </w:t>
      </w:r>
      <w:r>
        <w:rPr>
          <w:rFonts w:ascii="宋体" w:hAnsi="宋体" w:eastAsia="宋体" w:cs="宋体"/>
          <w:color w:val="auto"/>
          <w:spacing w:val="-2"/>
          <w:sz w:val="21"/>
          <w:szCs w:val="21"/>
          <w:highlight w:val="none"/>
        </w:rPr>
        <w:t>款与第 18.3</w:t>
      </w:r>
      <w:r>
        <w:rPr>
          <w:rFonts w:ascii="宋体" w:hAnsi="宋体" w:eastAsia="宋体" w:cs="宋体"/>
          <w:color w:val="auto"/>
          <w:spacing w:val="-34"/>
          <w:sz w:val="21"/>
          <w:szCs w:val="21"/>
          <w:highlight w:val="none"/>
        </w:rPr>
        <w:t xml:space="preserve"> </w:t>
      </w:r>
      <w:r>
        <w:rPr>
          <w:rFonts w:ascii="宋体" w:hAnsi="宋体" w:eastAsia="宋体" w:cs="宋体"/>
          <w:color w:val="auto"/>
          <w:spacing w:val="-2"/>
          <w:sz w:val="21"/>
          <w:szCs w:val="21"/>
          <w:highlight w:val="none"/>
        </w:rPr>
        <w:t>款的约</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定进行。验收合格后，由监理人向承包人出具经发包人签认的单位工程验收证书。</w:t>
      </w:r>
      <w:r>
        <w:rPr>
          <w:rFonts w:ascii="宋体" w:hAnsi="宋体" w:eastAsia="宋体" w:cs="宋体"/>
          <w:color w:val="auto"/>
          <w:sz w:val="21"/>
          <w:szCs w:val="21"/>
          <w:highlight w:val="none"/>
        </w:rPr>
        <w:t xml:space="preserve">已签发单位工程 </w:t>
      </w:r>
      <w:r>
        <w:rPr>
          <w:rFonts w:ascii="宋体" w:hAnsi="宋体" w:eastAsia="宋体" w:cs="宋体"/>
          <w:color w:val="auto"/>
          <w:spacing w:val="1"/>
          <w:sz w:val="21"/>
          <w:szCs w:val="21"/>
          <w:highlight w:val="none"/>
        </w:rPr>
        <w:t>接收证书的单位工程由发包人负责照管。单位工程的验收成果和结论作为全部工程</w:t>
      </w:r>
      <w:r>
        <w:rPr>
          <w:rFonts w:ascii="宋体" w:hAnsi="宋体" w:eastAsia="宋体" w:cs="宋体"/>
          <w:color w:val="auto"/>
          <w:sz w:val="21"/>
          <w:szCs w:val="21"/>
          <w:highlight w:val="none"/>
        </w:rPr>
        <w:t xml:space="preserve">竣工验收申请报 </w:t>
      </w:r>
      <w:r>
        <w:rPr>
          <w:rFonts w:ascii="宋体" w:hAnsi="宋体" w:eastAsia="宋体" w:cs="宋体"/>
          <w:color w:val="auto"/>
          <w:spacing w:val="-4"/>
          <w:sz w:val="21"/>
          <w:szCs w:val="21"/>
          <w:highlight w:val="none"/>
        </w:rPr>
        <w:t>告的附件。</w:t>
      </w:r>
    </w:p>
    <w:p w14:paraId="5A6045C2">
      <w:pPr>
        <w:spacing w:before="158" w:line="291" w:lineRule="auto"/>
        <w:ind w:left="1" w:right="162"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18.4.2 发包人在全部工程竣工前，使用已接收的单位工程导致承包人费用增加的，发包人应承</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担由此增加的费用和（或）工期延误，并支付承包人合</w:t>
      </w:r>
      <w:r>
        <w:rPr>
          <w:rFonts w:ascii="宋体" w:hAnsi="宋体" w:eastAsia="宋体" w:cs="宋体"/>
          <w:color w:val="auto"/>
          <w:spacing w:val="-1"/>
          <w:sz w:val="21"/>
          <w:szCs w:val="21"/>
          <w:highlight w:val="none"/>
        </w:rPr>
        <w:t>理利润。</w:t>
      </w:r>
    </w:p>
    <w:p w14:paraId="2547E0AA">
      <w:pPr>
        <w:spacing w:line="332" w:lineRule="auto"/>
        <w:outlineLvl w:val="9"/>
        <w:rPr>
          <w:rFonts w:ascii="Arial"/>
          <w:color w:val="auto"/>
          <w:sz w:val="21"/>
          <w:highlight w:val="none"/>
        </w:rPr>
      </w:pPr>
    </w:p>
    <w:p w14:paraId="1D90778B">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18.5</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施工期运行</w:t>
      </w:r>
    </w:p>
    <w:p w14:paraId="57197B47">
      <w:pPr>
        <w:spacing w:before="281" w:line="312" w:lineRule="auto"/>
        <w:ind w:left="1" w:right="162"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18.5.1 施工期运行是指合同工程尚未全部竣工，其中某项或某几项单位工程或工程设备安装已</w:t>
      </w:r>
      <w:r>
        <w:rPr>
          <w:rFonts w:ascii="宋体" w:hAnsi="宋体" w:eastAsia="宋体" w:cs="宋体"/>
          <w:color w:val="auto"/>
          <w:spacing w:val="5"/>
          <w:sz w:val="21"/>
          <w:szCs w:val="21"/>
          <w:highlight w:val="none"/>
        </w:rPr>
        <w:t xml:space="preserve"> </w:t>
      </w:r>
      <w:r>
        <w:rPr>
          <w:rFonts w:ascii="宋体" w:hAnsi="宋体" w:eastAsia="宋体" w:cs="宋体"/>
          <w:color w:val="auto"/>
          <w:spacing w:val="-2"/>
          <w:sz w:val="21"/>
          <w:szCs w:val="21"/>
          <w:highlight w:val="none"/>
        </w:rPr>
        <w:t>竣工，根据专用合同条款约定，需要投入施工期运行的，经发包人按第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18.4</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w:t>
      </w:r>
      <w:r>
        <w:rPr>
          <w:rFonts w:ascii="宋体" w:hAnsi="宋体" w:eastAsia="宋体" w:cs="宋体"/>
          <w:color w:val="auto"/>
          <w:spacing w:val="-3"/>
          <w:sz w:val="21"/>
          <w:szCs w:val="21"/>
          <w:highlight w:val="none"/>
        </w:rPr>
        <w:t>的约定验收合格，证</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明能确保安全后，才能在施工期投入运行。</w:t>
      </w:r>
    </w:p>
    <w:p w14:paraId="146CE447">
      <w:pPr>
        <w:spacing w:before="157" w:line="291" w:lineRule="auto"/>
        <w:ind w:left="4" w:right="162" w:firstLine="4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18.5.2 在施工期运行中发现工程或工程设备损坏或存在缺陷的，由承包</w:t>
      </w:r>
      <w:r>
        <w:rPr>
          <w:rFonts w:ascii="宋体" w:hAnsi="宋体" w:eastAsia="宋体" w:cs="宋体"/>
          <w:color w:val="auto"/>
          <w:spacing w:val="-2"/>
          <w:sz w:val="21"/>
          <w:szCs w:val="21"/>
          <w:highlight w:val="none"/>
        </w:rPr>
        <w:t>人按第 19.2</w:t>
      </w:r>
      <w:r>
        <w:rPr>
          <w:rFonts w:ascii="宋体" w:hAnsi="宋体" w:eastAsia="宋体" w:cs="宋体"/>
          <w:color w:val="auto"/>
          <w:spacing w:val="-25"/>
          <w:sz w:val="21"/>
          <w:szCs w:val="21"/>
          <w:highlight w:val="none"/>
        </w:rPr>
        <w:t xml:space="preserve"> </w:t>
      </w:r>
      <w:r>
        <w:rPr>
          <w:rFonts w:ascii="宋体" w:hAnsi="宋体" w:eastAsia="宋体" w:cs="宋体"/>
          <w:color w:val="auto"/>
          <w:spacing w:val="-2"/>
          <w:sz w:val="21"/>
          <w:szCs w:val="21"/>
          <w:highlight w:val="none"/>
        </w:rPr>
        <w:t>款约定进</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行修复。</w:t>
      </w:r>
    </w:p>
    <w:p w14:paraId="0CCFD6DF">
      <w:pPr>
        <w:spacing w:line="333" w:lineRule="auto"/>
        <w:outlineLvl w:val="9"/>
        <w:rPr>
          <w:rFonts w:ascii="Arial"/>
          <w:color w:val="auto"/>
          <w:sz w:val="21"/>
          <w:highlight w:val="none"/>
        </w:rPr>
      </w:pPr>
    </w:p>
    <w:p w14:paraId="65ED24F9">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18.6</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8"/>
          <w:sz w:val="28"/>
          <w:szCs w:val="28"/>
          <w:highlight w:val="none"/>
        </w:rPr>
        <w:t>试运行</w:t>
      </w:r>
    </w:p>
    <w:p w14:paraId="7940148E">
      <w:pPr>
        <w:spacing w:before="280" w:line="289" w:lineRule="auto"/>
        <w:ind w:left="9" w:firstLine="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18.6.1 除专用合同条款另有约定外，承包人应按专用合同条款约定进行工程及工程设备试运行，</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负责提供试运行所需的人员、器材和必要的条件，并承担全部试运行费用。</w:t>
      </w:r>
    </w:p>
    <w:p w14:paraId="3B967E1C">
      <w:pPr>
        <w:spacing w:before="159" w:line="313" w:lineRule="auto"/>
        <w:ind w:left="12" w:right="162" w:firstLine="42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18.6.2</w:t>
      </w:r>
      <w:r>
        <w:rPr>
          <w:rFonts w:ascii="宋体" w:hAnsi="宋体" w:eastAsia="宋体" w:cs="宋体"/>
          <w:color w:val="auto"/>
          <w:spacing w:val="47"/>
          <w:sz w:val="21"/>
          <w:szCs w:val="21"/>
          <w:highlight w:val="none"/>
        </w:rPr>
        <w:t xml:space="preserve"> </w:t>
      </w:r>
      <w:r>
        <w:rPr>
          <w:rFonts w:ascii="宋体" w:hAnsi="宋体" w:eastAsia="宋体" w:cs="宋体"/>
          <w:color w:val="auto"/>
          <w:spacing w:val="-3"/>
          <w:sz w:val="21"/>
          <w:szCs w:val="21"/>
          <w:highlight w:val="none"/>
        </w:rPr>
        <w:t>由于承包人的原因导致试运行失败的，承包人应采取措施保证试运行合格，并承担相应</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费用。由于发包人的原因导致试运行失败的，承包人应</w:t>
      </w:r>
      <w:r>
        <w:rPr>
          <w:rFonts w:ascii="宋体" w:hAnsi="宋体" w:eastAsia="宋体" w:cs="宋体"/>
          <w:color w:val="auto"/>
          <w:sz w:val="21"/>
          <w:szCs w:val="21"/>
          <w:highlight w:val="none"/>
        </w:rPr>
        <w:t xml:space="preserve">当采取措施保证试运行合格，发包人应承担 </w:t>
      </w:r>
      <w:r>
        <w:rPr>
          <w:rFonts w:ascii="宋体" w:hAnsi="宋体" w:eastAsia="宋体" w:cs="宋体"/>
          <w:color w:val="auto"/>
          <w:spacing w:val="-1"/>
          <w:sz w:val="21"/>
          <w:szCs w:val="21"/>
          <w:highlight w:val="none"/>
        </w:rPr>
        <w:t>由此产生的费用，并支付承包人合理利润。</w:t>
      </w:r>
    </w:p>
    <w:p w14:paraId="7FB7F8DD">
      <w:pPr>
        <w:spacing w:line="333" w:lineRule="auto"/>
        <w:outlineLvl w:val="9"/>
        <w:rPr>
          <w:rFonts w:ascii="Arial"/>
          <w:color w:val="auto"/>
          <w:sz w:val="21"/>
          <w:highlight w:val="none"/>
        </w:rPr>
      </w:pPr>
    </w:p>
    <w:p w14:paraId="5EE20F9F">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18.7</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竣工清场</w:t>
      </w:r>
    </w:p>
    <w:p w14:paraId="4C928B79">
      <w:pPr>
        <w:spacing w:before="281" w:line="290" w:lineRule="auto"/>
        <w:ind w:left="2" w:right="109"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18.7.1 除合同另有约定外，工程接收证书颁发后，承包人应按以下要求对施工场地进行清理，</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直至监理人检验合格为止。竣工清场费用由承包人承担。</w:t>
      </w:r>
    </w:p>
    <w:p w14:paraId="2FC78451">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（1）施工场地内残留的垃圾已全部清除出场；</w:t>
      </w:r>
    </w:p>
    <w:p w14:paraId="6A1EEED4">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（2）临时工程已拆除，场地已按合同要求进行清理、</w:t>
      </w:r>
      <w:r>
        <w:rPr>
          <w:rFonts w:ascii="宋体" w:hAnsi="宋体" w:eastAsia="宋体" w:cs="宋体"/>
          <w:color w:val="auto"/>
          <w:spacing w:val="-2"/>
          <w:sz w:val="21"/>
          <w:szCs w:val="21"/>
          <w:highlight w:val="none"/>
        </w:rPr>
        <w:t>平整或复原；</w:t>
      </w:r>
    </w:p>
    <w:p w14:paraId="44C88C38">
      <w:pPr>
        <w:spacing w:before="159" w:line="290" w:lineRule="auto"/>
        <w:ind w:left="4" w:right="171"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（3）按合同约定应撤离的承包人设备和剩余的材料，包括废弃的施工设备和材料，已按计划撤</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离施工场地；</w:t>
      </w:r>
    </w:p>
    <w:p w14:paraId="1FCCA0D2">
      <w:pPr>
        <w:spacing w:before="42" w:line="220"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（4）工程建筑物周边及其附近道路、河道的施工堆积物，已按</w:t>
      </w:r>
      <w:r>
        <w:rPr>
          <w:rFonts w:ascii="宋体" w:hAnsi="宋体" w:eastAsia="宋体" w:cs="宋体"/>
          <w:color w:val="auto"/>
          <w:spacing w:val="-1"/>
          <w:sz w:val="21"/>
          <w:szCs w:val="21"/>
          <w:highlight w:val="none"/>
        </w:rPr>
        <w:t>监理人指示全部清理；</w:t>
      </w:r>
    </w:p>
    <w:p w14:paraId="502AA13A">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（5）监理人指示的其他场地清理工作已全部完成。</w:t>
      </w:r>
    </w:p>
    <w:p w14:paraId="37F872B1">
      <w:pPr>
        <w:spacing w:before="157" w:line="289" w:lineRule="auto"/>
        <w:ind w:right="74" w:firstLine="4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18.7.2 承包人未按监理人的要求恢复临时占地，或者场地清理未达到合同约定的，发包人有权</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委托其他人恢复或清理，所发生的金额从拟支付给承包人的款项中扣</w:t>
      </w:r>
      <w:r>
        <w:rPr>
          <w:rFonts w:ascii="宋体" w:hAnsi="宋体" w:eastAsia="宋体" w:cs="宋体"/>
          <w:color w:val="auto"/>
          <w:spacing w:val="-1"/>
          <w:sz w:val="21"/>
          <w:szCs w:val="21"/>
          <w:highlight w:val="none"/>
        </w:rPr>
        <w:t>除。</w:t>
      </w:r>
    </w:p>
    <w:p w14:paraId="65030E3A">
      <w:pPr>
        <w:spacing w:line="335" w:lineRule="auto"/>
        <w:outlineLvl w:val="9"/>
        <w:rPr>
          <w:rFonts w:ascii="Arial"/>
          <w:color w:val="auto"/>
          <w:sz w:val="21"/>
          <w:highlight w:val="none"/>
        </w:rPr>
      </w:pPr>
    </w:p>
    <w:p w14:paraId="51E88A5B">
      <w:pPr>
        <w:spacing w:before="91"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18.8</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施工队伍的撤离</w:t>
      </w:r>
    </w:p>
    <w:p w14:paraId="7694405D">
      <w:pPr>
        <w:spacing w:before="278" w:line="350" w:lineRule="auto"/>
        <w:ind w:firstLine="423"/>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工程接收证书颁发后的</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56</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天内，除了经监理人同意需在</w:t>
      </w:r>
      <w:r>
        <w:rPr>
          <w:rFonts w:ascii="宋体" w:hAnsi="宋体" w:eastAsia="宋体" w:cs="宋体"/>
          <w:color w:val="auto"/>
          <w:spacing w:val="-2"/>
          <w:sz w:val="21"/>
          <w:szCs w:val="21"/>
          <w:highlight w:val="none"/>
        </w:rPr>
        <w:t>缺陷责任期内继续工作和使用的人员、</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施工设备和临时工程外，其余的人员、施工设备和临时工程均应撤离施工场地或拆</w:t>
      </w:r>
      <w:r>
        <w:rPr>
          <w:rFonts w:ascii="宋体" w:hAnsi="宋体" w:eastAsia="宋体" w:cs="宋体"/>
          <w:color w:val="auto"/>
          <w:sz w:val="21"/>
          <w:szCs w:val="21"/>
          <w:highlight w:val="none"/>
        </w:rPr>
        <w:t xml:space="preserve">除。除合同另有 </w:t>
      </w:r>
      <w:r>
        <w:rPr>
          <w:rFonts w:ascii="宋体" w:hAnsi="宋体" w:eastAsia="宋体" w:cs="宋体"/>
          <w:color w:val="auto"/>
          <w:spacing w:val="-1"/>
          <w:sz w:val="21"/>
          <w:szCs w:val="21"/>
          <w:highlight w:val="none"/>
        </w:rPr>
        <w:t>约定外，缺陷责任期满时，承包人的人员和施工设备应全部撤离施工场地。</w:t>
      </w:r>
    </w:p>
    <w:p w14:paraId="09C94E95">
      <w:pPr>
        <w:spacing w:before="46" w:line="225" w:lineRule="auto"/>
        <w:ind w:left="29"/>
        <w:outlineLvl w:val="9"/>
        <w:rPr>
          <w:rFonts w:ascii="宋体" w:hAnsi="宋体" w:eastAsia="宋体" w:cs="宋体"/>
          <w:color w:val="auto"/>
          <w:sz w:val="31"/>
          <w:szCs w:val="31"/>
          <w:highlight w:val="none"/>
        </w:rPr>
      </w:pPr>
      <w:bookmarkStart w:id="266" w:name="bookmark243"/>
      <w:bookmarkEnd w:id="266"/>
      <w:bookmarkStart w:id="267" w:name="_Toc14678"/>
      <w:bookmarkStart w:id="268" w:name="_Toc16988"/>
      <w:r>
        <w:rPr>
          <w:rFonts w:ascii="宋体" w:hAnsi="宋体" w:eastAsia="宋体" w:cs="宋体"/>
          <w:b/>
          <w:bCs/>
          <w:color w:val="auto"/>
          <w:spacing w:val="3"/>
          <w:sz w:val="31"/>
          <w:szCs w:val="31"/>
          <w:highlight w:val="none"/>
        </w:rPr>
        <w:t>19.</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缺陷责任与保修责任</w:t>
      </w:r>
      <w:bookmarkEnd w:id="267"/>
      <w:bookmarkEnd w:id="268"/>
    </w:p>
    <w:p w14:paraId="05E0338C">
      <w:pPr>
        <w:spacing w:before="278"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19.1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缺陷责任期的起算时间</w:t>
      </w:r>
    </w:p>
    <w:p w14:paraId="62D19A61">
      <w:pPr>
        <w:spacing w:before="281" w:line="345" w:lineRule="auto"/>
        <w:ind w:left="2" w:right="120" w:firstLine="419"/>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缺陷责任期自实际竣工日期起计算。在全部工程竣工验收前，已经发包人</w:t>
      </w:r>
      <w:r>
        <w:rPr>
          <w:rFonts w:ascii="宋体" w:hAnsi="宋体" w:eastAsia="宋体" w:cs="宋体"/>
          <w:color w:val="auto"/>
          <w:spacing w:val="-6"/>
          <w:sz w:val="21"/>
          <w:szCs w:val="21"/>
          <w:highlight w:val="none"/>
        </w:rPr>
        <w:t>提前验收的单位工程，</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其缺陷责任期的起算日期相应提前。</w:t>
      </w:r>
    </w:p>
    <w:p w14:paraId="5F454CDF">
      <w:pPr>
        <w:spacing w:before="299"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19.2</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缺陷责任</w:t>
      </w:r>
    </w:p>
    <w:p w14:paraId="71B7E1CD">
      <w:pPr>
        <w:spacing w:before="280"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19.2.1 承包人应在缺陷责任期内对已交付使用的工程承担缺陷责任。</w:t>
      </w:r>
    </w:p>
    <w:p w14:paraId="430048EA">
      <w:pPr>
        <w:spacing w:before="159" w:line="350" w:lineRule="auto"/>
        <w:ind w:left="1" w:right="20" w:firstLine="435"/>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19.2.2 缺陷责任期内，发包人对已接收使用的工程负责日常维护工作。发包人在使用过程中，</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发现已接收的工程存在新的缺陷或已修复的缺陷部位或部件又遭损坏的，承包人</w:t>
      </w:r>
      <w:r>
        <w:rPr>
          <w:rFonts w:ascii="宋体" w:hAnsi="宋体" w:eastAsia="宋体" w:cs="宋体"/>
          <w:color w:val="auto"/>
          <w:sz w:val="21"/>
          <w:szCs w:val="21"/>
          <w:highlight w:val="none"/>
        </w:rPr>
        <w:t xml:space="preserve">应负责修复，直至 </w:t>
      </w:r>
      <w:r>
        <w:rPr>
          <w:rFonts w:ascii="宋体" w:hAnsi="宋体" w:eastAsia="宋体" w:cs="宋体"/>
          <w:color w:val="auto"/>
          <w:spacing w:val="-3"/>
          <w:sz w:val="21"/>
          <w:szCs w:val="21"/>
          <w:highlight w:val="none"/>
        </w:rPr>
        <w:t>检验合格为止。</w:t>
      </w:r>
    </w:p>
    <w:p w14:paraId="25777A07">
      <w:pPr>
        <w:spacing w:before="30" w:line="351" w:lineRule="auto"/>
        <w:ind w:left="6" w:right="76" w:firstLine="43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19.2.3 监理人和承包人应共同查清缺陷和（或）损坏的原因。经查明属承包人原因造成的，应</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由承包人承担修复和查验的费用。经查验属发</w:t>
      </w:r>
      <w:r>
        <w:rPr>
          <w:rFonts w:ascii="宋体" w:hAnsi="宋体" w:eastAsia="宋体" w:cs="宋体"/>
          <w:color w:val="auto"/>
          <w:sz w:val="21"/>
          <w:szCs w:val="21"/>
          <w:highlight w:val="none"/>
        </w:rPr>
        <w:t xml:space="preserve">包人原因造成的，发包人应承担修复和查验的费用， </w:t>
      </w:r>
      <w:r>
        <w:rPr>
          <w:rFonts w:ascii="宋体" w:hAnsi="宋体" w:eastAsia="宋体" w:cs="宋体"/>
          <w:color w:val="auto"/>
          <w:spacing w:val="-3"/>
          <w:sz w:val="21"/>
          <w:szCs w:val="21"/>
          <w:highlight w:val="none"/>
        </w:rPr>
        <w:t>并支付承包人合理利润。</w:t>
      </w:r>
    </w:p>
    <w:p w14:paraId="193AAAD2">
      <w:pPr>
        <w:spacing w:before="30" w:line="345" w:lineRule="auto"/>
        <w:ind w:left="2" w:right="74" w:firstLine="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19.2.4 承包人不能在合理时间内修复缺陷的，发包人可自行修复或委托其他人修复，所需费用</w:t>
      </w:r>
      <w:r>
        <w:rPr>
          <w:rFonts w:ascii="宋体" w:hAnsi="宋体" w:eastAsia="宋体" w:cs="宋体"/>
          <w:color w:val="auto"/>
          <w:spacing w:val="5"/>
          <w:sz w:val="21"/>
          <w:szCs w:val="21"/>
          <w:highlight w:val="none"/>
        </w:rPr>
        <w:t xml:space="preserve"> </w:t>
      </w:r>
      <w:r>
        <w:rPr>
          <w:rFonts w:ascii="宋体" w:hAnsi="宋体" w:eastAsia="宋体" w:cs="宋体"/>
          <w:color w:val="auto"/>
          <w:spacing w:val="-2"/>
          <w:sz w:val="21"/>
          <w:szCs w:val="21"/>
          <w:highlight w:val="none"/>
        </w:rPr>
        <w:t>和利润的承担，按第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19.2.3</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项约定办</w:t>
      </w:r>
      <w:r>
        <w:rPr>
          <w:rFonts w:ascii="宋体" w:hAnsi="宋体" w:eastAsia="宋体" w:cs="宋体"/>
          <w:color w:val="auto"/>
          <w:spacing w:val="-3"/>
          <w:sz w:val="21"/>
          <w:szCs w:val="21"/>
          <w:highlight w:val="none"/>
        </w:rPr>
        <w:t>理。</w:t>
      </w:r>
    </w:p>
    <w:p w14:paraId="1E9EAF2B">
      <w:pPr>
        <w:spacing w:before="300"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19.3</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缺陷责任期的延长</w:t>
      </w:r>
    </w:p>
    <w:p w14:paraId="0949164F">
      <w:pPr>
        <w:spacing w:before="279" w:line="346" w:lineRule="auto"/>
        <w:ind w:left="4" w:right="78" w:firstLine="44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由于承包人原因造成某项缺陷或损坏使某项工程或工程设备不能按原定目标使用而需要再次检</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查、检验和修复的，发包人有权要求承包人相应延长缺陷责任期，但缺陷责任期最长不超过</w:t>
      </w:r>
      <w:r>
        <w:rPr>
          <w:rFonts w:ascii="宋体" w:hAnsi="宋体" w:eastAsia="宋体" w:cs="宋体"/>
          <w:color w:val="auto"/>
          <w:spacing w:val="-34"/>
          <w:sz w:val="21"/>
          <w:szCs w:val="21"/>
          <w:highlight w:val="none"/>
        </w:rPr>
        <w:t xml:space="preserve"> </w:t>
      </w:r>
      <w:r>
        <w:rPr>
          <w:rFonts w:ascii="宋体" w:hAnsi="宋体" w:eastAsia="宋体" w:cs="宋体"/>
          <w:color w:val="auto"/>
          <w:spacing w:val="-1"/>
          <w:sz w:val="21"/>
          <w:szCs w:val="21"/>
          <w:highlight w:val="none"/>
        </w:rPr>
        <w:t>2</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年。</w:t>
      </w:r>
    </w:p>
    <w:p w14:paraId="7163EB3A">
      <w:pPr>
        <w:spacing w:before="30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19.4</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进一步试验和试运行</w:t>
      </w:r>
    </w:p>
    <w:p w14:paraId="2E433484">
      <w:pPr>
        <w:spacing w:before="281" w:line="345" w:lineRule="auto"/>
        <w:ind w:right="77"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任何一项缺陷或损坏修复后，经检查证明其影响了工程或工程设备的使用性能</w:t>
      </w:r>
      <w:r>
        <w:rPr>
          <w:rFonts w:ascii="宋体" w:hAnsi="宋体" w:eastAsia="宋体" w:cs="宋体"/>
          <w:color w:val="auto"/>
          <w:sz w:val="21"/>
          <w:szCs w:val="21"/>
          <w:highlight w:val="none"/>
        </w:rPr>
        <w:t xml:space="preserve">，承包人应重新 </w:t>
      </w:r>
      <w:r>
        <w:rPr>
          <w:rFonts w:ascii="宋体" w:hAnsi="宋体" w:eastAsia="宋体" w:cs="宋体"/>
          <w:color w:val="auto"/>
          <w:spacing w:val="-1"/>
          <w:sz w:val="21"/>
          <w:szCs w:val="21"/>
          <w:highlight w:val="none"/>
        </w:rPr>
        <w:t>进行合同约定的试验和试运行，试验和试运行的全部费用应由责任方承担。</w:t>
      </w:r>
    </w:p>
    <w:p w14:paraId="7B0002F1">
      <w:pPr>
        <w:spacing w:before="56"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19.5</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承包人的进入权</w:t>
      </w:r>
    </w:p>
    <w:p w14:paraId="65A8698F">
      <w:pPr>
        <w:spacing w:before="280" w:line="348" w:lineRule="auto"/>
        <w:ind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缺陷责任期内承包人为缺陷修复工作需要，有权进入工程现场，但应遵守</w:t>
      </w:r>
      <w:r>
        <w:rPr>
          <w:rFonts w:ascii="宋体" w:hAnsi="宋体" w:eastAsia="宋体" w:cs="宋体"/>
          <w:color w:val="auto"/>
          <w:sz w:val="21"/>
          <w:szCs w:val="21"/>
          <w:highlight w:val="none"/>
        </w:rPr>
        <w:t xml:space="preserve">发包人的保安和保密 </w:t>
      </w:r>
      <w:r>
        <w:rPr>
          <w:rFonts w:ascii="宋体" w:hAnsi="宋体" w:eastAsia="宋体" w:cs="宋体"/>
          <w:color w:val="auto"/>
          <w:spacing w:val="-8"/>
          <w:sz w:val="21"/>
          <w:szCs w:val="21"/>
          <w:highlight w:val="none"/>
        </w:rPr>
        <w:t>规定。</w:t>
      </w:r>
    </w:p>
    <w:p w14:paraId="3A928608">
      <w:pPr>
        <w:spacing w:before="296" w:line="219"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19.6</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缺陷责任期终止证书</w:t>
      </w:r>
    </w:p>
    <w:p w14:paraId="41E900E8">
      <w:pPr>
        <w:spacing w:before="281" w:line="345" w:lineRule="auto"/>
        <w:ind w:left="20" w:right="2" w:firstLine="39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在第</w:t>
      </w:r>
      <w:r>
        <w:rPr>
          <w:rFonts w:ascii="宋体" w:hAnsi="宋体" w:eastAsia="宋体" w:cs="宋体"/>
          <w:color w:val="auto"/>
          <w:spacing w:val="-24"/>
          <w:sz w:val="21"/>
          <w:szCs w:val="21"/>
          <w:highlight w:val="none"/>
        </w:rPr>
        <w:t xml:space="preserve"> </w:t>
      </w: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pacing w:val="-3"/>
          <w:sz w:val="21"/>
          <w:szCs w:val="21"/>
          <w:highlight w:val="none"/>
        </w:rPr>
        <w:t>1.1.4.5</w:t>
      </w:r>
      <w:r>
        <w:rPr>
          <w:rFonts w:ascii="宋体" w:hAnsi="宋体" w:eastAsia="宋体" w:cs="宋体"/>
          <w:color w:val="auto"/>
          <w:spacing w:val="-3"/>
          <w:sz w:val="21"/>
          <w:szCs w:val="21"/>
          <w:highlight w:val="none"/>
        </w:rPr>
        <w:fldChar w:fldCharType="end"/>
      </w:r>
      <w:r>
        <w:rPr>
          <w:rFonts w:ascii="宋体" w:hAnsi="宋体" w:eastAsia="宋体" w:cs="宋体"/>
          <w:color w:val="auto"/>
          <w:spacing w:val="-3"/>
          <w:sz w:val="21"/>
          <w:szCs w:val="21"/>
          <w:highlight w:val="none"/>
        </w:rPr>
        <w:t xml:space="preserve"> 目约定的缺陷责任期，包括根据第</w:t>
      </w:r>
      <w:r>
        <w:rPr>
          <w:rFonts w:ascii="宋体" w:hAnsi="宋体" w:eastAsia="宋体" w:cs="宋体"/>
          <w:color w:val="auto"/>
          <w:spacing w:val="-23"/>
          <w:sz w:val="21"/>
          <w:szCs w:val="21"/>
          <w:highlight w:val="none"/>
        </w:rPr>
        <w:t xml:space="preserve"> </w:t>
      </w:r>
      <w:r>
        <w:rPr>
          <w:rFonts w:ascii="宋体" w:hAnsi="宋体" w:eastAsia="宋体" w:cs="宋体"/>
          <w:color w:val="auto"/>
          <w:spacing w:val="-3"/>
          <w:sz w:val="21"/>
          <w:szCs w:val="21"/>
          <w:highlight w:val="none"/>
        </w:rPr>
        <w:t>19.3</w:t>
      </w:r>
      <w:r>
        <w:rPr>
          <w:rFonts w:ascii="宋体" w:hAnsi="宋体" w:eastAsia="宋体" w:cs="宋体"/>
          <w:color w:val="auto"/>
          <w:spacing w:val="-36"/>
          <w:sz w:val="21"/>
          <w:szCs w:val="21"/>
          <w:highlight w:val="none"/>
        </w:rPr>
        <w:t xml:space="preserve"> </w:t>
      </w:r>
      <w:r>
        <w:rPr>
          <w:rFonts w:ascii="宋体" w:hAnsi="宋体" w:eastAsia="宋体" w:cs="宋体"/>
          <w:color w:val="auto"/>
          <w:spacing w:val="-3"/>
          <w:sz w:val="21"/>
          <w:szCs w:val="21"/>
          <w:highlight w:val="none"/>
        </w:rPr>
        <w:t>款延长的期限终止后</w:t>
      </w:r>
      <w:r>
        <w:rPr>
          <w:rFonts w:ascii="宋体" w:hAnsi="宋体" w:eastAsia="宋体" w:cs="宋体"/>
          <w:color w:val="auto"/>
          <w:spacing w:val="-21"/>
          <w:sz w:val="21"/>
          <w:szCs w:val="21"/>
          <w:highlight w:val="none"/>
        </w:rPr>
        <w:t xml:space="preserve"> </w:t>
      </w:r>
      <w:r>
        <w:rPr>
          <w:rFonts w:ascii="宋体" w:hAnsi="宋体" w:eastAsia="宋体" w:cs="宋体"/>
          <w:color w:val="auto"/>
          <w:spacing w:val="-3"/>
          <w:sz w:val="21"/>
          <w:szCs w:val="21"/>
          <w:highlight w:val="none"/>
        </w:rPr>
        <w:t>14</w:t>
      </w:r>
      <w:r>
        <w:rPr>
          <w:rFonts w:ascii="宋体" w:hAnsi="宋体" w:eastAsia="宋体" w:cs="宋体"/>
          <w:color w:val="auto"/>
          <w:spacing w:val="-33"/>
          <w:sz w:val="21"/>
          <w:szCs w:val="21"/>
          <w:highlight w:val="none"/>
        </w:rPr>
        <w:t xml:space="preserve"> </w:t>
      </w:r>
      <w:r>
        <w:rPr>
          <w:rFonts w:ascii="宋体" w:hAnsi="宋体" w:eastAsia="宋体" w:cs="宋体"/>
          <w:color w:val="auto"/>
          <w:spacing w:val="-3"/>
          <w:sz w:val="21"/>
          <w:szCs w:val="21"/>
          <w:highlight w:val="none"/>
        </w:rPr>
        <w:t>天内，由</w:t>
      </w:r>
      <w:r>
        <w:rPr>
          <w:rFonts w:ascii="宋体" w:hAnsi="宋体" w:eastAsia="宋体" w:cs="宋体"/>
          <w:color w:val="auto"/>
          <w:spacing w:val="-4"/>
          <w:sz w:val="21"/>
          <w:szCs w:val="21"/>
          <w:highlight w:val="none"/>
        </w:rPr>
        <w:t>监理人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向承包人出具经发包人签认的缺陷责任期终止证书，并退还剩余的质量</w:t>
      </w:r>
      <w:r>
        <w:rPr>
          <w:rFonts w:ascii="宋体" w:hAnsi="宋体" w:eastAsia="宋体" w:cs="宋体"/>
          <w:color w:val="auto"/>
          <w:spacing w:val="-2"/>
          <w:sz w:val="21"/>
          <w:szCs w:val="21"/>
          <w:highlight w:val="none"/>
        </w:rPr>
        <w:t>保证金。</w:t>
      </w:r>
    </w:p>
    <w:p w14:paraId="64A28810">
      <w:pPr>
        <w:spacing w:before="300"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19.7</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保修责任</w:t>
      </w:r>
    </w:p>
    <w:p w14:paraId="2A4D5854">
      <w:pPr>
        <w:spacing w:before="280" w:line="351" w:lineRule="auto"/>
        <w:ind w:right="1"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合同当事人根据有关法律规定，在专用合同条款中约定工程质量保修范围</w:t>
      </w:r>
      <w:r>
        <w:rPr>
          <w:rFonts w:ascii="宋体" w:hAnsi="宋体" w:eastAsia="宋体" w:cs="宋体"/>
          <w:color w:val="auto"/>
          <w:sz w:val="21"/>
          <w:szCs w:val="21"/>
          <w:highlight w:val="none"/>
        </w:rPr>
        <w:t xml:space="preserve">、期限和责任。保修 </w:t>
      </w:r>
      <w:r>
        <w:rPr>
          <w:rFonts w:ascii="宋体" w:hAnsi="宋体" w:eastAsia="宋体" w:cs="宋体"/>
          <w:color w:val="auto"/>
          <w:spacing w:val="1"/>
          <w:sz w:val="21"/>
          <w:szCs w:val="21"/>
          <w:highlight w:val="none"/>
        </w:rPr>
        <w:t>期自实际竣工日期起计算。在全部工程竣工验收前，已经发包人提前验收的单</w:t>
      </w:r>
      <w:r>
        <w:rPr>
          <w:rFonts w:ascii="宋体" w:hAnsi="宋体" w:eastAsia="宋体" w:cs="宋体"/>
          <w:color w:val="auto"/>
          <w:sz w:val="21"/>
          <w:szCs w:val="21"/>
          <w:highlight w:val="none"/>
        </w:rPr>
        <w:t xml:space="preserve">位工程，其保修期的 </w:t>
      </w:r>
      <w:r>
        <w:rPr>
          <w:rFonts w:ascii="宋体" w:hAnsi="宋体" w:eastAsia="宋体" w:cs="宋体"/>
          <w:color w:val="auto"/>
          <w:spacing w:val="-3"/>
          <w:sz w:val="21"/>
          <w:szCs w:val="21"/>
          <w:highlight w:val="none"/>
        </w:rPr>
        <w:t>起算日期相应提前。</w:t>
      </w:r>
    </w:p>
    <w:p w14:paraId="16B09794">
      <w:pPr>
        <w:spacing w:before="44" w:line="226" w:lineRule="auto"/>
        <w:ind w:left="7"/>
        <w:outlineLvl w:val="9"/>
        <w:rPr>
          <w:rFonts w:ascii="宋体" w:hAnsi="宋体" w:eastAsia="宋体" w:cs="宋体"/>
          <w:color w:val="auto"/>
          <w:sz w:val="31"/>
          <w:szCs w:val="31"/>
          <w:highlight w:val="none"/>
        </w:rPr>
      </w:pPr>
      <w:bookmarkStart w:id="269" w:name="bookmark244"/>
      <w:bookmarkEnd w:id="269"/>
      <w:bookmarkStart w:id="270" w:name="_Toc29037"/>
      <w:bookmarkStart w:id="271" w:name="_Toc23983"/>
      <w:r>
        <w:rPr>
          <w:rFonts w:ascii="宋体" w:hAnsi="宋体" w:eastAsia="宋体" w:cs="宋体"/>
          <w:b/>
          <w:bCs/>
          <w:color w:val="auto"/>
          <w:spacing w:val="-2"/>
          <w:sz w:val="31"/>
          <w:szCs w:val="31"/>
          <w:highlight w:val="none"/>
        </w:rPr>
        <w:t>20.</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2"/>
          <w:sz w:val="31"/>
          <w:szCs w:val="31"/>
          <w:highlight w:val="none"/>
        </w:rPr>
        <w:t>保险</w:t>
      </w:r>
      <w:bookmarkEnd w:id="270"/>
      <w:bookmarkEnd w:id="271"/>
    </w:p>
    <w:p w14:paraId="527D60B5">
      <w:pPr>
        <w:spacing w:before="275"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20.1</w:t>
      </w:r>
      <w:r>
        <w:rPr>
          <w:rFonts w:ascii="宋体" w:hAnsi="宋体" w:eastAsia="宋体" w:cs="宋体"/>
          <w:color w:val="auto"/>
          <w:spacing w:val="23"/>
          <w:sz w:val="28"/>
          <w:szCs w:val="28"/>
          <w:highlight w:val="none"/>
        </w:rPr>
        <w:t xml:space="preserve"> </w:t>
      </w:r>
      <w:r>
        <w:rPr>
          <w:rFonts w:ascii="宋体" w:hAnsi="宋体" w:eastAsia="宋体" w:cs="宋体"/>
          <w:b/>
          <w:bCs/>
          <w:color w:val="auto"/>
          <w:spacing w:val="-6"/>
          <w:sz w:val="28"/>
          <w:szCs w:val="28"/>
          <w:highlight w:val="none"/>
        </w:rPr>
        <w:t>工程保险</w:t>
      </w:r>
    </w:p>
    <w:p w14:paraId="459C02A8">
      <w:pPr>
        <w:spacing w:before="278" w:line="350" w:lineRule="auto"/>
        <w:ind w:left="1" w:right="1" w:firstLine="429"/>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除专用合同条款另有约定外，承包人应以发包</w:t>
      </w:r>
      <w:r>
        <w:rPr>
          <w:rFonts w:ascii="宋体" w:hAnsi="宋体" w:eastAsia="宋体" w:cs="宋体"/>
          <w:color w:val="auto"/>
          <w:sz w:val="21"/>
          <w:szCs w:val="21"/>
          <w:highlight w:val="none"/>
        </w:rPr>
        <w:t xml:space="preserve">人和承包人的共同名义向双方同意的保险人投保 </w:t>
      </w:r>
      <w:r>
        <w:rPr>
          <w:rFonts w:ascii="宋体" w:hAnsi="宋体" w:eastAsia="宋体" w:cs="宋体"/>
          <w:color w:val="auto"/>
          <w:spacing w:val="1"/>
          <w:sz w:val="21"/>
          <w:szCs w:val="21"/>
          <w:highlight w:val="none"/>
        </w:rPr>
        <w:t>建筑工程一切险、安装工程一切险。其具体的投保内容、保险金额、保险</w:t>
      </w:r>
      <w:r>
        <w:rPr>
          <w:rFonts w:ascii="宋体" w:hAnsi="宋体" w:eastAsia="宋体" w:cs="宋体"/>
          <w:color w:val="auto"/>
          <w:sz w:val="21"/>
          <w:szCs w:val="21"/>
          <w:highlight w:val="none"/>
        </w:rPr>
        <w:t xml:space="preserve">费率、保险期限等有关内 </w:t>
      </w:r>
      <w:r>
        <w:rPr>
          <w:rFonts w:ascii="宋体" w:hAnsi="宋体" w:eastAsia="宋体" w:cs="宋体"/>
          <w:color w:val="auto"/>
          <w:spacing w:val="-1"/>
          <w:sz w:val="21"/>
          <w:szCs w:val="21"/>
          <w:highlight w:val="none"/>
        </w:rPr>
        <w:t>容在专用合同条款中约定。</w:t>
      </w:r>
    </w:p>
    <w:p w14:paraId="179B2F43">
      <w:pPr>
        <w:spacing w:before="301"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人员工伤事故的保险</w:t>
      </w:r>
    </w:p>
    <w:p w14:paraId="20E84DB8">
      <w:pPr>
        <w:spacing w:before="280"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20.2.1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承包人员工伤事故的保险</w:t>
      </w:r>
    </w:p>
    <w:p w14:paraId="1CE558D2">
      <w:pPr>
        <w:spacing w:before="157" w:line="347" w:lineRule="auto"/>
        <w:ind w:left="4" w:right="45" w:firstLine="414"/>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承包人应依照有关法律规定参加工伤保险，为其履行合同所雇佣的全部人</w:t>
      </w:r>
      <w:r>
        <w:rPr>
          <w:rFonts w:ascii="宋体" w:hAnsi="宋体" w:eastAsia="宋体" w:cs="宋体"/>
          <w:color w:val="auto"/>
          <w:spacing w:val="-6"/>
          <w:sz w:val="21"/>
          <w:szCs w:val="21"/>
          <w:highlight w:val="none"/>
        </w:rPr>
        <w:t>员，缴纳工伤保险费，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并要求其分包人也进行此项保险。</w:t>
      </w:r>
    </w:p>
    <w:p w14:paraId="7C32F5C7">
      <w:pPr>
        <w:spacing w:before="28"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20.2.2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发包人员工伤事故的保险</w:t>
      </w:r>
    </w:p>
    <w:p w14:paraId="3C5A48C4">
      <w:pPr>
        <w:spacing w:before="158" w:line="345" w:lineRule="auto"/>
        <w:ind w:left="4" w:right="49" w:firstLine="41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发包人应依照有关法律规定参加工伤保险，为其现场机</w:t>
      </w:r>
      <w:r>
        <w:rPr>
          <w:rFonts w:ascii="宋体" w:hAnsi="宋体" w:eastAsia="宋体" w:cs="宋体"/>
          <w:color w:val="auto"/>
          <w:spacing w:val="-1"/>
          <w:sz w:val="21"/>
          <w:szCs w:val="21"/>
          <w:highlight w:val="none"/>
        </w:rPr>
        <w:t>构雇佣的全部人员，缴纳工伤保险费，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并要求其监理人也进行此项保险。</w:t>
      </w:r>
    </w:p>
    <w:p w14:paraId="17ABF3DE">
      <w:pPr>
        <w:spacing w:before="299"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人身意外伤害险</w:t>
      </w:r>
    </w:p>
    <w:p w14:paraId="2BBD96FA">
      <w:pPr>
        <w:spacing w:before="281" w:line="291" w:lineRule="auto"/>
        <w:ind w:left="10" w:firstLine="41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20.3.1 发包人应在整个施工期间为其现场机构雇用的全部人员，投保人身意外伤害险，缴纳保</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险费，并要求其监理人也进行此项保险。</w:t>
      </w:r>
    </w:p>
    <w:p w14:paraId="7297B7C8">
      <w:pPr>
        <w:spacing w:before="156" w:line="290" w:lineRule="auto"/>
        <w:ind w:left="10" w:firstLine="41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20.3.2 承包人应在整个施工期间为其现场机构雇用的全部人员，投保人身意外伤害险，缴纳保</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险费，并要求其分包人也进行此项保险。</w:t>
      </w:r>
    </w:p>
    <w:p w14:paraId="6BEA9F1C">
      <w:pPr>
        <w:spacing w:before="56"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第三者责任险</w:t>
      </w:r>
    </w:p>
    <w:p w14:paraId="13D8B7EE">
      <w:pPr>
        <w:spacing w:before="281" w:line="313" w:lineRule="auto"/>
        <w:ind w:left="1" w:firstLine="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20.4.1 第三者责任系指在保险期内，对因工程意外事故造成的、依法应由被保险人负责的工地</w:t>
      </w:r>
      <w:r>
        <w:rPr>
          <w:rFonts w:ascii="宋体" w:hAnsi="宋体" w:eastAsia="宋体" w:cs="宋体"/>
          <w:color w:val="auto"/>
          <w:spacing w:val="16"/>
          <w:sz w:val="21"/>
          <w:szCs w:val="21"/>
          <w:highlight w:val="none"/>
        </w:rPr>
        <w:t xml:space="preserve"> </w:t>
      </w:r>
      <w:r>
        <w:rPr>
          <w:rFonts w:ascii="宋体" w:hAnsi="宋体" w:eastAsia="宋体" w:cs="宋体"/>
          <w:color w:val="auto"/>
          <w:spacing w:val="-3"/>
          <w:sz w:val="21"/>
          <w:szCs w:val="21"/>
          <w:highlight w:val="none"/>
        </w:rPr>
        <w:t>上及毗邻地区的第三者人身伤亡、疾病或财产损失（本工程除外</w:t>
      </w:r>
      <w:r>
        <w:rPr>
          <w:rFonts w:ascii="宋体" w:hAnsi="宋体" w:eastAsia="宋体" w:cs="宋体"/>
          <w:color w:val="auto"/>
          <w:spacing w:val="-19"/>
          <w:sz w:val="21"/>
          <w:szCs w:val="21"/>
          <w:highlight w:val="none"/>
        </w:rPr>
        <w:t>），</w:t>
      </w:r>
      <w:r>
        <w:rPr>
          <w:rFonts w:ascii="宋体" w:hAnsi="宋体" w:eastAsia="宋体" w:cs="宋体"/>
          <w:color w:val="auto"/>
          <w:spacing w:val="-3"/>
          <w:sz w:val="21"/>
          <w:szCs w:val="21"/>
          <w:highlight w:val="none"/>
        </w:rPr>
        <w:t>以</w:t>
      </w:r>
      <w:r>
        <w:rPr>
          <w:rFonts w:ascii="宋体" w:hAnsi="宋体" w:eastAsia="宋体" w:cs="宋体"/>
          <w:color w:val="auto"/>
          <w:spacing w:val="-4"/>
          <w:sz w:val="21"/>
          <w:szCs w:val="21"/>
          <w:highlight w:val="none"/>
        </w:rPr>
        <w:t>及被保险人因此而支付的诉讼</w:t>
      </w:r>
      <w:r>
        <w:rPr>
          <w:rFonts w:ascii="宋体" w:hAnsi="宋体" w:eastAsia="宋体" w:cs="宋体"/>
          <w:color w:val="auto"/>
          <w:spacing w:val="1"/>
          <w:sz w:val="21"/>
          <w:szCs w:val="21"/>
          <w:highlight w:val="none"/>
        </w:rPr>
        <w:t xml:space="preserve"> </w:t>
      </w:r>
      <w:r>
        <w:rPr>
          <w:rFonts w:ascii="宋体" w:hAnsi="宋体" w:eastAsia="宋体" w:cs="宋体"/>
          <w:color w:val="auto"/>
          <w:sz w:val="21"/>
          <w:szCs w:val="21"/>
          <w:highlight w:val="none"/>
        </w:rPr>
        <w:t>费用和事先经保险人书面同意支付的其他费用等</w:t>
      </w:r>
      <w:r>
        <w:rPr>
          <w:rFonts w:ascii="宋体" w:hAnsi="宋体" w:eastAsia="宋体" w:cs="宋体"/>
          <w:color w:val="auto"/>
          <w:spacing w:val="-1"/>
          <w:sz w:val="21"/>
          <w:szCs w:val="21"/>
          <w:highlight w:val="none"/>
        </w:rPr>
        <w:t>赔偿责任。</w:t>
      </w:r>
    </w:p>
    <w:p w14:paraId="305B8929">
      <w:pPr>
        <w:spacing w:before="157" w:line="290" w:lineRule="auto"/>
        <w:ind w:left="3" w:right="2" w:firstLine="419"/>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20.4.2 在缺陷责任期终止证书颁发前，承包人应以承包人和发包人的共同名义，投保第</w:t>
      </w:r>
      <w:r>
        <w:rPr>
          <w:rFonts w:ascii="宋体" w:hAnsi="宋体" w:eastAsia="宋体" w:cs="宋体"/>
          <w:color w:val="auto"/>
          <w:spacing w:val="-35"/>
          <w:sz w:val="21"/>
          <w:szCs w:val="21"/>
          <w:highlight w:val="none"/>
        </w:rPr>
        <w:t xml:space="preserve"> </w:t>
      </w:r>
      <w:r>
        <w:rPr>
          <w:rFonts w:ascii="宋体" w:hAnsi="宋体" w:eastAsia="宋体" w:cs="宋体"/>
          <w:color w:val="auto"/>
          <w:spacing w:val="-3"/>
          <w:sz w:val="21"/>
          <w:szCs w:val="21"/>
          <w:highlight w:val="none"/>
        </w:rPr>
        <w:t>20.4.1</w:t>
      </w:r>
      <w:r>
        <w:rPr>
          <w:rFonts w:ascii="宋体" w:hAnsi="宋体" w:eastAsia="宋体" w:cs="宋体"/>
          <w:color w:val="auto"/>
          <w:sz w:val="21"/>
          <w:szCs w:val="21"/>
          <w:highlight w:val="none"/>
        </w:rPr>
        <w:t xml:space="preserve"> 项约定的第三者责任险，其保险费率、保险金额等有关内容在专用合同条</w:t>
      </w:r>
      <w:r>
        <w:rPr>
          <w:rFonts w:ascii="宋体" w:hAnsi="宋体" w:eastAsia="宋体" w:cs="宋体"/>
          <w:color w:val="auto"/>
          <w:spacing w:val="-1"/>
          <w:sz w:val="21"/>
          <w:szCs w:val="21"/>
          <w:highlight w:val="none"/>
        </w:rPr>
        <w:t>款中约定。</w:t>
      </w:r>
    </w:p>
    <w:p w14:paraId="6555ADDA">
      <w:pPr>
        <w:spacing w:line="335" w:lineRule="auto"/>
        <w:outlineLvl w:val="9"/>
        <w:rPr>
          <w:rFonts w:ascii="Arial"/>
          <w:color w:val="auto"/>
          <w:sz w:val="21"/>
          <w:highlight w:val="none"/>
        </w:rPr>
      </w:pPr>
    </w:p>
    <w:p w14:paraId="24FFA4EB">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其他保险</w:t>
      </w:r>
    </w:p>
    <w:p w14:paraId="614BBE58">
      <w:pPr>
        <w:spacing w:before="279" w:line="220" w:lineRule="auto"/>
        <w:ind w:left="4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除专用合同条款另有约定外，承包人应为其施工设备、进场的材料和工程设备等办理保险。</w:t>
      </w:r>
    </w:p>
    <w:p w14:paraId="74EDF51E">
      <w:pPr>
        <w:spacing w:line="334" w:lineRule="auto"/>
        <w:outlineLvl w:val="9"/>
        <w:rPr>
          <w:rFonts w:ascii="Arial"/>
          <w:color w:val="auto"/>
          <w:sz w:val="21"/>
          <w:highlight w:val="none"/>
        </w:rPr>
      </w:pPr>
    </w:p>
    <w:p w14:paraId="6ED55698">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对各项保险的一般要求</w:t>
      </w:r>
    </w:p>
    <w:p w14:paraId="4A7DB005">
      <w:pPr>
        <w:spacing w:before="278"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保险凭证</w:t>
      </w:r>
    </w:p>
    <w:p w14:paraId="08782D1F">
      <w:pPr>
        <w:spacing w:before="157" w:line="345" w:lineRule="auto"/>
        <w:ind w:left="1" w:right="3" w:firstLine="41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承包人应在专用合同条款约定的期限内向发包人提交各项保险生效的证据</w:t>
      </w:r>
      <w:r>
        <w:rPr>
          <w:rFonts w:ascii="宋体" w:hAnsi="宋体" w:eastAsia="宋体" w:cs="宋体"/>
          <w:color w:val="auto"/>
          <w:sz w:val="21"/>
          <w:szCs w:val="21"/>
          <w:highlight w:val="none"/>
        </w:rPr>
        <w:t xml:space="preserve">和保险单副本，保险 </w:t>
      </w:r>
      <w:r>
        <w:rPr>
          <w:rFonts w:ascii="宋体" w:hAnsi="宋体" w:eastAsia="宋体" w:cs="宋体"/>
          <w:color w:val="auto"/>
          <w:spacing w:val="-1"/>
          <w:sz w:val="21"/>
          <w:szCs w:val="21"/>
          <w:highlight w:val="none"/>
        </w:rPr>
        <w:t>单必须与专用合同条款约定的条件保持一致。</w:t>
      </w:r>
    </w:p>
    <w:p w14:paraId="575F1100">
      <w:pPr>
        <w:spacing w:before="30"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保险合同条款的变动</w:t>
      </w:r>
    </w:p>
    <w:p w14:paraId="40F6EF2C">
      <w:pPr>
        <w:spacing w:before="160" w:line="345" w:lineRule="auto"/>
        <w:ind w:right="46" w:firstLine="42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承包人需要变动保险合同条款时，应事先征得发包人同意，并通知监理人</w:t>
      </w:r>
      <w:r>
        <w:rPr>
          <w:rFonts w:ascii="宋体" w:hAnsi="宋体" w:eastAsia="宋体" w:cs="宋体"/>
          <w:color w:val="auto"/>
          <w:spacing w:val="-6"/>
          <w:sz w:val="21"/>
          <w:szCs w:val="21"/>
          <w:highlight w:val="none"/>
        </w:rPr>
        <w:t>。保险人作出变动的，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承包人应在收到保险人通知后立即通知发包人和监理人。</w:t>
      </w:r>
    </w:p>
    <w:p w14:paraId="429ECF36">
      <w:pPr>
        <w:spacing w:before="30"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持续保险</w:t>
      </w:r>
    </w:p>
    <w:p w14:paraId="242EB93A">
      <w:pPr>
        <w:spacing w:before="158" w:line="345" w:lineRule="auto"/>
        <w:ind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承包人应与保险人保持联系，使保险人能够随时了解工程实施中的变动，</w:t>
      </w:r>
      <w:r>
        <w:rPr>
          <w:rFonts w:ascii="宋体" w:hAnsi="宋体" w:eastAsia="宋体" w:cs="宋体"/>
          <w:color w:val="auto"/>
          <w:sz w:val="21"/>
          <w:szCs w:val="21"/>
          <w:highlight w:val="none"/>
        </w:rPr>
        <w:t xml:space="preserve">并确保按保险合同条 </w:t>
      </w:r>
      <w:r>
        <w:rPr>
          <w:rFonts w:ascii="宋体" w:hAnsi="宋体" w:eastAsia="宋体" w:cs="宋体"/>
          <w:color w:val="auto"/>
          <w:spacing w:val="-1"/>
          <w:sz w:val="21"/>
          <w:szCs w:val="21"/>
          <w:highlight w:val="none"/>
        </w:rPr>
        <w:t>款要求持续保险。</w:t>
      </w:r>
    </w:p>
    <w:p w14:paraId="1CCE3984">
      <w:pPr>
        <w:spacing w:before="34"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20.6.4</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保险金不足的补偿</w:t>
      </w:r>
    </w:p>
    <w:p w14:paraId="5F66CF62">
      <w:pPr>
        <w:spacing w:before="155"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保险金不足以补偿损失的，应由承包人和（或）发包人按合同约定负责</w:t>
      </w:r>
      <w:r>
        <w:rPr>
          <w:rFonts w:ascii="宋体" w:hAnsi="宋体" w:eastAsia="宋体" w:cs="宋体"/>
          <w:color w:val="auto"/>
          <w:spacing w:val="-1"/>
          <w:sz w:val="21"/>
          <w:szCs w:val="21"/>
          <w:highlight w:val="none"/>
        </w:rPr>
        <w:t>补偿。</w:t>
      </w:r>
    </w:p>
    <w:p w14:paraId="16F071C2">
      <w:pPr>
        <w:spacing w:before="157"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20.6.5</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未按约定投保的补救</w:t>
      </w:r>
    </w:p>
    <w:p w14:paraId="360EC452">
      <w:pPr>
        <w:spacing w:before="156" w:line="290" w:lineRule="auto"/>
        <w:ind w:firstLine="42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（1）由于负有投保义务的一方当事人未按合同约定办理保险，或未能使保险持续有效的，另一</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方当事人可代为办理，所需费用由对方当事人承担。</w:t>
      </w:r>
    </w:p>
    <w:p w14:paraId="1ABDFAA4">
      <w:pPr>
        <w:spacing w:before="159" w:line="290" w:lineRule="auto"/>
        <w:ind w:left="17" w:firstLine="40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（2）由于负有投保义务的一方当事人未按合同约定办理某项保险，导致受益人未能得到保险人</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的赔偿，原应从该项保险得到的保险金应由负有投保义务的一方当事人支付。</w:t>
      </w:r>
    </w:p>
    <w:p w14:paraId="2CD971C1">
      <w:pPr>
        <w:spacing w:before="157" w:line="219"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20.6.6</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报告义务</w:t>
      </w:r>
    </w:p>
    <w:p w14:paraId="653E36DD">
      <w:pPr>
        <w:spacing w:before="160" w:line="219" w:lineRule="auto"/>
        <w:ind w:left="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当保险事故发生时，投保人应按照保险单规定的条件和期限及时向保险人报告。</w:t>
      </w:r>
    </w:p>
    <w:p w14:paraId="1264883E">
      <w:pPr>
        <w:spacing w:before="176" w:line="225" w:lineRule="auto"/>
        <w:ind w:left="8"/>
        <w:outlineLvl w:val="9"/>
        <w:rPr>
          <w:rFonts w:ascii="宋体" w:hAnsi="宋体" w:eastAsia="宋体" w:cs="宋体"/>
          <w:color w:val="auto"/>
          <w:sz w:val="31"/>
          <w:szCs w:val="31"/>
          <w:highlight w:val="none"/>
        </w:rPr>
      </w:pPr>
      <w:bookmarkStart w:id="272" w:name="bookmark245"/>
      <w:bookmarkEnd w:id="272"/>
      <w:bookmarkStart w:id="273" w:name="_Toc13077"/>
      <w:bookmarkStart w:id="274" w:name="_Toc3084"/>
      <w:r>
        <w:rPr>
          <w:rFonts w:ascii="宋体" w:hAnsi="宋体" w:eastAsia="宋体" w:cs="宋体"/>
          <w:b/>
          <w:bCs/>
          <w:color w:val="auto"/>
          <w:sz w:val="31"/>
          <w:szCs w:val="31"/>
          <w:highlight w:val="none"/>
        </w:rPr>
        <w:t>21.</w:t>
      </w:r>
      <w:r>
        <w:rPr>
          <w:rFonts w:ascii="宋体" w:hAnsi="宋体" w:eastAsia="宋体" w:cs="宋体"/>
          <w:color w:val="auto"/>
          <w:spacing w:val="29"/>
          <w:sz w:val="31"/>
          <w:szCs w:val="31"/>
          <w:highlight w:val="none"/>
        </w:rPr>
        <w:t xml:space="preserve"> </w:t>
      </w:r>
      <w:r>
        <w:rPr>
          <w:rFonts w:ascii="宋体" w:hAnsi="宋体" w:eastAsia="宋体" w:cs="宋体"/>
          <w:b/>
          <w:bCs/>
          <w:color w:val="auto"/>
          <w:sz w:val="31"/>
          <w:szCs w:val="31"/>
          <w:highlight w:val="none"/>
        </w:rPr>
        <w:t>不可抗力</w:t>
      </w:r>
      <w:bookmarkEnd w:id="273"/>
      <w:bookmarkEnd w:id="274"/>
    </w:p>
    <w:p w14:paraId="6CF0EF5D">
      <w:pPr>
        <w:spacing w:before="274"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不可抗力的确认</w:t>
      </w:r>
    </w:p>
    <w:p w14:paraId="737EBA12">
      <w:pPr>
        <w:spacing w:before="280"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21.1.1 不可抗力是指承包人和发包人在订立合同时不可预见，在工程施工过程中不可避免发生</w:t>
      </w:r>
    </w:p>
    <w:p w14:paraId="1F42BCD1">
      <w:pPr>
        <w:spacing w:before="41" w:line="346" w:lineRule="auto"/>
        <w:ind w:right="60" w:firstLine="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并不能克服的自然灾害和社会性突发事件，如地震、海啸、瘟疫、水</w:t>
      </w:r>
      <w:r>
        <w:rPr>
          <w:rFonts w:ascii="宋体" w:hAnsi="宋体" w:eastAsia="宋体" w:cs="宋体"/>
          <w:color w:val="auto"/>
          <w:sz w:val="21"/>
          <w:szCs w:val="21"/>
          <w:highlight w:val="none"/>
        </w:rPr>
        <w:t xml:space="preserve">灾、骚乱、暴动、战争和专用 </w:t>
      </w:r>
      <w:r>
        <w:rPr>
          <w:rFonts w:ascii="宋体" w:hAnsi="宋体" w:eastAsia="宋体" w:cs="宋体"/>
          <w:color w:val="auto"/>
          <w:spacing w:val="-1"/>
          <w:sz w:val="21"/>
          <w:szCs w:val="21"/>
          <w:highlight w:val="none"/>
        </w:rPr>
        <w:t>合同条款约定的其他情形。</w:t>
      </w:r>
    </w:p>
    <w:p w14:paraId="090F8B73">
      <w:pPr>
        <w:spacing w:before="29" w:line="351" w:lineRule="auto"/>
        <w:ind w:left="5" w:right="58" w:firstLine="417"/>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21.1.2 不可抗力发生后，发包人和承包人应及时认真统计所造成的损失，收集不可抗力造成损</w:t>
      </w:r>
      <w:r>
        <w:rPr>
          <w:rFonts w:ascii="宋体" w:hAnsi="宋体" w:eastAsia="宋体" w:cs="宋体"/>
          <w:color w:val="auto"/>
          <w:spacing w:val="18"/>
          <w:sz w:val="21"/>
          <w:szCs w:val="21"/>
          <w:highlight w:val="none"/>
        </w:rPr>
        <w:t xml:space="preserve"> </w:t>
      </w:r>
      <w:r>
        <w:rPr>
          <w:rFonts w:ascii="宋体" w:hAnsi="宋体" w:eastAsia="宋体" w:cs="宋体"/>
          <w:color w:val="auto"/>
          <w:spacing w:val="-1"/>
          <w:sz w:val="21"/>
          <w:szCs w:val="21"/>
          <w:highlight w:val="none"/>
        </w:rPr>
        <w:t>失的证据。合同双方对是否属于不可抗力或其损失的意见不一致的，由监理人按第</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款商定或确</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定。发生争议时，按第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3"/>
          <w:sz w:val="21"/>
          <w:szCs w:val="21"/>
          <w:highlight w:val="none"/>
        </w:rPr>
        <w:t>24</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条的约定办理。</w:t>
      </w:r>
    </w:p>
    <w:p w14:paraId="1D845A6C">
      <w:pPr>
        <w:spacing w:before="298"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不可抗力的通知</w:t>
      </w:r>
    </w:p>
    <w:p w14:paraId="4AD125AC">
      <w:pPr>
        <w:spacing w:before="281" w:line="289" w:lineRule="auto"/>
        <w:ind w:left="3" w:right="61" w:firstLine="41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21.2.1 合同一方当事人遇到不可抗力事件，使其履行合同义务受到阻碍时，应立即通知合同另</w:t>
      </w:r>
      <w:r>
        <w:rPr>
          <w:rFonts w:ascii="宋体" w:hAnsi="宋体" w:eastAsia="宋体" w:cs="宋体"/>
          <w:color w:val="auto"/>
          <w:spacing w:val="16"/>
          <w:sz w:val="21"/>
          <w:szCs w:val="21"/>
          <w:highlight w:val="none"/>
        </w:rPr>
        <w:t xml:space="preserve"> </w:t>
      </w:r>
      <w:r>
        <w:rPr>
          <w:rFonts w:ascii="宋体" w:hAnsi="宋体" w:eastAsia="宋体" w:cs="宋体"/>
          <w:color w:val="auto"/>
          <w:sz w:val="21"/>
          <w:szCs w:val="21"/>
          <w:highlight w:val="none"/>
        </w:rPr>
        <w:t>一方当事人和监理人，书面说明不可抗力和受阻碍的详细情况，并提供必</w:t>
      </w:r>
      <w:r>
        <w:rPr>
          <w:rFonts w:ascii="宋体" w:hAnsi="宋体" w:eastAsia="宋体" w:cs="宋体"/>
          <w:color w:val="auto"/>
          <w:spacing w:val="-1"/>
          <w:sz w:val="21"/>
          <w:szCs w:val="21"/>
          <w:highlight w:val="none"/>
        </w:rPr>
        <w:t>要的证明。</w:t>
      </w:r>
    </w:p>
    <w:p w14:paraId="6CB78056">
      <w:pPr>
        <w:spacing w:before="157" w:line="314" w:lineRule="auto"/>
        <w:ind w:right="59"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21.2.2 如不可抗力持续发生，合同一方当事人应及时向合同另一方当事人和监理人提交中间报</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告，说明不可抗力和履行合同受阻的情况，并于不可抗力事件结束后</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天内提交最</w:t>
      </w:r>
      <w:r>
        <w:rPr>
          <w:rFonts w:ascii="宋体" w:hAnsi="宋体" w:eastAsia="宋体" w:cs="宋体"/>
          <w:color w:val="auto"/>
          <w:spacing w:val="-3"/>
          <w:sz w:val="21"/>
          <w:szCs w:val="21"/>
          <w:highlight w:val="none"/>
        </w:rPr>
        <w:t>终报告及有关资</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料。</w:t>
      </w:r>
    </w:p>
    <w:p w14:paraId="652CDB15">
      <w:pPr>
        <w:spacing w:line="332" w:lineRule="auto"/>
        <w:outlineLvl w:val="9"/>
        <w:rPr>
          <w:rFonts w:ascii="Arial"/>
          <w:color w:val="auto"/>
          <w:sz w:val="21"/>
          <w:highlight w:val="none"/>
        </w:rPr>
      </w:pPr>
    </w:p>
    <w:p w14:paraId="4FE547C9">
      <w:pPr>
        <w:spacing w:before="91"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不可抗力后果及其处理</w:t>
      </w:r>
    </w:p>
    <w:p w14:paraId="561980AC">
      <w:pPr>
        <w:spacing w:before="279" w:line="221" w:lineRule="auto"/>
        <w:ind w:left="415"/>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21.3.1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不可抗力造成损害的责任</w:t>
      </w:r>
    </w:p>
    <w:p w14:paraId="53604773">
      <w:pPr>
        <w:spacing w:before="158" w:line="345" w:lineRule="auto"/>
        <w:ind w:left="2" w:right="62" w:firstLine="42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除专用合同条款另有约定外，不可抗力导致的</w:t>
      </w:r>
      <w:r>
        <w:rPr>
          <w:rFonts w:ascii="宋体" w:hAnsi="宋体" w:eastAsia="宋体" w:cs="宋体"/>
          <w:color w:val="auto"/>
          <w:sz w:val="21"/>
          <w:szCs w:val="21"/>
          <w:highlight w:val="none"/>
        </w:rPr>
        <w:t xml:space="preserve">人员伤亡、财产损失、费用增加和（或）工期延 </w:t>
      </w:r>
      <w:r>
        <w:rPr>
          <w:rFonts w:ascii="宋体" w:hAnsi="宋体" w:eastAsia="宋体" w:cs="宋体"/>
          <w:color w:val="auto"/>
          <w:spacing w:val="-2"/>
          <w:sz w:val="21"/>
          <w:szCs w:val="21"/>
          <w:highlight w:val="none"/>
        </w:rPr>
        <w:t>误等后果，由合同双方按以下原则承担：</w:t>
      </w:r>
    </w:p>
    <w:p w14:paraId="217895E2">
      <w:pPr>
        <w:spacing w:before="32" w:line="290" w:lineRule="auto"/>
        <w:ind w:left="1" w:right="69"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（1）永久工程，包括已运至施工场地的材料和工程设备的损害，以及因工程损害造成的第三者</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人员伤亡和财产损失由发包人承担；</w:t>
      </w:r>
    </w:p>
    <w:p w14:paraId="67DE3DC9">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（2）承包人设备的损坏由承包人承担；</w:t>
      </w:r>
    </w:p>
    <w:p w14:paraId="0246007F">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（3）发包人和承包人各自承担其人员伤亡和其他</w:t>
      </w:r>
      <w:r>
        <w:rPr>
          <w:rFonts w:ascii="宋体" w:hAnsi="宋体" w:eastAsia="宋体" w:cs="宋体"/>
          <w:color w:val="auto"/>
          <w:spacing w:val="-1"/>
          <w:sz w:val="21"/>
          <w:szCs w:val="21"/>
          <w:highlight w:val="none"/>
        </w:rPr>
        <w:t>财产损失及其相关费用；</w:t>
      </w:r>
    </w:p>
    <w:p w14:paraId="3143E06B">
      <w:pPr>
        <w:spacing w:before="156" w:line="291" w:lineRule="auto"/>
        <w:ind w:left="1" w:right="75"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（4）承包人的停工损失由承包人承担，但停工期间应监理人要求照管工程和</w:t>
      </w:r>
      <w:r>
        <w:rPr>
          <w:rFonts w:ascii="宋体" w:hAnsi="宋体" w:eastAsia="宋体" w:cs="宋体"/>
          <w:color w:val="auto"/>
          <w:spacing w:val="-3"/>
          <w:sz w:val="21"/>
          <w:szCs w:val="21"/>
          <w:highlight w:val="none"/>
        </w:rPr>
        <w:t>清理、修复工程的</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金额由发包人承担；</w:t>
      </w:r>
    </w:p>
    <w:p w14:paraId="78074EF0">
      <w:pPr>
        <w:spacing w:before="158" w:line="289" w:lineRule="auto"/>
        <w:ind w:right="108" w:firstLine="426"/>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（5）不能按期竣工的，应合理延长工期，承包人不需支付逾期竣工违约金。发包人要求赶工的，</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承包人应采取赶工措施，赶工费用由发包人承担。</w:t>
      </w:r>
    </w:p>
    <w:p w14:paraId="026BC113">
      <w:pPr>
        <w:spacing w:before="157" w:line="221" w:lineRule="auto"/>
        <w:ind w:left="415"/>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21.3.2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延迟履行期间发生的不可抗力</w:t>
      </w:r>
    </w:p>
    <w:p w14:paraId="435B50A2">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合同一方当事人延迟履行，在延迟履行期间发生不可抗力的，不免除</w:t>
      </w:r>
      <w:r>
        <w:rPr>
          <w:rFonts w:ascii="宋体" w:hAnsi="宋体" w:eastAsia="宋体" w:cs="宋体"/>
          <w:color w:val="auto"/>
          <w:spacing w:val="-1"/>
          <w:sz w:val="21"/>
          <w:szCs w:val="21"/>
          <w:highlight w:val="none"/>
        </w:rPr>
        <w:t>其责任。</w:t>
      </w:r>
    </w:p>
    <w:p w14:paraId="2564FDAF">
      <w:pPr>
        <w:spacing w:before="159" w:line="221" w:lineRule="auto"/>
        <w:ind w:left="415"/>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21.3.3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避免和减少不可抗力损失</w:t>
      </w:r>
    </w:p>
    <w:p w14:paraId="34AB9BFC">
      <w:pPr>
        <w:spacing w:before="158" w:line="345" w:lineRule="auto"/>
        <w:ind w:left="2" w:right="6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不可抗力发生后，发包人和承包人均应采取措施尽量避免和减少损</w:t>
      </w:r>
      <w:r>
        <w:rPr>
          <w:rFonts w:ascii="宋体" w:hAnsi="宋体" w:eastAsia="宋体" w:cs="宋体"/>
          <w:color w:val="auto"/>
          <w:sz w:val="21"/>
          <w:szCs w:val="21"/>
          <w:highlight w:val="none"/>
        </w:rPr>
        <w:t xml:space="preserve">失的扩大，任何一方没有采 </w:t>
      </w:r>
      <w:r>
        <w:rPr>
          <w:rFonts w:ascii="宋体" w:hAnsi="宋体" w:eastAsia="宋体" w:cs="宋体"/>
          <w:color w:val="auto"/>
          <w:spacing w:val="-1"/>
          <w:sz w:val="21"/>
          <w:szCs w:val="21"/>
          <w:highlight w:val="none"/>
        </w:rPr>
        <w:t>取有效措施导致损失扩大的，应对扩大的损失承担责任。</w:t>
      </w:r>
    </w:p>
    <w:p w14:paraId="31AE34BE">
      <w:pPr>
        <w:spacing w:before="30" w:line="221" w:lineRule="auto"/>
        <w:ind w:left="415"/>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21.3.4</w:t>
      </w:r>
      <w:r>
        <w:rPr>
          <w:rFonts w:ascii="宋体" w:hAnsi="宋体" w:eastAsia="宋体" w:cs="宋体"/>
          <w:color w:val="auto"/>
          <w:spacing w:val="28"/>
          <w:sz w:val="21"/>
          <w:szCs w:val="21"/>
          <w:highlight w:val="none"/>
        </w:rPr>
        <w:t xml:space="preserve"> </w:t>
      </w:r>
      <w:r>
        <w:rPr>
          <w:rFonts w:ascii="宋体" w:hAnsi="宋体" w:eastAsia="宋体" w:cs="宋体"/>
          <w:b/>
          <w:bCs/>
          <w:color w:val="auto"/>
          <w:spacing w:val="-4"/>
          <w:sz w:val="21"/>
          <w:szCs w:val="21"/>
          <w:highlight w:val="none"/>
        </w:rPr>
        <w:t>因不可抗力解除合同</w:t>
      </w:r>
    </w:p>
    <w:p w14:paraId="743E66E5">
      <w:pPr>
        <w:spacing w:before="161" w:line="349" w:lineRule="auto"/>
        <w:ind w:left="1" w:firstLine="419"/>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合同一方当事人因不可抗力不能履行合同的，应当及时通知对方解除合同</w:t>
      </w:r>
      <w:r>
        <w:rPr>
          <w:rFonts w:ascii="宋体" w:hAnsi="宋体" w:eastAsia="宋体" w:cs="宋体"/>
          <w:color w:val="auto"/>
          <w:sz w:val="21"/>
          <w:szCs w:val="21"/>
          <w:highlight w:val="none"/>
        </w:rPr>
        <w:t xml:space="preserve">。合同解除后，承包 </w:t>
      </w:r>
      <w:r>
        <w:rPr>
          <w:rFonts w:ascii="宋体" w:hAnsi="宋体" w:eastAsia="宋体" w:cs="宋体"/>
          <w:color w:val="auto"/>
          <w:spacing w:val="-5"/>
          <w:sz w:val="21"/>
          <w:szCs w:val="21"/>
          <w:highlight w:val="none"/>
        </w:rPr>
        <w:t>人应按照第</w:t>
      </w:r>
      <w:r>
        <w:rPr>
          <w:rFonts w:ascii="宋体" w:hAnsi="宋体" w:eastAsia="宋体" w:cs="宋体"/>
          <w:color w:val="auto"/>
          <w:spacing w:val="-41"/>
          <w:sz w:val="21"/>
          <w:szCs w:val="21"/>
          <w:highlight w:val="none"/>
        </w:rPr>
        <w:t xml:space="preserve"> </w:t>
      </w:r>
      <w:r>
        <w:rPr>
          <w:rFonts w:ascii="宋体" w:hAnsi="宋体" w:eastAsia="宋体" w:cs="宋体"/>
          <w:color w:val="auto"/>
          <w:spacing w:val="-5"/>
          <w:sz w:val="21"/>
          <w:szCs w:val="21"/>
          <w:highlight w:val="none"/>
        </w:rPr>
        <w:t>22.2.5</w:t>
      </w:r>
      <w:r>
        <w:rPr>
          <w:rFonts w:ascii="宋体" w:hAnsi="宋体" w:eastAsia="宋体" w:cs="宋体"/>
          <w:color w:val="auto"/>
          <w:spacing w:val="-43"/>
          <w:sz w:val="21"/>
          <w:szCs w:val="21"/>
          <w:highlight w:val="none"/>
        </w:rPr>
        <w:t xml:space="preserve"> </w:t>
      </w:r>
      <w:r>
        <w:rPr>
          <w:rFonts w:ascii="宋体" w:hAnsi="宋体" w:eastAsia="宋体" w:cs="宋体"/>
          <w:color w:val="auto"/>
          <w:spacing w:val="-5"/>
          <w:sz w:val="21"/>
          <w:szCs w:val="21"/>
          <w:highlight w:val="none"/>
        </w:rPr>
        <w:t>项约定撤离施工场地。已经订货的材料、设备由订货方负责退货或</w:t>
      </w:r>
      <w:r>
        <w:rPr>
          <w:rFonts w:ascii="宋体" w:hAnsi="宋体" w:eastAsia="宋体" w:cs="宋体"/>
          <w:color w:val="auto"/>
          <w:spacing w:val="-6"/>
          <w:sz w:val="21"/>
          <w:szCs w:val="21"/>
          <w:highlight w:val="none"/>
        </w:rPr>
        <w:t>解除订货合同，</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不能退还的货款和因退货、解除订货合同发生的费用，由发包人承担，因未及</w:t>
      </w:r>
      <w:r>
        <w:rPr>
          <w:rFonts w:ascii="宋体" w:hAnsi="宋体" w:eastAsia="宋体" w:cs="宋体"/>
          <w:color w:val="auto"/>
          <w:sz w:val="21"/>
          <w:szCs w:val="21"/>
          <w:highlight w:val="none"/>
        </w:rPr>
        <w:t>时退货造成的损失由</w:t>
      </w:r>
    </w:p>
    <w:p w14:paraId="233EF1E9">
      <w:pPr>
        <w:spacing w:before="41" w:line="221" w:lineRule="auto"/>
        <w:ind w:left="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责任方承担。合同解除后的付款，参照第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22.2</w:t>
      </w:r>
      <w:r>
        <w:rPr>
          <w:rFonts w:ascii="宋体" w:hAnsi="宋体" w:eastAsia="宋体" w:cs="宋体"/>
          <w:color w:val="auto"/>
          <w:spacing w:val="-2"/>
          <w:sz w:val="21"/>
          <w:szCs w:val="21"/>
          <w:highlight w:val="none"/>
        </w:rPr>
        <w:t>.4</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项约定，由监理人按第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款商定或确定。</w:t>
      </w:r>
    </w:p>
    <w:p w14:paraId="64028A2C">
      <w:pPr>
        <w:spacing w:before="172" w:line="230" w:lineRule="auto"/>
        <w:ind w:left="8"/>
        <w:outlineLvl w:val="9"/>
        <w:rPr>
          <w:rFonts w:ascii="宋体" w:hAnsi="宋体" w:eastAsia="宋体" w:cs="宋体"/>
          <w:color w:val="auto"/>
          <w:sz w:val="31"/>
          <w:szCs w:val="31"/>
          <w:highlight w:val="none"/>
        </w:rPr>
      </w:pPr>
      <w:bookmarkStart w:id="275" w:name="bookmark246"/>
      <w:bookmarkEnd w:id="275"/>
      <w:bookmarkStart w:id="276" w:name="_Toc17319"/>
      <w:bookmarkStart w:id="277" w:name="_Toc27903"/>
      <w:r>
        <w:rPr>
          <w:rFonts w:ascii="宋体" w:hAnsi="宋体" w:eastAsia="宋体" w:cs="宋体"/>
          <w:b/>
          <w:bCs/>
          <w:color w:val="auto"/>
          <w:spacing w:val="-2"/>
          <w:sz w:val="31"/>
          <w:szCs w:val="31"/>
          <w:highlight w:val="none"/>
        </w:rPr>
        <w:t>22.</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2"/>
          <w:sz w:val="31"/>
          <w:szCs w:val="31"/>
          <w:highlight w:val="none"/>
        </w:rPr>
        <w:t>违约</w:t>
      </w:r>
      <w:bookmarkEnd w:id="276"/>
      <w:bookmarkEnd w:id="277"/>
    </w:p>
    <w:p w14:paraId="0926BBEB">
      <w:pPr>
        <w:spacing w:before="268"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22.1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承包人违约</w:t>
      </w:r>
    </w:p>
    <w:p w14:paraId="3C63EC98">
      <w:pPr>
        <w:spacing w:before="279"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承包人违约的情形</w:t>
      </w:r>
    </w:p>
    <w:p w14:paraId="537EDC5D">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在履行合同过程中发生的下列情况属承包人违约：</w:t>
      </w:r>
    </w:p>
    <w:p w14:paraId="2FACEECC">
      <w:pPr>
        <w:spacing w:before="156" w:line="290" w:lineRule="auto"/>
        <w:ind w:left="1" w:firstLine="42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（1）承包人违反第</w:t>
      </w:r>
      <w:r>
        <w:rPr>
          <w:rFonts w:ascii="宋体" w:hAnsi="宋体" w:eastAsia="宋体" w:cs="宋体"/>
          <w:color w:val="auto"/>
          <w:spacing w:val="-21"/>
          <w:sz w:val="21"/>
          <w:szCs w:val="21"/>
          <w:highlight w:val="none"/>
        </w:rPr>
        <w:t xml:space="preserve"> </w:t>
      </w:r>
      <w:r>
        <w:rPr>
          <w:rFonts w:ascii="宋体" w:hAnsi="宋体" w:eastAsia="宋体" w:cs="宋体"/>
          <w:color w:val="auto"/>
          <w:spacing w:val="-3"/>
          <w:sz w:val="21"/>
          <w:szCs w:val="21"/>
          <w:highlight w:val="none"/>
        </w:rPr>
        <w:t>1.8</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款或第</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4.3</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款的约定，私自将合同的全部或部分权利转让给其他人，或</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私自将合同的全部或部分义务转移给其他人；</w:t>
      </w:r>
    </w:p>
    <w:p w14:paraId="79F385ED">
      <w:pPr>
        <w:spacing w:before="160" w:line="289" w:lineRule="auto"/>
        <w:ind w:firstLine="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（2）承包人违反第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5.3</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款或第6.4</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款的约定，未经监理人批准，私自将已按合同</w:t>
      </w:r>
      <w:r>
        <w:rPr>
          <w:rFonts w:ascii="宋体" w:hAnsi="宋体" w:eastAsia="宋体" w:cs="宋体"/>
          <w:color w:val="auto"/>
          <w:spacing w:val="-2"/>
          <w:sz w:val="21"/>
          <w:szCs w:val="21"/>
          <w:highlight w:val="none"/>
        </w:rPr>
        <w:t>约定进入施工</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场地的施工设备、临时设施或材料撤离施工场地；</w:t>
      </w:r>
    </w:p>
    <w:p w14:paraId="28213C7F">
      <w:pPr>
        <w:spacing w:before="158" w:line="290" w:lineRule="auto"/>
        <w:ind w:firstLine="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（3）承包人违反第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5.4</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款的约定使用了不合格材料或工程设备，工程质量达不</w:t>
      </w:r>
      <w:r>
        <w:rPr>
          <w:rFonts w:ascii="宋体" w:hAnsi="宋体" w:eastAsia="宋体" w:cs="宋体"/>
          <w:color w:val="auto"/>
          <w:spacing w:val="-3"/>
          <w:sz w:val="21"/>
          <w:szCs w:val="21"/>
          <w:highlight w:val="none"/>
        </w:rPr>
        <w:t>到标准要求，又</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拒绝清除不合格工程；</w:t>
      </w:r>
    </w:p>
    <w:p w14:paraId="7ADAFD5D">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（4）承包人未能按合同进度计划及时完成合同约定的工作，已造成或</w:t>
      </w:r>
      <w:r>
        <w:rPr>
          <w:rFonts w:ascii="宋体" w:hAnsi="宋体" w:eastAsia="宋体" w:cs="宋体"/>
          <w:color w:val="auto"/>
          <w:spacing w:val="-1"/>
          <w:sz w:val="21"/>
          <w:szCs w:val="21"/>
          <w:highlight w:val="none"/>
        </w:rPr>
        <w:t>预期造成工期延误；</w:t>
      </w:r>
    </w:p>
    <w:p w14:paraId="2CE8CE7F">
      <w:pPr>
        <w:spacing w:before="158" w:line="290" w:lineRule="auto"/>
        <w:ind w:left="18" w:right="10" w:firstLine="40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（5）承包人在缺陷责任期内，未能对工程接收证书所列的缺陷清单的内容或缺陷责任期内发生</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的缺陷进行修复，而又拒绝按监理人指示再进行修补；</w:t>
      </w:r>
    </w:p>
    <w:p w14:paraId="5CEDB1B8">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（6）承包人无法继续履行或明确表示不履行或实质上已停止履行</w:t>
      </w:r>
      <w:r>
        <w:rPr>
          <w:rFonts w:ascii="宋体" w:hAnsi="宋体" w:eastAsia="宋体" w:cs="宋体"/>
          <w:color w:val="auto"/>
          <w:spacing w:val="-2"/>
          <w:sz w:val="21"/>
          <w:szCs w:val="21"/>
          <w:highlight w:val="none"/>
        </w:rPr>
        <w:t>合同；</w:t>
      </w:r>
    </w:p>
    <w:p w14:paraId="5EB80BD7">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（7）承包人不按合同约定履行义务的其他情况。</w:t>
      </w:r>
    </w:p>
    <w:p w14:paraId="35C4B23A">
      <w:pPr>
        <w:spacing w:before="156"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对承包人违约的处理</w:t>
      </w:r>
    </w:p>
    <w:p w14:paraId="2B6F04B5">
      <w:pPr>
        <w:spacing w:before="159" w:line="290" w:lineRule="auto"/>
        <w:ind w:left="2" w:right="11"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（1）承包人发生第</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22.1.1（6）</w:t>
      </w:r>
      <w:r>
        <w:rPr>
          <w:rFonts w:ascii="宋体" w:hAnsi="宋体" w:eastAsia="宋体" w:cs="宋体"/>
          <w:color w:val="auto"/>
          <w:spacing w:val="-58"/>
          <w:sz w:val="21"/>
          <w:szCs w:val="21"/>
          <w:highlight w:val="none"/>
        </w:rPr>
        <w:t xml:space="preserve"> </w:t>
      </w:r>
      <w:r>
        <w:rPr>
          <w:rFonts w:ascii="宋体" w:hAnsi="宋体" w:eastAsia="宋体" w:cs="宋体"/>
          <w:color w:val="auto"/>
          <w:spacing w:val="-2"/>
          <w:sz w:val="21"/>
          <w:szCs w:val="21"/>
          <w:highlight w:val="none"/>
        </w:rPr>
        <w:t>目约定的违约情况时，发包人可通知承包人立即解除合同，并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按有关法律处理。</w:t>
      </w:r>
    </w:p>
    <w:p w14:paraId="1F9DE00B">
      <w:pPr>
        <w:spacing w:before="156" w:line="290" w:lineRule="auto"/>
        <w:ind w:right="11"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（2）承包人发生除第</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22.1.1（6）</w:t>
      </w:r>
      <w:r>
        <w:rPr>
          <w:rFonts w:ascii="宋体" w:hAnsi="宋体" w:eastAsia="宋体" w:cs="宋体"/>
          <w:color w:val="auto"/>
          <w:spacing w:val="-58"/>
          <w:sz w:val="21"/>
          <w:szCs w:val="21"/>
          <w:highlight w:val="none"/>
        </w:rPr>
        <w:t xml:space="preserve"> </w:t>
      </w:r>
      <w:r>
        <w:rPr>
          <w:rFonts w:ascii="宋体" w:hAnsi="宋体" w:eastAsia="宋体" w:cs="宋体"/>
          <w:color w:val="auto"/>
          <w:spacing w:val="-2"/>
          <w:sz w:val="21"/>
          <w:szCs w:val="21"/>
          <w:highlight w:val="none"/>
        </w:rPr>
        <w:t>目约定以外的其他违约情况时，监理人可向承包人发出</w:t>
      </w:r>
      <w:r>
        <w:rPr>
          <w:rFonts w:ascii="宋体" w:hAnsi="宋体" w:eastAsia="宋体" w:cs="宋体"/>
          <w:color w:val="auto"/>
          <w:spacing w:val="-3"/>
          <w:sz w:val="21"/>
          <w:szCs w:val="21"/>
          <w:highlight w:val="none"/>
        </w:rPr>
        <w:t>整改</w:t>
      </w:r>
      <w:r>
        <w:rPr>
          <w:rFonts w:ascii="宋体" w:hAnsi="宋体" w:eastAsia="宋体" w:cs="宋体"/>
          <w:color w:val="auto"/>
          <w:sz w:val="21"/>
          <w:szCs w:val="21"/>
          <w:highlight w:val="none"/>
        </w:rPr>
        <w:t xml:space="preserve"> 通知，要求其在指定的期限内改正。承包人应承担其违约所</w:t>
      </w:r>
      <w:r>
        <w:rPr>
          <w:rFonts w:ascii="宋体" w:hAnsi="宋体" w:eastAsia="宋体" w:cs="宋体"/>
          <w:color w:val="auto"/>
          <w:spacing w:val="-1"/>
          <w:sz w:val="21"/>
          <w:szCs w:val="21"/>
          <w:highlight w:val="none"/>
        </w:rPr>
        <w:t>引起的费用增加和（或）工期延误。</w:t>
      </w:r>
    </w:p>
    <w:p w14:paraId="498A3FCA">
      <w:pPr>
        <w:spacing w:before="160" w:line="290" w:lineRule="auto"/>
        <w:ind w:left="3" w:right="10"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（3）经检查证明承包人已采取了有效措施纠正违约行为，具备复工条件的，可由监理人签发复</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工通知复工。</w:t>
      </w:r>
    </w:p>
    <w:p w14:paraId="54A4A5EF">
      <w:pPr>
        <w:spacing w:before="156"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承包人违约解除合同</w:t>
      </w:r>
    </w:p>
    <w:p w14:paraId="0FF88006">
      <w:pPr>
        <w:spacing w:before="156" w:line="353" w:lineRule="auto"/>
        <w:ind w:left="3" w:right="1" w:firstLine="418"/>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监理人发出整改通知</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天后，承包人仍不纠正违约行为的，发包人可向</w:t>
      </w:r>
      <w:r>
        <w:rPr>
          <w:rFonts w:ascii="宋体" w:hAnsi="宋体" w:eastAsia="宋体" w:cs="宋体"/>
          <w:color w:val="auto"/>
          <w:spacing w:val="-3"/>
          <w:sz w:val="21"/>
          <w:szCs w:val="21"/>
          <w:highlight w:val="none"/>
        </w:rPr>
        <w:t>承包人发出解除合同通</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知。合同解除后，发包人可派员进驻施工场地，另行组织人员或委托其他</w:t>
      </w:r>
      <w:r>
        <w:rPr>
          <w:rFonts w:ascii="宋体" w:hAnsi="宋体" w:eastAsia="宋体" w:cs="宋体"/>
          <w:color w:val="auto"/>
          <w:sz w:val="21"/>
          <w:szCs w:val="21"/>
          <w:highlight w:val="none"/>
        </w:rPr>
        <w:t xml:space="preserve">承包人施工。发包人因继 </w:t>
      </w:r>
      <w:r>
        <w:rPr>
          <w:rFonts w:ascii="宋体" w:hAnsi="宋体" w:eastAsia="宋体" w:cs="宋体"/>
          <w:color w:val="auto"/>
          <w:spacing w:val="1"/>
          <w:sz w:val="21"/>
          <w:szCs w:val="21"/>
          <w:highlight w:val="none"/>
        </w:rPr>
        <w:t>续完成该工程的需要，有权扣留使用承包人在现场的材料、设备和临时设</w:t>
      </w:r>
      <w:r>
        <w:rPr>
          <w:rFonts w:ascii="宋体" w:hAnsi="宋体" w:eastAsia="宋体" w:cs="宋体"/>
          <w:color w:val="auto"/>
          <w:sz w:val="21"/>
          <w:szCs w:val="21"/>
          <w:highlight w:val="none"/>
        </w:rPr>
        <w:t xml:space="preserve">施。但发包人的这一行动 </w:t>
      </w:r>
      <w:r>
        <w:rPr>
          <w:rFonts w:ascii="宋体" w:hAnsi="宋体" w:eastAsia="宋体" w:cs="宋体"/>
          <w:color w:val="auto"/>
          <w:spacing w:val="-1"/>
          <w:sz w:val="21"/>
          <w:szCs w:val="21"/>
          <w:highlight w:val="none"/>
        </w:rPr>
        <w:t>不免除承包人应承担的违约责任，也不影响发包人根据合同约定享有的索赔权利。</w:t>
      </w:r>
    </w:p>
    <w:p w14:paraId="2E5A5873">
      <w:pPr>
        <w:spacing w:before="30" w:line="219"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22.1.4</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合同解除后的估价、付款和结清</w:t>
      </w:r>
    </w:p>
    <w:p w14:paraId="33AD6C89">
      <w:pPr>
        <w:spacing w:before="158" w:line="289" w:lineRule="auto"/>
        <w:ind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（1）合同解除后，监理人按第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款商定或确定承包人实际完成工</w:t>
      </w:r>
      <w:r>
        <w:rPr>
          <w:rFonts w:ascii="宋体" w:hAnsi="宋体" w:eastAsia="宋体" w:cs="宋体"/>
          <w:color w:val="auto"/>
          <w:spacing w:val="-3"/>
          <w:sz w:val="21"/>
          <w:szCs w:val="21"/>
          <w:highlight w:val="none"/>
        </w:rPr>
        <w:t>作的价值，以及承包人已提</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供的材料、施工设备、工程设备和临时工程等的价值。</w:t>
      </w:r>
    </w:p>
    <w:p w14:paraId="730DDB1D">
      <w:pPr>
        <w:spacing w:before="161" w:line="290" w:lineRule="auto"/>
        <w:ind w:left="2" w:firstLine="42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（2）合同解除后，发包人应暂停对承包人的一切付款，查清各项付款和已扣款金额，包括承包</w:t>
      </w:r>
      <w:r>
        <w:rPr>
          <w:rFonts w:ascii="宋体" w:hAnsi="宋体" w:eastAsia="宋体" w:cs="宋体"/>
          <w:color w:val="auto"/>
          <w:spacing w:val="8"/>
          <w:sz w:val="21"/>
          <w:szCs w:val="21"/>
          <w:highlight w:val="none"/>
        </w:rPr>
        <w:t xml:space="preserve"> </w:t>
      </w:r>
      <w:r>
        <w:rPr>
          <w:rFonts w:ascii="宋体" w:hAnsi="宋体" w:eastAsia="宋体" w:cs="宋体"/>
          <w:color w:val="auto"/>
          <w:spacing w:val="-3"/>
          <w:sz w:val="21"/>
          <w:szCs w:val="21"/>
          <w:highlight w:val="none"/>
        </w:rPr>
        <w:t>人应支付的违约金。</w:t>
      </w:r>
    </w:p>
    <w:p w14:paraId="190BF94E">
      <w:pPr>
        <w:spacing w:before="41" w:line="291" w:lineRule="auto"/>
        <w:ind w:left="5" w:right="56"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（3）合同解除后，发包人应按第</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23.4</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款的约定向承包人索赔由于解除合同给发包人造成的损</w:t>
      </w:r>
      <w:r>
        <w:rPr>
          <w:rFonts w:ascii="宋体" w:hAnsi="宋体" w:eastAsia="宋体" w:cs="宋体"/>
          <w:color w:val="auto"/>
          <w:sz w:val="21"/>
          <w:szCs w:val="21"/>
          <w:highlight w:val="none"/>
        </w:rPr>
        <w:t xml:space="preserve"> </w:t>
      </w:r>
      <w:r>
        <w:rPr>
          <w:rFonts w:ascii="宋体" w:hAnsi="宋体" w:eastAsia="宋体" w:cs="宋体"/>
          <w:color w:val="auto"/>
          <w:spacing w:val="-11"/>
          <w:sz w:val="21"/>
          <w:szCs w:val="21"/>
          <w:highlight w:val="none"/>
        </w:rPr>
        <w:t>失。</w:t>
      </w:r>
    </w:p>
    <w:p w14:paraId="3456E0BB">
      <w:pPr>
        <w:spacing w:before="155"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（4）合同双方确认上述往来款项后，出具最终结清付款证书，结清全部合同款项。</w:t>
      </w:r>
    </w:p>
    <w:p w14:paraId="5CD15E4D">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（5）发包人和承包人未能就解除合同后的结清达成一致而形成争议的，按第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5"/>
          <w:sz w:val="21"/>
          <w:szCs w:val="21"/>
          <w:highlight w:val="none"/>
        </w:rPr>
        <w:t>24</w:t>
      </w:r>
      <w:r>
        <w:rPr>
          <w:rFonts w:ascii="宋体" w:hAnsi="宋体" w:eastAsia="宋体" w:cs="宋体"/>
          <w:color w:val="auto"/>
          <w:spacing w:val="-43"/>
          <w:sz w:val="21"/>
          <w:szCs w:val="21"/>
          <w:highlight w:val="none"/>
        </w:rPr>
        <w:t xml:space="preserve"> </w:t>
      </w:r>
      <w:r>
        <w:rPr>
          <w:rFonts w:ascii="宋体" w:hAnsi="宋体" w:eastAsia="宋体" w:cs="宋体"/>
          <w:color w:val="auto"/>
          <w:spacing w:val="-5"/>
          <w:sz w:val="21"/>
          <w:szCs w:val="21"/>
          <w:highlight w:val="none"/>
        </w:rPr>
        <w:t>条的约定办理。</w:t>
      </w:r>
    </w:p>
    <w:p w14:paraId="330FAE03">
      <w:pPr>
        <w:spacing w:before="159"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22.1.5</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协议利益的转让</w:t>
      </w:r>
    </w:p>
    <w:p w14:paraId="118B8E74">
      <w:pPr>
        <w:spacing w:before="155" w:line="345" w:lineRule="auto"/>
        <w:ind w:left="1" w:right="59" w:firstLine="43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因承包人违约解除合同的，发包人有权要求承包人将其为实施合同而签订的材料和设备的订货</w:t>
      </w:r>
      <w:r>
        <w:rPr>
          <w:rFonts w:ascii="宋体" w:hAnsi="宋体" w:eastAsia="宋体" w:cs="宋体"/>
          <w:color w:val="auto"/>
          <w:spacing w:val="16"/>
          <w:sz w:val="21"/>
          <w:szCs w:val="21"/>
          <w:highlight w:val="none"/>
        </w:rPr>
        <w:t xml:space="preserve"> </w:t>
      </w:r>
      <w:r>
        <w:rPr>
          <w:rFonts w:ascii="宋体" w:hAnsi="宋体" w:eastAsia="宋体" w:cs="宋体"/>
          <w:color w:val="auto"/>
          <w:spacing w:val="-1"/>
          <w:sz w:val="21"/>
          <w:szCs w:val="21"/>
          <w:highlight w:val="none"/>
        </w:rPr>
        <w:t>协议或任何服务协议利益转让给发包人，并在解除合同后的</w:t>
      </w:r>
      <w:r>
        <w:rPr>
          <w:rFonts w:ascii="宋体" w:hAnsi="宋体" w:eastAsia="宋体" w:cs="宋体"/>
          <w:color w:val="auto"/>
          <w:spacing w:val="-29"/>
          <w:sz w:val="21"/>
          <w:szCs w:val="21"/>
          <w:highlight w:val="none"/>
        </w:rPr>
        <w:t xml:space="preserve"> </w:t>
      </w:r>
      <w:r>
        <w:rPr>
          <w:rFonts w:ascii="宋体" w:hAnsi="宋体" w:eastAsia="宋体" w:cs="宋体"/>
          <w:color w:val="auto"/>
          <w:spacing w:val="-1"/>
          <w:sz w:val="21"/>
          <w:szCs w:val="21"/>
          <w:highlight w:val="none"/>
        </w:rPr>
        <w:t>14</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天内，依法办理转让手续。</w:t>
      </w:r>
    </w:p>
    <w:p w14:paraId="41F9EE74">
      <w:pPr>
        <w:spacing w:before="31"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22.1.6</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紧急情况下无能力或不愿进行抢救</w:t>
      </w:r>
    </w:p>
    <w:p w14:paraId="43BF3AC1">
      <w:pPr>
        <w:spacing w:before="159" w:line="350" w:lineRule="auto"/>
        <w:ind w:right="57" w:firstLine="419"/>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在工程实施期间或缺陷责任期内发生危及工程安全的事件，监理人通知承包</w:t>
      </w:r>
      <w:r>
        <w:rPr>
          <w:rFonts w:ascii="宋体" w:hAnsi="宋体" w:eastAsia="宋体" w:cs="宋体"/>
          <w:color w:val="auto"/>
          <w:sz w:val="21"/>
          <w:szCs w:val="21"/>
          <w:highlight w:val="none"/>
        </w:rPr>
        <w:t xml:space="preserve">人进行抢救，承包 </w:t>
      </w:r>
      <w:r>
        <w:rPr>
          <w:rFonts w:ascii="宋体" w:hAnsi="宋体" w:eastAsia="宋体" w:cs="宋体"/>
          <w:color w:val="auto"/>
          <w:spacing w:val="1"/>
          <w:sz w:val="21"/>
          <w:szCs w:val="21"/>
          <w:highlight w:val="none"/>
        </w:rPr>
        <w:t>人声明无能力或不愿立即执行的，发包人有权雇佣其他人员进行抢救。此类抢救</w:t>
      </w:r>
      <w:r>
        <w:rPr>
          <w:rFonts w:ascii="宋体" w:hAnsi="宋体" w:eastAsia="宋体" w:cs="宋体"/>
          <w:color w:val="auto"/>
          <w:sz w:val="21"/>
          <w:szCs w:val="21"/>
          <w:highlight w:val="none"/>
        </w:rPr>
        <w:t>按合同约定属于承 包人义务的，由此发生的金额和（或）工期延误由承包人</w:t>
      </w:r>
      <w:r>
        <w:rPr>
          <w:rFonts w:ascii="宋体" w:hAnsi="宋体" w:eastAsia="宋体" w:cs="宋体"/>
          <w:color w:val="auto"/>
          <w:spacing w:val="-1"/>
          <w:sz w:val="21"/>
          <w:szCs w:val="21"/>
          <w:highlight w:val="none"/>
        </w:rPr>
        <w:t>承担。</w:t>
      </w:r>
    </w:p>
    <w:p w14:paraId="236E03C3">
      <w:pPr>
        <w:spacing w:before="300" w:line="221"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22.2</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5"/>
          <w:sz w:val="28"/>
          <w:szCs w:val="28"/>
          <w:highlight w:val="none"/>
        </w:rPr>
        <w:t>发包人违约</w:t>
      </w:r>
    </w:p>
    <w:p w14:paraId="630AD8F9">
      <w:pPr>
        <w:spacing w:before="279"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发包人违约的情形</w:t>
      </w:r>
    </w:p>
    <w:p w14:paraId="56B955CE">
      <w:pPr>
        <w:spacing w:before="157"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在履行合同过程中发生的下列情形，属发包人</w:t>
      </w:r>
      <w:r>
        <w:rPr>
          <w:rFonts w:ascii="宋体" w:hAnsi="宋体" w:eastAsia="宋体" w:cs="宋体"/>
          <w:color w:val="auto"/>
          <w:spacing w:val="-1"/>
          <w:sz w:val="21"/>
          <w:szCs w:val="21"/>
          <w:highlight w:val="none"/>
        </w:rPr>
        <w:t>违约：</w:t>
      </w:r>
    </w:p>
    <w:p w14:paraId="03817658">
      <w:pPr>
        <w:spacing w:before="158" w:line="290" w:lineRule="auto"/>
        <w:ind w:left="6" w:firstLine="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（1）发包人未能按合同约定支付预付款或合同价款</w:t>
      </w:r>
      <w:r>
        <w:rPr>
          <w:rFonts w:ascii="宋体" w:hAnsi="宋体" w:eastAsia="宋体" w:cs="宋体"/>
          <w:color w:val="auto"/>
          <w:spacing w:val="-1"/>
          <w:sz w:val="21"/>
          <w:szCs w:val="21"/>
          <w:highlight w:val="none"/>
        </w:rPr>
        <w:t>，或拖延、拒绝批准付款申请和支付凭证，</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导致付款延误的；</w:t>
      </w:r>
    </w:p>
    <w:p w14:paraId="0FB6022F">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（2）发包人原因造成停工的；</w:t>
      </w:r>
    </w:p>
    <w:p w14:paraId="02C5F527">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（3）监理人无正当理由没有在约定期限内发出复工指示，导致承包人</w:t>
      </w:r>
      <w:r>
        <w:rPr>
          <w:rFonts w:ascii="宋体" w:hAnsi="宋体" w:eastAsia="宋体" w:cs="宋体"/>
          <w:color w:val="auto"/>
          <w:spacing w:val="-2"/>
          <w:sz w:val="21"/>
          <w:szCs w:val="21"/>
          <w:highlight w:val="none"/>
        </w:rPr>
        <w:t>无法复工的；</w:t>
      </w:r>
    </w:p>
    <w:p w14:paraId="41F9BBAE">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（4）发包人无法继续履行或明确表示不履行或实</w:t>
      </w:r>
      <w:r>
        <w:rPr>
          <w:rFonts w:ascii="宋体" w:hAnsi="宋体" w:eastAsia="宋体" w:cs="宋体"/>
          <w:color w:val="auto"/>
          <w:spacing w:val="-1"/>
          <w:sz w:val="21"/>
          <w:szCs w:val="21"/>
          <w:highlight w:val="none"/>
        </w:rPr>
        <w:t>质上已停止履行合同的；</w:t>
      </w:r>
    </w:p>
    <w:p w14:paraId="79E1D128">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（5）发包人不履行合同约定其他义务的。</w:t>
      </w:r>
    </w:p>
    <w:p w14:paraId="6E9BCE4C">
      <w:pPr>
        <w:spacing w:before="157"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承包人有权暂停施工</w:t>
      </w:r>
    </w:p>
    <w:p w14:paraId="5D7816B0">
      <w:pPr>
        <w:spacing w:before="156" w:line="351" w:lineRule="auto"/>
        <w:ind w:right="55" w:firstLine="424"/>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发包人发生除第 22.2.1（4）目以外的违约情况时，承包</w:t>
      </w:r>
      <w:r>
        <w:rPr>
          <w:rFonts w:ascii="宋体" w:hAnsi="宋体" w:eastAsia="宋体" w:cs="宋体"/>
          <w:color w:val="auto"/>
          <w:sz w:val="21"/>
          <w:szCs w:val="21"/>
          <w:highlight w:val="none"/>
        </w:rPr>
        <w:t xml:space="preserve">人可向发包人发出通知，要求发包人 </w:t>
      </w:r>
      <w:r>
        <w:rPr>
          <w:rFonts w:ascii="宋体" w:hAnsi="宋体" w:eastAsia="宋体" w:cs="宋体"/>
          <w:color w:val="auto"/>
          <w:spacing w:val="-2"/>
          <w:sz w:val="21"/>
          <w:szCs w:val="21"/>
          <w:highlight w:val="none"/>
        </w:rPr>
        <w:t>采取有效措施纠正违约行为。发包人收到承包人通知后的</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28</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天内仍不履行合同义务，承包人有</w:t>
      </w:r>
      <w:r>
        <w:rPr>
          <w:rFonts w:ascii="宋体" w:hAnsi="宋体" w:eastAsia="宋体" w:cs="宋体"/>
          <w:color w:val="auto"/>
          <w:spacing w:val="-3"/>
          <w:sz w:val="21"/>
          <w:szCs w:val="21"/>
          <w:highlight w:val="none"/>
        </w:rPr>
        <w:t>权暂</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停施工，并通知监理人，发包人应承担由此增加的费用和（或）工期延误，并支付承包人合理利润。</w:t>
      </w:r>
    </w:p>
    <w:p w14:paraId="10183AB4">
      <w:pPr>
        <w:spacing w:before="29"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22.2.3</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发包人违约解除合同</w:t>
      </w:r>
    </w:p>
    <w:p w14:paraId="17232C7D">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（1）发生第</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22.2.1（4）</w:t>
      </w:r>
      <w:r>
        <w:rPr>
          <w:rFonts w:ascii="宋体" w:hAnsi="宋体" w:eastAsia="宋体" w:cs="宋体"/>
          <w:color w:val="auto"/>
          <w:spacing w:val="-59"/>
          <w:sz w:val="21"/>
          <w:szCs w:val="21"/>
          <w:highlight w:val="none"/>
        </w:rPr>
        <w:t xml:space="preserve"> </w:t>
      </w:r>
      <w:r>
        <w:rPr>
          <w:rFonts w:ascii="宋体" w:hAnsi="宋体" w:eastAsia="宋体" w:cs="宋体"/>
          <w:color w:val="auto"/>
          <w:spacing w:val="-2"/>
          <w:sz w:val="21"/>
          <w:szCs w:val="21"/>
          <w:highlight w:val="none"/>
        </w:rPr>
        <w:t>目的违约情况时，承包人可书面通知发包</w:t>
      </w:r>
      <w:r>
        <w:rPr>
          <w:rFonts w:ascii="宋体" w:hAnsi="宋体" w:eastAsia="宋体" w:cs="宋体"/>
          <w:color w:val="auto"/>
          <w:spacing w:val="-3"/>
          <w:sz w:val="21"/>
          <w:szCs w:val="21"/>
          <w:highlight w:val="none"/>
        </w:rPr>
        <w:t>人解除合同。</w:t>
      </w:r>
    </w:p>
    <w:p w14:paraId="11B575CF">
      <w:pPr>
        <w:spacing w:before="156" w:line="314" w:lineRule="auto"/>
        <w:ind w:left="5" w:right="55" w:firstLine="42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（2）承包人按</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22.2.2</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项暂停施工</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28</w:t>
      </w:r>
      <w:r>
        <w:rPr>
          <w:rFonts w:ascii="宋体" w:hAnsi="宋体" w:eastAsia="宋体" w:cs="宋体"/>
          <w:color w:val="auto"/>
          <w:spacing w:val="-39"/>
          <w:sz w:val="21"/>
          <w:szCs w:val="21"/>
          <w:highlight w:val="none"/>
        </w:rPr>
        <w:t xml:space="preserve"> </w:t>
      </w:r>
      <w:r>
        <w:rPr>
          <w:rFonts w:ascii="宋体" w:hAnsi="宋体" w:eastAsia="宋体" w:cs="宋体"/>
          <w:color w:val="auto"/>
          <w:spacing w:val="-3"/>
          <w:sz w:val="21"/>
          <w:szCs w:val="21"/>
          <w:highlight w:val="none"/>
        </w:rPr>
        <w:t>天后，发包人仍不纠正违约行为的，承包人可向发包人发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出解除合同通知。但承包人的这一行动不免除发包人承担的违约责任</w:t>
      </w:r>
      <w:r>
        <w:rPr>
          <w:rFonts w:ascii="宋体" w:hAnsi="宋体" w:eastAsia="宋体" w:cs="宋体"/>
          <w:color w:val="auto"/>
          <w:sz w:val="21"/>
          <w:szCs w:val="21"/>
          <w:highlight w:val="none"/>
        </w:rPr>
        <w:t xml:space="preserve">，也不影响承包人根据合同约 </w:t>
      </w:r>
      <w:r>
        <w:rPr>
          <w:rFonts w:ascii="宋体" w:hAnsi="宋体" w:eastAsia="宋体" w:cs="宋体"/>
          <w:color w:val="auto"/>
          <w:spacing w:val="-3"/>
          <w:sz w:val="21"/>
          <w:szCs w:val="21"/>
          <w:highlight w:val="none"/>
        </w:rPr>
        <w:t>定享有的索赔权利。</w:t>
      </w:r>
    </w:p>
    <w:p w14:paraId="391D5CA0">
      <w:pPr>
        <w:spacing w:before="157"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22.2.4</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解除合同后的付款</w:t>
      </w:r>
    </w:p>
    <w:p w14:paraId="17425D81">
      <w:pPr>
        <w:spacing w:before="157" w:line="345" w:lineRule="auto"/>
        <w:ind w:left="1" w:right="55" w:firstLine="43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因发包人违约解除合同的，发包人应在解除合同后</w:t>
      </w:r>
      <w:r>
        <w:rPr>
          <w:rFonts w:ascii="宋体" w:hAnsi="宋体" w:eastAsia="宋体" w:cs="宋体"/>
          <w:color w:val="auto"/>
          <w:spacing w:val="-25"/>
          <w:sz w:val="21"/>
          <w:szCs w:val="21"/>
          <w:highlight w:val="none"/>
        </w:rPr>
        <w:t xml:space="preserve"> </w:t>
      </w:r>
      <w:r>
        <w:rPr>
          <w:rFonts w:ascii="宋体" w:hAnsi="宋体" w:eastAsia="宋体" w:cs="宋体"/>
          <w:color w:val="auto"/>
          <w:spacing w:val="-3"/>
          <w:sz w:val="21"/>
          <w:szCs w:val="21"/>
          <w:highlight w:val="none"/>
        </w:rPr>
        <w:t>28</w:t>
      </w:r>
      <w:r>
        <w:rPr>
          <w:rFonts w:ascii="宋体" w:hAnsi="宋体" w:eastAsia="宋体" w:cs="宋体"/>
          <w:color w:val="auto"/>
          <w:spacing w:val="-39"/>
          <w:sz w:val="21"/>
          <w:szCs w:val="21"/>
          <w:highlight w:val="none"/>
        </w:rPr>
        <w:t xml:space="preserve"> </w:t>
      </w:r>
      <w:r>
        <w:rPr>
          <w:rFonts w:ascii="宋体" w:hAnsi="宋体" w:eastAsia="宋体" w:cs="宋体"/>
          <w:color w:val="auto"/>
          <w:spacing w:val="-3"/>
          <w:sz w:val="21"/>
          <w:szCs w:val="21"/>
          <w:highlight w:val="none"/>
        </w:rPr>
        <w:t>天内向承包人支付下列金额，承包人应在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此期限内及时向发包人提交要求支付下列金额的有关资料和凭证：</w:t>
      </w:r>
    </w:p>
    <w:p w14:paraId="11DA73AB">
      <w:pPr>
        <w:numPr>
          <w:ilvl w:val="0"/>
          <w:numId w:val="3"/>
        </w:numPr>
        <w:spacing w:before="43" w:line="289" w:lineRule="auto"/>
        <w:ind w:left="4" w:right="138" w:firstLine="422"/>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合同解除日以前所完成工作的价款；</w:t>
      </w:r>
    </w:p>
    <w:p w14:paraId="5F86AA1C">
      <w:pPr>
        <w:numPr>
          <w:ilvl w:val="0"/>
          <w:numId w:val="0"/>
        </w:numPr>
        <w:spacing w:before="43" w:line="289" w:lineRule="auto"/>
        <w:ind w:left="426" w:leftChars="0" w:right="138" w:rightChars="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（2）承包人为该工程施工订购并已付款的材料、工</w:t>
      </w:r>
      <w:r>
        <w:rPr>
          <w:rFonts w:ascii="宋体" w:hAnsi="宋体" w:eastAsia="宋体" w:cs="宋体"/>
          <w:color w:val="auto"/>
          <w:spacing w:val="-1"/>
          <w:sz w:val="21"/>
          <w:szCs w:val="21"/>
          <w:highlight w:val="none"/>
        </w:rPr>
        <w:t>程设备和其他物品的金额。发包人付还后，</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该材料、工程设备和其他物品归发包人所有；</w:t>
      </w:r>
    </w:p>
    <w:p w14:paraId="59049BB8">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（3）承包人为完成工程所发生的，而发包人未支付的金额；</w:t>
      </w:r>
    </w:p>
    <w:p w14:paraId="3C30254E">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（4）承包人撤离施工场地以及遣散承包人人员的金额；</w:t>
      </w:r>
    </w:p>
    <w:p w14:paraId="4218AA5C">
      <w:pPr>
        <w:spacing w:before="159"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（5）由于解除合同应赔偿的承包人损失；</w:t>
      </w:r>
    </w:p>
    <w:p w14:paraId="40C9228F">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（6）按合同约定在合同解除日前应支付给承包人的其他金额。</w:t>
      </w:r>
    </w:p>
    <w:p w14:paraId="06B87463">
      <w:pPr>
        <w:spacing w:before="157" w:line="345" w:lineRule="auto"/>
        <w:ind w:right="197"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发包人应按本项约定支付上述金额并退还质量保证金和履约担保，</w:t>
      </w:r>
      <w:r>
        <w:rPr>
          <w:rFonts w:ascii="宋体" w:hAnsi="宋体" w:eastAsia="宋体" w:cs="宋体"/>
          <w:color w:val="auto"/>
          <w:sz w:val="21"/>
          <w:szCs w:val="21"/>
          <w:highlight w:val="none"/>
        </w:rPr>
        <w:t xml:space="preserve">但有权要求承包人支付应偿 </w:t>
      </w:r>
      <w:r>
        <w:rPr>
          <w:rFonts w:ascii="宋体" w:hAnsi="宋体" w:eastAsia="宋体" w:cs="宋体"/>
          <w:color w:val="auto"/>
          <w:spacing w:val="-2"/>
          <w:sz w:val="21"/>
          <w:szCs w:val="21"/>
          <w:highlight w:val="none"/>
        </w:rPr>
        <w:t>还给发包人的各项金额。</w:t>
      </w:r>
    </w:p>
    <w:p w14:paraId="4BB1E6D1">
      <w:pPr>
        <w:spacing w:before="33" w:line="221" w:lineRule="auto"/>
        <w:ind w:left="416"/>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22.2.5</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解除合同后的承包人撤离</w:t>
      </w:r>
    </w:p>
    <w:p w14:paraId="4452E90D">
      <w:pPr>
        <w:spacing w:before="156" w:line="350" w:lineRule="auto"/>
        <w:ind w:left="1" w:right="194" w:firstLine="435"/>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因发包人违约而解除合同后，承包人应妥善做好已竣工工程和已购材料、设备的保护和移交工</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作，按发包人要求将承包人设备和人员撤出施工场地。承包人撤出施工场</w:t>
      </w:r>
      <w:r>
        <w:rPr>
          <w:rFonts w:ascii="宋体" w:hAnsi="宋体" w:eastAsia="宋体" w:cs="宋体"/>
          <w:color w:val="auto"/>
          <w:spacing w:val="-3"/>
          <w:sz w:val="21"/>
          <w:szCs w:val="21"/>
          <w:highlight w:val="none"/>
        </w:rPr>
        <w:t>地应遵守第</w:t>
      </w:r>
      <w:r>
        <w:rPr>
          <w:rFonts w:ascii="宋体" w:hAnsi="宋体" w:eastAsia="宋体" w:cs="宋体"/>
          <w:color w:val="auto"/>
          <w:spacing w:val="-28"/>
          <w:sz w:val="21"/>
          <w:szCs w:val="21"/>
          <w:highlight w:val="none"/>
        </w:rPr>
        <w:t xml:space="preserve"> </w:t>
      </w:r>
      <w:r>
        <w:rPr>
          <w:rFonts w:ascii="宋体" w:hAnsi="宋体" w:eastAsia="宋体" w:cs="宋体"/>
          <w:color w:val="auto"/>
          <w:spacing w:val="-3"/>
          <w:sz w:val="21"/>
          <w:szCs w:val="21"/>
          <w:highlight w:val="none"/>
        </w:rPr>
        <w:t>18.7.1</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项的约</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定，发包人应为承包人撤出提供必要条件。</w:t>
      </w:r>
    </w:p>
    <w:p w14:paraId="3AEC5060">
      <w:pPr>
        <w:spacing w:before="300"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22.3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第三人造成的违约</w:t>
      </w:r>
    </w:p>
    <w:p w14:paraId="2957A40C">
      <w:pPr>
        <w:spacing w:before="280" w:line="347" w:lineRule="auto"/>
        <w:ind w:left="4" w:right="224" w:firstLine="415"/>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在履行合同过程中，一方当事人因第三人的原因造成违约的，应当向对方当事人承担违约责任。</w:t>
      </w:r>
      <w:r>
        <w:rPr>
          <w:rFonts w:ascii="宋体" w:hAnsi="宋体" w:eastAsia="宋体" w:cs="宋体"/>
          <w:color w:val="auto"/>
          <w:spacing w:val="7"/>
          <w:sz w:val="21"/>
          <w:szCs w:val="21"/>
          <w:highlight w:val="none"/>
        </w:rPr>
        <w:t xml:space="preserve"> </w:t>
      </w:r>
      <w:r>
        <w:rPr>
          <w:rFonts w:ascii="宋体" w:hAnsi="宋体" w:eastAsia="宋体" w:cs="宋体"/>
          <w:color w:val="auto"/>
          <w:sz w:val="21"/>
          <w:szCs w:val="21"/>
          <w:highlight w:val="none"/>
        </w:rPr>
        <w:t>一方当事人和第三人之间的纠纷，依照法律规定或者按</w:t>
      </w:r>
      <w:r>
        <w:rPr>
          <w:rFonts w:ascii="宋体" w:hAnsi="宋体" w:eastAsia="宋体" w:cs="宋体"/>
          <w:color w:val="auto"/>
          <w:spacing w:val="-1"/>
          <w:sz w:val="21"/>
          <w:szCs w:val="21"/>
          <w:highlight w:val="none"/>
        </w:rPr>
        <w:t>照约定解决。</w:t>
      </w:r>
    </w:p>
    <w:p w14:paraId="6E11B88B">
      <w:pPr>
        <w:spacing w:before="45" w:line="225" w:lineRule="auto"/>
        <w:ind w:left="8"/>
        <w:outlineLvl w:val="9"/>
        <w:rPr>
          <w:rFonts w:ascii="宋体" w:hAnsi="宋体" w:eastAsia="宋体" w:cs="宋体"/>
          <w:color w:val="auto"/>
          <w:sz w:val="31"/>
          <w:szCs w:val="31"/>
          <w:highlight w:val="none"/>
        </w:rPr>
      </w:pPr>
      <w:bookmarkStart w:id="278" w:name="bookmark247"/>
      <w:bookmarkEnd w:id="278"/>
      <w:bookmarkStart w:id="279" w:name="_Toc18848"/>
      <w:bookmarkStart w:id="280" w:name="_Toc19615"/>
      <w:r>
        <w:rPr>
          <w:rFonts w:ascii="宋体" w:hAnsi="宋体" w:eastAsia="宋体" w:cs="宋体"/>
          <w:b/>
          <w:bCs/>
          <w:color w:val="auto"/>
          <w:spacing w:val="-3"/>
          <w:sz w:val="31"/>
          <w:szCs w:val="31"/>
          <w:highlight w:val="none"/>
        </w:rPr>
        <w:t>23.</w:t>
      </w:r>
      <w:r>
        <w:rPr>
          <w:rFonts w:ascii="宋体" w:hAnsi="宋体" w:eastAsia="宋体" w:cs="宋体"/>
          <w:color w:val="auto"/>
          <w:spacing w:val="27"/>
          <w:sz w:val="31"/>
          <w:szCs w:val="31"/>
          <w:highlight w:val="none"/>
        </w:rPr>
        <w:t xml:space="preserve"> </w:t>
      </w:r>
      <w:r>
        <w:rPr>
          <w:rFonts w:ascii="宋体" w:hAnsi="宋体" w:eastAsia="宋体" w:cs="宋体"/>
          <w:b/>
          <w:bCs/>
          <w:color w:val="auto"/>
          <w:spacing w:val="-3"/>
          <w:sz w:val="31"/>
          <w:szCs w:val="31"/>
          <w:highlight w:val="none"/>
        </w:rPr>
        <w:t>索赔</w:t>
      </w:r>
      <w:bookmarkEnd w:id="279"/>
      <w:bookmarkEnd w:id="280"/>
    </w:p>
    <w:p w14:paraId="3A7E80FE">
      <w:pPr>
        <w:spacing w:before="274"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承包人索赔的提出</w:t>
      </w:r>
    </w:p>
    <w:p w14:paraId="6E2023F7">
      <w:pPr>
        <w:spacing w:before="282" w:line="347" w:lineRule="auto"/>
        <w:ind w:left="19" w:right="197" w:firstLine="40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根据合同约定，承包人认为有权得到追加付款和（或）延长工期的，应按</w:t>
      </w:r>
      <w:r>
        <w:rPr>
          <w:rFonts w:ascii="宋体" w:hAnsi="宋体" w:eastAsia="宋体" w:cs="宋体"/>
          <w:color w:val="auto"/>
          <w:sz w:val="21"/>
          <w:szCs w:val="21"/>
          <w:highlight w:val="none"/>
        </w:rPr>
        <w:t xml:space="preserve">以下程序向发包人提 </w:t>
      </w:r>
      <w:r>
        <w:rPr>
          <w:rFonts w:ascii="宋体" w:hAnsi="宋体" w:eastAsia="宋体" w:cs="宋体"/>
          <w:color w:val="auto"/>
          <w:spacing w:val="-6"/>
          <w:sz w:val="21"/>
          <w:szCs w:val="21"/>
          <w:highlight w:val="none"/>
        </w:rPr>
        <w:t>出索赔：</w:t>
      </w:r>
    </w:p>
    <w:p w14:paraId="5B7B42CD">
      <w:pPr>
        <w:spacing w:before="27" w:line="313" w:lineRule="auto"/>
        <w:ind w:left="1" w:firstLine="42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（1）承包人应在知道或应当知道索赔事件发生后</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天内，向监理人递交索赔意向通知书，并</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说明发生索赔事件的事由。承包人未在前述</w:t>
      </w:r>
      <w:r>
        <w:rPr>
          <w:rFonts w:ascii="宋体" w:hAnsi="宋体" w:eastAsia="宋体" w:cs="宋体"/>
          <w:color w:val="auto"/>
          <w:spacing w:val="-36"/>
          <w:sz w:val="21"/>
          <w:szCs w:val="21"/>
          <w:highlight w:val="none"/>
        </w:rPr>
        <w:t xml:space="preserve"> </w:t>
      </w:r>
      <w:r>
        <w:rPr>
          <w:rFonts w:ascii="宋体" w:hAnsi="宋体" w:eastAsia="宋体" w:cs="宋体"/>
          <w:color w:val="auto"/>
          <w:spacing w:val="-7"/>
          <w:sz w:val="21"/>
          <w:szCs w:val="21"/>
          <w:highlight w:val="none"/>
        </w:rPr>
        <w:t>28</w:t>
      </w:r>
      <w:r>
        <w:rPr>
          <w:rFonts w:ascii="宋体" w:hAnsi="宋体" w:eastAsia="宋体" w:cs="宋体"/>
          <w:color w:val="auto"/>
          <w:spacing w:val="-43"/>
          <w:sz w:val="21"/>
          <w:szCs w:val="21"/>
          <w:highlight w:val="none"/>
        </w:rPr>
        <w:t xml:space="preserve"> </w:t>
      </w:r>
      <w:r>
        <w:rPr>
          <w:rFonts w:ascii="宋体" w:hAnsi="宋体" w:eastAsia="宋体" w:cs="宋体"/>
          <w:color w:val="auto"/>
          <w:spacing w:val="-7"/>
          <w:sz w:val="21"/>
          <w:szCs w:val="21"/>
          <w:highlight w:val="none"/>
        </w:rPr>
        <w:t>天内发出索赔意向通知书的，丧失要求追加付款和（或）</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延长工期的权利；</w:t>
      </w:r>
    </w:p>
    <w:p w14:paraId="5467810B">
      <w:pPr>
        <w:spacing w:before="160" w:line="289" w:lineRule="auto"/>
        <w:ind w:right="194"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（2）承包人应在发出索赔意向通知书后</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天内，向监理人正式递交索赔通知书。索赔通知书</w:t>
      </w:r>
      <w:r>
        <w:rPr>
          <w:rFonts w:ascii="宋体" w:hAnsi="宋体" w:eastAsia="宋体" w:cs="宋体"/>
          <w:color w:val="auto"/>
          <w:sz w:val="21"/>
          <w:szCs w:val="21"/>
          <w:highlight w:val="none"/>
        </w:rPr>
        <w:t xml:space="preserve"> 应详细说明索赔理由以及要求追加的付款金额和（或）延长的工期，并附必要的记录和证明材料；</w:t>
      </w:r>
    </w:p>
    <w:p w14:paraId="274BF9D2">
      <w:pPr>
        <w:spacing w:before="157" w:line="290" w:lineRule="auto"/>
        <w:ind w:left="11" w:right="194" w:firstLine="41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（3）索赔事件具有连续影响的，承包人应按合理时间间隔继续递交延续索赔通知，说明连续影</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响的实际情况和记录，列出累计的追加付款金额和（或）工期延长天数；</w:t>
      </w:r>
    </w:p>
    <w:p w14:paraId="694DB28F">
      <w:pPr>
        <w:spacing w:before="158" w:line="290" w:lineRule="auto"/>
        <w:ind w:left="2" w:right="194" w:firstLine="42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（4）在索赔事件影响结束后的</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天内，承包人应向监理人递交最终索赔通知书，说明最终要</w:t>
      </w:r>
      <w:r>
        <w:rPr>
          <w:rFonts w:ascii="宋体" w:hAnsi="宋体" w:eastAsia="宋体" w:cs="宋体"/>
          <w:color w:val="auto"/>
          <w:sz w:val="21"/>
          <w:szCs w:val="21"/>
          <w:highlight w:val="none"/>
        </w:rPr>
        <w:t xml:space="preserve"> 求索赔的追加付款金额和延长的工期，并附必要的记录和</w:t>
      </w:r>
      <w:r>
        <w:rPr>
          <w:rFonts w:ascii="宋体" w:hAnsi="宋体" w:eastAsia="宋体" w:cs="宋体"/>
          <w:color w:val="auto"/>
          <w:spacing w:val="-1"/>
          <w:sz w:val="21"/>
          <w:szCs w:val="21"/>
          <w:highlight w:val="none"/>
        </w:rPr>
        <w:t>证明材料。</w:t>
      </w:r>
    </w:p>
    <w:p w14:paraId="16743050">
      <w:pPr>
        <w:spacing w:line="333" w:lineRule="auto"/>
        <w:outlineLvl w:val="9"/>
        <w:rPr>
          <w:rFonts w:ascii="Arial"/>
          <w:color w:val="auto"/>
          <w:sz w:val="21"/>
          <w:highlight w:val="none"/>
        </w:rPr>
      </w:pPr>
    </w:p>
    <w:p w14:paraId="0A8D96F1">
      <w:pPr>
        <w:spacing w:before="92"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承包人索赔处理程序</w:t>
      </w:r>
    </w:p>
    <w:p w14:paraId="0EB70994">
      <w:pPr>
        <w:spacing w:before="281" w:line="331" w:lineRule="auto"/>
        <w:ind w:left="1" w:right="204" w:firstLine="42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（1）监理人收到承包人提交的索赔通知书后，应及时审查索赔通知书的内容、查验承包人的记</w:t>
      </w:r>
      <w:r>
        <w:rPr>
          <w:rFonts w:ascii="宋体" w:hAnsi="宋体" w:eastAsia="宋体" w:cs="宋体"/>
          <w:color w:val="auto"/>
          <w:sz w:val="21"/>
          <w:szCs w:val="21"/>
          <w:highlight w:val="none"/>
        </w:rPr>
        <w:t xml:space="preserve"> 录和证明材料，必要时监理人可要求承包人提交全部原始记</w:t>
      </w:r>
      <w:r>
        <w:rPr>
          <w:rFonts w:ascii="宋体" w:hAnsi="宋体" w:eastAsia="宋体" w:cs="宋体"/>
          <w:color w:val="auto"/>
          <w:spacing w:val="-1"/>
          <w:sz w:val="21"/>
          <w:szCs w:val="21"/>
          <w:highlight w:val="none"/>
        </w:rPr>
        <w:t>录副本。</w:t>
      </w:r>
    </w:p>
    <w:p w14:paraId="789AEA41">
      <w:pPr>
        <w:spacing w:before="43" w:line="289" w:lineRule="auto"/>
        <w:ind w:left="5"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（2）监理人应按第</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款商定或确定追加的付款和（或）延长的工</w:t>
      </w:r>
      <w:r>
        <w:rPr>
          <w:rFonts w:ascii="宋体" w:hAnsi="宋体" w:eastAsia="宋体" w:cs="宋体"/>
          <w:color w:val="auto"/>
          <w:spacing w:val="-3"/>
          <w:sz w:val="21"/>
          <w:szCs w:val="21"/>
          <w:highlight w:val="none"/>
        </w:rPr>
        <w:t>期，并在收到上述索赔通知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书或有关索赔的进一步证明材料后的</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42</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天内，将索赔处理</w:t>
      </w:r>
      <w:r>
        <w:rPr>
          <w:rFonts w:ascii="宋体" w:hAnsi="宋体" w:eastAsia="宋体" w:cs="宋体"/>
          <w:color w:val="auto"/>
          <w:spacing w:val="-2"/>
          <w:sz w:val="21"/>
          <w:szCs w:val="21"/>
          <w:highlight w:val="none"/>
        </w:rPr>
        <w:t>结果答复承包人。</w:t>
      </w:r>
    </w:p>
    <w:p w14:paraId="063EF1B9">
      <w:pPr>
        <w:spacing w:before="157" w:line="290" w:lineRule="auto"/>
        <w:ind w:right="10" w:firstLine="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（3）承包人接受索赔处理结果的，发包人应在作出索赔处理结果答复后</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天内完成赔付。承</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包人不接受索赔处理结果的，按第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24</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条的约定</w:t>
      </w:r>
      <w:r>
        <w:rPr>
          <w:rFonts w:ascii="宋体" w:hAnsi="宋体" w:eastAsia="宋体" w:cs="宋体"/>
          <w:color w:val="auto"/>
          <w:spacing w:val="-2"/>
          <w:sz w:val="21"/>
          <w:szCs w:val="21"/>
          <w:highlight w:val="none"/>
        </w:rPr>
        <w:t>办理。</w:t>
      </w:r>
    </w:p>
    <w:p w14:paraId="430F8341">
      <w:pPr>
        <w:spacing w:line="335" w:lineRule="auto"/>
        <w:outlineLvl w:val="9"/>
        <w:rPr>
          <w:rFonts w:ascii="Arial"/>
          <w:color w:val="auto"/>
          <w:sz w:val="21"/>
          <w:highlight w:val="none"/>
        </w:rPr>
      </w:pPr>
    </w:p>
    <w:p w14:paraId="5CAE92B8">
      <w:pPr>
        <w:spacing w:before="91"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承包人提出索赔的期限</w:t>
      </w:r>
    </w:p>
    <w:p w14:paraId="059644B0">
      <w:pPr>
        <w:spacing w:before="281" w:line="289" w:lineRule="auto"/>
        <w:ind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23.3.1 承包人按第 17.5</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款的约定接受了竣工付款证书后，应被认为已无权再提出在合同工程</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接收证书颁发前所发生的任何索赔。</w:t>
      </w:r>
    </w:p>
    <w:p w14:paraId="49A6F00C">
      <w:pPr>
        <w:spacing w:before="158" w:line="289" w:lineRule="auto"/>
        <w:ind w:left="4"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23.3.2 承包人按第 17.6</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款的约定提交的最终结清申请单中，只限于提出工程接收证书颁发后</w:t>
      </w:r>
      <w:r>
        <w:rPr>
          <w:rFonts w:ascii="宋体" w:hAnsi="宋体" w:eastAsia="宋体" w:cs="宋体"/>
          <w:color w:val="auto"/>
          <w:sz w:val="21"/>
          <w:szCs w:val="21"/>
          <w:highlight w:val="none"/>
        </w:rPr>
        <w:t xml:space="preserve"> 发生的索赔。提出索赔的期限自接受最终结清</w:t>
      </w:r>
      <w:r>
        <w:rPr>
          <w:rFonts w:ascii="宋体" w:hAnsi="宋体" w:eastAsia="宋体" w:cs="宋体"/>
          <w:color w:val="auto"/>
          <w:spacing w:val="-1"/>
          <w:sz w:val="21"/>
          <w:szCs w:val="21"/>
          <w:highlight w:val="none"/>
        </w:rPr>
        <w:t>证书时终止。</w:t>
      </w:r>
    </w:p>
    <w:p w14:paraId="326BB1FB">
      <w:pPr>
        <w:spacing w:line="336" w:lineRule="auto"/>
        <w:outlineLvl w:val="9"/>
        <w:rPr>
          <w:rFonts w:ascii="Arial"/>
          <w:color w:val="auto"/>
          <w:sz w:val="21"/>
          <w:highlight w:val="none"/>
        </w:rPr>
      </w:pPr>
    </w:p>
    <w:p w14:paraId="37C8D512">
      <w:pPr>
        <w:spacing w:before="91"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23.4</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发包人的索赔</w:t>
      </w:r>
    </w:p>
    <w:p w14:paraId="0288C73E">
      <w:pPr>
        <w:spacing w:before="277" w:line="351" w:lineRule="auto"/>
        <w:ind w:left="1" w:firstLine="421"/>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23.4.1 发生索赔事件后，监理人应及时书面通知承包人，详细说明发包人有权得到的索赔金额</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和（或）延长缺陷责任期的细节和依据。发包人提出索赔的期限和要求与第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23.3</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款的约定相同，延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长缺陷责任期的通知应在缺陷责任期届满前发出。</w:t>
      </w:r>
    </w:p>
    <w:p w14:paraId="0C043189">
      <w:pPr>
        <w:spacing w:before="29" w:line="351" w:lineRule="auto"/>
        <w:ind w:left="1" w:firstLine="421"/>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23.4.2 监理人按第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3.5</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款商定或确定发包人从承包人处得到赔付的金额和（或）缺陷责任期的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延长期。承包人应付给发包人的金额可从拟支付给承包人的</w:t>
      </w:r>
      <w:r>
        <w:rPr>
          <w:rFonts w:ascii="宋体" w:hAnsi="宋体" w:eastAsia="宋体" w:cs="宋体"/>
          <w:color w:val="auto"/>
          <w:sz w:val="21"/>
          <w:szCs w:val="21"/>
          <w:highlight w:val="none"/>
        </w:rPr>
        <w:t xml:space="preserve">合同价款中扣除，或由承包人以其他方 </w:t>
      </w:r>
      <w:r>
        <w:rPr>
          <w:rFonts w:ascii="宋体" w:hAnsi="宋体" w:eastAsia="宋体" w:cs="宋体"/>
          <w:color w:val="auto"/>
          <w:spacing w:val="-1"/>
          <w:sz w:val="21"/>
          <w:szCs w:val="21"/>
          <w:highlight w:val="none"/>
        </w:rPr>
        <w:t>式支付给发包人。</w:t>
      </w:r>
    </w:p>
    <w:p w14:paraId="1D6DBAA8">
      <w:pPr>
        <w:spacing w:before="44" w:line="225" w:lineRule="auto"/>
        <w:ind w:left="8"/>
        <w:outlineLvl w:val="9"/>
        <w:rPr>
          <w:rFonts w:ascii="宋体" w:hAnsi="宋体" w:eastAsia="宋体" w:cs="宋体"/>
          <w:color w:val="auto"/>
          <w:sz w:val="31"/>
          <w:szCs w:val="31"/>
          <w:highlight w:val="none"/>
        </w:rPr>
      </w:pPr>
      <w:bookmarkStart w:id="281" w:name="bookmark248"/>
      <w:bookmarkEnd w:id="281"/>
      <w:bookmarkStart w:id="282" w:name="_Toc4758"/>
      <w:bookmarkStart w:id="283" w:name="_Toc10183"/>
      <w:r>
        <w:rPr>
          <w:rFonts w:ascii="宋体" w:hAnsi="宋体" w:eastAsia="宋体" w:cs="宋体"/>
          <w:b/>
          <w:bCs/>
          <w:color w:val="auto"/>
          <w:spacing w:val="1"/>
          <w:sz w:val="31"/>
          <w:szCs w:val="31"/>
          <w:highlight w:val="none"/>
        </w:rPr>
        <w:t>24.</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1"/>
          <w:sz w:val="31"/>
          <w:szCs w:val="31"/>
          <w:highlight w:val="none"/>
        </w:rPr>
        <w:t>争议的解决</w:t>
      </w:r>
      <w:bookmarkEnd w:id="282"/>
      <w:bookmarkEnd w:id="283"/>
    </w:p>
    <w:p w14:paraId="319E7E1A">
      <w:pPr>
        <w:spacing w:before="275"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24.1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争议的解决方式</w:t>
      </w:r>
    </w:p>
    <w:p w14:paraId="502B89EB">
      <w:pPr>
        <w:spacing w:before="280" w:line="351" w:lineRule="auto"/>
        <w:ind w:left="5" w:right="3" w:firstLine="418"/>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发包人和承包人在履行合同中发生争议的，可以友好协商解决或者提</w:t>
      </w:r>
      <w:r>
        <w:rPr>
          <w:rFonts w:ascii="宋体" w:hAnsi="宋体" w:eastAsia="宋体" w:cs="宋体"/>
          <w:color w:val="auto"/>
          <w:sz w:val="21"/>
          <w:szCs w:val="21"/>
          <w:highlight w:val="none"/>
        </w:rPr>
        <w:t>请争议评审组评审。合同 当事人友好协商解决不成、不愿提请争议评审或者不接受争议评审组意见的，可在专用合同条款中</w:t>
      </w:r>
      <w:r>
        <w:rPr>
          <w:rFonts w:ascii="宋体" w:hAnsi="宋体" w:eastAsia="宋体" w:cs="宋体"/>
          <w:color w:val="auto"/>
          <w:spacing w:val="7"/>
          <w:sz w:val="21"/>
          <w:szCs w:val="21"/>
          <w:highlight w:val="none"/>
        </w:rPr>
        <w:t xml:space="preserve"> </w:t>
      </w:r>
      <w:r>
        <w:rPr>
          <w:rFonts w:ascii="宋体" w:hAnsi="宋体" w:eastAsia="宋体" w:cs="宋体"/>
          <w:color w:val="auto"/>
          <w:spacing w:val="-3"/>
          <w:sz w:val="21"/>
          <w:szCs w:val="21"/>
          <w:highlight w:val="none"/>
        </w:rPr>
        <w:t>约定下列一种方式解决。</w:t>
      </w:r>
    </w:p>
    <w:p w14:paraId="4027E490">
      <w:pPr>
        <w:spacing w:before="29"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（1）向约定的仲裁委员会申请仲裁；</w:t>
      </w:r>
    </w:p>
    <w:p w14:paraId="0AF016A3">
      <w:pPr>
        <w:spacing w:before="158" w:line="220"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（2）向有管辖权的人民法院提起诉讼。</w:t>
      </w:r>
    </w:p>
    <w:p w14:paraId="7E1ED796">
      <w:pPr>
        <w:spacing w:line="333" w:lineRule="auto"/>
        <w:outlineLvl w:val="9"/>
        <w:rPr>
          <w:rFonts w:ascii="Arial"/>
          <w:color w:val="auto"/>
          <w:sz w:val="21"/>
          <w:highlight w:val="none"/>
        </w:rPr>
      </w:pPr>
    </w:p>
    <w:p w14:paraId="53940C6D">
      <w:pPr>
        <w:spacing w:before="92"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24.2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友好解决</w:t>
      </w:r>
    </w:p>
    <w:p w14:paraId="75DBF1D5">
      <w:pPr>
        <w:spacing w:before="282" w:line="347" w:lineRule="auto"/>
        <w:ind w:left="2" w:right="3"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在提请争议评审、仲裁或者诉讼前，以及在争议评审、仲裁或诉讼过程中，</w:t>
      </w:r>
      <w:r>
        <w:rPr>
          <w:rFonts w:ascii="宋体" w:hAnsi="宋体" w:eastAsia="宋体" w:cs="宋体"/>
          <w:color w:val="auto"/>
          <w:sz w:val="21"/>
          <w:szCs w:val="21"/>
          <w:highlight w:val="none"/>
        </w:rPr>
        <w:t xml:space="preserve">发包人和承包人均 </w:t>
      </w:r>
      <w:r>
        <w:rPr>
          <w:rFonts w:ascii="宋体" w:hAnsi="宋体" w:eastAsia="宋体" w:cs="宋体"/>
          <w:color w:val="auto"/>
          <w:spacing w:val="-2"/>
          <w:sz w:val="21"/>
          <w:szCs w:val="21"/>
          <w:highlight w:val="none"/>
        </w:rPr>
        <w:t>可共同努力友好协商解决争议。</w:t>
      </w:r>
    </w:p>
    <w:p w14:paraId="25002026">
      <w:pPr>
        <w:spacing w:before="297" w:line="220" w:lineRule="auto"/>
        <w:ind w:left="143"/>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24.3</w:t>
      </w:r>
      <w:r>
        <w:rPr>
          <w:rFonts w:ascii="宋体" w:hAnsi="宋体" w:eastAsia="宋体" w:cs="宋体"/>
          <w:color w:val="auto"/>
          <w:spacing w:val="23"/>
          <w:sz w:val="28"/>
          <w:szCs w:val="28"/>
          <w:highlight w:val="none"/>
        </w:rPr>
        <w:t xml:space="preserve"> </w:t>
      </w:r>
      <w:r>
        <w:rPr>
          <w:rFonts w:ascii="宋体" w:hAnsi="宋体" w:eastAsia="宋体" w:cs="宋体"/>
          <w:b/>
          <w:bCs/>
          <w:color w:val="auto"/>
          <w:spacing w:val="-6"/>
          <w:sz w:val="28"/>
          <w:szCs w:val="28"/>
          <w:highlight w:val="none"/>
        </w:rPr>
        <w:t>争议评审</w:t>
      </w:r>
    </w:p>
    <w:p w14:paraId="68CFCF1F">
      <w:pPr>
        <w:spacing w:before="280" w:line="220" w:lineRule="auto"/>
        <w:jc w:val="right"/>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24.3.1 采用争议评审的，发包人和承包人应在开工日后的</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天内或在争议发生后，协商成立</w:t>
      </w:r>
    </w:p>
    <w:p w14:paraId="4F84085F">
      <w:pPr>
        <w:spacing w:before="41" w:line="221" w:lineRule="auto"/>
        <w:ind w:left="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争议评审组。争议评审组由有合同管理和工程实践经</w:t>
      </w:r>
      <w:r>
        <w:rPr>
          <w:rFonts w:ascii="宋体" w:hAnsi="宋体" w:eastAsia="宋体" w:cs="宋体"/>
          <w:color w:val="auto"/>
          <w:spacing w:val="-1"/>
          <w:sz w:val="21"/>
          <w:szCs w:val="21"/>
          <w:highlight w:val="none"/>
        </w:rPr>
        <w:t>验的专家组成。</w:t>
      </w:r>
    </w:p>
    <w:p w14:paraId="3467A9DE">
      <w:pPr>
        <w:spacing w:before="157" w:line="289" w:lineRule="auto"/>
        <w:ind w:left="1" w:firstLine="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24.3.2 合同双方的争议，应首先由申请人向争议评审组提交一份详细的评审申请报告，并附必</w:t>
      </w:r>
      <w:r>
        <w:rPr>
          <w:rFonts w:ascii="宋体" w:hAnsi="宋体" w:eastAsia="宋体" w:cs="宋体"/>
          <w:color w:val="auto"/>
          <w:spacing w:val="18"/>
          <w:sz w:val="21"/>
          <w:szCs w:val="21"/>
          <w:highlight w:val="none"/>
        </w:rPr>
        <w:t xml:space="preserve"> </w:t>
      </w:r>
      <w:r>
        <w:rPr>
          <w:rFonts w:ascii="宋体" w:hAnsi="宋体" w:eastAsia="宋体" w:cs="宋体"/>
          <w:color w:val="auto"/>
          <w:sz w:val="21"/>
          <w:szCs w:val="21"/>
          <w:highlight w:val="none"/>
        </w:rPr>
        <w:t>要的文件、图纸和证明材料，申请人还应将上述报告</w:t>
      </w:r>
      <w:r>
        <w:rPr>
          <w:rFonts w:ascii="宋体" w:hAnsi="宋体" w:eastAsia="宋体" w:cs="宋体"/>
          <w:color w:val="auto"/>
          <w:spacing w:val="-1"/>
          <w:sz w:val="21"/>
          <w:szCs w:val="21"/>
          <w:highlight w:val="none"/>
        </w:rPr>
        <w:t>的副本同时提交给被申请人和监理人。</w:t>
      </w:r>
    </w:p>
    <w:p w14:paraId="1275BE9C">
      <w:pPr>
        <w:spacing w:before="158" w:line="290" w:lineRule="auto"/>
        <w:ind w:left="5"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24.3.3 被申请人在收到申请人评审申请报告副本后的</w:t>
      </w:r>
      <w:r>
        <w:rPr>
          <w:rFonts w:ascii="宋体" w:hAnsi="宋体" w:eastAsia="宋体" w:cs="宋体"/>
          <w:color w:val="auto"/>
          <w:spacing w:val="-6"/>
          <w:sz w:val="21"/>
          <w:szCs w:val="21"/>
          <w:highlight w:val="none"/>
        </w:rPr>
        <w:t xml:space="preserve"> </w:t>
      </w:r>
      <w:r>
        <w:rPr>
          <w:rFonts w:ascii="宋体" w:hAnsi="宋体" w:eastAsia="宋体" w:cs="宋体"/>
          <w:color w:val="auto"/>
          <w:spacing w:val="-1"/>
          <w:sz w:val="21"/>
          <w:szCs w:val="21"/>
          <w:highlight w:val="none"/>
        </w:rPr>
        <w:t>28</w:t>
      </w:r>
      <w:r>
        <w:rPr>
          <w:rFonts w:ascii="宋体" w:hAnsi="宋体" w:eastAsia="宋体" w:cs="宋体"/>
          <w:color w:val="auto"/>
          <w:spacing w:val="-20"/>
          <w:sz w:val="21"/>
          <w:szCs w:val="21"/>
          <w:highlight w:val="none"/>
        </w:rPr>
        <w:t xml:space="preserve"> </w:t>
      </w:r>
      <w:r>
        <w:rPr>
          <w:rFonts w:ascii="宋体" w:hAnsi="宋体" w:eastAsia="宋体" w:cs="宋体"/>
          <w:color w:val="auto"/>
          <w:spacing w:val="-1"/>
          <w:sz w:val="21"/>
          <w:szCs w:val="21"/>
          <w:highlight w:val="none"/>
        </w:rPr>
        <w:t>天内，向争议评审组提交一份答辩报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告，并附证明材料。被申请人应将答辩报告的副本同时提交给申请人和监理人。</w:t>
      </w:r>
    </w:p>
    <w:p w14:paraId="41ED91F6">
      <w:pPr>
        <w:spacing w:before="160" w:line="312" w:lineRule="auto"/>
        <w:ind w:firstLine="42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24.3.4 除专用合同条款另有约定外，争议评审组在收到合同双方报告后的 14</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天内，邀</w:t>
      </w:r>
      <w:r>
        <w:rPr>
          <w:rFonts w:ascii="宋体" w:hAnsi="宋体" w:eastAsia="宋体" w:cs="宋体"/>
          <w:color w:val="auto"/>
          <w:spacing w:val="-2"/>
          <w:sz w:val="21"/>
          <w:szCs w:val="21"/>
          <w:highlight w:val="none"/>
        </w:rPr>
        <w:t>请双方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代表和有关人员举行调查会，向双方调查争议细节；必要时争议评审组可要求双方</w:t>
      </w:r>
      <w:r>
        <w:rPr>
          <w:rFonts w:ascii="宋体" w:hAnsi="宋体" w:eastAsia="宋体" w:cs="宋体"/>
          <w:color w:val="auto"/>
          <w:sz w:val="21"/>
          <w:szCs w:val="21"/>
          <w:highlight w:val="none"/>
        </w:rPr>
        <w:t xml:space="preserve">进一步提供补充 </w:t>
      </w:r>
      <w:r>
        <w:rPr>
          <w:rFonts w:ascii="宋体" w:hAnsi="宋体" w:eastAsia="宋体" w:cs="宋体"/>
          <w:color w:val="auto"/>
          <w:spacing w:val="-8"/>
          <w:sz w:val="21"/>
          <w:szCs w:val="21"/>
          <w:highlight w:val="none"/>
        </w:rPr>
        <w:t>材料。</w:t>
      </w:r>
    </w:p>
    <w:p w14:paraId="26D6E01C">
      <w:pPr>
        <w:spacing w:before="159" w:line="313" w:lineRule="auto"/>
        <w:ind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24.3.5 除专用合同条款另有约定外，在调查会结束后的 14</w:t>
      </w:r>
      <w:r>
        <w:rPr>
          <w:rFonts w:ascii="宋体" w:hAnsi="宋体" w:eastAsia="宋体" w:cs="宋体"/>
          <w:color w:val="auto"/>
          <w:spacing w:val="-22"/>
          <w:sz w:val="21"/>
          <w:szCs w:val="21"/>
          <w:highlight w:val="none"/>
        </w:rPr>
        <w:t xml:space="preserve"> </w:t>
      </w:r>
      <w:r>
        <w:rPr>
          <w:rFonts w:ascii="宋体" w:hAnsi="宋体" w:eastAsia="宋体" w:cs="宋体"/>
          <w:color w:val="auto"/>
          <w:spacing w:val="-1"/>
          <w:sz w:val="21"/>
          <w:szCs w:val="21"/>
          <w:highlight w:val="none"/>
        </w:rPr>
        <w:t>天内，争议评审组应在不受</w:t>
      </w:r>
      <w:r>
        <w:rPr>
          <w:rFonts w:ascii="宋体" w:hAnsi="宋体" w:eastAsia="宋体" w:cs="宋体"/>
          <w:color w:val="auto"/>
          <w:spacing w:val="-2"/>
          <w:sz w:val="21"/>
          <w:szCs w:val="21"/>
          <w:highlight w:val="none"/>
        </w:rPr>
        <w:t>任何干</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扰的情况下进行独立、公正的评审，作出书面评审意见，并说明理由。在争议评</w:t>
      </w:r>
      <w:r>
        <w:rPr>
          <w:rFonts w:ascii="宋体" w:hAnsi="宋体" w:eastAsia="宋体" w:cs="宋体"/>
          <w:color w:val="auto"/>
          <w:sz w:val="21"/>
          <w:szCs w:val="21"/>
          <w:highlight w:val="none"/>
        </w:rPr>
        <w:t xml:space="preserve">审期间，争议双方 </w:t>
      </w:r>
      <w:r>
        <w:rPr>
          <w:rFonts w:ascii="宋体" w:hAnsi="宋体" w:eastAsia="宋体" w:cs="宋体"/>
          <w:color w:val="auto"/>
          <w:spacing w:val="-2"/>
          <w:sz w:val="21"/>
          <w:szCs w:val="21"/>
          <w:highlight w:val="none"/>
        </w:rPr>
        <w:t>暂按总监理工程师的确定执行。</w:t>
      </w:r>
    </w:p>
    <w:p w14:paraId="5E6F700B">
      <w:pPr>
        <w:spacing w:before="156" w:line="290" w:lineRule="auto"/>
        <w:ind w:left="1" w:firstLine="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24.3.6 发包人和承包人接受评审意见的，由监理人根据评审意见拟定执行协议，经争议双方签</w:t>
      </w:r>
      <w:r>
        <w:rPr>
          <w:rFonts w:ascii="宋体" w:hAnsi="宋体" w:eastAsia="宋体" w:cs="宋体"/>
          <w:color w:val="auto"/>
          <w:spacing w:val="18"/>
          <w:sz w:val="21"/>
          <w:szCs w:val="21"/>
          <w:highlight w:val="none"/>
        </w:rPr>
        <w:t xml:space="preserve"> </w:t>
      </w:r>
      <w:r>
        <w:rPr>
          <w:rFonts w:ascii="宋体" w:hAnsi="宋体" w:eastAsia="宋体" w:cs="宋体"/>
          <w:color w:val="auto"/>
          <w:spacing w:val="-2"/>
          <w:sz w:val="21"/>
          <w:szCs w:val="21"/>
          <w:highlight w:val="none"/>
        </w:rPr>
        <w:t>字后作为合同的补充文件，并遵照执行。</w:t>
      </w:r>
    </w:p>
    <w:p w14:paraId="353FD01D">
      <w:pPr>
        <w:spacing w:before="159" w:line="313" w:lineRule="auto"/>
        <w:ind w:left="3" w:right="2" w:firstLine="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24.3.7 发包人或承包人不接受评审意见，并要求提交仲裁或提起诉讼的，应在收到评审意见后</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的</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14</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天内将仲裁或起诉意向书面通知另一方，并抄送</w:t>
      </w:r>
      <w:r>
        <w:rPr>
          <w:rFonts w:ascii="宋体" w:hAnsi="宋体" w:eastAsia="宋体" w:cs="宋体"/>
          <w:color w:val="auto"/>
          <w:spacing w:val="-3"/>
          <w:sz w:val="21"/>
          <w:szCs w:val="21"/>
          <w:highlight w:val="none"/>
        </w:rPr>
        <w:t>监理人，但在仲裁或诉讼结束前应暂按总监理</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工程师的确定执行。</w:t>
      </w:r>
    </w:p>
    <w:p w14:paraId="67693EB5">
      <w:pPr>
        <w:spacing w:before="154" w:line="225" w:lineRule="auto"/>
        <w:ind w:left="3332"/>
        <w:outlineLvl w:val="9"/>
        <w:rPr>
          <w:rFonts w:ascii="宋体" w:hAnsi="宋体" w:eastAsia="宋体" w:cs="宋体"/>
          <w:b/>
          <w:bCs/>
          <w:color w:val="auto"/>
          <w:spacing w:val="6"/>
          <w:sz w:val="31"/>
          <w:szCs w:val="31"/>
          <w:highlight w:val="none"/>
        </w:rPr>
      </w:pPr>
      <w:bookmarkStart w:id="284" w:name="bookmark249"/>
      <w:bookmarkEnd w:id="284"/>
    </w:p>
    <w:p w14:paraId="3D357BE8">
      <w:pPr>
        <w:spacing w:before="154" w:line="225" w:lineRule="auto"/>
        <w:ind w:left="3332"/>
        <w:outlineLvl w:val="9"/>
        <w:rPr>
          <w:rFonts w:ascii="宋体" w:hAnsi="宋体" w:eastAsia="宋体" w:cs="宋体"/>
          <w:b/>
          <w:bCs/>
          <w:color w:val="auto"/>
          <w:spacing w:val="6"/>
          <w:sz w:val="31"/>
          <w:szCs w:val="31"/>
          <w:highlight w:val="none"/>
        </w:rPr>
      </w:pPr>
    </w:p>
    <w:p w14:paraId="0EFFE390">
      <w:pPr>
        <w:spacing w:before="154" w:line="225" w:lineRule="auto"/>
        <w:ind w:left="3332"/>
        <w:outlineLvl w:val="9"/>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第二节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专用合同条款</w:t>
      </w:r>
    </w:p>
    <w:p w14:paraId="4EAFFA0B">
      <w:pPr>
        <w:spacing w:line="258" w:lineRule="auto"/>
        <w:outlineLvl w:val="9"/>
        <w:rPr>
          <w:rFonts w:ascii="Arial"/>
          <w:color w:val="auto"/>
          <w:sz w:val="21"/>
          <w:highlight w:val="none"/>
        </w:rPr>
      </w:pPr>
    </w:p>
    <w:p w14:paraId="7CA3F3C6">
      <w:pPr>
        <w:spacing w:before="101" w:line="226" w:lineRule="auto"/>
        <w:ind w:left="26"/>
        <w:outlineLvl w:val="9"/>
        <w:rPr>
          <w:rFonts w:ascii="宋体" w:hAnsi="宋体" w:eastAsia="宋体" w:cs="宋体"/>
          <w:color w:val="auto"/>
          <w:sz w:val="31"/>
          <w:szCs w:val="31"/>
          <w:highlight w:val="none"/>
        </w:rPr>
      </w:pPr>
      <w:bookmarkStart w:id="285" w:name="bookmark250"/>
      <w:bookmarkEnd w:id="285"/>
      <w:bookmarkStart w:id="286" w:name="_Toc5459"/>
      <w:bookmarkStart w:id="287" w:name="_Toc18458"/>
      <w:r>
        <w:rPr>
          <w:rFonts w:ascii="宋体" w:hAnsi="宋体" w:eastAsia="宋体" w:cs="宋体"/>
          <w:b/>
          <w:bCs/>
          <w:color w:val="auto"/>
          <w:spacing w:val="-4"/>
          <w:sz w:val="31"/>
          <w:szCs w:val="31"/>
          <w:highlight w:val="none"/>
        </w:rPr>
        <w:t>1.</w:t>
      </w:r>
      <w:r>
        <w:rPr>
          <w:rFonts w:ascii="宋体" w:hAnsi="宋体" w:eastAsia="宋体" w:cs="宋体"/>
          <w:color w:val="auto"/>
          <w:spacing w:val="31"/>
          <w:sz w:val="31"/>
          <w:szCs w:val="31"/>
          <w:highlight w:val="none"/>
        </w:rPr>
        <w:t xml:space="preserve"> </w:t>
      </w:r>
      <w:r>
        <w:rPr>
          <w:rFonts w:ascii="宋体" w:hAnsi="宋体" w:eastAsia="宋体" w:cs="宋体"/>
          <w:b/>
          <w:bCs/>
          <w:color w:val="auto"/>
          <w:spacing w:val="-4"/>
          <w:sz w:val="31"/>
          <w:szCs w:val="31"/>
          <w:highlight w:val="none"/>
        </w:rPr>
        <w:t>一般约定</w:t>
      </w:r>
      <w:bookmarkEnd w:id="286"/>
      <w:bookmarkEnd w:id="287"/>
    </w:p>
    <w:p w14:paraId="3272C12F">
      <w:pPr>
        <w:spacing w:before="275" w:line="221"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1.1</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9"/>
          <w:sz w:val="28"/>
          <w:szCs w:val="28"/>
          <w:highlight w:val="none"/>
        </w:rPr>
        <w:t>词语定义</w:t>
      </w:r>
    </w:p>
    <w:p w14:paraId="3E546797">
      <w:pPr>
        <w:spacing w:before="279" w:line="221"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1.1.2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合同当事人和人员</w:t>
      </w:r>
    </w:p>
    <w:p w14:paraId="3317A66A">
      <w:pPr>
        <w:spacing w:before="155" w:line="353" w:lineRule="auto"/>
        <w:ind w:left="434" w:right="2157"/>
        <w:jc w:val="both"/>
        <w:outlineLvl w:val="9"/>
        <w:rPr>
          <w:rFonts w:ascii="宋体" w:hAnsi="宋体" w:eastAsia="宋体" w:cs="宋体"/>
          <w:color w:val="auto"/>
          <w:spacing w:val="8"/>
          <w:sz w:val="21"/>
          <w:szCs w:val="21"/>
          <w:highlight w:val="none"/>
        </w:rPr>
      </w:pPr>
      <w:r>
        <w:rPr>
          <w:color w:val="auto"/>
          <w:highlight w:val="none"/>
        </w:rPr>
        <w:fldChar w:fldCharType="begin"/>
      </w:r>
      <w:r>
        <w:rPr>
          <w:color w:val="auto"/>
          <w:highlight w:val="none"/>
        </w:rPr>
        <w:instrText xml:space="preserve"> HYPERLINK "1.1.2.2" </w:instrText>
      </w:r>
      <w:r>
        <w:rPr>
          <w:color w:val="auto"/>
          <w:highlight w:val="none"/>
        </w:rPr>
        <w:fldChar w:fldCharType="separate"/>
      </w:r>
      <w:r>
        <w:rPr>
          <w:rFonts w:ascii="宋体" w:hAnsi="宋体" w:eastAsia="宋体" w:cs="宋体"/>
          <w:color w:val="auto"/>
          <w:spacing w:val="-1"/>
          <w:sz w:val="21"/>
          <w:szCs w:val="21"/>
          <w:highlight w:val="none"/>
        </w:rPr>
        <w:t>1.1.2.2</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发包人</w:t>
      </w:r>
      <w:r>
        <w:rPr>
          <w:rFonts w:ascii="宋体" w:hAnsi="宋体" w:eastAsia="宋体" w:cs="宋体"/>
          <w:color w:val="auto"/>
          <w:spacing w:val="-11"/>
          <w:sz w:val="21"/>
          <w:szCs w:val="21"/>
          <w:highlight w:val="none"/>
        </w:rPr>
        <w:t>：</w:t>
      </w:r>
      <w:r>
        <w:rPr>
          <w:rFonts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lang w:val="en-US" w:eastAsia="zh-CN"/>
        </w:rPr>
        <w:t xml:space="preserve">      </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1"/>
          <w:sz w:val="21"/>
          <w:szCs w:val="21"/>
          <w:highlight w:val="none"/>
          <w:u w:val="single" w:color="auto"/>
        </w:rPr>
        <w:t>（</w:t>
      </w:r>
      <w:r>
        <w:rPr>
          <w:rFonts w:ascii="宋体" w:hAnsi="宋体" w:eastAsia="宋体" w:cs="宋体"/>
          <w:color w:val="auto"/>
          <w:spacing w:val="-1"/>
          <w:sz w:val="21"/>
          <w:szCs w:val="21"/>
          <w:highlight w:val="none"/>
          <w:u w:val="single" w:color="auto"/>
        </w:rPr>
        <w:t xml:space="preserve">填入发包人的名称）         </w:t>
      </w:r>
      <w:r>
        <w:rPr>
          <w:color w:val="auto"/>
          <w:highlight w:val="none"/>
        </w:rPr>
        <w:fldChar w:fldCharType="begin"/>
      </w:r>
      <w:r>
        <w:rPr>
          <w:color w:val="auto"/>
          <w:highlight w:val="none"/>
        </w:rPr>
        <w:instrText xml:space="preserve"> HYPERLINK "1.1.2.3" </w:instrText>
      </w:r>
      <w:r>
        <w:rPr>
          <w:color w:val="auto"/>
          <w:highlight w:val="none"/>
        </w:rPr>
        <w:fldChar w:fldCharType="separate"/>
      </w:r>
      <w:r>
        <w:rPr>
          <w:rFonts w:ascii="宋体" w:hAnsi="宋体" w:eastAsia="宋体" w:cs="宋体"/>
          <w:color w:val="auto"/>
          <w:spacing w:val="-1"/>
          <w:sz w:val="21"/>
          <w:szCs w:val="21"/>
          <w:highlight w:val="none"/>
        </w:rPr>
        <w:t>1.1.2.3</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承包人</w:t>
      </w:r>
      <w:r>
        <w:rPr>
          <w:rFonts w:ascii="宋体" w:hAnsi="宋体" w:eastAsia="宋体" w:cs="宋体"/>
          <w:color w:val="auto"/>
          <w:spacing w:val="-12"/>
          <w:sz w:val="21"/>
          <w:szCs w:val="21"/>
          <w:highlight w:val="none"/>
        </w:rPr>
        <w:t>：</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2"/>
          <w:sz w:val="21"/>
          <w:szCs w:val="21"/>
          <w:highlight w:val="none"/>
          <w:u w:val="single" w:color="auto"/>
        </w:rPr>
        <w:t>（</w:t>
      </w:r>
      <w:r>
        <w:rPr>
          <w:rFonts w:ascii="宋体" w:hAnsi="宋体" w:eastAsia="宋体" w:cs="宋体"/>
          <w:color w:val="auto"/>
          <w:spacing w:val="-1"/>
          <w:sz w:val="21"/>
          <w:szCs w:val="21"/>
          <w:highlight w:val="none"/>
          <w:u w:val="single" w:color="auto"/>
        </w:rPr>
        <w:t xml:space="preserve">签约后填入承包人的名称）   </w:t>
      </w:r>
      <w:r>
        <w:rPr>
          <w:rFonts w:ascii="宋体" w:hAnsi="宋体" w:eastAsia="宋体" w:cs="宋体"/>
          <w:color w:val="auto"/>
          <w:spacing w:val="-1"/>
          <w:sz w:val="21"/>
          <w:szCs w:val="21"/>
          <w:highlight w:val="none"/>
        </w:rPr>
        <w:t>。</w:t>
      </w:r>
      <w:r>
        <w:rPr>
          <w:rFonts w:ascii="宋体" w:hAnsi="宋体" w:eastAsia="宋体" w:cs="宋体"/>
          <w:color w:val="auto"/>
          <w:spacing w:val="8"/>
          <w:sz w:val="21"/>
          <w:szCs w:val="21"/>
          <w:highlight w:val="none"/>
        </w:rPr>
        <w:t xml:space="preserve"> </w:t>
      </w:r>
    </w:p>
    <w:p w14:paraId="78ADA556">
      <w:pPr>
        <w:spacing w:before="155" w:line="353" w:lineRule="auto"/>
        <w:ind w:left="434" w:right="2157"/>
        <w:jc w:val="both"/>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"1.1.2.5" </w:instrText>
      </w:r>
      <w:r>
        <w:rPr>
          <w:color w:val="auto"/>
          <w:highlight w:val="none"/>
        </w:rPr>
        <w:fldChar w:fldCharType="separate"/>
      </w:r>
      <w:r>
        <w:rPr>
          <w:rFonts w:ascii="宋体" w:hAnsi="宋体" w:eastAsia="宋体" w:cs="宋体"/>
          <w:color w:val="auto"/>
          <w:spacing w:val="-1"/>
          <w:sz w:val="21"/>
          <w:szCs w:val="21"/>
          <w:highlight w:val="none"/>
        </w:rPr>
        <w:t>1.1.2.5</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分包人</w:t>
      </w:r>
      <w:r>
        <w:rPr>
          <w:rFonts w:ascii="宋体" w:hAnsi="宋体" w:eastAsia="宋体" w:cs="宋体"/>
          <w:color w:val="auto"/>
          <w:spacing w:val="-12"/>
          <w:sz w:val="21"/>
          <w:szCs w:val="21"/>
          <w:highlight w:val="none"/>
        </w:rPr>
        <w:t>：</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2"/>
          <w:sz w:val="21"/>
          <w:szCs w:val="21"/>
          <w:highlight w:val="none"/>
          <w:u w:val="single" w:color="auto"/>
        </w:rPr>
        <w:t>（</w:t>
      </w:r>
      <w:r>
        <w:rPr>
          <w:rFonts w:ascii="宋体" w:hAnsi="宋体" w:eastAsia="宋体" w:cs="宋体"/>
          <w:color w:val="auto"/>
          <w:spacing w:val="-1"/>
          <w:sz w:val="21"/>
          <w:szCs w:val="21"/>
          <w:highlight w:val="none"/>
          <w:u w:val="single" w:color="auto"/>
        </w:rPr>
        <w:t xml:space="preserve">签约后填入分包人的名称）   </w:t>
      </w:r>
      <w:r>
        <w:rPr>
          <w:rFonts w:ascii="宋体" w:hAnsi="宋体" w:eastAsia="宋体" w:cs="宋体"/>
          <w:color w:val="auto"/>
          <w:spacing w:val="-1"/>
          <w:sz w:val="21"/>
          <w:szCs w:val="21"/>
          <w:highlight w:val="none"/>
        </w:rPr>
        <w:t>。</w:t>
      </w:r>
      <w:r>
        <w:rPr>
          <w:rFonts w:ascii="宋体" w:hAnsi="宋体" w:eastAsia="宋体" w:cs="宋体"/>
          <w:color w:val="auto"/>
          <w:spacing w:val="8"/>
          <w:sz w:val="21"/>
          <w:szCs w:val="21"/>
          <w:highlight w:val="none"/>
        </w:rPr>
        <w:t xml:space="preserve"> </w:t>
      </w:r>
      <w:r>
        <w:rPr>
          <w:color w:val="auto"/>
          <w:highlight w:val="none"/>
        </w:rPr>
        <w:fldChar w:fldCharType="begin"/>
      </w:r>
      <w:r>
        <w:rPr>
          <w:color w:val="auto"/>
          <w:highlight w:val="none"/>
        </w:rPr>
        <w:instrText xml:space="preserve"> HYPERLINK "1.1.2.6" </w:instrText>
      </w:r>
      <w:r>
        <w:rPr>
          <w:color w:val="auto"/>
          <w:highlight w:val="none"/>
        </w:rPr>
        <w:fldChar w:fldCharType="separate"/>
      </w:r>
      <w:r>
        <w:rPr>
          <w:rFonts w:ascii="宋体" w:hAnsi="宋体" w:eastAsia="宋体" w:cs="宋体"/>
          <w:color w:val="auto"/>
          <w:spacing w:val="-1"/>
          <w:sz w:val="21"/>
          <w:szCs w:val="21"/>
          <w:highlight w:val="none"/>
        </w:rPr>
        <w:t>1.1.2.6</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监理人</w:t>
      </w:r>
      <w:r>
        <w:rPr>
          <w:rFonts w:ascii="宋体" w:hAnsi="宋体" w:eastAsia="宋体" w:cs="宋体"/>
          <w:color w:val="auto"/>
          <w:spacing w:val="-10"/>
          <w:sz w:val="21"/>
          <w:szCs w:val="21"/>
          <w:highlight w:val="none"/>
        </w:rPr>
        <w:t>：</w:t>
      </w:r>
      <w:r>
        <w:rPr>
          <w:rFonts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lang w:val="en-US" w:eastAsia="zh-CN"/>
        </w:rPr>
        <w:t xml:space="preserve"> </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0"/>
          <w:sz w:val="21"/>
          <w:szCs w:val="21"/>
          <w:highlight w:val="none"/>
          <w:u w:val="single" w:color="auto"/>
        </w:rPr>
        <w:t>（</w:t>
      </w:r>
      <w:r>
        <w:rPr>
          <w:rFonts w:ascii="宋体" w:hAnsi="宋体" w:eastAsia="宋体" w:cs="宋体"/>
          <w:color w:val="auto"/>
          <w:spacing w:val="-1"/>
          <w:sz w:val="21"/>
          <w:szCs w:val="21"/>
          <w:highlight w:val="none"/>
          <w:u w:val="single" w:color="auto"/>
        </w:rPr>
        <w:t xml:space="preserve">填入监理人名称）           </w:t>
      </w:r>
      <w:r>
        <w:rPr>
          <w:rFonts w:ascii="宋体" w:hAnsi="宋体" w:eastAsia="宋体" w:cs="宋体"/>
          <w:color w:val="auto"/>
          <w:spacing w:val="-1"/>
          <w:sz w:val="21"/>
          <w:szCs w:val="21"/>
          <w:highlight w:val="none"/>
        </w:rPr>
        <w:t>。</w:t>
      </w:r>
    </w:p>
    <w:p w14:paraId="46B60476">
      <w:pPr>
        <w:spacing w:before="30" w:line="221" w:lineRule="auto"/>
        <w:ind w:left="427"/>
        <w:outlineLvl w:val="9"/>
        <w:rPr>
          <w:rFonts w:ascii="宋体" w:hAnsi="宋体" w:eastAsia="宋体" w:cs="宋体"/>
          <w:color w:val="auto"/>
          <w:sz w:val="21"/>
          <w:szCs w:val="21"/>
          <w:highlight w:val="none"/>
        </w:rPr>
      </w:pPr>
      <w:r>
        <w:rPr>
          <w:rFonts w:ascii="宋体" w:hAnsi="宋体" w:eastAsia="宋体" w:cs="宋体"/>
          <w:b/>
          <w:bCs/>
          <w:color w:val="auto"/>
          <w:spacing w:val="-9"/>
          <w:sz w:val="21"/>
          <w:szCs w:val="21"/>
          <w:highlight w:val="none"/>
        </w:rPr>
        <w:t>1.1.4</w:t>
      </w:r>
      <w:r>
        <w:rPr>
          <w:rFonts w:ascii="宋体" w:hAnsi="宋体" w:eastAsia="宋体" w:cs="宋体"/>
          <w:color w:val="auto"/>
          <w:spacing w:val="25"/>
          <w:sz w:val="21"/>
          <w:szCs w:val="21"/>
          <w:highlight w:val="none"/>
        </w:rPr>
        <w:t xml:space="preserve">  </w:t>
      </w:r>
      <w:r>
        <w:rPr>
          <w:rFonts w:ascii="宋体" w:hAnsi="宋体" w:eastAsia="宋体" w:cs="宋体"/>
          <w:b/>
          <w:bCs/>
          <w:color w:val="auto"/>
          <w:spacing w:val="-9"/>
          <w:sz w:val="21"/>
          <w:szCs w:val="21"/>
          <w:highlight w:val="none"/>
        </w:rPr>
        <w:t>日期</w:t>
      </w:r>
    </w:p>
    <w:p w14:paraId="0270F329">
      <w:pPr>
        <w:spacing w:before="156" w:line="221" w:lineRule="auto"/>
        <w:ind w:left="434"/>
        <w:outlineLvl w:val="9"/>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ascii="宋体" w:hAnsi="宋体" w:eastAsia="宋体" w:cs="宋体"/>
          <w:color w:val="auto"/>
          <w:sz w:val="21"/>
          <w:szCs w:val="21"/>
          <w:highlight w:val="none"/>
        </w:rPr>
        <w:t>1.1.4.5</w:t>
      </w:r>
      <w:r>
        <w:rPr>
          <w:rFonts w:ascii="宋体" w:hAnsi="宋体" w:eastAsia="宋体" w:cs="宋体"/>
          <w:color w:val="auto"/>
          <w:sz w:val="21"/>
          <w:szCs w:val="21"/>
          <w:highlight w:val="none"/>
        </w:rPr>
        <w:fldChar w:fldCharType="end"/>
      </w:r>
      <w:r>
        <w:rPr>
          <w:rFonts w:ascii="宋体" w:hAnsi="宋体" w:eastAsia="宋体" w:cs="宋体"/>
          <w:color w:val="auto"/>
          <w:sz w:val="21"/>
          <w:szCs w:val="21"/>
          <w:highlight w:val="none"/>
        </w:rPr>
        <w:t xml:space="preserve">  缺陷责任期：</w:t>
      </w:r>
      <w:r>
        <w:rPr>
          <w:rFonts w:hint="eastAsia" w:ascii="Times New Roman" w:hAnsi="Times New Roman" w:cs="Times New Roman"/>
          <w:color w:val="auto"/>
          <w:szCs w:val="21"/>
          <w:highlight w:val="none"/>
          <w:u w:val="single"/>
        </w:rPr>
        <w:t>自工程完工验收合格之日起</w:t>
      </w:r>
      <w:r>
        <w:rPr>
          <w:rFonts w:hint="eastAsia" w:ascii="Times New Roman" w:hAnsi="Times New Roman" w:eastAsia="宋体" w:cs="Times New Roman"/>
          <w:color w:val="auto"/>
          <w:szCs w:val="21"/>
          <w:highlight w:val="none"/>
          <w:u w:val="single"/>
          <w:lang w:val="en-US" w:eastAsia="zh-CN"/>
        </w:rPr>
        <w:t>24个月</w:t>
      </w:r>
      <w:r>
        <w:rPr>
          <w:rFonts w:ascii="宋体" w:hAnsi="宋体" w:eastAsia="宋体" w:cs="宋体"/>
          <w:color w:val="auto"/>
          <w:spacing w:val="-1"/>
          <w:sz w:val="21"/>
          <w:szCs w:val="21"/>
          <w:highlight w:val="none"/>
        </w:rPr>
        <w:t>。</w:t>
      </w:r>
    </w:p>
    <w:p w14:paraId="0CF9C514">
      <w:pPr>
        <w:spacing w:line="333" w:lineRule="auto"/>
        <w:outlineLvl w:val="9"/>
        <w:rPr>
          <w:rFonts w:ascii="Arial"/>
          <w:color w:val="auto"/>
          <w:sz w:val="21"/>
          <w:highlight w:val="none"/>
        </w:rPr>
      </w:pPr>
    </w:p>
    <w:p w14:paraId="5EBC20D0">
      <w:pPr>
        <w:spacing w:before="91"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1.3</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8"/>
          <w:sz w:val="28"/>
          <w:szCs w:val="28"/>
          <w:highlight w:val="none"/>
        </w:rPr>
        <w:t>适用法律</w:t>
      </w:r>
    </w:p>
    <w:p w14:paraId="0FB20C2F">
      <w:pPr>
        <w:spacing w:before="283" w:line="220" w:lineRule="auto"/>
        <w:ind w:left="48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本合同适用的其他规范性文件：</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rPr>
        <w:t>。</w:t>
      </w:r>
    </w:p>
    <w:p w14:paraId="6C507915">
      <w:pPr>
        <w:spacing w:line="395" w:lineRule="auto"/>
        <w:outlineLvl w:val="9"/>
        <w:rPr>
          <w:rFonts w:ascii="Arial"/>
          <w:color w:val="auto"/>
          <w:sz w:val="21"/>
          <w:highlight w:val="none"/>
        </w:rPr>
      </w:pPr>
    </w:p>
    <w:p w14:paraId="715D1AB1">
      <w:pPr>
        <w:spacing w:before="92"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1.4</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合同文件的优先顺序</w:t>
      </w:r>
    </w:p>
    <w:p w14:paraId="45353374">
      <w:pPr>
        <w:spacing w:before="280"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本合同文件组成及优先顺序为：</w:t>
      </w:r>
      <w:r>
        <w:rPr>
          <w:rFonts w:hint="eastAsia" w:ascii="宋体" w:hAnsi="宋体" w:eastAsia="宋体" w:cs="宋体"/>
          <w:color w:val="auto"/>
          <w:spacing w:val="-1"/>
          <w:sz w:val="21"/>
          <w:szCs w:val="21"/>
          <w:highlight w:val="none"/>
          <w:u w:val="single"/>
          <w:lang w:val="en-US" w:eastAsia="zh-CN"/>
        </w:rPr>
        <w:t xml:space="preserve">      详见通用条款      </w:t>
      </w:r>
      <w:r>
        <w:rPr>
          <w:rFonts w:ascii="宋体" w:hAnsi="宋体" w:eastAsia="宋体" w:cs="宋体"/>
          <w:color w:val="auto"/>
          <w:spacing w:val="-1"/>
          <w:sz w:val="21"/>
          <w:szCs w:val="21"/>
          <w:highlight w:val="none"/>
        </w:rPr>
        <w:t>。</w:t>
      </w:r>
    </w:p>
    <w:p w14:paraId="0E03992A">
      <w:pPr>
        <w:spacing w:line="334" w:lineRule="auto"/>
        <w:outlineLvl w:val="9"/>
        <w:rPr>
          <w:rFonts w:ascii="Arial"/>
          <w:color w:val="auto"/>
          <w:sz w:val="21"/>
          <w:highlight w:val="none"/>
        </w:rPr>
      </w:pPr>
    </w:p>
    <w:p w14:paraId="07DD5B2D">
      <w:pPr>
        <w:spacing w:before="91" w:line="220"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1.6</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9"/>
          <w:sz w:val="28"/>
          <w:szCs w:val="28"/>
          <w:highlight w:val="none"/>
        </w:rPr>
        <w:t>图纸和承包人文件</w:t>
      </w:r>
    </w:p>
    <w:p w14:paraId="38CD6767">
      <w:pPr>
        <w:spacing w:before="280" w:line="290" w:lineRule="auto"/>
        <w:ind w:left="13" w:firstLine="420"/>
        <w:outlineLvl w:val="9"/>
        <w:rPr>
          <w:rFonts w:ascii="宋体" w:hAnsi="宋体" w:eastAsia="宋体" w:cs="宋体"/>
          <w:color w:val="auto"/>
          <w:spacing w:val="-76"/>
          <w:sz w:val="21"/>
          <w:szCs w:val="21"/>
          <w:highlight w:val="none"/>
        </w:rPr>
      </w:pPr>
      <w:r>
        <w:rPr>
          <w:rFonts w:ascii="宋体" w:hAnsi="宋体" w:eastAsia="宋体" w:cs="宋体"/>
          <w:color w:val="auto"/>
          <w:spacing w:val="1"/>
          <w:sz w:val="21"/>
          <w:szCs w:val="21"/>
          <w:highlight w:val="none"/>
        </w:rPr>
        <w:t>1.6.2 承包人负责提供的文件包括</w:t>
      </w:r>
      <w:r>
        <w:rPr>
          <w:rFonts w:ascii="宋体" w:hAnsi="宋体" w:eastAsia="宋体" w:cs="宋体"/>
          <w:color w:val="auto"/>
          <w:spacing w:val="2"/>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5"/>
          <w:sz w:val="21"/>
          <w:szCs w:val="21"/>
          <w:highlight w:val="none"/>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提供数量</w:t>
      </w:r>
      <w:r>
        <w:rPr>
          <w:rFonts w:ascii="宋体" w:hAnsi="宋体" w:eastAsia="宋体" w:cs="宋体"/>
          <w:color w:val="auto"/>
          <w:spacing w:val="2"/>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76"/>
          <w:sz w:val="21"/>
          <w:szCs w:val="21"/>
          <w:highlight w:val="none"/>
        </w:rPr>
        <w:t xml:space="preserve"> </w:t>
      </w:r>
    </w:p>
    <w:p w14:paraId="7C9A4BF7">
      <w:pPr>
        <w:spacing w:before="280" w:line="290" w:lineRule="auto"/>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提供期</w:t>
      </w:r>
      <w:r>
        <w:rPr>
          <w:rFonts w:ascii="宋体" w:hAnsi="宋体" w:eastAsia="宋体" w:cs="宋体"/>
          <w:color w:val="auto"/>
          <w:spacing w:val="-1"/>
          <w:sz w:val="21"/>
          <w:szCs w:val="21"/>
          <w:highlight w:val="none"/>
        </w:rPr>
        <w:t>限</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。监理人批复文件的期限：</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1C48F76C">
      <w:pPr>
        <w:spacing w:before="159"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1.6.3 修改后图纸签发的期限：</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0C8C082C">
      <w:pPr>
        <w:spacing w:line="333" w:lineRule="auto"/>
        <w:outlineLvl w:val="9"/>
        <w:rPr>
          <w:rFonts w:ascii="Arial"/>
          <w:color w:val="auto"/>
          <w:sz w:val="21"/>
          <w:highlight w:val="none"/>
        </w:rPr>
      </w:pPr>
    </w:p>
    <w:p w14:paraId="2AC97BD8">
      <w:pPr>
        <w:spacing w:before="91" w:line="222" w:lineRule="auto"/>
        <w:ind w:left="159"/>
        <w:outlineLvl w:val="9"/>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1.7</w:t>
      </w:r>
      <w:r>
        <w:rPr>
          <w:rFonts w:ascii="宋体" w:hAnsi="宋体" w:eastAsia="宋体" w:cs="宋体"/>
          <w:color w:val="auto"/>
          <w:spacing w:val="15"/>
          <w:sz w:val="28"/>
          <w:szCs w:val="28"/>
          <w:highlight w:val="none"/>
        </w:rPr>
        <w:t xml:space="preserve"> </w:t>
      </w:r>
      <w:r>
        <w:rPr>
          <w:rFonts w:ascii="宋体" w:hAnsi="宋体" w:eastAsia="宋体" w:cs="宋体"/>
          <w:b/>
          <w:bCs/>
          <w:color w:val="auto"/>
          <w:spacing w:val="-10"/>
          <w:sz w:val="28"/>
          <w:szCs w:val="28"/>
          <w:highlight w:val="none"/>
        </w:rPr>
        <w:t>联络</w:t>
      </w:r>
    </w:p>
    <w:p w14:paraId="1D7DD80C">
      <w:pPr>
        <w:spacing w:before="277"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 xml:space="preserve">1.7.2  来往函件均应在         </w:t>
      </w:r>
      <w:r>
        <w:rPr>
          <w:rFonts w:hint="eastAsia" w:ascii="宋体" w:hAnsi="宋体" w:eastAsia="宋体" w:cs="宋体"/>
          <w:color w:val="auto"/>
          <w:spacing w:val="-105"/>
          <w:sz w:val="21"/>
          <w:szCs w:val="21"/>
          <w:highlight w:val="none"/>
          <w:u w:val="single" w:color="auto"/>
          <w:lang w:val="en-US" w:eastAsia="zh-CN"/>
        </w:rPr>
        <w:t xml:space="preserve">     </w:t>
      </w:r>
      <w:r>
        <w:rPr>
          <w:rFonts w:ascii="宋体" w:hAnsi="宋体" w:eastAsia="宋体" w:cs="宋体"/>
          <w:color w:val="auto"/>
          <w:spacing w:val="-4"/>
          <w:sz w:val="21"/>
          <w:szCs w:val="21"/>
          <w:highlight w:val="none"/>
        </w:rPr>
        <w:t>天内送达</w:t>
      </w:r>
      <w:r>
        <w:rPr>
          <w:rFonts w:hint="eastAsia" w:ascii="宋体" w:hAnsi="宋体" w:eastAsia="宋体" w:cs="宋体"/>
          <w:color w:val="auto"/>
          <w:spacing w:val="-4"/>
          <w:sz w:val="21"/>
          <w:szCs w:val="21"/>
          <w:highlight w:val="none"/>
          <w:u w:val="none" w:color="auto"/>
        </w:rPr>
        <w:t>发包人、承包人现场管理机构</w:t>
      </w:r>
      <w:r>
        <w:rPr>
          <w:rFonts w:ascii="宋体" w:hAnsi="宋体" w:eastAsia="宋体" w:cs="宋体"/>
          <w:color w:val="auto"/>
          <w:spacing w:val="-4"/>
          <w:sz w:val="21"/>
          <w:szCs w:val="21"/>
          <w:highlight w:val="none"/>
        </w:rPr>
        <w:t>（</w:t>
      </w:r>
      <w:r>
        <w:rPr>
          <w:rFonts w:ascii="宋体" w:hAnsi="宋体" w:eastAsia="宋体" w:cs="宋体"/>
          <w:color w:val="auto"/>
          <w:spacing w:val="-5"/>
          <w:sz w:val="21"/>
          <w:szCs w:val="21"/>
          <w:highlight w:val="none"/>
        </w:rPr>
        <w:t>填写文件送达地点）。</w:t>
      </w:r>
    </w:p>
    <w:p w14:paraId="025442E3">
      <w:pPr>
        <w:spacing w:before="172" w:line="225" w:lineRule="auto"/>
        <w:ind w:left="7"/>
        <w:outlineLvl w:val="9"/>
        <w:rPr>
          <w:rFonts w:ascii="宋体" w:hAnsi="宋体" w:eastAsia="宋体" w:cs="宋体"/>
          <w:color w:val="auto"/>
          <w:sz w:val="31"/>
          <w:szCs w:val="31"/>
          <w:highlight w:val="none"/>
        </w:rPr>
      </w:pPr>
      <w:bookmarkStart w:id="288" w:name="bookmark251"/>
      <w:bookmarkEnd w:id="288"/>
      <w:bookmarkStart w:id="289" w:name="_Toc7464"/>
      <w:bookmarkStart w:id="290" w:name="_Toc29234"/>
      <w:r>
        <w:rPr>
          <w:rFonts w:ascii="宋体" w:hAnsi="宋体" w:eastAsia="宋体" w:cs="宋体"/>
          <w:b/>
          <w:bCs/>
          <w:color w:val="auto"/>
          <w:spacing w:val="1"/>
          <w:sz w:val="31"/>
          <w:szCs w:val="31"/>
          <w:highlight w:val="none"/>
        </w:rPr>
        <w:t>2.</w:t>
      </w:r>
      <w:r>
        <w:rPr>
          <w:rFonts w:ascii="宋体" w:hAnsi="宋体" w:eastAsia="宋体" w:cs="宋体"/>
          <w:color w:val="auto"/>
          <w:spacing w:val="28"/>
          <w:sz w:val="31"/>
          <w:szCs w:val="31"/>
          <w:highlight w:val="none"/>
        </w:rPr>
        <w:t xml:space="preserve"> </w:t>
      </w:r>
      <w:r>
        <w:rPr>
          <w:rFonts w:ascii="宋体" w:hAnsi="宋体" w:eastAsia="宋体" w:cs="宋体"/>
          <w:b/>
          <w:bCs/>
          <w:color w:val="auto"/>
          <w:spacing w:val="1"/>
          <w:sz w:val="31"/>
          <w:szCs w:val="31"/>
          <w:highlight w:val="none"/>
        </w:rPr>
        <w:t>发包人义务</w:t>
      </w:r>
      <w:bookmarkEnd w:id="289"/>
      <w:bookmarkEnd w:id="290"/>
    </w:p>
    <w:p w14:paraId="5510A1B1">
      <w:pPr>
        <w:spacing w:before="278" w:line="219"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2.3</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提供施工场地</w:t>
      </w:r>
    </w:p>
    <w:p w14:paraId="4760D62E">
      <w:pPr>
        <w:spacing w:before="282"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本款细化为：</w:t>
      </w:r>
    </w:p>
    <w:p w14:paraId="3BDE414C">
      <w:pPr>
        <w:spacing w:before="159" w:line="349" w:lineRule="auto"/>
        <w:ind w:right="232" w:firstLine="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2.3.1</w:t>
      </w:r>
      <w:r>
        <w:rPr>
          <w:rFonts w:ascii="宋体" w:hAnsi="宋体" w:eastAsia="宋体" w:cs="宋体"/>
          <w:color w:val="auto"/>
          <w:spacing w:val="-33"/>
          <w:sz w:val="21"/>
          <w:szCs w:val="21"/>
          <w:highlight w:val="none"/>
        </w:rPr>
        <w:t xml:space="preserve"> </w:t>
      </w:r>
      <w:r>
        <w:rPr>
          <w:rFonts w:ascii="宋体" w:hAnsi="宋体" w:eastAsia="宋体" w:cs="宋体"/>
          <w:color w:val="auto"/>
          <w:spacing w:val="-2"/>
          <w:sz w:val="21"/>
          <w:szCs w:val="21"/>
          <w:highlight w:val="none"/>
        </w:rPr>
        <w:t>发包人应在合同双方签订合同协议书后的</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天内，将本合同工程的施工场地范围图</w:t>
      </w:r>
      <w:r>
        <w:rPr>
          <w:rFonts w:ascii="宋体" w:hAnsi="宋体" w:eastAsia="宋体" w:cs="宋体"/>
          <w:color w:val="auto"/>
          <w:sz w:val="21"/>
          <w:szCs w:val="21"/>
          <w:highlight w:val="none"/>
        </w:rPr>
        <w:t xml:space="preserve"> 提交给承包人。发包人提供的施工场地范围图应标明场地范围内永久占地与临时占地的</w:t>
      </w:r>
      <w:r>
        <w:rPr>
          <w:rFonts w:ascii="宋体" w:hAnsi="宋体" w:eastAsia="宋体" w:cs="宋体"/>
          <w:color w:val="auto"/>
          <w:spacing w:val="-1"/>
          <w:sz w:val="21"/>
          <w:szCs w:val="21"/>
          <w:highlight w:val="none"/>
        </w:rPr>
        <w:t>范围和界</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限，以及指明提供给承包人用于施工场地布置的范围和界限及其有关资料。</w:t>
      </w:r>
    </w:p>
    <w:p w14:paraId="3367B524">
      <w:pPr>
        <w:spacing w:before="42"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2.3.2</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发包人提供的施工用地范围为：</w:t>
      </w:r>
      <w:r>
        <w:rPr>
          <w:rFonts w:ascii="宋体" w:hAnsi="宋体" w:eastAsia="宋体" w:cs="宋体"/>
          <w:color w:val="auto"/>
          <w:spacing w:val="-1"/>
          <w:sz w:val="21"/>
          <w:szCs w:val="21"/>
          <w:highlight w:val="none"/>
          <w:u w:val="single" w:color="auto"/>
        </w:rPr>
        <w:t xml:space="preserve">      </w:t>
      </w:r>
      <w:r>
        <w:rPr>
          <w:rFonts w:hint="eastAsia" w:ascii="Times New Roman" w:hAnsi="Times New Roman" w:cs="Times New Roman"/>
          <w:color w:val="auto"/>
          <w:highlight w:val="none"/>
          <w:u w:val="single"/>
        </w:rPr>
        <w:t>详见</w:t>
      </w:r>
      <w:r>
        <w:rPr>
          <w:rFonts w:ascii="Times New Roman" w:hAnsi="Times New Roman" w:cs="Times New Roman"/>
          <w:color w:val="auto"/>
          <w:highlight w:val="none"/>
          <w:u w:val="single"/>
        </w:rPr>
        <w:t>施工</w:t>
      </w:r>
      <w:r>
        <w:rPr>
          <w:rFonts w:hint="eastAsia" w:ascii="Times New Roman" w:hAnsi="Times New Roman" w:eastAsia="宋体" w:cs="Times New Roman"/>
          <w:color w:val="auto"/>
          <w:highlight w:val="none"/>
          <w:u w:val="single"/>
          <w:lang w:val="en-US" w:eastAsia="zh-CN"/>
        </w:rPr>
        <w:t>图纸</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079DF803">
      <w:pPr>
        <w:spacing w:before="157" w:line="221" w:lineRule="auto"/>
        <w:ind w:left="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2.3.3</w:t>
      </w:r>
      <w:r>
        <w:rPr>
          <w:rFonts w:ascii="宋体" w:hAnsi="宋体" w:eastAsia="宋体" w:cs="宋体"/>
          <w:color w:val="auto"/>
          <w:spacing w:val="-47"/>
          <w:sz w:val="21"/>
          <w:szCs w:val="21"/>
          <w:highlight w:val="none"/>
        </w:rPr>
        <w:t xml:space="preserve"> </w:t>
      </w:r>
      <w:r>
        <w:rPr>
          <w:rFonts w:ascii="宋体" w:hAnsi="宋体" w:eastAsia="宋体" w:cs="宋体"/>
          <w:color w:val="auto"/>
          <w:sz w:val="21"/>
          <w:szCs w:val="21"/>
          <w:highlight w:val="none"/>
        </w:rPr>
        <w:t>承包人自行踏勘的施工场地范围为：</w:t>
      </w:r>
      <w:r>
        <w:rPr>
          <w:rFonts w:ascii="宋体" w:hAnsi="宋体" w:eastAsia="宋体" w:cs="宋体"/>
          <w:color w:val="auto"/>
          <w:sz w:val="21"/>
          <w:szCs w:val="21"/>
          <w:highlight w:val="none"/>
          <w:u w:val="single" w:color="auto"/>
        </w:rPr>
        <w:t xml:space="preserve">        </w:t>
      </w:r>
      <w:r>
        <w:rPr>
          <w:rFonts w:hint="eastAsia" w:ascii="Times New Roman" w:hAnsi="Times New Roman" w:cs="Times New Roman"/>
          <w:color w:val="auto"/>
          <w:highlight w:val="none"/>
          <w:u w:val="single"/>
        </w:rPr>
        <w:t>详见</w:t>
      </w:r>
      <w:r>
        <w:rPr>
          <w:rFonts w:ascii="Times New Roman" w:hAnsi="Times New Roman" w:cs="Times New Roman"/>
          <w:color w:val="auto"/>
          <w:highlight w:val="none"/>
          <w:u w:val="single"/>
        </w:rPr>
        <w:t>施工</w:t>
      </w:r>
      <w:r>
        <w:rPr>
          <w:rFonts w:hint="eastAsia" w:ascii="Times New Roman" w:hAnsi="Times New Roman" w:eastAsia="宋体" w:cs="Times New Roman"/>
          <w:color w:val="auto"/>
          <w:highlight w:val="none"/>
          <w:u w:val="single"/>
          <w:lang w:val="en-US" w:eastAsia="zh-CN"/>
        </w:rPr>
        <w:t>图纸</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b/>
          <w:bCs/>
          <w:color w:val="auto"/>
          <w:spacing w:val="-1"/>
          <w:sz w:val="21"/>
          <w:szCs w:val="21"/>
          <w:highlight w:val="none"/>
        </w:rPr>
        <w:t>。</w:t>
      </w:r>
    </w:p>
    <w:p w14:paraId="28D7D6C5">
      <w:pPr>
        <w:spacing w:line="333" w:lineRule="auto"/>
        <w:outlineLvl w:val="9"/>
        <w:rPr>
          <w:rFonts w:ascii="Arial"/>
          <w:color w:val="auto"/>
          <w:sz w:val="21"/>
          <w:highlight w:val="none"/>
        </w:rPr>
      </w:pPr>
    </w:p>
    <w:p w14:paraId="4F4ABF20">
      <w:pPr>
        <w:spacing w:before="91"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2.8</w:t>
      </w:r>
      <w:r>
        <w:rPr>
          <w:rFonts w:ascii="宋体" w:hAnsi="宋体" w:eastAsia="宋体" w:cs="宋体"/>
          <w:color w:val="auto"/>
          <w:spacing w:val="17"/>
          <w:sz w:val="28"/>
          <w:szCs w:val="28"/>
          <w:highlight w:val="none"/>
        </w:rPr>
        <w:t xml:space="preserve"> </w:t>
      </w:r>
      <w:r>
        <w:rPr>
          <w:rFonts w:ascii="宋体" w:hAnsi="宋体" w:eastAsia="宋体" w:cs="宋体"/>
          <w:b/>
          <w:bCs/>
          <w:color w:val="auto"/>
          <w:spacing w:val="-6"/>
          <w:sz w:val="28"/>
          <w:szCs w:val="28"/>
          <w:highlight w:val="none"/>
        </w:rPr>
        <w:t>其它义务</w:t>
      </w:r>
    </w:p>
    <w:p w14:paraId="015D02CA">
      <w:pPr>
        <w:wordWrap w:val="0"/>
        <w:spacing w:line="360" w:lineRule="auto"/>
        <w:ind w:firstLine="413" w:firstLineChars="199"/>
        <w:outlineLvl w:val="9"/>
        <w:rPr>
          <w:rFonts w:ascii="Times New Roman" w:hAnsi="Times New Roman" w:cs="Times New Roman"/>
          <w:color w:val="auto"/>
          <w:szCs w:val="21"/>
          <w:highlight w:val="none"/>
        </w:rPr>
      </w:pPr>
      <w:r>
        <w:rPr>
          <w:rFonts w:ascii="宋体" w:hAnsi="宋体" w:eastAsia="宋体" w:cs="宋体"/>
          <w:color w:val="auto"/>
          <w:spacing w:val="-1"/>
          <w:sz w:val="21"/>
          <w:szCs w:val="21"/>
          <w:highlight w:val="none"/>
        </w:rPr>
        <w:t>发包人应履行的其他义务：</w:t>
      </w:r>
    </w:p>
    <w:p w14:paraId="57E1A708">
      <w:pPr>
        <w:tabs>
          <w:tab w:val="left" w:pos="2205"/>
        </w:tabs>
        <w:wordWrap w:val="0"/>
        <w:spacing w:line="360" w:lineRule="auto"/>
        <w:ind w:right="-2"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1）发包人应于开工前负责审验经人力资源社会保障部门确认的农民工工资支付保障手续，并对工程项目的农民工工资支付负监管责任；</w:t>
      </w:r>
    </w:p>
    <w:p w14:paraId="3213DABB">
      <w:pPr>
        <w:wordWrap w:val="0"/>
        <w:spacing w:line="360" w:lineRule="auto"/>
        <w:ind w:right="248"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2）发包人应督促承包人委托银行通过农民工工资（劳务费）专用账户代发农民工工资；</w:t>
      </w:r>
    </w:p>
    <w:p w14:paraId="0BFAAE27">
      <w:pPr>
        <w:wordWrap w:val="0"/>
        <w:spacing w:line="400" w:lineRule="exact"/>
        <w:ind w:right="248"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3）</w:t>
      </w:r>
      <w:r>
        <w:rPr>
          <w:rFonts w:hint="eastAsia" w:ascii="宋体" w:hAnsi="宋体"/>
          <w:color w:val="auto"/>
          <w:szCs w:val="21"/>
          <w:highlight w:val="none"/>
        </w:rPr>
        <w:t>发包人应及时向农民工工资专用账户足额拨付人工费用，周期不得超过1个月，拨付日期应不晚于约定支付农民工工资的当期；</w:t>
      </w:r>
    </w:p>
    <w:p w14:paraId="57A7EE1D">
      <w:pPr>
        <w:wordWrap w:val="0"/>
        <w:spacing w:line="360" w:lineRule="auto"/>
        <w:ind w:right="248"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4）承包人以工程款未到位等经营风险克扣或拖欠农民工工资的，发包人要以未结清的工程款为限先行垫付农民工工资；</w:t>
      </w:r>
    </w:p>
    <w:p w14:paraId="793160B6">
      <w:pPr>
        <w:wordWrap w:val="0"/>
        <w:spacing w:line="360" w:lineRule="auto"/>
        <w:ind w:right="248" w:firstLine="48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5）如承包人专用账户余额不足的，发包人以未结清的工程款为限补足专用账户余额不足部分；</w:t>
      </w:r>
    </w:p>
    <w:p w14:paraId="27FCB310">
      <w:pPr>
        <w:wordWrap w:val="0"/>
        <w:spacing w:line="360" w:lineRule="auto"/>
        <w:ind w:right="248" w:firstLine="480"/>
        <w:outlineLvl w:val="9"/>
        <w:rPr>
          <w:rFonts w:ascii="宋体" w:hAnsi="宋体" w:eastAsia="宋体" w:cs="宋体"/>
          <w:color w:val="auto"/>
          <w:sz w:val="21"/>
          <w:szCs w:val="21"/>
          <w:highlight w:val="none"/>
        </w:rPr>
      </w:pPr>
      <w:r>
        <w:rPr>
          <w:rFonts w:ascii="Times New Roman" w:hAnsi="Times New Roman" w:cs="Times New Roman"/>
          <w:color w:val="auto"/>
          <w:szCs w:val="21"/>
          <w:highlight w:val="none"/>
        </w:rPr>
        <w:t>6）对因转包、违法分包造成的欠薪，及其造成的不利社会影响和损失等责任均由承包人全面承担，承包人应在规定时间内全面完成欠薪清偿工作，未及时完成的，发包人将工程款先行支付农民工工资。</w:t>
      </w:r>
    </w:p>
    <w:p w14:paraId="5245EF2B">
      <w:pPr>
        <w:spacing w:before="172" w:line="228" w:lineRule="auto"/>
        <w:ind w:left="10"/>
        <w:outlineLvl w:val="9"/>
        <w:rPr>
          <w:rFonts w:ascii="宋体" w:hAnsi="宋体" w:eastAsia="宋体" w:cs="宋体"/>
          <w:color w:val="auto"/>
          <w:sz w:val="31"/>
          <w:szCs w:val="31"/>
          <w:highlight w:val="none"/>
        </w:rPr>
      </w:pPr>
      <w:bookmarkStart w:id="291" w:name="bookmark252"/>
      <w:bookmarkEnd w:id="291"/>
      <w:bookmarkStart w:id="292" w:name="_Toc20108"/>
      <w:bookmarkStart w:id="293" w:name="_Toc19627"/>
      <w:r>
        <w:rPr>
          <w:rFonts w:ascii="宋体" w:hAnsi="宋体" w:eastAsia="宋体" w:cs="宋体"/>
          <w:b/>
          <w:bCs/>
          <w:color w:val="auto"/>
          <w:spacing w:val="-2"/>
          <w:sz w:val="31"/>
          <w:szCs w:val="31"/>
          <w:highlight w:val="none"/>
        </w:rPr>
        <w:t>3.</w:t>
      </w:r>
      <w:r>
        <w:rPr>
          <w:rFonts w:ascii="宋体" w:hAnsi="宋体" w:eastAsia="宋体" w:cs="宋体"/>
          <w:color w:val="auto"/>
          <w:spacing w:val="26"/>
          <w:sz w:val="31"/>
          <w:szCs w:val="31"/>
          <w:highlight w:val="none"/>
        </w:rPr>
        <w:t xml:space="preserve"> </w:t>
      </w:r>
      <w:r>
        <w:rPr>
          <w:rFonts w:ascii="宋体" w:hAnsi="宋体" w:eastAsia="宋体" w:cs="宋体"/>
          <w:b/>
          <w:bCs/>
          <w:color w:val="auto"/>
          <w:spacing w:val="-2"/>
          <w:sz w:val="31"/>
          <w:szCs w:val="31"/>
          <w:highlight w:val="none"/>
        </w:rPr>
        <w:t>监理人</w:t>
      </w:r>
      <w:bookmarkEnd w:id="292"/>
      <w:bookmarkEnd w:id="293"/>
    </w:p>
    <w:p w14:paraId="365CF7A2">
      <w:pPr>
        <w:spacing w:before="272" w:line="220" w:lineRule="auto"/>
        <w:ind w:left="145"/>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3.1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监理人的职责和权力</w:t>
      </w:r>
    </w:p>
    <w:p w14:paraId="34AD18D3">
      <w:pPr>
        <w:spacing w:before="280" w:line="221" w:lineRule="auto"/>
        <w:ind w:left="45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3.1.1 监理人须经发包人事先批准的权力范围行使权力，发包人批准的权力范围：</w:t>
      </w:r>
    </w:p>
    <w:p w14:paraId="0E1BAF87">
      <w:pPr>
        <w:spacing w:before="157" w:line="211" w:lineRule="auto"/>
        <w:ind w:left="413"/>
        <w:outlineLvl w:val="9"/>
        <w:rPr>
          <w:rFonts w:ascii="宋体" w:hAnsi="宋体" w:eastAsia="宋体" w:cs="宋体"/>
          <w:color w:val="auto"/>
          <w:sz w:val="22"/>
          <w:szCs w:val="22"/>
          <w:highlight w:val="none"/>
        </w:rPr>
      </w:pPr>
      <w:bookmarkStart w:id="294" w:name="_Toc32076"/>
      <w:r>
        <w:rPr>
          <w:rFonts w:ascii="宋体" w:hAnsi="宋体" w:eastAsia="宋体" w:cs="宋体"/>
          <w:b/>
          <w:bCs/>
          <w:i/>
          <w:iCs/>
          <w:color w:val="auto"/>
          <w:spacing w:val="-9"/>
          <w:sz w:val="22"/>
          <w:szCs w:val="22"/>
          <w:highlight w:val="none"/>
        </w:rPr>
        <w:t>（说明：填写监理人须经发包人批准才能行使的权力</w:t>
      </w:r>
      <w:r>
        <w:rPr>
          <w:rFonts w:ascii="宋体" w:hAnsi="宋体" w:eastAsia="宋体" w:cs="宋体"/>
          <w:b/>
          <w:bCs/>
          <w:i/>
          <w:iCs/>
          <w:color w:val="auto"/>
          <w:spacing w:val="-10"/>
          <w:sz w:val="22"/>
          <w:szCs w:val="22"/>
          <w:highlight w:val="none"/>
        </w:rPr>
        <w:t>，以下示例供参考）</w:t>
      </w:r>
      <w:bookmarkEnd w:id="294"/>
    </w:p>
    <w:p w14:paraId="0CA000C9">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（1）按第</w:t>
      </w:r>
      <w:r>
        <w:rPr>
          <w:rFonts w:ascii="宋体" w:hAnsi="宋体" w:eastAsia="宋体" w:cs="宋体"/>
          <w:color w:val="auto"/>
          <w:spacing w:val="-37"/>
          <w:sz w:val="21"/>
          <w:szCs w:val="21"/>
          <w:highlight w:val="none"/>
        </w:rPr>
        <w:t xml:space="preserve"> </w:t>
      </w:r>
      <w:r>
        <w:rPr>
          <w:rFonts w:ascii="宋体" w:hAnsi="宋体" w:eastAsia="宋体" w:cs="宋体"/>
          <w:color w:val="auto"/>
          <w:spacing w:val="-3"/>
          <w:sz w:val="21"/>
          <w:szCs w:val="21"/>
          <w:highlight w:val="none"/>
        </w:rPr>
        <w:t>4.3</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款约定，批准工程的分包；</w:t>
      </w:r>
    </w:p>
    <w:p w14:paraId="066CB0E1">
      <w:pPr>
        <w:spacing w:before="156"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（2）按第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11.3</w:t>
      </w:r>
      <w:r>
        <w:rPr>
          <w:rFonts w:ascii="宋体" w:hAnsi="宋体" w:eastAsia="宋体" w:cs="宋体"/>
          <w:color w:val="auto"/>
          <w:spacing w:val="-46"/>
          <w:sz w:val="21"/>
          <w:szCs w:val="21"/>
          <w:highlight w:val="none"/>
        </w:rPr>
        <w:t xml:space="preserve"> </w:t>
      </w:r>
      <w:r>
        <w:rPr>
          <w:rFonts w:ascii="宋体" w:hAnsi="宋体" w:eastAsia="宋体" w:cs="宋体"/>
          <w:color w:val="auto"/>
          <w:spacing w:val="-3"/>
          <w:sz w:val="21"/>
          <w:szCs w:val="21"/>
          <w:highlight w:val="none"/>
        </w:rPr>
        <w:t>款约定，确定延长竣工期限；</w:t>
      </w:r>
    </w:p>
    <w:p w14:paraId="59AD09A1">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（3）按第</w:t>
      </w:r>
      <w:r>
        <w:rPr>
          <w:rFonts w:ascii="宋体" w:hAnsi="宋体" w:eastAsia="宋体" w:cs="宋体"/>
          <w:color w:val="auto"/>
          <w:spacing w:val="-24"/>
          <w:sz w:val="21"/>
          <w:szCs w:val="21"/>
          <w:highlight w:val="none"/>
        </w:rPr>
        <w:t xml:space="preserve"> </w:t>
      </w:r>
      <w:r>
        <w:rPr>
          <w:rFonts w:ascii="宋体" w:hAnsi="宋体" w:eastAsia="宋体" w:cs="宋体"/>
          <w:color w:val="auto"/>
          <w:spacing w:val="-2"/>
          <w:sz w:val="21"/>
          <w:szCs w:val="21"/>
          <w:highlight w:val="none"/>
        </w:rPr>
        <w:t>15.6</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款约定，批准暂列金额的使用；</w:t>
      </w:r>
    </w:p>
    <w:p w14:paraId="72F868BE">
      <w:pPr>
        <w:spacing w:before="157" w:line="233" w:lineRule="auto"/>
        <w:ind w:left="42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w:t>
      </w:r>
    </w:p>
    <w:p w14:paraId="43EC26D5">
      <w:pPr>
        <w:spacing w:before="158" w:line="225" w:lineRule="auto"/>
        <w:ind w:left="2"/>
        <w:outlineLvl w:val="9"/>
        <w:rPr>
          <w:rFonts w:ascii="宋体" w:hAnsi="宋体" w:eastAsia="宋体" w:cs="宋体"/>
          <w:color w:val="auto"/>
          <w:sz w:val="31"/>
          <w:szCs w:val="31"/>
          <w:highlight w:val="none"/>
        </w:rPr>
      </w:pPr>
      <w:bookmarkStart w:id="295" w:name="bookmark253"/>
      <w:bookmarkEnd w:id="295"/>
      <w:bookmarkStart w:id="296" w:name="_Toc24912"/>
      <w:bookmarkStart w:id="297" w:name="_Toc27284"/>
      <w:r>
        <w:rPr>
          <w:rFonts w:ascii="宋体" w:hAnsi="宋体" w:eastAsia="宋体" w:cs="宋体"/>
          <w:b/>
          <w:bCs/>
          <w:color w:val="auto"/>
          <w:sz w:val="31"/>
          <w:szCs w:val="31"/>
          <w:highlight w:val="none"/>
        </w:rPr>
        <w:t>4.</w:t>
      </w:r>
      <w:r>
        <w:rPr>
          <w:rFonts w:ascii="宋体" w:hAnsi="宋体" w:eastAsia="宋体" w:cs="宋体"/>
          <w:color w:val="auto"/>
          <w:spacing w:val="23"/>
          <w:sz w:val="31"/>
          <w:szCs w:val="31"/>
          <w:highlight w:val="none"/>
        </w:rPr>
        <w:t xml:space="preserve"> </w:t>
      </w:r>
      <w:r>
        <w:rPr>
          <w:rFonts w:ascii="宋体" w:hAnsi="宋体" w:eastAsia="宋体" w:cs="宋体"/>
          <w:b/>
          <w:bCs/>
          <w:color w:val="auto"/>
          <w:sz w:val="31"/>
          <w:szCs w:val="31"/>
          <w:highlight w:val="none"/>
        </w:rPr>
        <w:t>承包人</w:t>
      </w:r>
      <w:bookmarkEnd w:id="296"/>
      <w:bookmarkEnd w:id="297"/>
    </w:p>
    <w:p w14:paraId="64389BA7">
      <w:pPr>
        <w:spacing w:before="277" w:line="220" w:lineRule="auto"/>
        <w:ind w:left="138"/>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承包人的一般义务</w:t>
      </w:r>
    </w:p>
    <w:p w14:paraId="50A0D091">
      <w:pPr>
        <w:spacing w:before="280"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本项细化为：</w:t>
      </w:r>
    </w:p>
    <w:p w14:paraId="79408240">
      <w:pPr>
        <w:spacing w:before="160" w:line="313" w:lineRule="auto"/>
        <w:ind w:firstLine="45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 承包人应加强工程建设资金管理，做到专款专用；实行项目资金专户管理和（或）独立</w:t>
      </w:r>
      <w:r>
        <w:rPr>
          <w:rFonts w:ascii="宋体" w:hAnsi="宋体" w:eastAsia="宋体" w:cs="宋体"/>
          <w:color w:val="auto"/>
          <w:spacing w:val="1"/>
          <w:sz w:val="21"/>
          <w:szCs w:val="21"/>
          <w:highlight w:val="none"/>
        </w:rPr>
        <w:t xml:space="preserve"> </w:t>
      </w:r>
      <w:r>
        <w:rPr>
          <w:rFonts w:ascii="宋体" w:hAnsi="宋体" w:eastAsia="宋体" w:cs="宋体"/>
          <w:color w:val="auto"/>
          <w:sz w:val="21"/>
          <w:szCs w:val="21"/>
          <w:highlight w:val="none"/>
        </w:rPr>
        <w:t>核算制度、财务管理人员（财务主管和出纳）须是本单位人员，项目资金的使用由项目经</w:t>
      </w:r>
      <w:r>
        <w:rPr>
          <w:rFonts w:ascii="宋体" w:hAnsi="宋体" w:eastAsia="宋体" w:cs="宋体"/>
          <w:color w:val="auto"/>
          <w:spacing w:val="-1"/>
          <w:sz w:val="21"/>
          <w:szCs w:val="21"/>
          <w:highlight w:val="none"/>
        </w:rPr>
        <w:t>理负责</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签字、审批。</w:t>
      </w:r>
    </w:p>
    <w:p w14:paraId="44FA95E3">
      <w:pPr>
        <w:spacing w:before="157" w:line="221"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（2）关于农民工工资的约定</w:t>
      </w:r>
    </w:p>
    <w:p w14:paraId="5A51379F">
      <w:pPr>
        <w:spacing w:before="156" w:line="290" w:lineRule="auto"/>
        <w:ind w:left="4" w:right="13" w:firstLine="43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1）承包人在合同签订后、工程开工前，到工程所在地银行</w:t>
      </w:r>
      <w:r>
        <w:rPr>
          <w:rFonts w:ascii="宋体" w:hAnsi="宋体" w:eastAsia="宋体" w:cs="宋体"/>
          <w:color w:val="auto"/>
          <w:spacing w:val="-4"/>
          <w:sz w:val="21"/>
          <w:szCs w:val="21"/>
          <w:highlight w:val="none"/>
        </w:rPr>
        <w:t>开设农民工工资专用账户并按规定</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办理农民工工资保证金；</w:t>
      </w:r>
    </w:p>
    <w:p w14:paraId="19FFA056">
      <w:pPr>
        <w:spacing w:before="158" w:line="290" w:lineRule="auto"/>
        <w:ind w:left="5" w:right="9" w:firstLine="41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2）承包人对自身招用的和分包企业招用的农民工管理负总责，必须按照国家法律法规相关规</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定，及时与所招用的农民工签订劳动合同；</w:t>
      </w:r>
    </w:p>
    <w:p w14:paraId="017ABB41">
      <w:pPr>
        <w:spacing w:before="158" w:line="289" w:lineRule="auto"/>
        <w:ind w:left="1" w:right="8" w:firstLine="422"/>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3）承包人及其分包企业实行农民工劳动用工实名制管理，与招用的农民工书面约定或者通过</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依法制定的规章制度规定工资支付标准、支付时间、支付方式等内容；</w:t>
      </w:r>
    </w:p>
    <w:p w14:paraId="461233E3">
      <w:pPr>
        <w:spacing w:before="158" w:line="221" w:lineRule="auto"/>
        <w:ind w:left="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4）承包人应在项目部按照规定配备劳资专管员，负责现场用工管理和工资发放等工作；</w:t>
      </w:r>
    </w:p>
    <w:p w14:paraId="65FCE2CA">
      <w:pPr>
        <w:spacing w:before="158" w:line="313" w:lineRule="auto"/>
        <w:ind w:left="2" w:firstLine="42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5）在合同规定的按月工资发放日前，承包人对当期应发放农民工工资金额进行核定，如农民</w:t>
      </w:r>
      <w:r>
        <w:rPr>
          <w:rFonts w:ascii="宋体" w:hAnsi="宋体" w:eastAsia="宋体" w:cs="宋体"/>
          <w:color w:val="auto"/>
          <w:spacing w:val="10"/>
          <w:sz w:val="21"/>
          <w:szCs w:val="21"/>
          <w:highlight w:val="none"/>
        </w:rPr>
        <w:t xml:space="preserve"> </w:t>
      </w:r>
      <w:r>
        <w:rPr>
          <w:rFonts w:ascii="宋体" w:hAnsi="宋体" w:eastAsia="宋体" w:cs="宋体"/>
          <w:color w:val="auto"/>
          <w:sz w:val="21"/>
          <w:szCs w:val="21"/>
          <w:highlight w:val="none"/>
        </w:rPr>
        <w:t>工工资专用账户余额低于应发工资总额，应及时补足账户资金，保障工资发放日前</w:t>
      </w:r>
      <w:r>
        <w:rPr>
          <w:rFonts w:ascii="宋体" w:hAnsi="宋体" w:eastAsia="宋体" w:cs="宋体"/>
          <w:color w:val="auto"/>
          <w:spacing w:val="-1"/>
          <w:sz w:val="21"/>
          <w:szCs w:val="21"/>
          <w:highlight w:val="none"/>
        </w:rPr>
        <w:t>专用账户资金</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能足额支付农民工工资；</w:t>
      </w:r>
    </w:p>
    <w:p w14:paraId="3888B918">
      <w:pPr>
        <w:spacing w:before="158" w:line="289" w:lineRule="auto"/>
        <w:ind w:left="5" w:firstLine="416"/>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6）承包人及其分包企业在施工现场醒目位置设立维权信息公示牌，维权信息公示牌要注明所</w:t>
      </w:r>
      <w:r>
        <w:rPr>
          <w:rFonts w:ascii="宋体" w:hAnsi="宋体" w:eastAsia="宋体" w:cs="宋体"/>
          <w:color w:val="auto"/>
          <w:spacing w:val="13"/>
          <w:sz w:val="21"/>
          <w:szCs w:val="21"/>
          <w:highlight w:val="none"/>
        </w:rPr>
        <w:t xml:space="preserve"> </w:t>
      </w:r>
      <w:r>
        <w:rPr>
          <w:rFonts w:ascii="宋体" w:hAnsi="宋体" w:eastAsia="宋体" w:cs="宋体"/>
          <w:color w:val="auto"/>
          <w:sz w:val="21"/>
          <w:szCs w:val="21"/>
          <w:highlight w:val="none"/>
        </w:rPr>
        <w:t>实施工程所在地人力资源社会保障部门和水行政主管部门监督投诉举报电话</w:t>
      </w:r>
      <w:r>
        <w:rPr>
          <w:rFonts w:ascii="宋体" w:hAnsi="宋体" w:eastAsia="宋体" w:cs="宋体"/>
          <w:color w:val="auto"/>
          <w:spacing w:val="-1"/>
          <w:sz w:val="21"/>
          <w:szCs w:val="21"/>
          <w:highlight w:val="none"/>
        </w:rPr>
        <w:t>，注明发包人、承包</w:t>
      </w:r>
    </w:p>
    <w:p w14:paraId="68352CE0">
      <w:pPr>
        <w:spacing w:before="41" w:line="221" w:lineRule="auto"/>
        <w:ind w:left="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人、分包企业及其主要负责人，明示农民工工资按月支付日期等；</w:t>
      </w:r>
    </w:p>
    <w:p w14:paraId="7E7B1DC0">
      <w:pPr>
        <w:spacing w:before="158" w:line="289" w:lineRule="auto"/>
        <w:ind w:left="5" w:right="263" w:firstLine="42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7）工程经县级初验后，承包人应在施工现场对该项目农民工工资发放情况进行公示</w:t>
      </w:r>
      <w:r>
        <w:rPr>
          <w:rFonts w:ascii="宋体" w:hAnsi="宋体" w:eastAsia="宋体" w:cs="宋体"/>
          <w:color w:val="auto"/>
          <w:spacing w:val="-4"/>
          <w:sz w:val="21"/>
          <w:szCs w:val="21"/>
          <w:highlight w:val="none"/>
        </w:rPr>
        <w:t>，公示期</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不少于 7</w:t>
      </w:r>
      <w:r>
        <w:rPr>
          <w:rFonts w:ascii="宋体" w:hAnsi="宋体" w:eastAsia="宋体" w:cs="宋体"/>
          <w:color w:val="auto"/>
          <w:spacing w:val="56"/>
          <w:sz w:val="21"/>
          <w:szCs w:val="21"/>
          <w:highlight w:val="none"/>
        </w:rPr>
        <w:t xml:space="preserve"> </w:t>
      </w:r>
      <w:r>
        <w:rPr>
          <w:rFonts w:ascii="宋体" w:hAnsi="宋体" w:eastAsia="宋体" w:cs="宋体"/>
          <w:color w:val="auto"/>
          <w:spacing w:val="-2"/>
          <w:sz w:val="21"/>
          <w:szCs w:val="21"/>
          <w:highlight w:val="none"/>
        </w:rPr>
        <w:t>日，公示需注明人力资源社会保障部门和农业农村部门监督投诉举报电话等。</w:t>
      </w:r>
    </w:p>
    <w:p w14:paraId="4854488F">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（3）档案管理</w:t>
      </w:r>
    </w:p>
    <w:p w14:paraId="0369D7D2">
      <w:pPr>
        <w:spacing w:before="159" w:line="345" w:lineRule="auto"/>
        <w:ind w:left="9" w:right="249" w:firstLine="41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承包人应建立符合要求且规范的项目文件管理和档案管理制度，负责项目文件收集</w:t>
      </w:r>
      <w:r>
        <w:rPr>
          <w:rFonts w:ascii="宋体" w:hAnsi="宋体" w:eastAsia="宋体" w:cs="宋体"/>
          <w:color w:val="auto"/>
          <w:spacing w:val="-1"/>
          <w:sz w:val="21"/>
          <w:szCs w:val="21"/>
          <w:highlight w:val="none"/>
        </w:rPr>
        <w:t>、整理和</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归档工作。</w:t>
      </w:r>
    </w:p>
    <w:p w14:paraId="6942F464">
      <w:pPr>
        <w:spacing w:before="30" w:line="333" w:lineRule="exact"/>
        <w:ind w:left="434"/>
        <w:outlineLvl w:val="9"/>
        <w:rPr>
          <w:rFonts w:ascii="宋体" w:hAnsi="宋体" w:eastAsia="宋体" w:cs="宋体"/>
          <w:color w:val="auto"/>
          <w:sz w:val="21"/>
          <w:szCs w:val="21"/>
          <w:highlight w:val="none"/>
        </w:rPr>
      </w:pPr>
      <w:r>
        <w:rPr>
          <w:rFonts w:ascii="宋体" w:hAnsi="宋体" w:eastAsia="宋体" w:cs="宋体"/>
          <w:color w:val="auto"/>
          <w:spacing w:val="-5"/>
          <w:position w:val="2"/>
          <w:sz w:val="21"/>
          <w:szCs w:val="21"/>
          <w:highlight w:val="none"/>
        </w:rPr>
        <w:t>……</w:t>
      </w:r>
    </w:p>
    <w:p w14:paraId="0A477213">
      <w:pPr>
        <w:spacing w:line="251" w:lineRule="auto"/>
        <w:outlineLvl w:val="9"/>
        <w:rPr>
          <w:rFonts w:ascii="Arial"/>
          <w:color w:val="auto"/>
          <w:sz w:val="21"/>
          <w:highlight w:val="none"/>
        </w:rPr>
      </w:pPr>
    </w:p>
    <w:p w14:paraId="31FD1420">
      <w:pPr>
        <w:spacing w:before="92" w:line="221"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4.3</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6"/>
          <w:sz w:val="28"/>
          <w:szCs w:val="28"/>
          <w:highlight w:val="none"/>
        </w:rPr>
        <w:t>分包</w:t>
      </w:r>
    </w:p>
    <w:p w14:paraId="1FE15389">
      <w:pPr>
        <w:spacing w:before="278"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4.3.2  允许承包人分包的工程项目、工作内容与分包金额限额为：</w:t>
      </w:r>
    </w:p>
    <w:p w14:paraId="08EF74D9">
      <w:pPr>
        <w:spacing w:before="161"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1）工程项目：</w:t>
      </w:r>
      <w:r>
        <w:rPr>
          <w:rFonts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rPr>
        <w:t>。</w:t>
      </w:r>
    </w:p>
    <w:p w14:paraId="271BD62C">
      <w:pPr>
        <w:spacing w:before="156" w:line="221" w:lineRule="auto"/>
        <w:ind w:left="42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2）工作内容：</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29F4BEFE">
      <w:pPr>
        <w:spacing w:before="156" w:line="221" w:lineRule="auto"/>
        <w:ind w:left="42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3）分包金额限额：</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10DB039A">
      <w:pPr>
        <w:spacing w:line="333" w:lineRule="auto"/>
        <w:outlineLvl w:val="9"/>
        <w:rPr>
          <w:rFonts w:ascii="Arial"/>
          <w:color w:val="auto"/>
          <w:sz w:val="21"/>
          <w:highlight w:val="none"/>
        </w:rPr>
      </w:pPr>
    </w:p>
    <w:p w14:paraId="0661BFEB">
      <w:pPr>
        <w:spacing w:before="91"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4.6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承包人人员的管理</w:t>
      </w:r>
    </w:p>
    <w:p w14:paraId="3171ADDB">
      <w:pPr>
        <w:spacing w:before="281"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本款补充第</w:t>
      </w:r>
      <w:r>
        <w:rPr>
          <w:rFonts w:ascii="宋体" w:hAnsi="宋体" w:eastAsia="宋体" w:cs="宋体"/>
          <w:color w:val="auto"/>
          <w:spacing w:val="-27"/>
          <w:sz w:val="21"/>
          <w:szCs w:val="21"/>
          <w:highlight w:val="none"/>
        </w:rPr>
        <w:t xml:space="preserve"> </w:t>
      </w:r>
      <w:r>
        <w:rPr>
          <w:rFonts w:ascii="宋体" w:hAnsi="宋体" w:eastAsia="宋体" w:cs="宋体"/>
          <w:color w:val="auto"/>
          <w:spacing w:val="-4"/>
          <w:sz w:val="21"/>
          <w:szCs w:val="21"/>
          <w:highlight w:val="none"/>
        </w:rPr>
        <w:t>4.6.5</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项～第</w:t>
      </w:r>
      <w:r>
        <w:rPr>
          <w:rFonts w:ascii="宋体" w:hAnsi="宋体" w:eastAsia="宋体" w:cs="宋体"/>
          <w:color w:val="auto"/>
          <w:spacing w:val="-47"/>
          <w:sz w:val="21"/>
          <w:szCs w:val="21"/>
          <w:highlight w:val="none"/>
        </w:rPr>
        <w:t xml:space="preserve"> </w:t>
      </w:r>
      <w:r>
        <w:rPr>
          <w:rFonts w:ascii="宋体" w:hAnsi="宋体" w:eastAsia="宋体" w:cs="宋体"/>
          <w:color w:val="auto"/>
          <w:spacing w:val="-4"/>
          <w:sz w:val="21"/>
          <w:szCs w:val="21"/>
          <w:highlight w:val="none"/>
        </w:rPr>
        <w:t>4.6.8</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项：</w:t>
      </w:r>
    </w:p>
    <w:p w14:paraId="5A33E5C7">
      <w:pPr>
        <w:spacing w:before="158" w:line="290" w:lineRule="auto"/>
        <w:ind w:right="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4.6.5 投标文件承诺的项目部主要管理人员在主体工程施工期间原则</w:t>
      </w:r>
      <w:r>
        <w:rPr>
          <w:rFonts w:ascii="宋体" w:hAnsi="宋体" w:eastAsia="宋体" w:cs="宋体"/>
          <w:color w:val="auto"/>
          <w:sz w:val="21"/>
          <w:szCs w:val="21"/>
          <w:highlight w:val="none"/>
        </w:rPr>
        <w:t xml:space="preserve">上不得更换。如发生下列 </w:t>
      </w:r>
      <w:r>
        <w:rPr>
          <w:rFonts w:ascii="宋体" w:hAnsi="宋体" w:eastAsia="宋体" w:cs="宋体"/>
          <w:color w:val="auto"/>
          <w:spacing w:val="-2"/>
          <w:sz w:val="21"/>
          <w:szCs w:val="21"/>
          <w:highlight w:val="none"/>
        </w:rPr>
        <w:t>情形之一的，应当办理书面手续后方能变更人员：</w:t>
      </w:r>
    </w:p>
    <w:p w14:paraId="04351B7A">
      <w:pPr>
        <w:spacing w:before="159" w:line="289" w:lineRule="auto"/>
        <w:ind w:left="1" w:right="11"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（1）因管理人员重大疾病、死亡、调离所在单位、辞职、犯罪、移民等特殊原因确需变</w:t>
      </w:r>
      <w:r>
        <w:rPr>
          <w:rFonts w:ascii="宋体" w:hAnsi="宋体" w:eastAsia="宋体" w:cs="宋体"/>
          <w:color w:val="auto"/>
          <w:spacing w:val="-3"/>
          <w:sz w:val="21"/>
          <w:szCs w:val="21"/>
          <w:highlight w:val="none"/>
        </w:rPr>
        <w:t>更，提</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供相关证明材料，且经发包方同意更换的；</w:t>
      </w:r>
    </w:p>
    <w:p w14:paraId="2C9C0CA4">
      <w:pPr>
        <w:spacing w:before="158"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（2）因不可抗力等特殊情况必须更换的。</w:t>
      </w:r>
    </w:p>
    <w:p w14:paraId="5B4D7B2F">
      <w:pPr>
        <w:spacing w:before="157" w:line="347" w:lineRule="auto"/>
        <w:ind w:left="19" w:firstLine="41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除上述情况外，项目部更换项目经理或技术负责人的每次支付违约金</w:t>
      </w:r>
      <w:r>
        <w:rPr>
          <w:rFonts w:ascii="宋体" w:hAnsi="宋体" w:eastAsia="宋体" w:cs="宋体"/>
          <w:color w:val="auto"/>
          <w:spacing w:val="-98"/>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z w:val="21"/>
          <w:szCs w:val="21"/>
          <w:highlight w:val="none"/>
        </w:rPr>
        <w:t xml:space="preserve">万元，更换其余人员 </w:t>
      </w:r>
      <w:r>
        <w:rPr>
          <w:rFonts w:ascii="宋体" w:hAnsi="宋体" w:eastAsia="宋体" w:cs="宋体"/>
          <w:color w:val="auto"/>
          <w:spacing w:val="-4"/>
          <w:sz w:val="21"/>
          <w:szCs w:val="21"/>
          <w:highlight w:val="none"/>
        </w:rPr>
        <w:t>的每人次支付违约金</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85"/>
          <w:sz w:val="21"/>
          <w:szCs w:val="21"/>
          <w:highlight w:val="none"/>
        </w:rPr>
        <w:t xml:space="preserve"> </w:t>
      </w:r>
      <w:r>
        <w:rPr>
          <w:rFonts w:ascii="宋体" w:hAnsi="宋体" w:eastAsia="宋体" w:cs="宋体"/>
          <w:color w:val="auto"/>
          <w:spacing w:val="-4"/>
          <w:sz w:val="21"/>
          <w:szCs w:val="21"/>
          <w:highlight w:val="none"/>
        </w:rPr>
        <w:t>万元。</w:t>
      </w:r>
    </w:p>
    <w:p w14:paraId="1E96D243">
      <w:pPr>
        <w:spacing w:before="28" w:line="290" w:lineRule="auto"/>
        <w:ind w:left="4"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4.6.6 本项目主体工程施工期间，项目部应按要求提供主要管理人员</w:t>
      </w:r>
      <w:r>
        <w:rPr>
          <w:rFonts w:ascii="宋体" w:hAnsi="宋体" w:eastAsia="宋体" w:cs="宋体"/>
          <w:color w:val="auto"/>
          <w:sz w:val="21"/>
          <w:szCs w:val="21"/>
          <w:highlight w:val="none"/>
        </w:rPr>
        <w:t xml:space="preserve">有关证件供发包人和有关 </w:t>
      </w:r>
      <w:r>
        <w:rPr>
          <w:rFonts w:ascii="宋体" w:hAnsi="宋体" w:eastAsia="宋体" w:cs="宋体"/>
          <w:color w:val="auto"/>
          <w:spacing w:val="-1"/>
          <w:sz w:val="21"/>
          <w:szCs w:val="21"/>
          <w:highlight w:val="none"/>
        </w:rPr>
        <w:t>部门监督、检查。</w:t>
      </w:r>
    </w:p>
    <w:p w14:paraId="35FA0403">
      <w:pPr>
        <w:spacing w:before="156" w:line="290" w:lineRule="auto"/>
        <w:ind w:left="3" w:right="32" w:firstLine="41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4.6.7 工程现场使用劳务人员的，承包人应与劳务人员签订相应的劳动合同，若通过劳务公司</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用工的，承包人应与劳务公司签订劳务分包合同（并核验劳务公司与所用劳务人员的劳动合同）。</w:t>
      </w:r>
    </w:p>
    <w:p w14:paraId="139AD2C4">
      <w:pPr>
        <w:spacing w:before="162" w:line="331" w:lineRule="auto"/>
        <w:ind w:left="1"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4.6.8 派驻的现场人员名单公示，并实行考勤管理。确定本工程考勤</w:t>
      </w:r>
      <w:r>
        <w:rPr>
          <w:rFonts w:ascii="宋体" w:hAnsi="宋体" w:eastAsia="宋体" w:cs="宋体"/>
          <w:color w:val="auto"/>
          <w:sz w:val="21"/>
          <w:szCs w:val="21"/>
          <w:highlight w:val="none"/>
        </w:rPr>
        <w:t xml:space="preserve">人员范围，应考勤人员驻 </w:t>
      </w:r>
      <w:r>
        <w:rPr>
          <w:rFonts w:ascii="宋体" w:hAnsi="宋体" w:eastAsia="宋体" w:cs="宋体"/>
          <w:color w:val="auto"/>
          <w:spacing w:val="1"/>
          <w:sz w:val="21"/>
          <w:szCs w:val="21"/>
          <w:highlight w:val="none"/>
        </w:rPr>
        <w:t>工地期间每天参加考勤。承包人项目经理、技术负责人每月驻工地天数不得少于</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u w:val="single" w:color="auto"/>
        </w:rPr>
        <w:t xml:space="preserve">22 </w:t>
      </w:r>
      <w:r>
        <w:rPr>
          <w:rFonts w:ascii="宋体" w:hAnsi="宋体" w:eastAsia="宋体" w:cs="宋体"/>
          <w:color w:val="auto"/>
          <w:sz w:val="21"/>
          <w:szCs w:val="21"/>
          <w:highlight w:val="none"/>
        </w:rPr>
        <w:t>天，且根据国</w:t>
      </w:r>
      <w:r>
        <w:rPr>
          <w:rFonts w:ascii="宋体" w:hAnsi="宋体" w:eastAsia="宋体" w:cs="宋体"/>
          <w:color w:val="auto"/>
          <w:spacing w:val="-1"/>
          <w:sz w:val="21"/>
          <w:szCs w:val="21"/>
          <w:highlight w:val="none"/>
        </w:rPr>
        <w:t>家法律法规规定以及</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2"/>
          <w:sz w:val="21"/>
          <w:szCs w:val="21"/>
          <w:highlight w:val="none"/>
        </w:rPr>
        <w:t>等重点时段和关键环节必须在工地，否则每缺勤一天向发包人支</w:t>
      </w:r>
      <w:r>
        <w:rPr>
          <w:rFonts w:ascii="宋体" w:hAnsi="宋体" w:eastAsia="宋体" w:cs="宋体"/>
          <w:color w:val="auto"/>
          <w:spacing w:val="-1"/>
          <w:sz w:val="21"/>
          <w:szCs w:val="21"/>
          <w:highlight w:val="none"/>
        </w:rPr>
        <w:t>付违约金</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1"/>
          <w:sz w:val="21"/>
          <w:szCs w:val="21"/>
          <w:highlight w:val="none"/>
        </w:rPr>
        <w:t>元；其他主要人员每</w:t>
      </w:r>
      <w:r>
        <w:rPr>
          <w:rFonts w:ascii="宋体" w:hAnsi="宋体" w:eastAsia="宋体" w:cs="宋体"/>
          <w:color w:val="auto"/>
          <w:spacing w:val="-2"/>
          <w:sz w:val="21"/>
          <w:szCs w:val="21"/>
          <w:highlight w:val="none"/>
        </w:rPr>
        <w:t xml:space="preserve">月驻工地天数不得少于 </w:t>
      </w:r>
      <w:r>
        <w:rPr>
          <w:rFonts w:ascii="宋体" w:hAnsi="宋体" w:eastAsia="宋体" w:cs="宋体"/>
          <w:color w:val="auto"/>
          <w:spacing w:val="-2"/>
          <w:sz w:val="21"/>
          <w:szCs w:val="21"/>
          <w:highlight w:val="none"/>
          <w:u w:val="single" w:color="auto"/>
        </w:rPr>
        <w:t xml:space="preserve"> 22 </w:t>
      </w:r>
      <w:r>
        <w:rPr>
          <w:rFonts w:ascii="宋体" w:hAnsi="宋体" w:eastAsia="宋体" w:cs="宋体"/>
          <w:color w:val="auto"/>
          <w:spacing w:val="-2"/>
          <w:sz w:val="21"/>
          <w:szCs w:val="21"/>
          <w:highlight w:val="none"/>
        </w:rPr>
        <w:t>天，否则每缺勤一天向发包人支付</w:t>
      </w:r>
      <w:r>
        <w:rPr>
          <w:rFonts w:ascii="宋体" w:hAnsi="宋体" w:eastAsia="宋体" w:cs="宋体"/>
          <w:color w:val="auto"/>
          <w:spacing w:val="-1"/>
          <w:sz w:val="21"/>
          <w:szCs w:val="21"/>
          <w:highlight w:val="none"/>
        </w:rPr>
        <w:t>违约金</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85"/>
          <w:sz w:val="21"/>
          <w:szCs w:val="21"/>
          <w:highlight w:val="none"/>
        </w:rPr>
        <w:t xml:space="preserve"> </w:t>
      </w:r>
      <w:r>
        <w:rPr>
          <w:rFonts w:ascii="宋体" w:hAnsi="宋体" w:eastAsia="宋体" w:cs="宋体"/>
          <w:color w:val="auto"/>
          <w:spacing w:val="-1"/>
          <w:sz w:val="21"/>
          <w:szCs w:val="21"/>
          <w:highlight w:val="none"/>
        </w:rPr>
        <w:t>元。发包人将对承包人项目经理和技术负责人、</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1"/>
          <w:sz w:val="21"/>
          <w:szCs w:val="21"/>
          <w:highlight w:val="none"/>
        </w:rPr>
        <w:t>等主要人员进行考勤。</w:t>
      </w:r>
    </w:p>
    <w:p w14:paraId="7F2499C6">
      <w:pPr>
        <w:spacing w:before="56" w:line="220" w:lineRule="auto"/>
        <w:ind w:left="138"/>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4.11</w:t>
      </w:r>
      <w:r>
        <w:rPr>
          <w:rFonts w:ascii="宋体" w:hAnsi="宋体" w:eastAsia="宋体" w:cs="宋体"/>
          <w:color w:val="auto"/>
          <w:spacing w:val="-48"/>
          <w:sz w:val="28"/>
          <w:szCs w:val="28"/>
          <w:highlight w:val="none"/>
        </w:rPr>
        <w:t xml:space="preserve"> </w:t>
      </w:r>
      <w:r>
        <w:rPr>
          <w:rFonts w:ascii="宋体" w:hAnsi="宋体" w:eastAsia="宋体" w:cs="宋体"/>
          <w:b/>
          <w:bCs/>
          <w:color w:val="auto"/>
          <w:spacing w:val="-5"/>
          <w:sz w:val="28"/>
          <w:szCs w:val="28"/>
          <w:highlight w:val="none"/>
        </w:rPr>
        <w:t>不利物质条件</w:t>
      </w:r>
    </w:p>
    <w:p w14:paraId="469345FC">
      <w:pPr>
        <w:spacing w:before="280" w:line="221" w:lineRule="auto"/>
        <w:ind w:left="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4.11.1</w:t>
      </w:r>
      <w:r>
        <w:rPr>
          <w:rFonts w:ascii="宋体" w:hAnsi="宋体" w:eastAsia="宋体" w:cs="宋体"/>
          <w:color w:val="auto"/>
          <w:spacing w:val="-41"/>
          <w:sz w:val="21"/>
          <w:szCs w:val="21"/>
          <w:highlight w:val="none"/>
        </w:rPr>
        <w:t xml:space="preserve"> </w:t>
      </w:r>
      <w:r>
        <w:rPr>
          <w:rFonts w:ascii="宋体" w:hAnsi="宋体" w:eastAsia="宋体" w:cs="宋体"/>
          <w:color w:val="auto"/>
          <w:sz w:val="21"/>
          <w:szCs w:val="21"/>
          <w:highlight w:val="none"/>
        </w:rPr>
        <w:t>不利物质条件的范围：</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484198E8">
      <w:pPr>
        <w:spacing w:line="312" w:lineRule="auto"/>
        <w:outlineLvl w:val="9"/>
        <w:rPr>
          <w:rFonts w:ascii="Arial"/>
          <w:color w:val="auto"/>
          <w:sz w:val="21"/>
          <w:highlight w:val="none"/>
        </w:rPr>
      </w:pPr>
    </w:p>
    <w:p w14:paraId="26DFFC19">
      <w:pPr>
        <w:spacing w:before="100" w:line="225" w:lineRule="auto"/>
        <w:ind w:left="6"/>
        <w:outlineLvl w:val="9"/>
        <w:rPr>
          <w:rFonts w:ascii="宋体" w:hAnsi="宋体" w:eastAsia="宋体" w:cs="宋体"/>
          <w:color w:val="auto"/>
          <w:sz w:val="31"/>
          <w:szCs w:val="31"/>
          <w:highlight w:val="none"/>
        </w:rPr>
      </w:pPr>
      <w:bookmarkStart w:id="298" w:name="bookmark254"/>
      <w:bookmarkEnd w:id="298"/>
      <w:bookmarkStart w:id="299" w:name="_Toc10061"/>
      <w:bookmarkStart w:id="300" w:name="_Toc4420"/>
      <w:r>
        <w:rPr>
          <w:rFonts w:ascii="宋体" w:hAnsi="宋体" w:eastAsia="宋体" w:cs="宋体"/>
          <w:b/>
          <w:bCs/>
          <w:color w:val="auto"/>
          <w:spacing w:val="5"/>
          <w:sz w:val="31"/>
          <w:szCs w:val="31"/>
          <w:highlight w:val="none"/>
        </w:rPr>
        <w:t>6.</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施工设备和临时设施</w:t>
      </w:r>
      <w:bookmarkEnd w:id="299"/>
      <w:bookmarkEnd w:id="300"/>
    </w:p>
    <w:p w14:paraId="63FD3BAC">
      <w:pPr>
        <w:spacing w:before="277" w:line="219"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承包人提供的施工设备和临时设施</w:t>
      </w:r>
    </w:p>
    <w:p w14:paraId="6D4FA27F">
      <w:pPr>
        <w:spacing w:before="281"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本款补充第</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6.1.3</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项：</w:t>
      </w:r>
    </w:p>
    <w:p w14:paraId="62A44190">
      <w:pPr>
        <w:spacing w:before="157" w:line="220" w:lineRule="auto"/>
        <w:ind w:left="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6.1.3</w:t>
      </w:r>
      <w:r>
        <w:rPr>
          <w:rFonts w:ascii="宋体" w:hAnsi="宋体" w:eastAsia="宋体" w:cs="宋体"/>
          <w:color w:val="auto"/>
          <w:spacing w:val="-36"/>
          <w:sz w:val="21"/>
          <w:szCs w:val="21"/>
          <w:highlight w:val="none"/>
        </w:rPr>
        <w:t xml:space="preserve"> </w:t>
      </w:r>
      <w:r>
        <w:rPr>
          <w:rFonts w:ascii="宋体" w:hAnsi="宋体" w:eastAsia="宋体" w:cs="宋体"/>
          <w:color w:val="auto"/>
          <w:spacing w:val="-2"/>
          <w:sz w:val="21"/>
          <w:szCs w:val="21"/>
          <w:highlight w:val="none"/>
        </w:rPr>
        <w:t>承包人采用设备租赁的，应遵守以下规定：</w:t>
      </w:r>
    </w:p>
    <w:p w14:paraId="1B27943E">
      <w:pPr>
        <w:spacing w:before="158" w:line="290" w:lineRule="auto"/>
        <w:ind w:left="1" w:right="33" w:firstLine="424"/>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w:t>
      </w:r>
      <w:r>
        <w:rPr>
          <w:rFonts w:ascii="宋体" w:hAnsi="宋体" w:eastAsia="宋体" w:cs="宋体"/>
          <w:color w:val="auto"/>
          <w:spacing w:val="-61"/>
          <w:sz w:val="21"/>
          <w:szCs w:val="21"/>
          <w:highlight w:val="none"/>
        </w:rPr>
        <w:t xml:space="preserve"> </w:t>
      </w:r>
      <w:r>
        <w:rPr>
          <w:rFonts w:ascii="宋体" w:hAnsi="宋体" w:eastAsia="宋体" w:cs="宋体"/>
          <w:color w:val="auto"/>
          <w:spacing w:val="-8"/>
          <w:sz w:val="21"/>
          <w:szCs w:val="21"/>
          <w:highlight w:val="none"/>
        </w:rPr>
        <w:t>设备租赁双方应当签订租赁合同，主要内容应包</w:t>
      </w:r>
      <w:r>
        <w:rPr>
          <w:rFonts w:ascii="宋体" w:hAnsi="宋体" w:eastAsia="宋体" w:cs="宋体"/>
          <w:color w:val="auto"/>
          <w:spacing w:val="-9"/>
          <w:sz w:val="21"/>
          <w:szCs w:val="21"/>
          <w:highlight w:val="none"/>
        </w:rPr>
        <w:t>括：设备种类型号，租赁方式、租赁期限、</w:t>
      </w:r>
      <w:r>
        <w:rPr>
          <w:rFonts w:ascii="宋体" w:hAnsi="宋体" w:eastAsia="宋体" w:cs="宋体"/>
          <w:color w:val="auto"/>
          <w:sz w:val="21"/>
          <w:szCs w:val="21"/>
          <w:highlight w:val="none"/>
        </w:rPr>
        <w:t xml:space="preserve"> 租赁价格、租赁工作量及结算方式，租赁双方责任及义务，违约及纠纷处理方</w:t>
      </w:r>
      <w:r>
        <w:rPr>
          <w:rFonts w:ascii="宋体" w:hAnsi="宋体" w:eastAsia="宋体" w:cs="宋体"/>
          <w:color w:val="auto"/>
          <w:spacing w:val="-1"/>
          <w:sz w:val="21"/>
          <w:szCs w:val="21"/>
          <w:highlight w:val="none"/>
        </w:rPr>
        <w:t>式等。</w:t>
      </w:r>
    </w:p>
    <w:p w14:paraId="65E2D8C8">
      <w:pPr>
        <w:spacing w:before="159" w:line="221" w:lineRule="auto"/>
        <w:ind w:left="42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（2）承包人应严格把好设备出租方资格关，不得向没有相关资质的出租方租赁设备。</w:t>
      </w:r>
    </w:p>
    <w:p w14:paraId="01D26FD9">
      <w:pPr>
        <w:spacing w:before="157" w:line="219" w:lineRule="auto"/>
        <w:ind w:left="42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w:t>
      </w:r>
      <w:r>
        <w:rPr>
          <w:rFonts w:ascii="宋体" w:hAnsi="宋体" w:eastAsia="宋体" w:cs="宋体"/>
          <w:color w:val="auto"/>
          <w:spacing w:val="-61"/>
          <w:sz w:val="21"/>
          <w:szCs w:val="21"/>
          <w:highlight w:val="none"/>
        </w:rPr>
        <w:t xml:space="preserve"> </w:t>
      </w:r>
      <w:r>
        <w:rPr>
          <w:rFonts w:ascii="宋体" w:hAnsi="宋体" w:eastAsia="宋体" w:cs="宋体"/>
          <w:color w:val="auto"/>
          <w:spacing w:val="-1"/>
          <w:sz w:val="21"/>
          <w:szCs w:val="21"/>
          <w:highlight w:val="none"/>
        </w:rPr>
        <w:t>设备租赁价格应与同期市场价格相符。</w:t>
      </w:r>
    </w:p>
    <w:p w14:paraId="1906F7C5">
      <w:pPr>
        <w:spacing w:before="158" w:line="290" w:lineRule="auto"/>
        <w:ind w:firstLine="426"/>
        <w:outlineLvl w:val="9"/>
        <w:rPr>
          <w:rFonts w:ascii="Arial"/>
          <w:color w:val="auto"/>
          <w:sz w:val="21"/>
          <w:highlight w:val="none"/>
        </w:rPr>
      </w:pPr>
      <w:r>
        <w:rPr>
          <w:rFonts w:ascii="宋体" w:hAnsi="宋体" w:eastAsia="宋体" w:cs="宋体"/>
          <w:color w:val="auto"/>
          <w:spacing w:val="-3"/>
          <w:sz w:val="21"/>
          <w:szCs w:val="21"/>
          <w:highlight w:val="none"/>
        </w:rPr>
        <w:t>（4）</w:t>
      </w:r>
      <w:r>
        <w:rPr>
          <w:rFonts w:ascii="宋体" w:hAnsi="宋体" w:eastAsia="宋体" w:cs="宋体"/>
          <w:color w:val="auto"/>
          <w:spacing w:val="-54"/>
          <w:sz w:val="21"/>
          <w:szCs w:val="21"/>
          <w:highlight w:val="none"/>
        </w:rPr>
        <w:t xml:space="preserve"> </w:t>
      </w:r>
      <w:r>
        <w:rPr>
          <w:rFonts w:ascii="宋体" w:hAnsi="宋体" w:eastAsia="宋体" w:cs="宋体"/>
          <w:color w:val="auto"/>
          <w:spacing w:val="-3"/>
          <w:sz w:val="21"/>
          <w:szCs w:val="21"/>
          <w:highlight w:val="none"/>
        </w:rPr>
        <w:t>设备出租方提供操作人员的，操作人员不能代替承包人项目管理人员对工程施工技术和质</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量的管理。</w:t>
      </w:r>
    </w:p>
    <w:p w14:paraId="270F8E98">
      <w:pPr>
        <w:spacing w:before="92" w:line="219"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6.2</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发包人提供的施工设备和临时设施</w:t>
      </w:r>
    </w:p>
    <w:p w14:paraId="138F9DEB">
      <w:pPr>
        <w:spacing w:line="360" w:lineRule="auto"/>
        <w:ind w:right="248" w:firstLine="420" w:firstLineChars="20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发包人提供的施工设备或临时设施：</w:t>
      </w:r>
      <w:r>
        <w:rPr>
          <w:rFonts w:hint="eastAsia" w:ascii="Times New Roman" w:hAnsi="Times New Roman" w:cs="Times New Roman"/>
          <w:color w:val="auto"/>
          <w:szCs w:val="21"/>
          <w:highlight w:val="none"/>
          <w:u w:val="single"/>
        </w:rPr>
        <w:t>发包人在本项目实施过程中不提供任何临时设施，所有临时设施均由承包人修建，费用计入承包合同价中</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48FE4985">
      <w:pPr>
        <w:spacing w:before="174" w:line="225" w:lineRule="auto"/>
        <w:ind w:left="11"/>
        <w:outlineLvl w:val="9"/>
        <w:rPr>
          <w:rFonts w:ascii="宋体" w:hAnsi="宋体" w:eastAsia="宋体" w:cs="宋体"/>
          <w:color w:val="auto"/>
          <w:sz w:val="31"/>
          <w:szCs w:val="31"/>
          <w:highlight w:val="none"/>
        </w:rPr>
      </w:pPr>
      <w:bookmarkStart w:id="301" w:name="bookmark255"/>
      <w:bookmarkEnd w:id="301"/>
      <w:bookmarkStart w:id="302" w:name="_Toc29040"/>
      <w:bookmarkStart w:id="303" w:name="_Toc20449"/>
      <w:r>
        <w:rPr>
          <w:rFonts w:ascii="宋体" w:hAnsi="宋体" w:eastAsia="宋体" w:cs="宋体"/>
          <w:b/>
          <w:bCs/>
          <w:color w:val="auto"/>
          <w:spacing w:val="-1"/>
          <w:sz w:val="31"/>
          <w:szCs w:val="31"/>
          <w:highlight w:val="none"/>
        </w:rPr>
        <w:t>7.</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1"/>
          <w:sz w:val="31"/>
          <w:szCs w:val="31"/>
          <w:highlight w:val="none"/>
        </w:rPr>
        <w:t>交通运输</w:t>
      </w:r>
      <w:bookmarkEnd w:id="302"/>
      <w:bookmarkEnd w:id="303"/>
    </w:p>
    <w:p w14:paraId="5FEDD165">
      <w:pPr>
        <w:spacing w:before="277" w:line="220" w:lineRule="auto"/>
        <w:ind w:left="146"/>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7.1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道路通行权和场外设施</w:t>
      </w:r>
    </w:p>
    <w:p w14:paraId="2CCCFA67">
      <w:pPr>
        <w:spacing w:line="360" w:lineRule="auto"/>
        <w:ind w:right="248" w:firstLine="48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道路通行权和场外设施的约定：</w:t>
      </w:r>
      <w:r>
        <w:rPr>
          <w:rFonts w:hint="eastAsia" w:ascii="Times New Roman" w:hAnsi="Times New Roman" w:cs="Times New Roman"/>
          <w:color w:val="auto"/>
          <w:szCs w:val="21"/>
          <w:highlight w:val="none"/>
          <w:u w:val="single"/>
        </w:rPr>
        <w:t>承包人取得的道路通行权和修建的场外设施应服从发包人和监理人的协调安排，不得妨碍第三者和对第三者造成侵害，并承担对第三者构成妨碍和侵害所造成的一切损失和责任。施工期间，承包人负责对其所使用的交通道路及其附属桥、涵、闸进行必要的维修加固，若造成损坏，应在工程施工过程中和竣工验收前予以恢复，相关费用包含在项目的单价、合价和总价中，不单独编列，发包人亦不单独支付。承包人应充分考虑施工期间沿途群众出行交通并做好相应临时交通安排</w:t>
      </w:r>
      <w:r>
        <w:rPr>
          <w:rFonts w:ascii="宋体" w:hAnsi="宋体" w:eastAsia="宋体" w:cs="宋体"/>
          <w:color w:val="auto"/>
          <w:spacing w:val="-1"/>
          <w:sz w:val="21"/>
          <w:szCs w:val="21"/>
          <w:highlight w:val="none"/>
        </w:rPr>
        <w:t>。</w:t>
      </w:r>
    </w:p>
    <w:p w14:paraId="3396AE31">
      <w:pPr>
        <w:spacing w:before="175" w:line="226" w:lineRule="auto"/>
        <w:ind w:left="5"/>
        <w:outlineLvl w:val="9"/>
        <w:rPr>
          <w:rFonts w:ascii="宋体" w:hAnsi="宋体" w:eastAsia="宋体" w:cs="宋体"/>
          <w:color w:val="auto"/>
          <w:sz w:val="31"/>
          <w:szCs w:val="31"/>
          <w:highlight w:val="none"/>
        </w:rPr>
      </w:pPr>
      <w:bookmarkStart w:id="304" w:name="bookmark256"/>
      <w:bookmarkEnd w:id="304"/>
      <w:bookmarkStart w:id="305" w:name="_Toc13464"/>
      <w:bookmarkStart w:id="306" w:name="_Toc5060"/>
      <w:r>
        <w:rPr>
          <w:rFonts w:ascii="宋体" w:hAnsi="宋体" w:eastAsia="宋体" w:cs="宋体"/>
          <w:b/>
          <w:bCs/>
          <w:color w:val="auto"/>
          <w:spacing w:val="1"/>
          <w:sz w:val="31"/>
          <w:szCs w:val="31"/>
          <w:highlight w:val="none"/>
        </w:rPr>
        <w:t>8.</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1"/>
          <w:sz w:val="31"/>
          <w:szCs w:val="31"/>
          <w:highlight w:val="none"/>
        </w:rPr>
        <w:t>测量放线</w:t>
      </w:r>
      <w:bookmarkEnd w:id="305"/>
      <w:bookmarkEnd w:id="306"/>
    </w:p>
    <w:p w14:paraId="5197D685">
      <w:pPr>
        <w:spacing w:before="272" w:line="221"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8.1</w:t>
      </w:r>
      <w:r>
        <w:rPr>
          <w:rFonts w:ascii="宋体" w:hAnsi="宋体" w:eastAsia="宋体" w:cs="宋体"/>
          <w:color w:val="auto"/>
          <w:spacing w:val="-58"/>
          <w:sz w:val="28"/>
          <w:szCs w:val="28"/>
          <w:highlight w:val="none"/>
        </w:rPr>
        <w:t xml:space="preserve"> </w:t>
      </w:r>
      <w:r>
        <w:rPr>
          <w:rFonts w:ascii="宋体" w:hAnsi="宋体" w:eastAsia="宋体" w:cs="宋体"/>
          <w:b/>
          <w:bCs/>
          <w:color w:val="auto"/>
          <w:spacing w:val="-5"/>
          <w:sz w:val="28"/>
          <w:szCs w:val="28"/>
          <w:highlight w:val="none"/>
        </w:rPr>
        <w:t>施工控制网</w:t>
      </w:r>
    </w:p>
    <w:p w14:paraId="449E25E4">
      <w:pPr>
        <w:spacing w:before="279" w:line="351" w:lineRule="auto"/>
        <w:ind w:right="175" w:firstLine="42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8.1.1 发包人应在本合同协议书签订后的</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7</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
          <w:sz w:val="21"/>
          <w:szCs w:val="21"/>
          <w:highlight w:val="none"/>
        </w:rPr>
        <w:t>天内，通过监理人向承包人提供测量基准</w:t>
      </w:r>
      <w:r>
        <w:rPr>
          <w:rFonts w:ascii="宋体" w:hAnsi="宋体" w:eastAsia="宋体" w:cs="宋体"/>
          <w:color w:val="auto"/>
          <w:spacing w:val="-2"/>
          <w:sz w:val="21"/>
          <w:szCs w:val="21"/>
          <w:highlight w:val="none"/>
        </w:rPr>
        <w:t>点、</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基准线和水准点及其相关资料。承包人应在收到上述资料后的</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7</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3"/>
          <w:sz w:val="21"/>
          <w:szCs w:val="21"/>
          <w:highlight w:val="none"/>
        </w:rPr>
        <w:t>天内，将实测的施工控制网资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料提交监理人审批。监理人应在收到报批件后的</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7</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1"/>
          <w:sz w:val="21"/>
          <w:szCs w:val="21"/>
          <w:highlight w:val="none"/>
        </w:rPr>
        <w:t>天内批复承包人</w:t>
      </w:r>
      <w:r>
        <w:rPr>
          <w:rFonts w:hint="eastAsia" w:ascii="宋体" w:hAnsi="宋体" w:eastAsia="宋体" w:cs="宋体"/>
          <w:color w:val="auto"/>
          <w:spacing w:val="-1"/>
          <w:sz w:val="21"/>
          <w:szCs w:val="21"/>
          <w:highlight w:val="none"/>
          <w:lang w:eastAsia="zh-CN"/>
        </w:rPr>
        <w:t>。</w:t>
      </w:r>
    </w:p>
    <w:p w14:paraId="21B35710">
      <w:pPr>
        <w:spacing w:before="44" w:line="226" w:lineRule="auto"/>
        <w:ind w:left="5"/>
        <w:outlineLvl w:val="9"/>
        <w:rPr>
          <w:rFonts w:ascii="宋体" w:hAnsi="宋体" w:eastAsia="宋体" w:cs="宋体"/>
          <w:color w:val="auto"/>
          <w:sz w:val="31"/>
          <w:szCs w:val="31"/>
          <w:highlight w:val="none"/>
        </w:rPr>
      </w:pPr>
      <w:bookmarkStart w:id="307" w:name="bookmark257"/>
      <w:bookmarkEnd w:id="307"/>
      <w:bookmarkStart w:id="308" w:name="_Toc27503"/>
      <w:bookmarkStart w:id="309" w:name="_Toc15114"/>
      <w:r>
        <w:rPr>
          <w:rFonts w:ascii="宋体" w:hAnsi="宋体" w:eastAsia="宋体" w:cs="宋体"/>
          <w:b/>
          <w:bCs/>
          <w:color w:val="auto"/>
          <w:spacing w:val="6"/>
          <w:sz w:val="31"/>
          <w:szCs w:val="31"/>
          <w:highlight w:val="none"/>
        </w:rPr>
        <w:t>9.</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施工安全、治安保卫和环境保护</w:t>
      </w:r>
      <w:bookmarkEnd w:id="308"/>
      <w:bookmarkEnd w:id="309"/>
    </w:p>
    <w:p w14:paraId="6C355F2C">
      <w:pPr>
        <w:spacing w:before="276" w:line="220" w:lineRule="auto"/>
        <w:ind w:left="140"/>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9.1</w:t>
      </w:r>
      <w:r>
        <w:rPr>
          <w:rFonts w:ascii="宋体" w:hAnsi="宋体" w:eastAsia="宋体" w:cs="宋体"/>
          <w:color w:val="auto"/>
          <w:spacing w:val="-54"/>
          <w:sz w:val="28"/>
          <w:szCs w:val="28"/>
          <w:highlight w:val="none"/>
        </w:rPr>
        <w:t xml:space="preserve"> </w:t>
      </w:r>
      <w:r>
        <w:rPr>
          <w:rFonts w:ascii="宋体" w:hAnsi="宋体" w:eastAsia="宋体" w:cs="宋体"/>
          <w:b/>
          <w:bCs/>
          <w:color w:val="auto"/>
          <w:spacing w:val="-4"/>
          <w:sz w:val="28"/>
          <w:szCs w:val="28"/>
          <w:highlight w:val="none"/>
        </w:rPr>
        <w:t>发包人的施工安全责任</w:t>
      </w:r>
    </w:p>
    <w:p w14:paraId="28D176EE">
      <w:pPr>
        <w:spacing w:before="281"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本款补充第</w:t>
      </w:r>
      <w:r>
        <w:rPr>
          <w:rFonts w:ascii="宋体" w:hAnsi="宋体" w:eastAsia="宋体" w:cs="宋体"/>
          <w:color w:val="auto"/>
          <w:spacing w:val="-29"/>
          <w:sz w:val="21"/>
          <w:szCs w:val="21"/>
          <w:highlight w:val="none"/>
        </w:rPr>
        <w:t xml:space="preserve"> </w:t>
      </w:r>
      <w:r>
        <w:rPr>
          <w:rFonts w:ascii="宋体" w:hAnsi="宋体" w:eastAsia="宋体" w:cs="宋体"/>
          <w:color w:val="auto"/>
          <w:spacing w:val="-4"/>
          <w:sz w:val="21"/>
          <w:szCs w:val="21"/>
          <w:highlight w:val="none"/>
        </w:rPr>
        <w:t>9.1.4</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项、第</w:t>
      </w:r>
      <w:r>
        <w:rPr>
          <w:rFonts w:ascii="宋体" w:hAnsi="宋体" w:eastAsia="宋体" w:cs="宋体"/>
          <w:color w:val="auto"/>
          <w:spacing w:val="-45"/>
          <w:sz w:val="21"/>
          <w:szCs w:val="21"/>
          <w:highlight w:val="none"/>
        </w:rPr>
        <w:t xml:space="preserve"> </w:t>
      </w:r>
      <w:r>
        <w:rPr>
          <w:rFonts w:ascii="宋体" w:hAnsi="宋体" w:eastAsia="宋体" w:cs="宋体"/>
          <w:color w:val="auto"/>
          <w:spacing w:val="-4"/>
          <w:sz w:val="21"/>
          <w:szCs w:val="21"/>
          <w:highlight w:val="none"/>
        </w:rPr>
        <w:t>9.1.5</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项：</w:t>
      </w:r>
    </w:p>
    <w:p w14:paraId="7CD02479">
      <w:pPr>
        <w:spacing w:before="157" w:line="345" w:lineRule="auto"/>
        <w:ind w:right="1"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9.1.4 发包人负责向承包人提供施工现场及施工</w:t>
      </w:r>
      <w:r>
        <w:rPr>
          <w:rFonts w:ascii="宋体" w:hAnsi="宋体" w:eastAsia="宋体" w:cs="宋体"/>
          <w:color w:val="auto"/>
          <w:sz w:val="21"/>
          <w:szCs w:val="21"/>
          <w:highlight w:val="none"/>
        </w:rPr>
        <w:t xml:space="preserve">可能影响的毗邻区域内供水、排水、供电、供 </w:t>
      </w:r>
      <w:r>
        <w:rPr>
          <w:rFonts w:ascii="宋体" w:hAnsi="宋体" w:eastAsia="宋体" w:cs="宋体"/>
          <w:color w:val="auto"/>
          <w:spacing w:val="1"/>
          <w:sz w:val="21"/>
          <w:szCs w:val="21"/>
          <w:highlight w:val="none"/>
        </w:rPr>
        <w:t>气、供热、通信、广播电视等地下管线资料，气象和水文观测资料，拟建工程</w:t>
      </w:r>
      <w:r>
        <w:rPr>
          <w:rFonts w:ascii="宋体" w:hAnsi="宋体" w:eastAsia="宋体" w:cs="宋体"/>
          <w:color w:val="auto"/>
          <w:sz w:val="21"/>
          <w:szCs w:val="21"/>
          <w:highlight w:val="none"/>
        </w:rPr>
        <w:t>可能影响的相邻建筑物地下工程的有关资料，并保证有关资料的真实、准确</w:t>
      </w:r>
      <w:r>
        <w:rPr>
          <w:rFonts w:ascii="宋体" w:hAnsi="宋体" w:eastAsia="宋体" w:cs="宋体"/>
          <w:color w:val="auto"/>
          <w:spacing w:val="-1"/>
          <w:sz w:val="21"/>
          <w:szCs w:val="21"/>
          <w:highlight w:val="none"/>
        </w:rPr>
        <w:t>、完整，满足有关技术规程的要求。</w:t>
      </w:r>
    </w:p>
    <w:p w14:paraId="61657D55">
      <w:pPr>
        <w:spacing w:before="157"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9.1.5</w:t>
      </w:r>
      <w:r>
        <w:rPr>
          <w:rFonts w:ascii="宋体" w:hAnsi="宋体" w:eastAsia="宋体" w:cs="宋体"/>
          <w:color w:val="auto"/>
          <w:spacing w:val="-34"/>
          <w:sz w:val="21"/>
          <w:szCs w:val="21"/>
          <w:highlight w:val="none"/>
        </w:rPr>
        <w:t xml:space="preserve"> </w:t>
      </w:r>
      <w:r>
        <w:rPr>
          <w:rFonts w:ascii="宋体" w:hAnsi="宋体" w:eastAsia="宋体" w:cs="宋体"/>
          <w:color w:val="auto"/>
          <w:spacing w:val="-2"/>
          <w:sz w:val="21"/>
          <w:szCs w:val="21"/>
          <w:highlight w:val="none"/>
        </w:rPr>
        <w:t>发包人负责在拆除工程施工</w:t>
      </w:r>
      <w:r>
        <w:rPr>
          <w:rFonts w:ascii="宋体" w:hAnsi="宋体" w:eastAsia="宋体" w:cs="宋体"/>
          <w:color w:val="auto"/>
          <w:spacing w:val="-28"/>
          <w:sz w:val="21"/>
          <w:szCs w:val="21"/>
          <w:highlight w:val="none"/>
        </w:rPr>
        <w:t xml:space="preserve"> </w:t>
      </w:r>
      <w:r>
        <w:rPr>
          <w:rFonts w:ascii="宋体" w:hAnsi="宋体" w:eastAsia="宋体" w:cs="宋体"/>
          <w:color w:val="auto"/>
          <w:spacing w:val="-2"/>
          <w:sz w:val="21"/>
          <w:szCs w:val="21"/>
          <w:highlight w:val="none"/>
        </w:rPr>
        <w:t>15</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天前向有关部门或机构报送相关备案资料。</w:t>
      </w:r>
    </w:p>
    <w:p w14:paraId="332616F5">
      <w:pPr>
        <w:spacing w:line="333" w:lineRule="auto"/>
        <w:outlineLvl w:val="9"/>
        <w:rPr>
          <w:rFonts w:ascii="Arial"/>
          <w:color w:val="auto"/>
          <w:sz w:val="21"/>
          <w:highlight w:val="none"/>
        </w:rPr>
      </w:pPr>
    </w:p>
    <w:p w14:paraId="726A096F">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事故处理</w:t>
      </w:r>
    </w:p>
    <w:p w14:paraId="13450D96">
      <w:pPr>
        <w:spacing w:before="279"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本款细化为：</w:t>
      </w:r>
    </w:p>
    <w:p w14:paraId="5E64B7F2">
      <w:pPr>
        <w:spacing w:before="157" w:line="291" w:lineRule="auto"/>
        <w:ind w:left="8" w:right="2" w:firstLine="413"/>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9.5.1 </w:t>
      </w:r>
      <w:r>
        <w:rPr>
          <w:rFonts w:ascii="宋体" w:hAnsi="宋体" w:eastAsia="宋体" w:cs="宋体"/>
          <w:color w:val="auto"/>
          <w:sz w:val="21"/>
          <w:szCs w:val="21"/>
          <w:highlight w:val="none"/>
        </w:rPr>
        <w:t>发包人负责组织参建单位制定本工程的质量与</w:t>
      </w:r>
      <w:r>
        <w:rPr>
          <w:rFonts w:ascii="宋体" w:hAnsi="宋体" w:eastAsia="宋体" w:cs="宋体"/>
          <w:color w:val="auto"/>
          <w:spacing w:val="-1"/>
          <w:sz w:val="21"/>
          <w:szCs w:val="21"/>
          <w:highlight w:val="none"/>
        </w:rPr>
        <w:t>安全事故应急预案，建立质量与安全事故应</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急处置指挥部。</w:t>
      </w:r>
    </w:p>
    <w:p w14:paraId="255DAF10">
      <w:pPr>
        <w:spacing w:before="157" w:line="290" w:lineRule="auto"/>
        <w:ind w:left="4" w:right="4" w:firstLine="417"/>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9.5.2 </w:t>
      </w:r>
      <w:r>
        <w:rPr>
          <w:rFonts w:ascii="宋体" w:hAnsi="宋体" w:eastAsia="宋体" w:cs="宋体"/>
          <w:color w:val="auto"/>
          <w:sz w:val="21"/>
          <w:szCs w:val="21"/>
          <w:highlight w:val="none"/>
        </w:rPr>
        <w:t>承包人应对施工现场易发生重大事故的部</w:t>
      </w:r>
      <w:r>
        <w:rPr>
          <w:rFonts w:ascii="宋体" w:hAnsi="宋体" w:eastAsia="宋体" w:cs="宋体"/>
          <w:color w:val="auto"/>
          <w:spacing w:val="-1"/>
          <w:sz w:val="21"/>
          <w:szCs w:val="21"/>
          <w:highlight w:val="none"/>
        </w:rPr>
        <w:t>位、环节进行监控，配备救援器材、设备，并定</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期组织演练。</w:t>
      </w:r>
    </w:p>
    <w:p w14:paraId="5BAE2527">
      <w:pPr>
        <w:spacing w:before="156" w:line="291" w:lineRule="auto"/>
        <w:ind w:firstLine="421"/>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9.5.3 </w:t>
      </w:r>
      <w:r>
        <w:rPr>
          <w:rFonts w:ascii="宋体" w:hAnsi="宋体" w:eastAsia="宋体" w:cs="宋体"/>
          <w:color w:val="auto"/>
          <w:sz w:val="21"/>
          <w:szCs w:val="21"/>
          <w:highlight w:val="none"/>
        </w:rPr>
        <w:t>工程开工前，承包人应根据本工程的特点制定施工</w:t>
      </w:r>
      <w:r>
        <w:rPr>
          <w:rFonts w:ascii="宋体" w:hAnsi="宋体" w:eastAsia="宋体" w:cs="宋体"/>
          <w:color w:val="auto"/>
          <w:spacing w:val="-1"/>
          <w:sz w:val="21"/>
          <w:szCs w:val="21"/>
          <w:highlight w:val="none"/>
        </w:rPr>
        <w:t>现场施工质量与安全事故应急预案，并</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报发包人备案。</w:t>
      </w:r>
    </w:p>
    <w:p w14:paraId="4D26A639">
      <w:pPr>
        <w:spacing w:before="156" w:line="221" w:lineRule="auto"/>
        <w:ind w:left="421"/>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9.5.4 </w:t>
      </w:r>
      <w:r>
        <w:rPr>
          <w:rFonts w:ascii="宋体" w:hAnsi="宋体" w:eastAsia="宋体" w:cs="宋体"/>
          <w:color w:val="auto"/>
          <w:sz w:val="21"/>
          <w:szCs w:val="21"/>
          <w:highlight w:val="none"/>
        </w:rPr>
        <w:t>施工过程中发生事故时，发包人、承包人应立即启动</w:t>
      </w:r>
      <w:r>
        <w:rPr>
          <w:rFonts w:ascii="宋体" w:hAnsi="宋体" w:eastAsia="宋体" w:cs="宋体"/>
          <w:color w:val="auto"/>
          <w:spacing w:val="-1"/>
          <w:sz w:val="21"/>
          <w:szCs w:val="21"/>
          <w:highlight w:val="none"/>
        </w:rPr>
        <w:t>应急预案。</w:t>
      </w:r>
    </w:p>
    <w:p w14:paraId="707F624F">
      <w:pPr>
        <w:spacing w:before="157" w:line="221" w:lineRule="auto"/>
        <w:ind w:left="421"/>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9.5.5 </w:t>
      </w:r>
      <w:r>
        <w:rPr>
          <w:rFonts w:ascii="宋体" w:hAnsi="宋体" w:eastAsia="宋体" w:cs="宋体"/>
          <w:color w:val="auto"/>
          <w:spacing w:val="-1"/>
          <w:sz w:val="21"/>
          <w:szCs w:val="21"/>
          <w:highlight w:val="none"/>
        </w:rPr>
        <w:t>事故调查处理由发包人按相关规定履行手续，承包人应配合。</w:t>
      </w:r>
    </w:p>
    <w:p w14:paraId="2BBDF8E9">
      <w:pPr>
        <w:spacing w:before="172" w:line="226" w:lineRule="auto"/>
        <w:ind w:left="29"/>
        <w:outlineLvl w:val="9"/>
        <w:rPr>
          <w:rFonts w:ascii="宋体" w:hAnsi="宋体" w:eastAsia="宋体" w:cs="宋体"/>
          <w:color w:val="auto"/>
          <w:sz w:val="31"/>
          <w:szCs w:val="31"/>
          <w:highlight w:val="none"/>
        </w:rPr>
      </w:pPr>
      <w:bookmarkStart w:id="310" w:name="bookmark258"/>
      <w:bookmarkEnd w:id="310"/>
      <w:bookmarkStart w:id="311" w:name="_Toc21224"/>
      <w:bookmarkStart w:id="312" w:name="_Toc23073"/>
      <w:r>
        <w:rPr>
          <w:rFonts w:ascii="宋体" w:hAnsi="宋体" w:eastAsia="宋体" w:cs="宋体"/>
          <w:b/>
          <w:bCs/>
          <w:color w:val="auto"/>
          <w:spacing w:val="1"/>
          <w:sz w:val="31"/>
          <w:szCs w:val="31"/>
          <w:highlight w:val="none"/>
        </w:rPr>
        <w:t>10.</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进度计划</w:t>
      </w:r>
      <w:bookmarkEnd w:id="311"/>
      <w:bookmarkEnd w:id="312"/>
    </w:p>
    <w:p w14:paraId="044413C4">
      <w:pPr>
        <w:spacing w:before="275"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10.1</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合同进度计划</w:t>
      </w:r>
    </w:p>
    <w:p w14:paraId="47FBCB71">
      <w:pPr>
        <w:spacing w:before="279" w:line="221"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承包人编制施工进度计划和施工方案说明的内容和</w:t>
      </w:r>
      <w:r>
        <w:rPr>
          <w:rFonts w:ascii="宋体" w:hAnsi="宋体" w:eastAsia="宋体" w:cs="宋体"/>
          <w:color w:val="auto"/>
          <w:spacing w:val="-1"/>
          <w:sz w:val="21"/>
          <w:szCs w:val="21"/>
          <w:highlight w:val="none"/>
        </w:rPr>
        <w:t>期限要求：</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p>
    <w:p w14:paraId="1C2ED90D">
      <w:pPr>
        <w:spacing w:before="156" w:line="221" w:lineRule="auto"/>
        <w:ind w:left="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监理人对施工进度计划进行批复或提出修改意见的期限：</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43B64DD9">
      <w:pPr>
        <w:spacing w:line="333" w:lineRule="auto"/>
        <w:outlineLvl w:val="9"/>
        <w:rPr>
          <w:rFonts w:ascii="Arial"/>
          <w:color w:val="auto"/>
          <w:sz w:val="21"/>
          <w:highlight w:val="none"/>
        </w:rPr>
      </w:pPr>
    </w:p>
    <w:p w14:paraId="5D71CB8A">
      <w:pPr>
        <w:spacing w:before="9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10.2</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合同进度计划的修订</w:t>
      </w:r>
    </w:p>
    <w:p w14:paraId="2195F472">
      <w:pPr>
        <w:spacing w:before="280" w:line="221" w:lineRule="auto"/>
        <w:ind w:left="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承包人提交施工进度计划修订的期限要求</w:t>
      </w:r>
      <w:r>
        <w:rPr>
          <w:rFonts w:ascii="宋体" w:hAnsi="宋体" w:eastAsia="宋体" w:cs="宋体"/>
          <w:color w:val="auto"/>
          <w:spacing w:val="6"/>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6"/>
          <w:sz w:val="21"/>
          <w:szCs w:val="21"/>
          <w:highlight w:val="none"/>
        </w:rPr>
        <w:t>；</w:t>
      </w:r>
    </w:p>
    <w:p w14:paraId="55DA0EA5">
      <w:pPr>
        <w:spacing w:before="157" w:line="221" w:lineRule="auto"/>
        <w:ind w:left="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监理人对承包人提交的修订施工进度计划进行批复</w:t>
      </w:r>
      <w:r>
        <w:rPr>
          <w:rFonts w:ascii="宋体" w:hAnsi="宋体" w:eastAsia="宋体" w:cs="宋体"/>
          <w:color w:val="auto"/>
          <w:spacing w:val="-1"/>
          <w:sz w:val="21"/>
          <w:szCs w:val="21"/>
          <w:highlight w:val="none"/>
        </w:rPr>
        <w:t>的期限：</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1"/>
          <w:sz w:val="21"/>
          <w:szCs w:val="21"/>
          <w:highlight w:val="none"/>
        </w:rPr>
        <w:t>。</w:t>
      </w:r>
    </w:p>
    <w:p w14:paraId="2F797F8E">
      <w:pPr>
        <w:spacing w:before="294" w:line="225" w:lineRule="auto"/>
        <w:ind w:left="29"/>
        <w:outlineLvl w:val="9"/>
        <w:rPr>
          <w:rFonts w:ascii="宋体" w:hAnsi="宋体" w:eastAsia="宋体" w:cs="宋体"/>
          <w:color w:val="auto"/>
          <w:sz w:val="31"/>
          <w:szCs w:val="31"/>
          <w:highlight w:val="none"/>
        </w:rPr>
      </w:pPr>
      <w:bookmarkStart w:id="313" w:name="bookmark259"/>
      <w:bookmarkEnd w:id="313"/>
      <w:bookmarkStart w:id="314" w:name="_Toc4548"/>
      <w:bookmarkStart w:id="315" w:name="_Toc13573"/>
      <w:r>
        <w:rPr>
          <w:rFonts w:ascii="宋体" w:hAnsi="宋体" w:eastAsia="宋体" w:cs="宋体"/>
          <w:b/>
          <w:bCs/>
          <w:color w:val="auto"/>
          <w:spacing w:val="1"/>
          <w:sz w:val="31"/>
          <w:szCs w:val="31"/>
          <w:highlight w:val="none"/>
        </w:rPr>
        <w:t>11.开工和竣工</w:t>
      </w:r>
      <w:bookmarkEnd w:id="314"/>
      <w:bookmarkEnd w:id="315"/>
    </w:p>
    <w:p w14:paraId="5E3D5A6F">
      <w:pPr>
        <w:spacing w:before="126" w:line="220" w:lineRule="auto"/>
        <w:ind w:left="42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本款补充第</w:t>
      </w:r>
      <w:r>
        <w:rPr>
          <w:rFonts w:ascii="宋体" w:hAnsi="宋体" w:eastAsia="宋体" w:cs="宋体"/>
          <w:color w:val="auto"/>
          <w:spacing w:val="-13"/>
          <w:sz w:val="21"/>
          <w:szCs w:val="21"/>
          <w:highlight w:val="none"/>
        </w:rPr>
        <w:t xml:space="preserve"> </w:t>
      </w:r>
      <w:r>
        <w:rPr>
          <w:rFonts w:ascii="宋体" w:hAnsi="宋体" w:eastAsia="宋体" w:cs="宋体"/>
          <w:color w:val="auto"/>
          <w:spacing w:val="-5"/>
          <w:sz w:val="21"/>
          <w:szCs w:val="21"/>
          <w:highlight w:val="none"/>
        </w:rPr>
        <w:t>11.1.3</w:t>
      </w:r>
      <w:r>
        <w:rPr>
          <w:rFonts w:ascii="宋体" w:hAnsi="宋体" w:eastAsia="宋体" w:cs="宋体"/>
          <w:color w:val="auto"/>
          <w:spacing w:val="-43"/>
          <w:sz w:val="21"/>
          <w:szCs w:val="21"/>
          <w:highlight w:val="none"/>
        </w:rPr>
        <w:t xml:space="preserve"> </w:t>
      </w:r>
      <w:r>
        <w:rPr>
          <w:rFonts w:ascii="宋体" w:hAnsi="宋体" w:eastAsia="宋体" w:cs="宋体"/>
          <w:color w:val="auto"/>
          <w:spacing w:val="-5"/>
          <w:sz w:val="21"/>
          <w:szCs w:val="21"/>
          <w:highlight w:val="none"/>
        </w:rPr>
        <w:t>项、第</w:t>
      </w:r>
      <w:r>
        <w:rPr>
          <w:rFonts w:ascii="宋体" w:hAnsi="宋体" w:eastAsia="宋体" w:cs="宋体"/>
          <w:color w:val="auto"/>
          <w:spacing w:val="-27"/>
          <w:sz w:val="21"/>
          <w:szCs w:val="21"/>
          <w:highlight w:val="none"/>
        </w:rPr>
        <w:t xml:space="preserve"> </w:t>
      </w:r>
      <w:r>
        <w:rPr>
          <w:rFonts w:ascii="宋体" w:hAnsi="宋体" w:eastAsia="宋体" w:cs="宋体"/>
          <w:color w:val="auto"/>
          <w:spacing w:val="-5"/>
          <w:sz w:val="21"/>
          <w:szCs w:val="21"/>
          <w:highlight w:val="none"/>
        </w:rPr>
        <w:t>11.1.4</w:t>
      </w:r>
      <w:r>
        <w:rPr>
          <w:rFonts w:ascii="宋体" w:hAnsi="宋体" w:eastAsia="宋体" w:cs="宋体"/>
          <w:color w:val="auto"/>
          <w:spacing w:val="-43"/>
          <w:sz w:val="21"/>
          <w:szCs w:val="21"/>
          <w:highlight w:val="none"/>
        </w:rPr>
        <w:t xml:space="preserve"> </w:t>
      </w:r>
      <w:r>
        <w:rPr>
          <w:rFonts w:ascii="宋体" w:hAnsi="宋体" w:eastAsia="宋体" w:cs="宋体"/>
          <w:color w:val="auto"/>
          <w:spacing w:val="-5"/>
          <w:sz w:val="21"/>
          <w:szCs w:val="21"/>
          <w:highlight w:val="none"/>
        </w:rPr>
        <w:t>项：</w:t>
      </w:r>
    </w:p>
    <w:p w14:paraId="00D73375">
      <w:pPr>
        <w:spacing w:before="160" w:line="350" w:lineRule="auto"/>
        <w:ind w:left="4"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11.1.3</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若发包人未能按合同约定向承包人提供开工的必要条件，承包人有权要求延长工期。监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理人应在收到承包人的书面要求后，按第</w:t>
      </w:r>
      <w:r>
        <w:rPr>
          <w:rFonts w:ascii="宋体" w:hAnsi="宋体" w:eastAsia="宋体" w:cs="宋体"/>
          <w:color w:val="auto"/>
          <w:spacing w:val="-4"/>
          <w:sz w:val="21"/>
          <w:szCs w:val="21"/>
          <w:highlight w:val="none"/>
        </w:rPr>
        <w:t xml:space="preserve"> </w:t>
      </w:r>
      <w:r>
        <w:rPr>
          <w:rFonts w:ascii="宋体" w:hAnsi="宋体" w:eastAsia="宋体" w:cs="宋体"/>
          <w:color w:val="auto"/>
          <w:spacing w:val="-1"/>
          <w:sz w:val="21"/>
          <w:szCs w:val="21"/>
          <w:highlight w:val="none"/>
        </w:rPr>
        <w:t>3.5</w:t>
      </w:r>
      <w:r>
        <w:rPr>
          <w:rFonts w:ascii="宋体" w:hAnsi="宋体" w:eastAsia="宋体" w:cs="宋体"/>
          <w:color w:val="auto"/>
          <w:spacing w:val="-24"/>
          <w:sz w:val="21"/>
          <w:szCs w:val="21"/>
          <w:highlight w:val="none"/>
        </w:rPr>
        <w:t xml:space="preserve"> </w:t>
      </w:r>
      <w:r>
        <w:rPr>
          <w:rFonts w:ascii="宋体" w:hAnsi="宋体" w:eastAsia="宋体" w:cs="宋体"/>
          <w:color w:val="auto"/>
          <w:spacing w:val="-1"/>
          <w:sz w:val="21"/>
          <w:szCs w:val="21"/>
          <w:highlight w:val="none"/>
        </w:rPr>
        <w:t>款的约定，与合同双方商定或确定增加的费用和延长</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的工期。</w:t>
      </w:r>
    </w:p>
    <w:p w14:paraId="03EA173D">
      <w:pPr>
        <w:spacing w:before="29" w:line="351" w:lineRule="auto"/>
        <w:ind w:left="1" w:firstLine="435"/>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11.1.4 承包人在接到开工通知后 14 天内未按进度计划要求及时进场组织施工，监理人可通知</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承包人在接到通知后</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7</w:t>
      </w:r>
      <w:r>
        <w:rPr>
          <w:rFonts w:ascii="宋体" w:hAnsi="宋体" w:eastAsia="宋体" w:cs="宋体"/>
          <w:color w:val="auto"/>
          <w:spacing w:val="-23"/>
          <w:sz w:val="21"/>
          <w:szCs w:val="21"/>
          <w:highlight w:val="none"/>
        </w:rPr>
        <w:t xml:space="preserve"> </w:t>
      </w:r>
      <w:r>
        <w:rPr>
          <w:rFonts w:ascii="宋体" w:hAnsi="宋体" w:eastAsia="宋体" w:cs="宋体"/>
          <w:color w:val="auto"/>
          <w:spacing w:val="-1"/>
          <w:sz w:val="21"/>
          <w:szCs w:val="21"/>
          <w:highlight w:val="none"/>
        </w:rPr>
        <w:t>天内提交一份说明其进场延误的书面报告，报送监理人。书面报告应说明不</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能及时进场的原因和补救措施，由此增加的费用和工期延误责任由承包人承担。</w:t>
      </w:r>
    </w:p>
    <w:p w14:paraId="56E77F50">
      <w:pPr>
        <w:spacing w:before="299"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11.4</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6"/>
          <w:sz w:val="28"/>
          <w:szCs w:val="28"/>
          <w:highlight w:val="none"/>
        </w:rPr>
        <w:t>异常恶劣的气候条件</w:t>
      </w:r>
    </w:p>
    <w:p w14:paraId="4143FB6B">
      <w:pPr>
        <w:spacing w:before="41" w:line="221" w:lineRule="auto"/>
        <w:ind w:left="427"/>
        <w:outlineLvl w:val="9"/>
        <w:rPr>
          <w:rFonts w:ascii="宋体" w:hAnsi="宋体" w:eastAsia="宋体" w:cs="宋体"/>
          <w:color w:val="auto"/>
          <w:spacing w:val="-5"/>
          <w:sz w:val="21"/>
          <w:szCs w:val="21"/>
          <w:highlight w:val="none"/>
        </w:rPr>
      </w:pPr>
      <w:r>
        <w:rPr>
          <w:rFonts w:ascii="宋体" w:hAnsi="宋体" w:eastAsia="宋体" w:cs="宋体"/>
          <w:color w:val="auto"/>
          <w:spacing w:val="-4"/>
          <w:sz w:val="21"/>
          <w:szCs w:val="21"/>
          <w:highlight w:val="none"/>
        </w:rPr>
        <w:t>11.4</w:t>
      </w:r>
      <w:r>
        <w:rPr>
          <w:rFonts w:ascii="宋体" w:hAnsi="宋体" w:eastAsia="宋体" w:cs="宋体"/>
          <w:color w:val="auto"/>
          <w:spacing w:val="-46"/>
          <w:sz w:val="21"/>
          <w:szCs w:val="21"/>
          <w:highlight w:val="none"/>
        </w:rPr>
        <w:t xml:space="preserve"> </w:t>
      </w:r>
      <w:r>
        <w:rPr>
          <w:rFonts w:ascii="宋体" w:hAnsi="宋体" w:eastAsia="宋体" w:cs="宋体"/>
          <w:color w:val="auto"/>
          <w:spacing w:val="-4"/>
          <w:sz w:val="21"/>
          <w:szCs w:val="21"/>
          <w:highlight w:val="none"/>
        </w:rPr>
        <w:t>本合同工程界定异常恶劣气候条件的范围（以工程所在地气象部门</w:t>
      </w:r>
      <w:r>
        <w:rPr>
          <w:rFonts w:ascii="宋体" w:hAnsi="宋体" w:eastAsia="宋体" w:cs="宋体"/>
          <w:color w:val="auto"/>
          <w:spacing w:val="-5"/>
          <w:sz w:val="21"/>
          <w:szCs w:val="21"/>
          <w:highlight w:val="none"/>
        </w:rPr>
        <w:t>发布的数据为准）为：</w:t>
      </w:r>
    </w:p>
    <w:p w14:paraId="37BDEA93">
      <w:pPr>
        <w:spacing w:before="41"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w:t>
      </w:r>
      <w:r>
        <w:rPr>
          <w:rFonts w:ascii="宋体" w:hAnsi="宋体" w:eastAsia="宋体" w:cs="宋体"/>
          <w:color w:val="auto"/>
          <w:spacing w:val="-50"/>
          <w:sz w:val="21"/>
          <w:szCs w:val="21"/>
          <w:highlight w:val="none"/>
        </w:rPr>
        <w:t xml:space="preserve"> </w:t>
      </w:r>
      <w:r>
        <w:rPr>
          <w:rFonts w:ascii="宋体" w:hAnsi="宋体" w:eastAsia="宋体" w:cs="宋体"/>
          <w:color w:val="auto"/>
          <w:spacing w:val="-3"/>
          <w:sz w:val="21"/>
          <w:szCs w:val="21"/>
          <w:highlight w:val="none"/>
        </w:rPr>
        <w:t>日降雨量大于</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9"/>
          <w:sz w:val="21"/>
          <w:szCs w:val="21"/>
          <w:highlight w:val="none"/>
        </w:rPr>
        <w:t xml:space="preserve"> </w:t>
      </w:r>
      <w:r>
        <w:rPr>
          <w:rFonts w:ascii="宋体" w:hAnsi="宋体" w:eastAsia="宋体" w:cs="宋体"/>
          <w:color w:val="auto"/>
          <w:spacing w:val="-3"/>
          <w:sz w:val="21"/>
          <w:szCs w:val="21"/>
          <w:highlight w:val="none"/>
        </w:rPr>
        <w:t>㎜的雨日超过</w:t>
      </w:r>
      <w:r>
        <w:rPr>
          <w:rFonts w:ascii="宋体" w:hAnsi="宋体" w:eastAsia="宋体" w:cs="宋体"/>
          <w:color w:val="auto"/>
          <w:spacing w:val="-3"/>
          <w:sz w:val="21"/>
          <w:szCs w:val="21"/>
          <w:highlight w:val="none"/>
          <w:u w:val="single" w:color="auto"/>
        </w:rPr>
        <w:t xml:space="preserve"> 3 </w:t>
      </w:r>
      <w:r>
        <w:rPr>
          <w:rFonts w:ascii="宋体" w:hAnsi="宋体" w:eastAsia="宋体" w:cs="宋体"/>
          <w:color w:val="auto"/>
          <w:spacing w:val="-3"/>
          <w:sz w:val="21"/>
          <w:szCs w:val="21"/>
          <w:highlight w:val="none"/>
        </w:rPr>
        <w:t>天；</w:t>
      </w:r>
      <w:r>
        <w:rPr>
          <w:rFonts w:ascii="宋体" w:hAnsi="宋体" w:eastAsia="宋体" w:cs="宋体"/>
          <w:color w:val="auto"/>
          <w:spacing w:val="15"/>
          <w:sz w:val="21"/>
          <w:szCs w:val="21"/>
          <w:highlight w:val="none"/>
        </w:rPr>
        <w:t xml:space="preserve"> </w:t>
      </w:r>
      <w:r>
        <w:rPr>
          <w:rFonts w:ascii="宋体" w:hAnsi="宋体" w:eastAsia="宋体" w:cs="宋体"/>
          <w:color w:val="auto"/>
          <w:spacing w:val="-3"/>
          <w:sz w:val="21"/>
          <w:szCs w:val="21"/>
          <w:highlight w:val="none"/>
        </w:rPr>
        <w:t>`</w:t>
      </w:r>
    </w:p>
    <w:p w14:paraId="15DFFF65">
      <w:pPr>
        <w:spacing w:before="157"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（2）风速大于</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3"/>
          <w:sz w:val="21"/>
          <w:szCs w:val="21"/>
          <w:highlight w:val="none"/>
        </w:rPr>
        <w:t>m/s</w:t>
      </w:r>
      <w:r>
        <w:rPr>
          <w:rFonts w:ascii="宋体" w:hAnsi="宋体" w:eastAsia="宋体" w:cs="宋体"/>
          <w:color w:val="auto"/>
          <w:spacing w:val="-29"/>
          <w:sz w:val="21"/>
          <w:szCs w:val="21"/>
          <w:highlight w:val="none"/>
        </w:rPr>
        <w:t xml:space="preserve"> </w:t>
      </w:r>
      <w:r>
        <w:rPr>
          <w:rFonts w:ascii="宋体" w:hAnsi="宋体" w:eastAsia="宋体" w:cs="宋体"/>
          <w:color w:val="auto"/>
          <w:spacing w:val="-3"/>
          <w:sz w:val="21"/>
          <w:szCs w:val="21"/>
          <w:highlight w:val="none"/>
        </w:rPr>
        <w:t>的</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3"/>
          <w:sz w:val="21"/>
          <w:szCs w:val="21"/>
          <w:highlight w:val="none"/>
        </w:rPr>
        <w:t>级以上台风灾害；</w:t>
      </w:r>
    </w:p>
    <w:p w14:paraId="68CED2CB">
      <w:pPr>
        <w:spacing w:before="155" w:line="346" w:lineRule="auto"/>
        <w:ind w:left="427" w:right="4675"/>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w:t>
      </w:r>
      <w:r>
        <w:rPr>
          <w:rFonts w:ascii="宋体" w:hAnsi="宋体" w:eastAsia="宋体" w:cs="宋体"/>
          <w:color w:val="auto"/>
          <w:spacing w:val="-46"/>
          <w:sz w:val="21"/>
          <w:szCs w:val="21"/>
          <w:highlight w:val="none"/>
        </w:rPr>
        <w:t xml:space="preserve"> </w:t>
      </w:r>
      <w:r>
        <w:rPr>
          <w:rFonts w:ascii="宋体" w:hAnsi="宋体" w:eastAsia="宋体" w:cs="宋体"/>
          <w:color w:val="auto"/>
          <w:spacing w:val="-5"/>
          <w:sz w:val="21"/>
          <w:szCs w:val="21"/>
          <w:highlight w:val="none"/>
        </w:rPr>
        <w:t>日气温超过</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81"/>
          <w:sz w:val="21"/>
          <w:szCs w:val="21"/>
          <w:highlight w:val="none"/>
        </w:rPr>
        <w:t xml:space="preserve"> </w:t>
      </w:r>
      <w:r>
        <w:rPr>
          <w:rFonts w:ascii="宋体" w:hAnsi="宋体" w:eastAsia="宋体" w:cs="宋体"/>
          <w:color w:val="auto"/>
          <w:spacing w:val="-5"/>
          <w:sz w:val="21"/>
          <w:szCs w:val="21"/>
          <w:highlight w:val="none"/>
        </w:rPr>
        <w:t>℃的高温大于</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5"/>
          <w:sz w:val="21"/>
          <w:szCs w:val="21"/>
          <w:highlight w:val="none"/>
        </w:rPr>
        <w:t>天；</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（4）</w:t>
      </w:r>
      <w:r>
        <w:rPr>
          <w:rFonts w:ascii="宋体" w:hAnsi="宋体" w:eastAsia="宋体" w:cs="宋体"/>
          <w:color w:val="auto"/>
          <w:spacing w:val="-52"/>
          <w:sz w:val="21"/>
          <w:szCs w:val="21"/>
          <w:highlight w:val="none"/>
        </w:rPr>
        <w:t xml:space="preserve"> </w:t>
      </w:r>
      <w:r>
        <w:rPr>
          <w:rFonts w:ascii="宋体" w:hAnsi="宋体" w:eastAsia="宋体" w:cs="宋体"/>
          <w:color w:val="auto"/>
          <w:spacing w:val="-7"/>
          <w:sz w:val="21"/>
          <w:szCs w:val="21"/>
          <w:highlight w:val="none"/>
        </w:rPr>
        <w:t>日气温低于</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81"/>
          <w:sz w:val="21"/>
          <w:szCs w:val="21"/>
          <w:highlight w:val="none"/>
        </w:rPr>
        <w:t xml:space="preserve"> </w:t>
      </w:r>
      <w:r>
        <w:rPr>
          <w:rFonts w:ascii="宋体" w:hAnsi="宋体" w:eastAsia="宋体" w:cs="宋体"/>
          <w:color w:val="auto"/>
          <w:spacing w:val="-7"/>
          <w:sz w:val="21"/>
          <w:szCs w:val="21"/>
          <w:highlight w:val="none"/>
        </w:rPr>
        <w:t>℃的严寒大于</w:t>
      </w:r>
      <w:r>
        <w:rPr>
          <w:rFonts w:ascii="宋体" w:hAnsi="宋体" w:eastAsia="宋体" w:cs="宋体"/>
          <w:color w:val="auto"/>
          <w:spacing w:val="34"/>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7"/>
          <w:sz w:val="21"/>
          <w:szCs w:val="21"/>
          <w:highlight w:val="none"/>
        </w:rPr>
        <w:t>天；</w:t>
      </w:r>
    </w:p>
    <w:p w14:paraId="49EC949B">
      <w:pPr>
        <w:spacing w:before="32"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（5）造成工程损坏的冰雹和大雪灾害：双方协商确定；</w:t>
      </w:r>
    </w:p>
    <w:p w14:paraId="4524706C">
      <w:pPr>
        <w:spacing w:before="156"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（6）其他异常恶劣气候灾害。</w:t>
      </w:r>
    </w:p>
    <w:p w14:paraId="5DCCB6E5">
      <w:pPr>
        <w:spacing w:line="333" w:lineRule="auto"/>
        <w:outlineLvl w:val="9"/>
        <w:rPr>
          <w:rFonts w:ascii="Arial"/>
          <w:color w:val="auto"/>
          <w:sz w:val="21"/>
          <w:highlight w:val="none"/>
        </w:rPr>
      </w:pPr>
    </w:p>
    <w:p w14:paraId="7B139074">
      <w:pPr>
        <w:spacing w:before="91"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11.5</w:t>
      </w:r>
      <w:r>
        <w:rPr>
          <w:rFonts w:ascii="宋体" w:hAnsi="宋体" w:eastAsia="宋体" w:cs="宋体"/>
          <w:color w:val="auto"/>
          <w:spacing w:val="-57"/>
          <w:sz w:val="28"/>
          <w:szCs w:val="28"/>
          <w:highlight w:val="none"/>
        </w:rPr>
        <w:t xml:space="preserve"> </w:t>
      </w:r>
      <w:r>
        <w:rPr>
          <w:rFonts w:ascii="宋体" w:hAnsi="宋体" w:eastAsia="宋体" w:cs="宋体"/>
          <w:b/>
          <w:bCs/>
          <w:color w:val="auto"/>
          <w:spacing w:val="-6"/>
          <w:sz w:val="28"/>
          <w:szCs w:val="28"/>
          <w:highlight w:val="none"/>
        </w:rPr>
        <w:t>承包人工期延误</w:t>
      </w:r>
    </w:p>
    <w:p w14:paraId="416B9EC7">
      <w:pPr>
        <w:spacing w:before="280" w:line="221" w:lineRule="auto"/>
        <w:ind w:left="42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（1）因承包方原因，造成工期延误的，承包人应按下表约定的金额支付违约金：</w:t>
      </w:r>
    </w:p>
    <w:p w14:paraId="483A8C27">
      <w:pPr>
        <w:spacing w:before="156" w:line="221" w:lineRule="auto"/>
        <w:ind w:left="3170"/>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关键节点工期及逾期竣工违约金表</w:t>
      </w:r>
    </w:p>
    <w:p w14:paraId="3E0FECBB">
      <w:pPr>
        <w:spacing w:line="131" w:lineRule="exact"/>
        <w:outlineLvl w:val="9"/>
        <w:rPr>
          <w:color w:val="auto"/>
          <w:highlight w:val="none"/>
        </w:rPr>
      </w:pPr>
    </w:p>
    <w:tbl>
      <w:tblPr>
        <w:tblStyle w:val="26"/>
        <w:tblW w:w="902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4"/>
        <w:gridCol w:w="1745"/>
        <w:gridCol w:w="2528"/>
        <w:gridCol w:w="3530"/>
      </w:tblGrid>
      <w:tr w14:paraId="2009B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24" w:type="dxa"/>
            <w:tcBorders>
              <w:top w:val="single" w:color="000000" w:sz="6" w:space="0"/>
              <w:left w:val="single" w:color="000000" w:sz="6" w:space="0"/>
            </w:tcBorders>
            <w:vAlign w:val="top"/>
          </w:tcPr>
          <w:p w14:paraId="72EDAAD5">
            <w:pPr>
              <w:pStyle w:val="27"/>
              <w:spacing w:before="33" w:line="222" w:lineRule="auto"/>
              <w:ind w:left="400"/>
              <w:outlineLvl w:val="9"/>
              <w:rPr>
                <w:color w:val="auto"/>
                <w:highlight w:val="none"/>
              </w:rPr>
            </w:pPr>
            <w:r>
              <w:rPr>
                <w:color w:val="auto"/>
                <w:spacing w:val="-2"/>
                <w:highlight w:val="none"/>
              </w:rPr>
              <w:t>序号</w:t>
            </w:r>
          </w:p>
        </w:tc>
        <w:tc>
          <w:tcPr>
            <w:tcW w:w="1745" w:type="dxa"/>
            <w:tcBorders>
              <w:top w:val="single" w:color="000000" w:sz="6" w:space="0"/>
            </w:tcBorders>
            <w:vAlign w:val="top"/>
          </w:tcPr>
          <w:p w14:paraId="613DE4C4">
            <w:pPr>
              <w:pStyle w:val="27"/>
              <w:spacing w:before="33" w:line="221" w:lineRule="auto"/>
              <w:ind w:left="243"/>
              <w:outlineLvl w:val="9"/>
              <w:rPr>
                <w:color w:val="auto"/>
                <w:highlight w:val="none"/>
              </w:rPr>
            </w:pPr>
            <w:r>
              <w:rPr>
                <w:color w:val="auto"/>
                <w:spacing w:val="-2"/>
                <w:highlight w:val="none"/>
              </w:rPr>
              <w:t>项目及其说明</w:t>
            </w:r>
          </w:p>
        </w:tc>
        <w:tc>
          <w:tcPr>
            <w:tcW w:w="2528" w:type="dxa"/>
            <w:tcBorders>
              <w:top w:val="single" w:color="000000" w:sz="6" w:space="0"/>
            </w:tcBorders>
            <w:vAlign w:val="top"/>
          </w:tcPr>
          <w:p w14:paraId="6B277368">
            <w:pPr>
              <w:pStyle w:val="27"/>
              <w:spacing w:before="33" w:line="221" w:lineRule="auto"/>
              <w:ind w:left="846"/>
              <w:outlineLvl w:val="9"/>
              <w:rPr>
                <w:color w:val="auto"/>
                <w:highlight w:val="none"/>
              </w:rPr>
            </w:pPr>
            <w:r>
              <w:rPr>
                <w:color w:val="auto"/>
                <w:spacing w:val="-2"/>
                <w:highlight w:val="none"/>
              </w:rPr>
              <w:t>竣工日期</w:t>
            </w:r>
          </w:p>
        </w:tc>
        <w:tc>
          <w:tcPr>
            <w:tcW w:w="3530" w:type="dxa"/>
            <w:tcBorders>
              <w:top w:val="single" w:color="000000" w:sz="6" w:space="0"/>
              <w:right w:val="single" w:color="000000" w:sz="6" w:space="0"/>
            </w:tcBorders>
            <w:vAlign w:val="top"/>
          </w:tcPr>
          <w:p w14:paraId="4AB38521">
            <w:pPr>
              <w:pStyle w:val="27"/>
              <w:spacing w:before="33" w:line="221" w:lineRule="auto"/>
              <w:ind w:left="560"/>
              <w:outlineLvl w:val="9"/>
              <w:rPr>
                <w:color w:val="auto"/>
                <w:highlight w:val="none"/>
              </w:rPr>
            </w:pPr>
            <w:r>
              <w:rPr>
                <w:color w:val="auto"/>
                <w:spacing w:val="-1"/>
                <w:highlight w:val="none"/>
              </w:rPr>
              <w:t>逾期竣工违约金（元/天）</w:t>
            </w:r>
          </w:p>
        </w:tc>
      </w:tr>
      <w:tr w14:paraId="7FA35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24" w:type="dxa"/>
            <w:tcBorders>
              <w:left w:val="single" w:color="000000" w:sz="6" w:space="0"/>
            </w:tcBorders>
            <w:vAlign w:val="top"/>
          </w:tcPr>
          <w:p w14:paraId="46402E56">
            <w:pPr>
              <w:pStyle w:val="27"/>
              <w:spacing w:before="66" w:line="183" w:lineRule="auto"/>
              <w:ind w:left="572"/>
              <w:outlineLvl w:val="9"/>
              <w:rPr>
                <w:color w:val="auto"/>
                <w:highlight w:val="none"/>
              </w:rPr>
            </w:pPr>
            <w:r>
              <w:rPr>
                <w:color w:val="auto"/>
                <w:highlight w:val="none"/>
              </w:rPr>
              <w:t>1</w:t>
            </w:r>
          </w:p>
        </w:tc>
        <w:tc>
          <w:tcPr>
            <w:tcW w:w="1745" w:type="dxa"/>
            <w:vAlign w:val="top"/>
          </w:tcPr>
          <w:p w14:paraId="68BEB57B">
            <w:pPr>
              <w:pStyle w:val="27"/>
              <w:spacing w:before="32" w:line="222" w:lineRule="auto"/>
              <w:ind w:left="661"/>
              <w:outlineLvl w:val="9"/>
              <w:rPr>
                <w:color w:val="auto"/>
                <w:highlight w:val="none"/>
              </w:rPr>
            </w:pPr>
            <w:r>
              <w:rPr>
                <w:color w:val="auto"/>
                <w:spacing w:val="-2"/>
                <w:highlight w:val="none"/>
              </w:rPr>
              <w:t>开工</w:t>
            </w:r>
          </w:p>
        </w:tc>
        <w:tc>
          <w:tcPr>
            <w:tcW w:w="2528" w:type="dxa"/>
            <w:vAlign w:val="top"/>
          </w:tcPr>
          <w:p w14:paraId="7080F9E2">
            <w:pPr>
              <w:outlineLvl w:val="9"/>
              <w:rPr>
                <w:rFonts w:ascii="Arial"/>
                <w:color w:val="auto"/>
                <w:sz w:val="21"/>
                <w:highlight w:val="none"/>
              </w:rPr>
            </w:pPr>
          </w:p>
        </w:tc>
        <w:tc>
          <w:tcPr>
            <w:tcW w:w="3530" w:type="dxa"/>
            <w:tcBorders>
              <w:right w:val="single" w:color="000000" w:sz="6" w:space="0"/>
            </w:tcBorders>
            <w:vAlign w:val="top"/>
          </w:tcPr>
          <w:p w14:paraId="4938DEC0">
            <w:pPr>
              <w:outlineLvl w:val="9"/>
              <w:rPr>
                <w:rFonts w:ascii="Arial"/>
                <w:color w:val="auto"/>
                <w:sz w:val="21"/>
                <w:highlight w:val="none"/>
              </w:rPr>
            </w:pPr>
          </w:p>
        </w:tc>
      </w:tr>
      <w:tr w14:paraId="4D7C7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24" w:type="dxa"/>
            <w:tcBorders>
              <w:left w:val="single" w:color="000000" w:sz="6" w:space="0"/>
            </w:tcBorders>
            <w:vAlign w:val="top"/>
          </w:tcPr>
          <w:p w14:paraId="3ED3404A">
            <w:pPr>
              <w:outlineLvl w:val="9"/>
              <w:rPr>
                <w:rFonts w:ascii="Arial"/>
                <w:color w:val="auto"/>
                <w:sz w:val="21"/>
                <w:highlight w:val="none"/>
              </w:rPr>
            </w:pPr>
          </w:p>
        </w:tc>
        <w:tc>
          <w:tcPr>
            <w:tcW w:w="1745" w:type="dxa"/>
            <w:vAlign w:val="top"/>
          </w:tcPr>
          <w:p w14:paraId="6ACA6825">
            <w:pPr>
              <w:outlineLvl w:val="9"/>
              <w:rPr>
                <w:rFonts w:ascii="Arial"/>
                <w:color w:val="auto"/>
                <w:sz w:val="21"/>
                <w:highlight w:val="none"/>
              </w:rPr>
            </w:pPr>
          </w:p>
        </w:tc>
        <w:tc>
          <w:tcPr>
            <w:tcW w:w="2528" w:type="dxa"/>
            <w:vAlign w:val="top"/>
          </w:tcPr>
          <w:p w14:paraId="7AB78C4A">
            <w:pPr>
              <w:outlineLvl w:val="9"/>
              <w:rPr>
                <w:rFonts w:ascii="Arial"/>
                <w:color w:val="auto"/>
                <w:sz w:val="21"/>
                <w:highlight w:val="none"/>
              </w:rPr>
            </w:pPr>
          </w:p>
        </w:tc>
        <w:tc>
          <w:tcPr>
            <w:tcW w:w="3530" w:type="dxa"/>
            <w:tcBorders>
              <w:right w:val="single" w:color="000000" w:sz="6" w:space="0"/>
            </w:tcBorders>
            <w:vAlign w:val="top"/>
          </w:tcPr>
          <w:p w14:paraId="625ECF59">
            <w:pPr>
              <w:outlineLvl w:val="9"/>
              <w:rPr>
                <w:rFonts w:ascii="Arial"/>
                <w:color w:val="auto"/>
                <w:sz w:val="21"/>
                <w:highlight w:val="none"/>
              </w:rPr>
            </w:pPr>
          </w:p>
        </w:tc>
      </w:tr>
      <w:tr w14:paraId="07ACA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224" w:type="dxa"/>
            <w:tcBorders>
              <w:left w:val="single" w:color="000000" w:sz="6" w:space="0"/>
            </w:tcBorders>
            <w:vAlign w:val="top"/>
          </w:tcPr>
          <w:p w14:paraId="5883850B">
            <w:pPr>
              <w:outlineLvl w:val="9"/>
              <w:rPr>
                <w:rFonts w:ascii="Arial"/>
                <w:color w:val="auto"/>
                <w:sz w:val="21"/>
                <w:highlight w:val="none"/>
              </w:rPr>
            </w:pPr>
          </w:p>
        </w:tc>
        <w:tc>
          <w:tcPr>
            <w:tcW w:w="1745" w:type="dxa"/>
            <w:vAlign w:val="top"/>
          </w:tcPr>
          <w:p w14:paraId="0E9E561B">
            <w:pPr>
              <w:pStyle w:val="27"/>
              <w:spacing w:before="39" w:line="332" w:lineRule="exact"/>
              <w:ind w:left="673"/>
              <w:outlineLvl w:val="9"/>
              <w:rPr>
                <w:color w:val="auto"/>
                <w:highlight w:val="none"/>
              </w:rPr>
            </w:pPr>
            <w:r>
              <w:rPr>
                <w:color w:val="auto"/>
                <w:spacing w:val="-5"/>
                <w:position w:val="2"/>
                <w:highlight w:val="none"/>
              </w:rPr>
              <w:t>……</w:t>
            </w:r>
          </w:p>
        </w:tc>
        <w:tc>
          <w:tcPr>
            <w:tcW w:w="2528" w:type="dxa"/>
            <w:vAlign w:val="top"/>
          </w:tcPr>
          <w:p w14:paraId="37E0A8EB">
            <w:pPr>
              <w:outlineLvl w:val="9"/>
              <w:rPr>
                <w:rFonts w:ascii="Arial"/>
                <w:color w:val="auto"/>
                <w:sz w:val="21"/>
                <w:highlight w:val="none"/>
              </w:rPr>
            </w:pPr>
          </w:p>
        </w:tc>
        <w:tc>
          <w:tcPr>
            <w:tcW w:w="3530" w:type="dxa"/>
            <w:tcBorders>
              <w:right w:val="single" w:color="000000" w:sz="6" w:space="0"/>
            </w:tcBorders>
            <w:vAlign w:val="top"/>
          </w:tcPr>
          <w:p w14:paraId="0CEF6999">
            <w:pPr>
              <w:outlineLvl w:val="9"/>
              <w:rPr>
                <w:rFonts w:ascii="Arial"/>
                <w:color w:val="auto"/>
                <w:sz w:val="21"/>
                <w:highlight w:val="none"/>
              </w:rPr>
            </w:pPr>
          </w:p>
        </w:tc>
      </w:tr>
      <w:tr w14:paraId="2349E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224" w:type="dxa"/>
            <w:tcBorders>
              <w:left w:val="single" w:color="000000" w:sz="6" w:space="0"/>
              <w:bottom w:val="single" w:color="000000" w:sz="6" w:space="0"/>
            </w:tcBorders>
            <w:vAlign w:val="top"/>
          </w:tcPr>
          <w:p w14:paraId="7179A694">
            <w:pPr>
              <w:outlineLvl w:val="9"/>
              <w:rPr>
                <w:rFonts w:ascii="Arial"/>
                <w:color w:val="auto"/>
                <w:sz w:val="21"/>
                <w:highlight w:val="none"/>
              </w:rPr>
            </w:pPr>
          </w:p>
        </w:tc>
        <w:tc>
          <w:tcPr>
            <w:tcW w:w="1745" w:type="dxa"/>
            <w:tcBorders>
              <w:bottom w:val="single" w:color="000000" w:sz="6" w:space="0"/>
            </w:tcBorders>
            <w:vAlign w:val="top"/>
          </w:tcPr>
          <w:p w14:paraId="395D0382">
            <w:pPr>
              <w:pStyle w:val="27"/>
              <w:spacing w:before="41" w:line="221" w:lineRule="auto"/>
              <w:ind w:left="661"/>
              <w:outlineLvl w:val="9"/>
              <w:rPr>
                <w:color w:val="auto"/>
                <w:highlight w:val="none"/>
              </w:rPr>
            </w:pPr>
            <w:r>
              <w:rPr>
                <w:color w:val="auto"/>
                <w:spacing w:val="-2"/>
                <w:highlight w:val="none"/>
              </w:rPr>
              <w:t>竣工</w:t>
            </w:r>
          </w:p>
        </w:tc>
        <w:tc>
          <w:tcPr>
            <w:tcW w:w="2528" w:type="dxa"/>
            <w:tcBorders>
              <w:bottom w:val="single" w:color="000000" w:sz="6" w:space="0"/>
            </w:tcBorders>
            <w:vAlign w:val="top"/>
          </w:tcPr>
          <w:p w14:paraId="546843DF">
            <w:pPr>
              <w:outlineLvl w:val="9"/>
              <w:rPr>
                <w:rFonts w:ascii="Arial"/>
                <w:color w:val="auto"/>
                <w:sz w:val="21"/>
                <w:highlight w:val="none"/>
              </w:rPr>
            </w:pPr>
          </w:p>
        </w:tc>
        <w:tc>
          <w:tcPr>
            <w:tcW w:w="3530" w:type="dxa"/>
            <w:tcBorders>
              <w:bottom w:val="single" w:color="000000" w:sz="6" w:space="0"/>
              <w:right w:val="single" w:color="000000" w:sz="6" w:space="0"/>
            </w:tcBorders>
            <w:vAlign w:val="top"/>
          </w:tcPr>
          <w:p w14:paraId="0BDCA2B5">
            <w:pPr>
              <w:jc w:val="center"/>
              <w:outlineLvl w:val="9"/>
              <w:rPr>
                <w:rFonts w:hint="default" w:ascii="Arial" w:eastAsia="宋体"/>
                <w:color w:val="auto"/>
                <w:sz w:val="21"/>
                <w:highlight w:val="none"/>
                <w:lang w:val="en-US" w:eastAsia="zh-CN"/>
              </w:rPr>
            </w:pPr>
          </w:p>
        </w:tc>
      </w:tr>
    </w:tbl>
    <w:p w14:paraId="0D483B3F">
      <w:pPr>
        <w:numPr>
          <w:ilvl w:val="0"/>
          <w:numId w:val="3"/>
        </w:numPr>
        <w:spacing w:before="150" w:line="219" w:lineRule="auto"/>
        <w:ind w:left="4" w:leftChars="0" w:firstLine="422" w:firstLineChars="0"/>
        <w:jc w:val="right"/>
        <w:outlineLvl w:val="9"/>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表中各项逾期竣工违约金将单独予以确定，但其最终的累计总金额不应超过签约合</w:t>
      </w:r>
    </w:p>
    <w:p w14:paraId="44763B29">
      <w:pPr>
        <w:numPr>
          <w:ilvl w:val="0"/>
          <w:numId w:val="0"/>
        </w:numPr>
        <w:spacing w:before="150" w:line="219" w:lineRule="auto"/>
        <w:jc w:val="both"/>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同价的</w:t>
      </w:r>
      <w:r>
        <w:rPr>
          <w:rFonts w:ascii="宋体" w:hAnsi="宋体" w:eastAsia="宋体" w:cs="宋体"/>
          <w:color w:val="auto"/>
          <w:spacing w:val="-30"/>
          <w:sz w:val="21"/>
          <w:szCs w:val="21"/>
          <w:highlight w:val="none"/>
        </w:rPr>
        <w:t xml:space="preserve"> </w:t>
      </w:r>
      <w:r>
        <w:rPr>
          <w:rFonts w:ascii="宋体" w:hAnsi="宋体" w:eastAsia="宋体" w:cs="宋体"/>
          <w:color w:val="auto"/>
          <w:spacing w:val="-4"/>
          <w:sz w:val="21"/>
          <w:szCs w:val="21"/>
          <w:highlight w:val="none"/>
        </w:rPr>
        <w:t>10％。</w:t>
      </w:r>
    </w:p>
    <w:p w14:paraId="02A28AA9">
      <w:pPr>
        <w:spacing w:line="334" w:lineRule="auto"/>
        <w:outlineLvl w:val="9"/>
        <w:rPr>
          <w:rFonts w:ascii="Arial"/>
          <w:color w:val="auto"/>
          <w:sz w:val="21"/>
          <w:highlight w:val="none"/>
        </w:rPr>
      </w:pPr>
    </w:p>
    <w:p w14:paraId="1BD9911A">
      <w:pPr>
        <w:spacing w:before="91" w:line="221" w:lineRule="auto"/>
        <w:ind w:left="24"/>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11.6</w:t>
      </w:r>
      <w:r>
        <w:rPr>
          <w:rFonts w:ascii="宋体" w:hAnsi="宋体" w:eastAsia="宋体" w:cs="宋体"/>
          <w:color w:val="auto"/>
          <w:spacing w:val="21"/>
          <w:sz w:val="28"/>
          <w:szCs w:val="28"/>
          <w:highlight w:val="none"/>
        </w:rPr>
        <w:t xml:space="preserve"> </w:t>
      </w:r>
      <w:r>
        <w:rPr>
          <w:rFonts w:ascii="宋体" w:hAnsi="宋体" w:eastAsia="宋体" w:cs="宋体"/>
          <w:b/>
          <w:bCs/>
          <w:color w:val="auto"/>
          <w:spacing w:val="-8"/>
          <w:sz w:val="28"/>
          <w:szCs w:val="28"/>
          <w:highlight w:val="none"/>
        </w:rPr>
        <w:t>工期提前</w:t>
      </w:r>
    </w:p>
    <w:p w14:paraId="4116ABDB">
      <w:pPr>
        <w:spacing w:line="474" w:lineRule="auto"/>
        <w:outlineLvl w:val="9"/>
        <w:rPr>
          <w:rFonts w:ascii="Arial"/>
          <w:color w:val="auto"/>
          <w:sz w:val="21"/>
          <w:highlight w:val="none"/>
        </w:rPr>
      </w:pPr>
    </w:p>
    <w:p w14:paraId="48D00ACD">
      <w:pPr>
        <w:spacing w:before="69" w:line="221" w:lineRule="auto"/>
        <w:ind w:left="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提前竣工的奖励：</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2CD5389D">
      <w:pPr>
        <w:spacing w:line="430" w:lineRule="auto"/>
        <w:outlineLvl w:val="9"/>
        <w:rPr>
          <w:rFonts w:ascii="Arial"/>
          <w:color w:val="auto"/>
          <w:sz w:val="21"/>
          <w:highlight w:val="none"/>
        </w:rPr>
      </w:pPr>
    </w:p>
    <w:p w14:paraId="0E7F3870">
      <w:pPr>
        <w:spacing w:before="101" w:line="226" w:lineRule="auto"/>
        <w:ind w:left="28"/>
        <w:outlineLvl w:val="9"/>
        <w:rPr>
          <w:rFonts w:ascii="宋体" w:hAnsi="宋体" w:eastAsia="宋体" w:cs="宋体"/>
          <w:color w:val="auto"/>
          <w:sz w:val="31"/>
          <w:szCs w:val="31"/>
          <w:highlight w:val="none"/>
        </w:rPr>
      </w:pPr>
      <w:bookmarkStart w:id="316" w:name="bookmark260"/>
      <w:bookmarkEnd w:id="316"/>
      <w:bookmarkStart w:id="317" w:name="_Toc19854"/>
      <w:bookmarkStart w:id="318" w:name="_Toc29515"/>
      <w:r>
        <w:rPr>
          <w:rFonts w:ascii="宋体" w:hAnsi="宋体" w:eastAsia="宋体" w:cs="宋体"/>
          <w:b/>
          <w:bCs/>
          <w:color w:val="auto"/>
          <w:sz w:val="31"/>
          <w:szCs w:val="31"/>
          <w:highlight w:val="none"/>
        </w:rPr>
        <w:t>12.暂停施工</w:t>
      </w:r>
      <w:bookmarkEnd w:id="317"/>
      <w:bookmarkEnd w:id="318"/>
    </w:p>
    <w:p w14:paraId="3EA8ED78">
      <w:pPr>
        <w:spacing w:before="276"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12.1</w:t>
      </w:r>
      <w:r>
        <w:rPr>
          <w:rFonts w:ascii="宋体" w:hAnsi="宋体" w:eastAsia="宋体" w:cs="宋体"/>
          <w:color w:val="auto"/>
          <w:spacing w:val="-58"/>
          <w:sz w:val="28"/>
          <w:szCs w:val="28"/>
          <w:highlight w:val="none"/>
        </w:rPr>
        <w:t xml:space="preserve"> </w:t>
      </w:r>
      <w:r>
        <w:rPr>
          <w:rFonts w:ascii="宋体" w:hAnsi="宋体" w:eastAsia="宋体" w:cs="宋体"/>
          <w:b/>
          <w:bCs/>
          <w:color w:val="auto"/>
          <w:spacing w:val="-5"/>
          <w:sz w:val="28"/>
          <w:szCs w:val="28"/>
          <w:highlight w:val="none"/>
        </w:rPr>
        <w:t>承包人暂停施工的责任</w:t>
      </w:r>
    </w:p>
    <w:p w14:paraId="77F10396">
      <w:pPr>
        <w:spacing w:before="280" w:line="221" w:lineRule="auto"/>
        <w:ind w:left="53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（5）承包人承担暂停施工责任的其他情形：</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 xml:space="preserve"> 。</w:t>
      </w:r>
    </w:p>
    <w:p w14:paraId="62B1CBA5">
      <w:pPr>
        <w:spacing w:before="173" w:line="226" w:lineRule="auto"/>
        <w:ind w:left="28"/>
        <w:outlineLvl w:val="9"/>
        <w:rPr>
          <w:rFonts w:ascii="宋体" w:hAnsi="宋体" w:eastAsia="宋体" w:cs="宋体"/>
          <w:color w:val="auto"/>
          <w:sz w:val="31"/>
          <w:szCs w:val="31"/>
          <w:highlight w:val="none"/>
        </w:rPr>
      </w:pPr>
      <w:bookmarkStart w:id="319" w:name="bookmark261"/>
      <w:bookmarkEnd w:id="319"/>
      <w:bookmarkStart w:id="320" w:name="_Toc14995"/>
      <w:bookmarkStart w:id="321" w:name="_Toc21314"/>
      <w:r>
        <w:rPr>
          <w:rFonts w:ascii="宋体" w:hAnsi="宋体" w:eastAsia="宋体" w:cs="宋体"/>
          <w:b/>
          <w:bCs/>
          <w:color w:val="auto"/>
          <w:spacing w:val="-3"/>
          <w:sz w:val="31"/>
          <w:szCs w:val="31"/>
          <w:highlight w:val="none"/>
        </w:rPr>
        <w:t>15.变更</w:t>
      </w:r>
      <w:bookmarkEnd w:id="320"/>
      <w:bookmarkEnd w:id="321"/>
    </w:p>
    <w:p w14:paraId="70B8D0E0">
      <w:pPr>
        <w:spacing w:before="272"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15.1</w:t>
      </w:r>
      <w:r>
        <w:rPr>
          <w:rFonts w:ascii="宋体" w:hAnsi="宋体" w:eastAsia="宋体" w:cs="宋体"/>
          <w:color w:val="auto"/>
          <w:spacing w:val="-54"/>
          <w:sz w:val="28"/>
          <w:szCs w:val="28"/>
          <w:highlight w:val="none"/>
        </w:rPr>
        <w:t xml:space="preserve"> </w:t>
      </w:r>
      <w:r>
        <w:rPr>
          <w:rFonts w:ascii="宋体" w:hAnsi="宋体" w:eastAsia="宋体" w:cs="宋体"/>
          <w:b/>
          <w:bCs/>
          <w:color w:val="auto"/>
          <w:spacing w:val="-6"/>
          <w:sz w:val="28"/>
          <w:szCs w:val="28"/>
          <w:highlight w:val="none"/>
        </w:rPr>
        <w:t>变更的范围和内容</w:t>
      </w:r>
    </w:p>
    <w:p w14:paraId="603E8B2D">
      <w:pPr>
        <w:spacing w:before="281" w:line="220" w:lineRule="auto"/>
        <w:ind w:left="42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本款补充：</w:t>
      </w:r>
    </w:p>
    <w:p w14:paraId="346AF350">
      <w:pPr>
        <w:spacing w:before="160" w:line="345" w:lineRule="auto"/>
        <w:ind w:right="179" w:firstLine="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除少数因水文、地质等因素造成勘察不到位确需</w:t>
      </w:r>
      <w:r>
        <w:rPr>
          <w:rFonts w:ascii="宋体" w:hAnsi="宋体" w:eastAsia="宋体" w:cs="宋体"/>
          <w:color w:val="auto"/>
          <w:sz w:val="21"/>
          <w:szCs w:val="21"/>
          <w:highlight w:val="none"/>
        </w:rPr>
        <w:t xml:space="preserve">调整外，一般不进行工程变更，确需变更的要 </w:t>
      </w:r>
      <w:r>
        <w:rPr>
          <w:rFonts w:ascii="宋体" w:hAnsi="宋体" w:eastAsia="宋体" w:cs="宋体"/>
          <w:color w:val="auto"/>
          <w:spacing w:val="-1"/>
          <w:sz w:val="21"/>
          <w:szCs w:val="21"/>
          <w:highlight w:val="none"/>
        </w:rPr>
        <w:t>遵循科学、合理、经济的原则。</w:t>
      </w:r>
    </w:p>
    <w:p w14:paraId="5CBD8BB1">
      <w:pPr>
        <w:spacing w:before="55" w:line="221"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15.3</w:t>
      </w:r>
      <w:r>
        <w:rPr>
          <w:rFonts w:ascii="宋体" w:hAnsi="宋体" w:eastAsia="宋体" w:cs="宋体"/>
          <w:color w:val="auto"/>
          <w:spacing w:val="-59"/>
          <w:sz w:val="28"/>
          <w:szCs w:val="28"/>
          <w:highlight w:val="none"/>
        </w:rPr>
        <w:t xml:space="preserve"> </w:t>
      </w:r>
      <w:r>
        <w:rPr>
          <w:rFonts w:ascii="宋体" w:hAnsi="宋体" w:eastAsia="宋体" w:cs="宋体"/>
          <w:b/>
          <w:bCs/>
          <w:color w:val="auto"/>
          <w:spacing w:val="-7"/>
          <w:sz w:val="28"/>
          <w:szCs w:val="28"/>
          <w:highlight w:val="none"/>
        </w:rPr>
        <w:t>变更程序</w:t>
      </w:r>
    </w:p>
    <w:p w14:paraId="19CD9993">
      <w:pPr>
        <w:spacing w:before="279" w:line="222" w:lineRule="auto"/>
        <w:ind w:left="429"/>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15.3.3</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变更指示</w:t>
      </w:r>
    </w:p>
    <w:p w14:paraId="09E3DA21">
      <w:pPr>
        <w:spacing w:before="157" w:line="220" w:lineRule="auto"/>
        <w:ind w:left="42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本项补充第（3）目：</w:t>
      </w:r>
    </w:p>
    <w:p w14:paraId="68C487E8">
      <w:pPr>
        <w:spacing w:before="156" w:line="353" w:lineRule="auto"/>
        <w:ind w:right="54" w:firstLine="42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（3）对于因设计变更引起的合同变更，发包人应按照有关规定履行设计变更审批手续后方能进</w:t>
      </w:r>
      <w:r>
        <w:rPr>
          <w:rFonts w:ascii="宋体" w:hAnsi="宋体" w:eastAsia="宋体" w:cs="宋体"/>
          <w:color w:val="auto"/>
          <w:spacing w:val="1"/>
          <w:sz w:val="21"/>
          <w:szCs w:val="21"/>
          <w:highlight w:val="none"/>
        </w:rPr>
        <w:t>行合同变更。重大设计变更文件，由项目法人按原报审程序报原初步设计审批部</w:t>
      </w:r>
      <w:r>
        <w:rPr>
          <w:rFonts w:ascii="宋体" w:hAnsi="宋体" w:eastAsia="宋体" w:cs="宋体"/>
          <w:color w:val="auto"/>
          <w:sz w:val="21"/>
          <w:szCs w:val="21"/>
          <w:highlight w:val="none"/>
        </w:rPr>
        <w:t>门审批；一般设计变更文件由项目法人组织审查确认后实施，并报项目主管部门核备，必要时报项目主管部门审批。</w:t>
      </w:r>
      <w:r>
        <w:rPr>
          <w:rFonts w:ascii="宋体" w:hAnsi="宋体" w:eastAsia="宋体" w:cs="宋体"/>
          <w:color w:val="auto"/>
          <w:spacing w:val="-1"/>
          <w:sz w:val="21"/>
          <w:szCs w:val="21"/>
          <w:highlight w:val="none"/>
        </w:rPr>
        <w:t>未履行设计变更手续的，合同变更无效，相应责任由擅自变更人承担。</w:t>
      </w:r>
    </w:p>
    <w:p w14:paraId="261165BB">
      <w:pPr>
        <w:spacing w:before="298"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15.4</w:t>
      </w:r>
      <w:r>
        <w:rPr>
          <w:rFonts w:ascii="宋体" w:hAnsi="宋体" w:eastAsia="宋体" w:cs="宋体"/>
          <w:color w:val="auto"/>
          <w:spacing w:val="-57"/>
          <w:sz w:val="28"/>
          <w:szCs w:val="28"/>
          <w:highlight w:val="none"/>
        </w:rPr>
        <w:t xml:space="preserve"> </w:t>
      </w:r>
      <w:r>
        <w:rPr>
          <w:rFonts w:ascii="宋体" w:hAnsi="宋体" w:eastAsia="宋体" w:cs="宋体"/>
          <w:b/>
          <w:bCs/>
          <w:color w:val="auto"/>
          <w:spacing w:val="-6"/>
          <w:sz w:val="28"/>
          <w:szCs w:val="28"/>
          <w:highlight w:val="none"/>
        </w:rPr>
        <w:t>变更的估价原则</w:t>
      </w:r>
    </w:p>
    <w:p w14:paraId="72AB7DA4">
      <w:pPr>
        <w:spacing w:before="283" w:line="221" w:lineRule="auto"/>
        <w:ind w:left="420"/>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第</w:t>
      </w:r>
      <w:r>
        <w:rPr>
          <w:rFonts w:ascii="宋体" w:hAnsi="宋体" w:eastAsia="宋体" w:cs="宋体"/>
          <w:color w:val="auto"/>
          <w:spacing w:val="-21"/>
          <w:sz w:val="21"/>
          <w:szCs w:val="21"/>
          <w:highlight w:val="none"/>
        </w:rPr>
        <w:t xml:space="preserve"> </w:t>
      </w:r>
      <w:r>
        <w:rPr>
          <w:rFonts w:ascii="宋体" w:hAnsi="宋体" w:eastAsia="宋体" w:cs="宋体"/>
          <w:color w:val="auto"/>
          <w:spacing w:val="-4"/>
          <w:sz w:val="21"/>
          <w:szCs w:val="21"/>
          <w:highlight w:val="none"/>
        </w:rPr>
        <w:t>15.4.3</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项细化为：</w:t>
      </w:r>
    </w:p>
    <w:p w14:paraId="4A80B418">
      <w:pPr>
        <w:spacing w:before="155" w:line="349" w:lineRule="auto"/>
        <w:ind w:left="1" w:right="56" w:firstLine="442"/>
        <w:outlineLvl w:val="9"/>
        <w:rPr>
          <w:rFonts w:ascii="宋体" w:hAnsi="宋体" w:eastAsia="宋体" w:cs="宋体"/>
          <w:color w:val="auto"/>
          <w:sz w:val="22"/>
          <w:szCs w:val="22"/>
          <w:highlight w:val="none"/>
        </w:rPr>
      </w:pPr>
      <w:r>
        <w:rPr>
          <w:rFonts w:ascii="宋体" w:hAnsi="宋体" w:eastAsia="宋体" w:cs="宋体"/>
          <w:color w:val="auto"/>
          <w:sz w:val="21"/>
          <w:szCs w:val="21"/>
          <w:highlight w:val="none"/>
        </w:rPr>
        <w:t>已标价工程量清单中无适用或类似子目的单价，应按投标单价费用构成和相应费率进行组价；</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人工、材料、机械台时用量按照</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2"/>
          <w:sz w:val="21"/>
          <w:szCs w:val="21"/>
          <w:highlight w:val="none"/>
        </w:rPr>
        <w:t>定额确定，上述定额不包含的，可参考</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其他行业相关定额确定；人工、材料、设备和机械台时价格采用投标价格，</w:t>
      </w:r>
      <w:r>
        <w:rPr>
          <w:rFonts w:ascii="宋体" w:hAnsi="宋体" w:eastAsia="宋体" w:cs="宋体"/>
          <w:color w:val="auto"/>
          <w:sz w:val="21"/>
          <w:szCs w:val="21"/>
          <w:highlight w:val="none"/>
        </w:rPr>
        <w:t xml:space="preserve">投标价格中不包含的， </w:t>
      </w:r>
      <w:r>
        <w:rPr>
          <w:rFonts w:ascii="宋体" w:hAnsi="宋体" w:eastAsia="宋体" w:cs="宋体"/>
          <w:color w:val="auto"/>
          <w:spacing w:val="-16"/>
          <w:sz w:val="21"/>
          <w:szCs w:val="21"/>
          <w:highlight w:val="none"/>
        </w:rPr>
        <w:t>依据造价信息确定。涉及价格调整的，按照合同条款第</w:t>
      </w:r>
      <w:r>
        <w:rPr>
          <w:rFonts w:ascii="宋体" w:hAnsi="宋体" w:eastAsia="宋体" w:cs="宋体"/>
          <w:color w:val="auto"/>
          <w:spacing w:val="-11"/>
          <w:sz w:val="21"/>
          <w:szCs w:val="21"/>
          <w:highlight w:val="none"/>
        </w:rPr>
        <w:t xml:space="preserve"> </w:t>
      </w:r>
      <w:r>
        <w:rPr>
          <w:rFonts w:ascii="宋体" w:hAnsi="宋体" w:eastAsia="宋体" w:cs="宋体"/>
          <w:color w:val="auto"/>
          <w:spacing w:val="-16"/>
          <w:sz w:val="21"/>
          <w:szCs w:val="21"/>
          <w:highlight w:val="none"/>
        </w:rPr>
        <w:t>16</w:t>
      </w:r>
      <w:r>
        <w:rPr>
          <w:rFonts w:ascii="宋体" w:hAnsi="宋体" w:eastAsia="宋体" w:cs="宋体"/>
          <w:color w:val="auto"/>
          <w:spacing w:val="-45"/>
          <w:sz w:val="21"/>
          <w:szCs w:val="21"/>
          <w:highlight w:val="none"/>
        </w:rPr>
        <w:t xml:space="preserve"> </w:t>
      </w:r>
      <w:r>
        <w:rPr>
          <w:rFonts w:ascii="宋体" w:hAnsi="宋体" w:eastAsia="宋体" w:cs="宋体"/>
          <w:color w:val="auto"/>
          <w:spacing w:val="-16"/>
          <w:sz w:val="21"/>
          <w:szCs w:val="21"/>
          <w:highlight w:val="none"/>
        </w:rPr>
        <w:t>条进行调整</w:t>
      </w:r>
      <w:r>
        <w:rPr>
          <w:rFonts w:ascii="宋体" w:hAnsi="宋体" w:eastAsia="宋体" w:cs="宋体"/>
          <w:b/>
          <w:bCs/>
          <w:i/>
          <w:iCs/>
          <w:color w:val="auto"/>
          <w:spacing w:val="-16"/>
          <w:sz w:val="22"/>
          <w:szCs w:val="22"/>
          <w:highlight w:val="none"/>
        </w:rPr>
        <w:t>（说明：如已约定了价格调整）。</w:t>
      </w:r>
    </w:p>
    <w:p w14:paraId="10EB099F">
      <w:pPr>
        <w:spacing w:before="299" w:line="220"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15.5</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承包人的合理化建议</w:t>
      </w:r>
    </w:p>
    <w:p w14:paraId="31C49BBD">
      <w:pPr>
        <w:spacing w:before="280" w:line="221" w:lineRule="auto"/>
        <w:ind w:left="43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15.5.2 对承包人提出合理化建议的奖</w:t>
      </w:r>
      <w:r>
        <w:rPr>
          <w:rFonts w:ascii="宋体" w:hAnsi="宋体" w:eastAsia="宋体" w:cs="宋体"/>
          <w:color w:val="auto"/>
          <w:spacing w:val="-1"/>
          <w:sz w:val="21"/>
          <w:szCs w:val="21"/>
          <w:highlight w:val="none"/>
        </w:rPr>
        <w:t>励：</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472542D3">
      <w:pPr>
        <w:spacing w:line="332" w:lineRule="auto"/>
        <w:outlineLvl w:val="9"/>
        <w:rPr>
          <w:rFonts w:ascii="Arial"/>
          <w:color w:val="auto"/>
          <w:sz w:val="21"/>
          <w:highlight w:val="none"/>
        </w:rPr>
      </w:pPr>
    </w:p>
    <w:p w14:paraId="3EF8BEE6">
      <w:pPr>
        <w:spacing w:before="91"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15.8</w:t>
      </w:r>
      <w:r>
        <w:rPr>
          <w:rFonts w:ascii="宋体" w:hAnsi="宋体" w:eastAsia="宋体" w:cs="宋体"/>
          <w:color w:val="auto"/>
          <w:spacing w:val="-47"/>
          <w:sz w:val="28"/>
          <w:szCs w:val="28"/>
          <w:highlight w:val="none"/>
        </w:rPr>
        <w:t xml:space="preserve"> </w:t>
      </w:r>
      <w:r>
        <w:rPr>
          <w:rFonts w:ascii="宋体" w:hAnsi="宋体" w:eastAsia="宋体" w:cs="宋体"/>
          <w:b/>
          <w:bCs/>
          <w:color w:val="auto"/>
          <w:spacing w:val="-9"/>
          <w:sz w:val="28"/>
          <w:szCs w:val="28"/>
          <w:highlight w:val="none"/>
        </w:rPr>
        <w:t>暂估价</w:t>
      </w:r>
    </w:p>
    <w:p w14:paraId="5961AF19">
      <w:pPr>
        <w:spacing w:before="283" w:line="289" w:lineRule="auto"/>
        <w:ind w:left="18" w:right="62" w:firstLine="41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15.8.1（1）发包人和承包人组织招标的暂估价项目</w:t>
      </w:r>
      <w:r>
        <w:rPr>
          <w:rFonts w:ascii="宋体" w:hAnsi="宋体" w:eastAsia="宋体" w:cs="宋体"/>
          <w:color w:val="auto"/>
          <w:spacing w:val="-24"/>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7"/>
          <w:sz w:val="21"/>
          <w:szCs w:val="21"/>
          <w:highlight w:val="none"/>
        </w:rPr>
        <w:t xml:space="preserve"> </w:t>
      </w:r>
      <w:r>
        <w:rPr>
          <w:rFonts w:ascii="宋体" w:hAnsi="宋体" w:eastAsia="宋体" w:cs="宋体"/>
          <w:color w:val="auto"/>
          <w:spacing w:val="-24"/>
          <w:sz w:val="21"/>
          <w:szCs w:val="21"/>
          <w:highlight w:val="none"/>
        </w:rPr>
        <w:t>；</w:t>
      </w:r>
      <w:r>
        <w:rPr>
          <w:rFonts w:ascii="宋体" w:hAnsi="宋体" w:eastAsia="宋体" w:cs="宋体"/>
          <w:color w:val="auto"/>
          <w:spacing w:val="-2"/>
          <w:sz w:val="21"/>
          <w:szCs w:val="21"/>
          <w:highlight w:val="none"/>
        </w:rPr>
        <w:t>发</w:t>
      </w:r>
      <w:r>
        <w:rPr>
          <w:rFonts w:ascii="宋体" w:hAnsi="宋体" w:eastAsia="宋体" w:cs="宋体"/>
          <w:color w:val="auto"/>
          <w:spacing w:val="-3"/>
          <w:sz w:val="21"/>
          <w:szCs w:val="21"/>
          <w:highlight w:val="none"/>
        </w:rPr>
        <w:t>包人组织招标</w:t>
      </w:r>
      <w:r>
        <w:rPr>
          <w:rFonts w:ascii="宋体" w:hAnsi="宋体" w:eastAsia="宋体" w:cs="宋体"/>
          <w:color w:val="auto"/>
          <w:spacing w:val="-1"/>
          <w:sz w:val="21"/>
          <w:szCs w:val="21"/>
          <w:highlight w:val="none"/>
        </w:rPr>
        <w:t>的暂估价项目：</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 xml:space="preserve"> 。</w:t>
      </w:r>
    </w:p>
    <w:p w14:paraId="195B02AE">
      <w:pPr>
        <w:spacing w:before="158" w:line="292" w:lineRule="auto"/>
        <w:ind w:left="5" w:right="75" w:firstLine="422"/>
        <w:outlineLvl w:val="9"/>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（2）发包人和承包人以招标方式选择暂估价项目供应商或</w:t>
      </w:r>
      <w:r>
        <w:rPr>
          <w:rFonts w:ascii="宋体" w:hAnsi="宋体" w:eastAsia="宋体" w:cs="宋体"/>
          <w:color w:val="auto"/>
          <w:spacing w:val="13"/>
          <w:sz w:val="21"/>
          <w:szCs w:val="21"/>
          <w:highlight w:val="none"/>
        </w:rPr>
        <w:t>分包人时，双方的权利义务关</w:t>
      </w:r>
      <w:r>
        <w:rPr>
          <w:rFonts w:ascii="宋体" w:hAnsi="宋体" w:eastAsia="宋体" w:cs="宋体"/>
          <w:color w:val="auto"/>
          <w:spacing w:val="-4"/>
          <w:sz w:val="21"/>
          <w:szCs w:val="21"/>
          <w:highlight w:val="none"/>
        </w:rPr>
        <w:t>系：</w:t>
      </w:r>
      <w:r>
        <w:rPr>
          <w:rFonts w:hint="eastAsia" w:ascii="Times New Roman" w:hAnsi="Times New Roman" w:cs="Times New Roman"/>
          <w:color w:val="auto"/>
          <w:highlight w:val="none"/>
          <w:u w:val="single"/>
        </w:rPr>
        <w:t>合同中发包人与承包人另行商</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4"/>
          <w:sz w:val="21"/>
          <w:szCs w:val="21"/>
          <w:highlight w:val="none"/>
        </w:rPr>
        <w:t>。</w:t>
      </w:r>
    </w:p>
    <w:p w14:paraId="11EE4162">
      <w:pPr>
        <w:spacing w:before="169" w:line="224" w:lineRule="auto"/>
        <w:ind w:left="28"/>
        <w:outlineLvl w:val="9"/>
        <w:rPr>
          <w:rFonts w:ascii="宋体" w:hAnsi="宋体" w:eastAsia="宋体" w:cs="宋体"/>
          <w:color w:val="auto"/>
          <w:sz w:val="31"/>
          <w:szCs w:val="31"/>
          <w:highlight w:val="none"/>
        </w:rPr>
      </w:pPr>
      <w:bookmarkStart w:id="322" w:name="bookmark262"/>
      <w:bookmarkEnd w:id="322"/>
      <w:bookmarkStart w:id="323" w:name="_Toc13163"/>
      <w:bookmarkStart w:id="324" w:name="_Toc3732"/>
      <w:r>
        <w:rPr>
          <w:rFonts w:ascii="宋体" w:hAnsi="宋体" w:eastAsia="宋体" w:cs="宋体"/>
          <w:b/>
          <w:bCs/>
          <w:color w:val="auto"/>
          <w:sz w:val="31"/>
          <w:szCs w:val="31"/>
          <w:highlight w:val="none"/>
        </w:rPr>
        <w:t>16.价格调整</w:t>
      </w:r>
      <w:bookmarkEnd w:id="323"/>
      <w:bookmarkEnd w:id="324"/>
    </w:p>
    <w:p w14:paraId="33259259">
      <w:pPr>
        <w:spacing w:before="277"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16.1</w:t>
      </w:r>
      <w:r>
        <w:rPr>
          <w:rFonts w:ascii="宋体" w:hAnsi="宋体" w:eastAsia="宋体" w:cs="宋体"/>
          <w:color w:val="auto"/>
          <w:spacing w:val="-55"/>
          <w:sz w:val="28"/>
          <w:szCs w:val="28"/>
          <w:highlight w:val="none"/>
        </w:rPr>
        <w:t xml:space="preserve"> </w:t>
      </w:r>
      <w:r>
        <w:rPr>
          <w:rFonts w:ascii="宋体" w:hAnsi="宋体" w:eastAsia="宋体" w:cs="宋体"/>
          <w:b/>
          <w:bCs/>
          <w:color w:val="auto"/>
          <w:spacing w:val="-5"/>
          <w:sz w:val="28"/>
          <w:szCs w:val="28"/>
          <w:highlight w:val="none"/>
        </w:rPr>
        <w:t>物价波动引起的价格调整</w:t>
      </w:r>
    </w:p>
    <w:p w14:paraId="3036AFF3">
      <w:pPr>
        <w:wordWrap w:val="0"/>
        <w:spacing w:line="360" w:lineRule="auto"/>
        <w:ind w:firstLine="420"/>
        <w:outlineLvl w:val="9"/>
        <w:rPr>
          <w:rFonts w:ascii="Times New Roman" w:hAnsi="Times New Roman" w:cs="Times New Roman"/>
          <w:color w:val="auto"/>
          <w:szCs w:val="21"/>
          <w:highlight w:val="none"/>
        </w:rPr>
      </w:pPr>
      <w:r>
        <w:rPr>
          <w:rFonts w:ascii="宋体" w:hAnsi="宋体" w:eastAsia="宋体" w:cs="宋体"/>
          <w:color w:val="auto"/>
          <w:spacing w:val="-2"/>
          <w:sz w:val="21"/>
          <w:szCs w:val="21"/>
          <w:highlight w:val="none"/>
        </w:rPr>
        <w:t>物价波动引起的价格调整方式：</w:t>
      </w:r>
      <w:r>
        <w:rPr>
          <w:rFonts w:ascii="Times New Roman" w:hAnsi="Times New Roman" w:cs="Times New Roman"/>
          <w:color w:val="auto"/>
          <w:szCs w:val="21"/>
          <w:highlight w:val="none"/>
          <w:u w:val="single"/>
        </w:rPr>
        <w:t>采用造价信息调整价格差额</w:t>
      </w:r>
      <w:r>
        <w:rPr>
          <w:rFonts w:ascii="Times New Roman" w:hAnsi="Times New Roman" w:cs="Times New Roman"/>
          <w:color w:val="auto"/>
          <w:szCs w:val="21"/>
          <w:highlight w:val="none"/>
        </w:rPr>
        <w:t>。</w:t>
      </w:r>
    </w:p>
    <w:p w14:paraId="5EB44D4C">
      <w:pPr>
        <w:wordWrap w:val="0"/>
        <w:spacing w:line="360" w:lineRule="auto"/>
        <w:ind w:firstLine="42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16.1.2 采用造价信息调整价格差额</w:t>
      </w:r>
    </w:p>
    <w:p w14:paraId="353ECE15">
      <w:pPr>
        <w:wordWrap w:val="0"/>
        <w:spacing w:line="360" w:lineRule="auto"/>
        <w:ind w:left="3885" w:leftChars="200" w:hanging="3465" w:hangingChars="1650"/>
        <w:outlineLvl w:val="9"/>
        <w:rPr>
          <w:rFonts w:ascii="Times New Roman" w:hAnsi="Times New Roman" w:cs="Times New Roman"/>
          <w:color w:val="auto"/>
          <w:szCs w:val="21"/>
          <w:highlight w:val="none"/>
          <w:u w:val="single"/>
        </w:rPr>
      </w:pPr>
      <w:r>
        <w:rPr>
          <w:rFonts w:ascii="Times New Roman" w:hAnsi="Times New Roman" w:cs="Times New Roman"/>
          <w:color w:val="auto"/>
          <w:szCs w:val="21"/>
          <w:highlight w:val="none"/>
        </w:rPr>
        <w:t>工程造价信息的来源：</w:t>
      </w:r>
      <w:r>
        <w:rPr>
          <w:rFonts w:hint="eastAsia" w:ascii="Times New Roman" w:hAnsi="Times New Roman" w:cs="Times New Roman"/>
          <w:color w:val="auto"/>
          <w:szCs w:val="21"/>
          <w:highlight w:val="none"/>
          <w:u w:val="single"/>
        </w:rPr>
        <w:t>当地造价管理机构发布的造价信息</w:t>
      </w:r>
      <w:r>
        <w:rPr>
          <w:rFonts w:ascii="Times New Roman" w:hAnsi="Times New Roman" w:cs="Times New Roman"/>
          <w:color w:val="auto"/>
          <w:szCs w:val="21"/>
          <w:highlight w:val="none"/>
        </w:rPr>
        <w:t>。</w:t>
      </w:r>
    </w:p>
    <w:p w14:paraId="54FF8209">
      <w:pPr>
        <w:wordWrap w:val="0"/>
        <w:spacing w:line="360" w:lineRule="auto"/>
        <w:ind w:firstLine="420"/>
        <w:outlineLvl w:val="9"/>
        <w:rPr>
          <w:rFonts w:ascii="Times New Roman" w:hAnsi="Times New Roman" w:cs="Times New Roman"/>
          <w:color w:val="auto"/>
          <w:szCs w:val="21"/>
          <w:highlight w:val="none"/>
        </w:rPr>
      </w:pPr>
      <w:r>
        <w:rPr>
          <w:rFonts w:ascii="Times New Roman" w:hAnsi="Times New Roman" w:cs="Times New Roman"/>
          <w:color w:val="auto"/>
          <w:szCs w:val="21"/>
          <w:highlight w:val="none"/>
        </w:rPr>
        <w:t>价格调整的项目：本工程仅对</w:t>
      </w:r>
      <w:r>
        <w:rPr>
          <w:rFonts w:hint="eastAsia" w:ascii="宋体" w:hAnsi="宋体" w:cs="宋体"/>
          <w:color w:val="auto"/>
          <w:sz w:val="22"/>
          <w:szCs w:val="22"/>
          <w:highlight w:val="none"/>
          <w:u w:val="single"/>
        </w:rPr>
        <w:t>柴油、砂石料</w:t>
      </w:r>
      <w:r>
        <w:rPr>
          <w:rFonts w:ascii="Times New Roman" w:hAnsi="Times New Roman" w:cs="Times New Roman"/>
          <w:color w:val="auto"/>
          <w:szCs w:val="21"/>
          <w:highlight w:val="none"/>
        </w:rPr>
        <w:t>进行调整，其余材料、人工、设备和机械台班价格均不做调整。</w:t>
      </w:r>
    </w:p>
    <w:p w14:paraId="558D93C8">
      <w:pPr>
        <w:wordWrap w:val="0"/>
        <w:spacing w:line="360" w:lineRule="auto"/>
        <w:ind w:firstLine="420"/>
        <w:outlineLvl w:val="9"/>
        <w:rPr>
          <w:rFonts w:ascii="Times New Roman" w:hAnsi="Times New Roman" w:cs="Times New Roman"/>
          <w:color w:val="auto"/>
          <w:szCs w:val="21"/>
          <w:highlight w:val="none"/>
        </w:rPr>
      </w:pPr>
      <w:r>
        <w:rPr>
          <w:rFonts w:ascii="Times New Roman" w:hAnsi="Times New Roman" w:cs="Times New Roman"/>
          <w:color w:val="auto"/>
          <w:highlight w:val="none"/>
        </w:rPr>
        <w:t>材料价格</w:t>
      </w:r>
      <w:r>
        <w:rPr>
          <w:rFonts w:ascii="Times New Roman" w:hAnsi="Times New Roman" w:cs="Times New Roman"/>
          <w:color w:val="auto"/>
          <w:szCs w:val="21"/>
          <w:highlight w:val="none"/>
        </w:rPr>
        <w:t>调整的具体方法为：</w:t>
      </w:r>
    </w:p>
    <w:p w14:paraId="3FEC728C">
      <w:pPr>
        <w:wordWrap w:val="0"/>
        <w:spacing w:line="360" w:lineRule="auto"/>
        <w:jc w:val="center"/>
        <w:outlineLvl w:val="9"/>
        <w:rPr>
          <w:rFonts w:ascii="Times New Roman" w:hAnsi="Times New Roman" w:cs="Times New Roman"/>
          <w:color w:val="auto"/>
          <w:szCs w:val="21"/>
          <w:highlight w:val="none"/>
        </w:rPr>
      </w:pPr>
      <w:r>
        <w:rPr>
          <w:rFonts w:ascii="Cambria Math" w:hAnsi="Cambria Math" w:cs="Cambria Math"/>
          <w:color w:val="auto"/>
          <w:szCs w:val="21"/>
          <w:highlight w:val="none"/>
        </w:rPr>
        <w:t>△</w:t>
      </w:r>
      <w:r>
        <w:rPr>
          <w:rFonts w:ascii="Times New Roman" w:hAnsi="Times New Roman" w:cs="Times New Roman"/>
          <w:color w:val="auto"/>
          <w:szCs w:val="21"/>
          <w:highlight w:val="none"/>
        </w:rPr>
        <w:t>P = P</w:t>
      </w:r>
      <w:r>
        <w:rPr>
          <w:rFonts w:ascii="Times New Roman" w:hAnsi="Times New Roman" w:cs="Times New Roman"/>
          <w:color w:val="auto"/>
          <w:szCs w:val="21"/>
          <w:highlight w:val="none"/>
          <w:vertAlign w:val="subscript"/>
        </w:rPr>
        <w:t>0</w:t>
      </w:r>
      <w:r>
        <w:rPr>
          <w:rFonts w:ascii="Times New Roman" w:hAnsi="Times New Roman" w:cs="Times New Roman"/>
          <w:color w:val="auto"/>
          <w:szCs w:val="21"/>
          <w:highlight w:val="none"/>
        </w:rPr>
        <w:t>-Max（P</w:t>
      </w:r>
      <w:r>
        <w:rPr>
          <w:rFonts w:ascii="Times New Roman" w:hAnsi="Times New Roman" w:cs="Times New Roman"/>
          <w:color w:val="auto"/>
          <w:szCs w:val="21"/>
          <w:highlight w:val="none"/>
          <w:vertAlign w:val="subscript"/>
        </w:rPr>
        <w:t>1</w:t>
      </w:r>
      <w:r>
        <w:rPr>
          <w:rFonts w:ascii="Times New Roman" w:hAnsi="Times New Roman" w:cs="Times New Roman"/>
          <w:color w:val="auto"/>
          <w:szCs w:val="21"/>
          <w:highlight w:val="none"/>
        </w:rPr>
        <w:t>，P</w:t>
      </w:r>
      <w:r>
        <w:rPr>
          <w:rFonts w:ascii="Times New Roman" w:hAnsi="Times New Roman" w:cs="Times New Roman"/>
          <w:color w:val="auto"/>
          <w:szCs w:val="21"/>
          <w:highlight w:val="none"/>
          <w:vertAlign w:val="subscript"/>
        </w:rPr>
        <w:t>2</w:t>
      </w:r>
      <w:r>
        <w:rPr>
          <w:rFonts w:ascii="Times New Roman" w:hAnsi="Times New Roman" w:cs="Times New Roman"/>
          <w:color w:val="auto"/>
          <w:szCs w:val="21"/>
          <w:highlight w:val="none"/>
        </w:rPr>
        <w:t>）</w:t>
      </w:r>
      <w:r>
        <w:rPr>
          <w:rFonts w:hint="eastAsia" w:ascii="宋体" w:hAnsi="宋体"/>
          <w:color w:val="auto"/>
          <w:szCs w:val="21"/>
          <w:highlight w:val="none"/>
        </w:rPr>
        <w:t>*</w:t>
      </w:r>
      <w:r>
        <w:rPr>
          <w:rFonts w:ascii="Times New Roman" w:hAnsi="Times New Roman" w:cs="Times New Roman"/>
          <w:color w:val="auto"/>
          <w:szCs w:val="21"/>
          <w:highlight w:val="none"/>
        </w:rPr>
        <w:t>（1</w:t>
      </w:r>
      <w:r>
        <w:rPr>
          <w:rFonts w:ascii="Times New Roman" w:hAnsi="Times New Roman" w:cs="Times New Roman"/>
          <w:b/>
          <w:bCs/>
          <w:iCs/>
          <w:color w:val="auto"/>
          <w:highlight w:val="none"/>
        </w:rPr>
        <w:t>±</w:t>
      </w:r>
      <w:r>
        <w:rPr>
          <w:rFonts w:ascii="Times New Roman" w:hAnsi="Times New Roman" w:cs="Times New Roman"/>
          <w:color w:val="auto"/>
          <w:highlight w:val="none"/>
        </w:rPr>
        <w:t xml:space="preserve"> r%</w:t>
      </w:r>
      <w:r>
        <w:rPr>
          <w:rFonts w:ascii="Times New Roman" w:hAnsi="Times New Roman" w:cs="Times New Roman"/>
          <w:color w:val="auto"/>
          <w:szCs w:val="21"/>
          <w:highlight w:val="none"/>
        </w:rPr>
        <w:t>）</w:t>
      </w:r>
    </w:p>
    <w:p w14:paraId="72092B7B">
      <w:pPr>
        <w:wordWrap w:val="0"/>
        <w:spacing w:line="360" w:lineRule="auto"/>
        <w:ind w:left="-6" w:firstLine="468"/>
        <w:outlineLvl w:val="9"/>
        <w:rPr>
          <w:rFonts w:ascii="Times New Roman" w:hAnsi="Times New Roman" w:cs="Times New Roman"/>
          <w:color w:val="auto"/>
          <w:szCs w:val="21"/>
          <w:highlight w:val="none"/>
        </w:rPr>
      </w:pPr>
      <w:r>
        <w:rPr>
          <w:rFonts w:ascii="Cambria Math" w:hAnsi="Cambria Math" w:cs="Cambria Math"/>
          <w:color w:val="auto"/>
          <w:szCs w:val="21"/>
          <w:highlight w:val="none"/>
        </w:rPr>
        <w:t>△</w:t>
      </w:r>
      <w:r>
        <w:rPr>
          <w:rFonts w:ascii="Times New Roman" w:hAnsi="Times New Roman" w:cs="Times New Roman"/>
          <w:color w:val="auto"/>
          <w:szCs w:val="21"/>
          <w:highlight w:val="none"/>
        </w:rPr>
        <w:t>P：</w:t>
      </w:r>
      <w:r>
        <w:rPr>
          <w:rFonts w:ascii="Times New Roman" w:hAnsi="Times New Roman" w:cs="Times New Roman"/>
          <w:color w:val="auto"/>
          <w:highlight w:val="none"/>
        </w:rPr>
        <w:t>材料价格</w:t>
      </w:r>
      <w:r>
        <w:rPr>
          <w:rFonts w:ascii="Times New Roman" w:hAnsi="Times New Roman" w:cs="Times New Roman"/>
          <w:color w:val="auto"/>
          <w:szCs w:val="21"/>
          <w:highlight w:val="none"/>
        </w:rPr>
        <w:t>调差额；        P</w:t>
      </w:r>
      <w:r>
        <w:rPr>
          <w:rFonts w:ascii="Times New Roman" w:hAnsi="Times New Roman" w:cs="Times New Roman"/>
          <w:color w:val="auto"/>
          <w:szCs w:val="21"/>
          <w:highlight w:val="none"/>
          <w:vertAlign w:val="subscript"/>
        </w:rPr>
        <w:t>0</w:t>
      </w:r>
      <w:r>
        <w:rPr>
          <w:rFonts w:ascii="Times New Roman" w:hAnsi="Times New Roman" w:cs="Times New Roman"/>
          <w:color w:val="auto"/>
          <w:szCs w:val="21"/>
          <w:highlight w:val="none"/>
        </w:rPr>
        <w:t xml:space="preserve"> ：施工当月上述指定造价信息来源对应的信息价；</w:t>
      </w:r>
    </w:p>
    <w:p w14:paraId="6B36CC4B">
      <w:pPr>
        <w:wordWrap w:val="0"/>
        <w:spacing w:line="360" w:lineRule="auto"/>
        <w:ind w:firstLine="468"/>
        <w:outlineLvl w:val="9"/>
        <w:rPr>
          <w:rFonts w:ascii="Times New Roman" w:hAnsi="Times New Roman" w:cs="Times New Roman"/>
          <w:color w:val="auto"/>
          <w:highlight w:val="none"/>
        </w:rPr>
      </w:pPr>
      <w:r>
        <w:rPr>
          <w:rFonts w:ascii="Times New Roman" w:hAnsi="Times New Roman" w:cs="Times New Roman"/>
          <w:color w:val="auto"/>
          <w:szCs w:val="21"/>
          <w:highlight w:val="none"/>
        </w:rPr>
        <w:t>P</w:t>
      </w:r>
      <w:r>
        <w:rPr>
          <w:rFonts w:ascii="Times New Roman" w:hAnsi="Times New Roman" w:cs="Times New Roman"/>
          <w:color w:val="auto"/>
          <w:szCs w:val="21"/>
          <w:highlight w:val="none"/>
          <w:vertAlign w:val="subscript"/>
        </w:rPr>
        <w:t>1</w:t>
      </w:r>
      <w:r>
        <w:rPr>
          <w:rFonts w:ascii="Times New Roman" w:hAnsi="Times New Roman" w:cs="Times New Roman"/>
          <w:color w:val="auto"/>
          <w:szCs w:val="21"/>
          <w:highlight w:val="none"/>
        </w:rPr>
        <w:t>：投标人对应投标材料价格； P</w:t>
      </w:r>
      <w:r>
        <w:rPr>
          <w:rFonts w:ascii="Times New Roman" w:hAnsi="Times New Roman" w:cs="Times New Roman"/>
          <w:color w:val="auto"/>
          <w:szCs w:val="21"/>
          <w:highlight w:val="none"/>
          <w:vertAlign w:val="subscript"/>
        </w:rPr>
        <w:t>2</w:t>
      </w:r>
      <w:r>
        <w:rPr>
          <w:rFonts w:ascii="Times New Roman" w:hAnsi="Times New Roman" w:cs="Times New Roman"/>
          <w:color w:val="auto"/>
          <w:szCs w:val="21"/>
          <w:highlight w:val="none"/>
        </w:rPr>
        <w:t>：</w:t>
      </w:r>
      <w:r>
        <w:rPr>
          <w:rFonts w:ascii="Times New Roman" w:hAnsi="Times New Roman" w:cs="Times New Roman"/>
          <w:color w:val="auto"/>
          <w:highlight w:val="none"/>
        </w:rPr>
        <w:t>投标截止日前上述指定来源对应的最新信息价；</w:t>
      </w:r>
    </w:p>
    <w:p w14:paraId="766A4701">
      <w:pPr>
        <w:wordWrap w:val="0"/>
        <w:spacing w:line="360" w:lineRule="auto"/>
        <w:ind w:firstLine="468"/>
        <w:outlineLvl w:val="9"/>
        <w:rPr>
          <w:rFonts w:ascii="Times New Roman" w:hAnsi="Times New Roman" w:cs="Times New Roman"/>
          <w:color w:val="auto"/>
          <w:highlight w:val="none"/>
        </w:rPr>
      </w:pPr>
      <w:r>
        <w:rPr>
          <w:rFonts w:ascii="Times New Roman" w:hAnsi="Times New Roman" w:cs="Times New Roman"/>
          <w:bCs/>
          <w:color w:val="auto"/>
          <w:highlight w:val="none"/>
        </w:rPr>
        <w:t xml:space="preserve">r </w:t>
      </w:r>
      <w:r>
        <w:rPr>
          <w:rFonts w:ascii="Times New Roman" w:hAnsi="Times New Roman" w:cs="Times New Roman"/>
          <w:color w:val="auto"/>
          <w:szCs w:val="21"/>
          <w:highlight w:val="none"/>
        </w:rPr>
        <w:t>：</w:t>
      </w:r>
      <w:r>
        <w:rPr>
          <w:rFonts w:ascii="Times New Roman" w:hAnsi="Times New Roman" w:cs="Times New Roman"/>
          <w:color w:val="auto"/>
          <w:highlight w:val="none"/>
        </w:rPr>
        <w:t>风险幅度系数，</w:t>
      </w:r>
      <w:r>
        <w:rPr>
          <w:rFonts w:ascii="Times New Roman" w:hAnsi="Times New Roman" w:cs="Times New Roman"/>
          <w:bCs/>
          <w:color w:val="auto"/>
          <w:highlight w:val="none"/>
        </w:rPr>
        <w:t>r＝</w:t>
      </w:r>
      <w:r>
        <w:rPr>
          <w:rFonts w:ascii="Times New Roman" w:hAnsi="Times New Roman" w:cs="Times New Roman"/>
          <w:bCs/>
          <w:color w:val="auto"/>
          <w:highlight w:val="none"/>
          <w:u w:val="single"/>
        </w:rPr>
        <w:t xml:space="preserve">  </w:t>
      </w:r>
      <w:r>
        <w:rPr>
          <w:rFonts w:hint="eastAsia" w:ascii="Times New Roman" w:hAnsi="Times New Roman" w:cs="Times New Roman"/>
          <w:bCs/>
          <w:color w:val="auto"/>
          <w:highlight w:val="none"/>
          <w:u w:val="single"/>
        </w:rPr>
        <w:t>5%</w:t>
      </w:r>
      <w:r>
        <w:rPr>
          <w:rFonts w:ascii="Times New Roman" w:hAnsi="Times New Roman" w:cs="Times New Roman"/>
          <w:bCs/>
          <w:color w:val="auto"/>
          <w:highlight w:val="none"/>
          <w:u w:val="single"/>
        </w:rPr>
        <w:t xml:space="preserve">   </w:t>
      </w:r>
      <w:r>
        <w:rPr>
          <w:rFonts w:ascii="Times New Roman" w:hAnsi="Times New Roman" w:cs="Times New Roman"/>
          <w:b/>
          <w:bCs/>
          <w:i/>
          <w:color w:val="auto"/>
          <w:highlight w:val="none"/>
        </w:rPr>
        <w:t>（</w:t>
      </w:r>
      <w:r>
        <w:rPr>
          <w:rFonts w:hint="eastAsia" w:ascii="宋体" w:hAnsi="宋体" w:cs="宋体"/>
          <w:b/>
          <w:bCs/>
          <w:i/>
          <w:color w:val="auto"/>
          <w:sz w:val="22"/>
          <w:szCs w:val="22"/>
          <w:highlight w:val="none"/>
        </w:rPr>
        <w:t>说明：主管部门有规定的按规定执行</w:t>
      </w:r>
      <w:r>
        <w:rPr>
          <w:rFonts w:ascii="Times New Roman" w:hAnsi="Times New Roman" w:cs="Times New Roman"/>
          <w:b/>
          <w:bCs/>
          <w:i/>
          <w:color w:val="auto"/>
          <w:highlight w:val="none"/>
        </w:rPr>
        <w:t>），</w:t>
      </w:r>
      <w:r>
        <w:rPr>
          <w:rFonts w:ascii="Times New Roman" w:hAnsi="Times New Roman" w:cs="Times New Roman"/>
          <w:iCs/>
          <w:color w:val="auto"/>
          <w:highlight w:val="none"/>
        </w:rPr>
        <w:t>物价波动</w:t>
      </w:r>
      <w:r>
        <w:rPr>
          <w:rFonts w:ascii="Times New Roman" w:hAnsi="Times New Roman" w:cs="Times New Roman"/>
          <w:color w:val="auto"/>
          <w:highlight w:val="none"/>
        </w:rPr>
        <w:t>在风险幅度范围（-r%,+r%）以内不进行价格调整；价格调增时取</w:t>
      </w:r>
      <w:r>
        <w:rPr>
          <w:rFonts w:hint="eastAsia" w:ascii="Times New Roman" w:hAnsi="Times New Roman" w:cs="Times New Roman"/>
          <w:color w:val="auto"/>
          <w:highlight w:val="none"/>
        </w:rPr>
        <w:t>“</w:t>
      </w:r>
      <w:r>
        <w:rPr>
          <w:rFonts w:ascii="Times New Roman" w:hAnsi="Times New Roman" w:cs="Times New Roman"/>
          <w:color w:val="auto"/>
          <w:highlight w:val="none"/>
        </w:rPr>
        <w:t>+</w:t>
      </w:r>
      <w:r>
        <w:rPr>
          <w:rFonts w:hint="eastAsia" w:ascii="Times New Roman" w:hAnsi="Times New Roman" w:cs="Times New Roman"/>
          <w:color w:val="auto"/>
          <w:highlight w:val="none"/>
        </w:rPr>
        <w:t>”</w:t>
      </w:r>
      <w:r>
        <w:rPr>
          <w:rFonts w:ascii="Times New Roman" w:hAnsi="Times New Roman" w:cs="Times New Roman"/>
          <w:color w:val="auto"/>
          <w:highlight w:val="none"/>
        </w:rPr>
        <w:t>号，价格调减时取</w:t>
      </w:r>
      <w:r>
        <w:rPr>
          <w:rFonts w:ascii="宋体" w:hAnsi="宋体" w:cs="Times New Roman"/>
          <w:color w:val="auto"/>
          <w:highlight w:val="none"/>
        </w:rPr>
        <w:t>“—”</w:t>
      </w:r>
      <w:r>
        <w:rPr>
          <w:rFonts w:ascii="Times New Roman" w:hAnsi="Times New Roman" w:cs="Times New Roman"/>
          <w:color w:val="auto"/>
          <w:highlight w:val="none"/>
        </w:rPr>
        <w:t>号。</w:t>
      </w:r>
    </w:p>
    <w:p w14:paraId="4B6BD7EE">
      <w:pPr>
        <w:spacing w:before="155" w:line="349" w:lineRule="auto"/>
        <w:ind w:left="1" w:right="56" w:firstLine="442"/>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由于承包人原因未在约定的工期内完工的，则对原约定完工日期后继续施工的工程，在使用上述价格调整公式时，P0 &gt;Max（P1，P2）不予调整；由于发包人原因未在约定的工期内完工的，则对原约定完工日期后继续施工的工程，在使用上述价格调整公式时，P0&lt;Max（P1，P2）不予调整。</w:t>
      </w:r>
    </w:p>
    <w:p w14:paraId="12B59314">
      <w:pPr>
        <w:spacing w:before="283" w:line="347" w:lineRule="auto"/>
        <w:ind w:left="420" w:right="4431"/>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本条补充第</w:t>
      </w:r>
      <w:r>
        <w:rPr>
          <w:rFonts w:ascii="宋体" w:hAnsi="宋体" w:eastAsia="宋体" w:cs="宋体"/>
          <w:color w:val="auto"/>
          <w:spacing w:val="-25"/>
          <w:sz w:val="21"/>
          <w:szCs w:val="21"/>
          <w:highlight w:val="none"/>
        </w:rPr>
        <w:t xml:space="preserve"> </w:t>
      </w:r>
      <w:r>
        <w:rPr>
          <w:rFonts w:ascii="宋体" w:hAnsi="宋体" w:eastAsia="宋体" w:cs="宋体"/>
          <w:color w:val="auto"/>
          <w:spacing w:val="-6"/>
          <w:sz w:val="21"/>
          <w:szCs w:val="21"/>
          <w:highlight w:val="none"/>
        </w:rPr>
        <w:t>16.3</w:t>
      </w:r>
      <w:r>
        <w:rPr>
          <w:rFonts w:ascii="宋体" w:hAnsi="宋体" w:eastAsia="宋体" w:cs="宋体"/>
          <w:color w:val="auto"/>
          <w:spacing w:val="-43"/>
          <w:sz w:val="21"/>
          <w:szCs w:val="21"/>
          <w:highlight w:val="none"/>
        </w:rPr>
        <w:t xml:space="preserve"> </w:t>
      </w:r>
      <w:r>
        <w:rPr>
          <w:rFonts w:ascii="宋体" w:hAnsi="宋体" w:eastAsia="宋体" w:cs="宋体"/>
          <w:color w:val="auto"/>
          <w:spacing w:val="-6"/>
          <w:sz w:val="21"/>
          <w:szCs w:val="21"/>
          <w:highlight w:val="none"/>
        </w:rPr>
        <w:t>款：</w:t>
      </w:r>
    </w:p>
    <w:p w14:paraId="653F5AA6">
      <w:pPr>
        <w:spacing w:before="297" w:line="219" w:lineRule="auto"/>
        <w:ind w:left="16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16.3</w:t>
      </w:r>
      <w:r>
        <w:rPr>
          <w:rFonts w:ascii="宋体" w:hAnsi="宋体" w:eastAsia="宋体" w:cs="宋体"/>
          <w:color w:val="auto"/>
          <w:spacing w:val="-53"/>
          <w:sz w:val="28"/>
          <w:szCs w:val="28"/>
          <w:highlight w:val="none"/>
        </w:rPr>
        <w:t xml:space="preserve"> </w:t>
      </w:r>
      <w:r>
        <w:rPr>
          <w:rFonts w:ascii="宋体" w:hAnsi="宋体" w:eastAsia="宋体" w:cs="宋体"/>
          <w:b/>
          <w:bCs/>
          <w:color w:val="auto"/>
          <w:spacing w:val="-5"/>
          <w:sz w:val="28"/>
          <w:szCs w:val="28"/>
          <w:highlight w:val="none"/>
        </w:rPr>
        <w:t>政策性调整引起的价格调整</w:t>
      </w:r>
    </w:p>
    <w:p w14:paraId="4850E433">
      <w:pPr>
        <w:spacing w:before="282" w:line="345" w:lineRule="auto"/>
        <w:ind w:firstLine="43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16.3.1 在合同实施期间，有关价格若遇国家政策性调整，其价格将根据国家政策性变化情况，</w:t>
      </w:r>
      <w:r>
        <w:rPr>
          <w:rFonts w:ascii="宋体" w:hAnsi="宋体" w:eastAsia="宋体" w:cs="宋体"/>
          <w:color w:val="auto"/>
          <w:spacing w:val="14"/>
          <w:sz w:val="21"/>
          <w:szCs w:val="21"/>
          <w:highlight w:val="none"/>
        </w:rPr>
        <w:t xml:space="preserve"> </w:t>
      </w:r>
      <w:r>
        <w:rPr>
          <w:rFonts w:ascii="宋体" w:hAnsi="宋体" w:eastAsia="宋体" w:cs="宋体"/>
          <w:color w:val="auto"/>
          <w:sz w:val="21"/>
          <w:szCs w:val="21"/>
          <w:highlight w:val="none"/>
        </w:rPr>
        <w:t>采用以下调整方式：</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076176CA">
      <w:pPr>
        <w:spacing w:before="63" w:line="225" w:lineRule="auto"/>
        <w:ind w:left="37"/>
        <w:outlineLvl w:val="9"/>
        <w:rPr>
          <w:rFonts w:ascii="宋体" w:hAnsi="宋体" w:eastAsia="宋体" w:cs="宋体"/>
          <w:color w:val="auto"/>
          <w:sz w:val="31"/>
          <w:szCs w:val="31"/>
          <w:highlight w:val="none"/>
        </w:rPr>
      </w:pPr>
      <w:bookmarkStart w:id="325" w:name="bookmark263"/>
      <w:bookmarkEnd w:id="325"/>
      <w:bookmarkStart w:id="326" w:name="_Toc24976"/>
      <w:bookmarkStart w:id="327" w:name="_Toc3251"/>
      <w:r>
        <w:rPr>
          <w:rFonts w:ascii="宋体" w:hAnsi="宋体" w:eastAsia="宋体" w:cs="宋体"/>
          <w:b/>
          <w:bCs/>
          <w:color w:val="auto"/>
          <w:spacing w:val="1"/>
          <w:sz w:val="31"/>
          <w:szCs w:val="31"/>
          <w:highlight w:val="none"/>
        </w:rPr>
        <w:t>17.计量与支付</w:t>
      </w:r>
      <w:bookmarkEnd w:id="326"/>
      <w:bookmarkEnd w:id="327"/>
    </w:p>
    <w:p w14:paraId="7B59B1FF">
      <w:pPr>
        <w:spacing w:before="274" w:line="220" w:lineRule="auto"/>
        <w:ind w:left="170"/>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17.2</w:t>
      </w:r>
      <w:r>
        <w:rPr>
          <w:rFonts w:ascii="宋体" w:hAnsi="宋体" w:eastAsia="宋体" w:cs="宋体"/>
          <w:color w:val="auto"/>
          <w:spacing w:val="-56"/>
          <w:sz w:val="28"/>
          <w:szCs w:val="28"/>
          <w:highlight w:val="none"/>
        </w:rPr>
        <w:t xml:space="preserve"> </w:t>
      </w:r>
      <w:r>
        <w:rPr>
          <w:rFonts w:ascii="宋体" w:hAnsi="宋体" w:eastAsia="宋体" w:cs="宋体"/>
          <w:b/>
          <w:bCs/>
          <w:color w:val="auto"/>
          <w:spacing w:val="-8"/>
          <w:sz w:val="28"/>
          <w:szCs w:val="28"/>
          <w:highlight w:val="none"/>
        </w:rPr>
        <w:t>预付款</w:t>
      </w:r>
    </w:p>
    <w:p w14:paraId="12314B7A">
      <w:pPr>
        <w:spacing w:before="279" w:line="221" w:lineRule="auto"/>
        <w:ind w:left="447"/>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17.2.1</w:t>
      </w:r>
      <w:r>
        <w:rPr>
          <w:rFonts w:ascii="宋体" w:hAnsi="宋体" w:eastAsia="宋体" w:cs="宋体"/>
          <w:color w:val="auto"/>
          <w:spacing w:val="-41"/>
          <w:sz w:val="21"/>
          <w:szCs w:val="21"/>
          <w:highlight w:val="none"/>
        </w:rPr>
        <w:t xml:space="preserve"> </w:t>
      </w:r>
      <w:r>
        <w:rPr>
          <w:rFonts w:ascii="宋体" w:hAnsi="宋体" w:eastAsia="宋体" w:cs="宋体"/>
          <w:b/>
          <w:bCs/>
          <w:color w:val="auto"/>
          <w:spacing w:val="-5"/>
          <w:sz w:val="21"/>
          <w:szCs w:val="21"/>
          <w:highlight w:val="none"/>
        </w:rPr>
        <w:t>预付款</w:t>
      </w:r>
    </w:p>
    <w:p w14:paraId="48EDBCA1">
      <w:pPr>
        <w:spacing w:before="159" w:line="221" w:lineRule="auto"/>
        <w:ind w:left="431"/>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预付款支付比例或金额：</w:t>
      </w:r>
      <w:r>
        <w:rPr>
          <w:rFonts w:ascii="宋体" w:hAnsi="宋体" w:eastAsia="宋体" w:cs="宋体"/>
          <w:color w:val="auto"/>
          <w:sz w:val="21"/>
          <w:szCs w:val="21"/>
          <w:highlight w:val="none"/>
          <w:u w:val="single"/>
        </w:rPr>
        <w:t>签约合同价的</w:t>
      </w:r>
      <w:r>
        <w:rPr>
          <w:rFonts w:hint="eastAsia" w:ascii="宋体" w:hAnsi="宋体" w:eastAsia="宋体" w:cs="宋体"/>
          <w:color w:val="auto"/>
          <w:sz w:val="21"/>
          <w:szCs w:val="21"/>
          <w:highlight w:val="none"/>
          <w:u w:val="single"/>
        </w:rPr>
        <w:t>10</w:t>
      </w:r>
      <w:r>
        <w:rPr>
          <w:rFonts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u w:val="single"/>
        </w:rPr>
        <w:t>1</w:t>
      </w:r>
      <w:r>
        <w:rPr>
          <w:rFonts w:ascii="宋体" w:hAnsi="宋体" w:eastAsia="宋体" w:cs="宋体"/>
          <w:color w:val="auto"/>
          <w:sz w:val="21"/>
          <w:szCs w:val="21"/>
          <w:highlight w:val="none"/>
          <w:u w:val="single"/>
        </w:rPr>
        <w:t>次支付给承包人</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32209D0E">
      <w:pPr>
        <w:spacing w:before="159" w:line="221" w:lineRule="auto"/>
        <w:ind w:left="43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预付款支付期限：</w:t>
      </w:r>
      <w:r>
        <w:rPr>
          <w:rFonts w:ascii="宋体" w:hAnsi="宋体" w:eastAsia="宋体" w:cs="宋体"/>
          <w:color w:val="auto"/>
          <w:sz w:val="21"/>
          <w:szCs w:val="21"/>
          <w:highlight w:val="none"/>
          <w:u w:val="single"/>
        </w:rPr>
        <w:t>在合同协议书签订后，由承包人向发包人提交了发包人认可的工程预付款担保，并经监理人出具付款证书报送发包人批准后14天内予以支付</w:t>
      </w:r>
      <w:r>
        <w:rPr>
          <w:rFonts w:ascii="宋体" w:hAnsi="宋体" w:eastAsia="宋体" w:cs="宋体"/>
          <w:color w:val="auto"/>
          <w:spacing w:val="-1"/>
          <w:sz w:val="21"/>
          <w:szCs w:val="21"/>
          <w:highlight w:val="none"/>
        </w:rPr>
        <w:t>。</w:t>
      </w:r>
    </w:p>
    <w:p w14:paraId="6AB536C0">
      <w:pPr>
        <w:spacing w:before="156" w:line="221" w:lineRule="auto"/>
        <w:ind w:left="43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17.2.2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预付款保函</w:t>
      </w:r>
    </w:p>
    <w:p w14:paraId="28D36FAF">
      <w:pPr>
        <w:spacing w:before="157" w:line="347" w:lineRule="auto"/>
        <w:ind w:left="9" w:firstLine="421"/>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预付款的担保约定为：</w:t>
      </w:r>
      <w:r>
        <w:rPr>
          <w:rFonts w:ascii="宋体" w:hAnsi="宋体" w:eastAsia="宋体" w:cs="宋体"/>
          <w:color w:val="auto"/>
          <w:spacing w:val="-5"/>
          <w:sz w:val="21"/>
          <w:szCs w:val="21"/>
          <w:highlight w:val="none"/>
          <w:u w:val="single" w:color="auto"/>
        </w:rPr>
        <w:t>承包人须向发包人提交预付款保函</w:t>
      </w:r>
      <w:r>
        <w:rPr>
          <w:rFonts w:ascii="宋体" w:hAnsi="宋体" w:eastAsia="宋体" w:cs="宋体"/>
          <w:color w:val="auto"/>
          <w:spacing w:val="-6"/>
          <w:sz w:val="21"/>
          <w:szCs w:val="21"/>
          <w:highlight w:val="none"/>
          <w:u w:val="single" w:color="auto"/>
        </w:rPr>
        <w:t>。发包人向承包人支付的预付款，</w:t>
      </w:r>
      <w:r>
        <w:rPr>
          <w:rFonts w:ascii="宋体" w:hAnsi="宋体" w:eastAsia="宋体" w:cs="宋体"/>
          <w:color w:val="auto"/>
          <w:spacing w:val="-4"/>
          <w:sz w:val="21"/>
          <w:szCs w:val="21"/>
          <w:highlight w:val="none"/>
          <w:u w:val="single" w:color="auto"/>
        </w:rPr>
        <w:t>应按照本合同第</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4"/>
          <w:sz w:val="21"/>
          <w:szCs w:val="21"/>
          <w:highlight w:val="none"/>
          <w:u w:val="single" w:color="auto"/>
        </w:rPr>
        <w:t>17.2.1</w:t>
      </w:r>
      <w:r>
        <w:rPr>
          <w:rFonts w:ascii="宋体" w:hAnsi="宋体" w:eastAsia="宋体" w:cs="宋体"/>
          <w:color w:val="auto"/>
          <w:spacing w:val="-43"/>
          <w:sz w:val="21"/>
          <w:szCs w:val="21"/>
          <w:highlight w:val="none"/>
          <w:u w:val="single" w:color="auto"/>
        </w:rPr>
        <w:t xml:space="preserve"> </w:t>
      </w:r>
      <w:r>
        <w:rPr>
          <w:rFonts w:ascii="宋体" w:hAnsi="宋体" w:eastAsia="宋体" w:cs="宋体"/>
          <w:color w:val="auto"/>
          <w:spacing w:val="-4"/>
          <w:sz w:val="21"/>
          <w:szCs w:val="21"/>
          <w:highlight w:val="none"/>
          <w:u w:val="single" w:color="auto"/>
        </w:rPr>
        <w:t>项规定使用，承包人提交的履约保证金对预付款的正常使用承担保证责任</w:t>
      </w:r>
      <w:r>
        <w:rPr>
          <w:rFonts w:ascii="宋体" w:hAnsi="宋体" w:eastAsia="宋体" w:cs="宋体"/>
          <w:color w:val="auto"/>
          <w:spacing w:val="-4"/>
          <w:sz w:val="21"/>
          <w:szCs w:val="21"/>
          <w:highlight w:val="none"/>
        </w:rPr>
        <w:t>。</w:t>
      </w:r>
    </w:p>
    <w:p w14:paraId="19D380C8">
      <w:pPr>
        <w:spacing w:before="29" w:line="221" w:lineRule="auto"/>
        <w:ind w:left="447"/>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17.2.3</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预付款的扣回与还清</w:t>
      </w:r>
    </w:p>
    <w:p w14:paraId="5CDFA7B6">
      <w:pPr>
        <w:spacing w:before="156" w:line="348" w:lineRule="auto"/>
        <w:ind w:right="123" w:firstLine="43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预付款在进度付款证书的累计金额未达到签约合同价的</w:t>
      </w:r>
      <w:r>
        <w:rPr>
          <w:rFonts w:hint="eastAsia" w:ascii="宋体" w:hAnsi="宋体" w:eastAsia="宋体" w:cs="宋体"/>
          <w:color w:val="auto"/>
          <w:sz w:val="21"/>
          <w:szCs w:val="21"/>
          <w:highlight w:val="none"/>
          <w:u w:val="single" w:color="auto"/>
          <w:lang w:val="en-US" w:eastAsia="zh-CN"/>
        </w:rPr>
        <w:t>50</w:t>
      </w:r>
      <w:r>
        <w:rPr>
          <w:rFonts w:ascii="宋体" w:hAnsi="宋体" w:eastAsia="宋体" w:cs="宋体"/>
          <w:color w:val="auto"/>
          <w:sz w:val="21"/>
          <w:szCs w:val="21"/>
          <w:highlight w:val="none"/>
        </w:rPr>
        <w:t>%之前不予扣回，在达</w:t>
      </w:r>
      <w:r>
        <w:rPr>
          <w:rFonts w:ascii="宋体" w:hAnsi="宋体" w:eastAsia="宋体" w:cs="宋体"/>
          <w:color w:val="auto"/>
          <w:spacing w:val="-1"/>
          <w:sz w:val="21"/>
          <w:szCs w:val="21"/>
          <w:highlight w:val="none"/>
        </w:rPr>
        <w:t>到签约合同</w:t>
      </w:r>
      <w:r>
        <w:rPr>
          <w:rFonts w:ascii="宋体" w:hAnsi="宋体" w:eastAsia="宋体" w:cs="宋体"/>
          <w:color w:val="auto"/>
          <w:spacing w:val="-5"/>
          <w:sz w:val="21"/>
          <w:szCs w:val="21"/>
          <w:highlight w:val="none"/>
        </w:rPr>
        <w:t>价</w:t>
      </w:r>
      <w:r>
        <w:rPr>
          <w:rFonts w:hint="eastAsia" w:ascii="宋体" w:hAnsi="宋体" w:eastAsia="宋体" w:cs="宋体"/>
          <w:color w:val="auto"/>
          <w:spacing w:val="-5"/>
          <w:sz w:val="21"/>
          <w:szCs w:val="21"/>
          <w:highlight w:val="none"/>
          <w:u w:val="single" w:color="auto"/>
          <w:lang w:val="en-US" w:eastAsia="zh-CN"/>
        </w:rPr>
        <w:t>50</w:t>
      </w:r>
      <w:r>
        <w:rPr>
          <w:rFonts w:ascii="宋体" w:hAnsi="宋体" w:eastAsia="宋体" w:cs="宋体"/>
          <w:color w:val="auto"/>
          <w:spacing w:val="-5"/>
          <w:sz w:val="21"/>
          <w:szCs w:val="21"/>
          <w:highlight w:val="none"/>
        </w:rPr>
        <w:t>%之后，</w:t>
      </w:r>
      <w:r>
        <w:rPr>
          <w:rFonts w:hint="eastAsia" w:ascii="宋体" w:hAnsi="宋体" w:eastAsia="宋体" w:cs="宋体"/>
          <w:color w:val="auto"/>
          <w:spacing w:val="-5"/>
          <w:sz w:val="21"/>
          <w:szCs w:val="21"/>
          <w:highlight w:val="none"/>
          <w:lang w:val="en-US" w:eastAsia="zh-CN"/>
        </w:rPr>
        <w:t>一次性</w:t>
      </w:r>
      <w:r>
        <w:rPr>
          <w:rFonts w:ascii="宋体" w:hAnsi="宋体" w:eastAsia="宋体" w:cs="宋体"/>
          <w:color w:val="auto"/>
          <w:spacing w:val="-9"/>
          <w:sz w:val="21"/>
          <w:szCs w:val="21"/>
          <w:highlight w:val="none"/>
        </w:rPr>
        <w:t>扣完。</w:t>
      </w:r>
    </w:p>
    <w:p w14:paraId="32023481">
      <w:pPr>
        <w:spacing w:before="296" w:line="220" w:lineRule="auto"/>
        <w:ind w:left="170"/>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17.3</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7"/>
          <w:sz w:val="28"/>
          <w:szCs w:val="28"/>
          <w:highlight w:val="none"/>
        </w:rPr>
        <w:t>工程进度付款</w:t>
      </w:r>
    </w:p>
    <w:p w14:paraId="0EAF0F50">
      <w:pPr>
        <w:spacing w:before="280" w:line="221" w:lineRule="auto"/>
        <w:ind w:left="438"/>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17.3.1</w:t>
      </w:r>
      <w:r>
        <w:rPr>
          <w:rFonts w:ascii="宋体" w:hAnsi="宋体" w:eastAsia="宋体" w:cs="宋体"/>
          <w:color w:val="auto"/>
          <w:spacing w:val="-38"/>
          <w:sz w:val="21"/>
          <w:szCs w:val="21"/>
          <w:highlight w:val="none"/>
        </w:rPr>
        <w:t xml:space="preserve"> </w:t>
      </w:r>
      <w:r>
        <w:rPr>
          <w:rFonts w:ascii="宋体" w:hAnsi="宋体" w:eastAsia="宋体" w:cs="宋体"/>
          <w:b/>
          <w:bCs/>
          <w:color w:val="auto"/>
          <w:spacing w:val="-5"/>
          <w:sz w:val="21"/>
          <w:szCs w:val="21"/>
          <w:highlight w:val="none"/>
        </w:rPr>
        <w:t>付款周期</w:t>
      </w:r>
    </w:p>
    <w:p w14:paraId="3E737612">
      <w:pPr>
        <w:wordWrap w:val="0"/>
        <w:adjustRightInd w:val="0"/>
        <w:snapToGrid w:val="0"/>
        <w:spacing w:line="360" w:lineRule="auto"/>
        <w:ind w:firstLine="420" w:firstLineChars="200"/>
        <w:outlineLvl w:val="9"/>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付款按工程进度进行每月按核定的工程月进度，支付当月实际工程量的80%工程款项，工程完工竣工验收合格后、审核及项目移交完成后支付至审核价款的97%，剩余3%作质保金待缺陷责任期满后，一次性付清。</w:t>
      </w:r>
    </w:p>
    <w:p w14:paraId="69BAC57D">
      <w:pPr>
        <w:wordWrap w:val="0"/>
        <w:adjustRightInd w:val="0"/>
        <w:snapToGrid w:val="0"/>
        <w:spacing w:line="360" w:lineRule="auto"/>
        <w:ind w:firstLine="420" w:firstLineChars="200"/>
        <w:outlineLvl w:val="9"/>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备注：如承包人采用“由银行业金融机构、工程担保公司、保险机构出具的电子保函</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纸质保函等担保方式”提交等额工程质量保证金，则在工程竣工结算完成后招标人应付至最终结算价款的100%，若中标人余款采用现金缴纳（含工程款扣留的），招标人同时退还保证金本金和银行同期存款利息。</w:t>
      </w:r>
    </w:p>
    <w:p w14:paraId="1C747CCF">
      <w:pPr>
        <w:spacing w:before="156" w:line="221" w:lineRule="auto"/>
        <w:ind w:left="43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17.3.2</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进度付款申请单</w:t>
      </w:r>
    </w:p>
    <w:p w14:paraId="249F5A09">
      <w:pPr>
        <w:spacing w:before="159" w:line="221" w:lineRule="auto"/>
        <w:ind w:left="428"/>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进度付款申请单的份数：</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88"/>
          <w:sz w:val="21"/>
          <w:szCs w:val="21"/>
          <w:highlight w:val="none"/>
        </w:rPr>
        <w:t xml:space="preserve"> </w:t>
      </w:r>
      <w:r>
        <w:rPr>
          <w:rFonts w:ascii="宋体" w:hAnsi="宋体" w:eastAsia="宋体" w:cs="宋体"/>
          <w:color w:val="auto"/>
          <w:spacing w:val="-2"/>
          <w:sz w:val="21"/>
          <w:szCs w:val="21"/>
          <w:highlight w:val="none"/>
        </w:rPr>
        <w:t>份。</w:t>
      </w:r>
    </w:p>
    <w:p w14:paraId="32DB3518">
      <w:pPr>
        <w:spacing w:before="156" w:line="220" w:lineRule="auto"/>
        <w:ind w:left="447"/>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17.3.3</w:t>
      </w:r>
      <w:r>
        <w:rPr>
          <w:rFonts w:ascii="宋体" w:hAnsi="宋体" w:eastAsia="宋体" w:cs="宋体"/>
          <w:color w:val="auto"/>
          <w:spacing w:val="-33"/>
          <w:sz w:val="21"/>
          <w:szCs w:val="21"/>
          <w:highlight w:val="none"/>
        </w:rPr>
        <w:t xml:space="preserve"> </w:t>
      </w:r>
      <w:r>
        <w:rPr>
          <w:rFonts w:ascii="宋体" w:hAnsi="宋体" w:eastAsia="宋体" w:cs="宋体"/>
          <w:b/>
          <w:bCs/>
          <w:color w:val="auto"/>
          <w:spacing w:val="-4"/>
          <w:sz w:val="21"/>
          <w:szCs w:val="21"/>
          <w:highlight w:val="none"/>
        </w:rPr>
        <w:t>进度付款证书和支付时间</w:t>
      </w:r>
    </w:p>
    <w:p w14:paraId="560FD053">
      <w:pPr>
        <w:spacing w:before="31" w:line="353" w:lineRule="auto"/>
        <w:ind w:left="10" w:right="173" w:firstLine="434"/>
        <w:jc w:val="both"/>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（2）逾期付款违约金：</w:t>
      </w:r>
      <w:r>
        <w:rPr>
          <w:rFonts w:hint="eastAsia" w:ascii="宋体" w:hAnsi="宋体" w:eastAsia="宋体" w:cs="宋体"/>
          <w:color w:val="auto"/>
          <w:sz w:val="21"/>
          <w:szCs w:val="21"/>
          <w:highlight w:val="none"/>
          <w:u w:val="single"/>
          <w:lang w:val="en-US" w:eastAsia="zh-CN"/>
        </w:rPr>
        <w:t>按照贷款市场报价利率（LPR）支付利息</w:t>
      </w:r>
      <w:r>
        <w:rPr>
          <w:rFonts w:hint="eastAsia" w:ascii="宋体" w:hAnsi="宋体" w:eastAsia="宋体" w:cs="宋体"/>
          <w:color w:val="auto"/>
          <w:sz w:val="21"/>
          <w:szCs w:val="21"/>
          <w:highlight w:val="none"/>
          <w:lang w:val="en-US" w:eastAsia="zh-CN"/>
        </w:rPr>
        <w:t>。</w:t>
      </w:r>
    </w:p>
    <w:p w14:paraId="5228D79A">
      <w:pPr>
        <w:spacing w:before="31" w:line="353" w:lineRule="auto"/>
        <w:ind w:left="10" w:right="173" w:firstLine="434"/>
        <w:jc w:val="both"/>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本款补充第 17.3.5 项、</w:t>
      </w:r>
      <w:r>
        <w:rPr>
          <w:rFonts w:ascii="宋体" w:hAnsi="宋体" w:eastAsia="宋体" w:cs="宋体"/>
          <w:color w:val="auto"/>
          <w:sz w:val="21"/>
          <w:szCs w:val="21"/>
          <w:highlight w:val="none"/>
        </w:rPr>
        <w:t>第 17.3.6 项：</w:t>
      </w:r>
    </w:p>
    <w:p w14:paraId="21B0264F">
      <w:pPr>
        <w:spacing w:before="33" w:line="346" w:lineRule="auto"/>
        <w:ind w:left="16" w:right="173" w:firstLine="42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17.3.5</w:t>
      </w:r>
      <w:r>
        <w:rPr>
          <w:rFonts w:ascii="宋体" w:hAnsi="宋体" w:eastAsia="宋体" w:cs="宋体"/>
          <w:color w:val="auto"/>
          <w:spacing w:val="-36"/>
          <w:sz w:val="21"/>
          <w:szCs w:val="21"/>
          <w:highlight w:val="none"/>
        </w:rPr>
        <w:t xml:space="preserve"> </w:t>
      </w:r>
      <w:r>
        <w:rPr>
          <w:rFonts w:ascii="宋体" w:hAnsi="宋体" w:eastAsia="宋体" w:cs="宋体"/>
          <w:color w:val="auto"/>
          <w:spacing w:val="-2"/>
          <w:sz w:val="21"/>
          <w:szCs w:val="21"/>
          <w:highlight w:val="none"/>
        </w:rPr>
        <w:t>承包人应保存工程计量和支付的记录，并在发包人要求时允许发包人指派的人员进行</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审计。</w:t>
      </w:r>
    </w:p>
    <w:p w14:paraId="670945C9">
      <w:pPr>
        <w:spacing w:before="31" w:line="353" w:lineRule="auto"/>
        <w:ind w:left="10" w:right="173" w:firstLine="434"/>
        <w:jc w:val="both"/>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17.3.6</w:t>
      </w:r>
      <w:r>
        <w:rPr>
          <w:rFonts w:ascii="宋体" w:hAnsi="宋体" w:eastAsia="宋体" w:cs="宋体"/>
          <w:color w:val="auto"/>
          <w:spacing w:val="-38"/>
          <w:sz w:val="21"/>
          <w:szCs w:val="21"/>
          <w:highlight w:val="none"/>
        </w:rPr>
        <w:t xml:space="preserve"> </w:t>
      </w:r>
      <w:r>
        <w:rPr>
          <w:rFonts w:ascii="宋体" w:hAnsi="宋体" w:eastAsia="宋体" w:cs="宋体"/>
          <w:color w:val="auto"/>
          <w:spacing w:val="-2"/>
          <w:sz w:val="21"/>
          <w:szCs w:val="21"/>
          <w:highlight w:val="none"/>
        </w:rPr>
        <w:t>农民工工资专户资金拨付。发包人应按照相关规定要求，在工程开工前向农民工工资</w:t>
      </w:r>
      <w:r>
        <w:rPr>
          <w:rFonts w:ascii="宋体" w:hAnsi="宋体" w:eastAsia="宋体" w:cs="宋体"/>
          <w:color w:val="auto"/>
          <w:sz w:val="21"/>
          <w:szCs w:val="21"/>
          <w:highlight w:val="none"/>
        </w:rPr>
        <w:t xml:space="preserve"> 专户足额存入核定的工资性工程预付款，开工后按月向专户补足下月工资性工程进度款，确</w:t>
      </w:r>
      <w:r>
        <w:rPr>
          <w:rFonts w:ascii="宋体" w:hAnsi="宋体" w:eastAsia="宋体" w:cs="宋体"/>
          <w:color w:val="auto"/>
          <w:spacing w:val="-1"/>
          <w:sz w:val="21"/>
          <w:szCs w:val="21"/>
          <w:highlight w:val="none"/>
        </w:rPr>
        <w:t>保专</w:t>
      </w:r>
      <w:r>
        <w:rPr>
          <w:rFonts w:ascii="宋体" w:hAnsi="宋体" w:eastAsia="宋体" w:cs="宋体"/>
          <w:color w:val="auto"/>
          <w:sz w:val="21"/>
          <w:szCs w:val="21"/>
          <w:highlight w:val="none"/>
        </w:rPr>
        <w:t xml:space="preserve"> 户余额动态保持不低于预付款金额，到工程款支付节点扣除已支付工资预付款，并结清全部</w:t>
      </w:r>
      <w:r>
        <w:rPr>
          <w:rFonts w:ascii="宋体" w:hAnsi="宋体" w:eastAsia="宋体" w:cs="宋体"/>
          <w:color w:val="auto"/>
          <w:spacing w:val="-1"/>
          <w:sz w:val="21"/>
          <w:szCs w:val="21"/>
          <w:highlight w:val="none"/>
        </w:rPr>
        <w:t>农民</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工工资。</w:t>
      </w:r>
    </w:p>
    <w:p w14:paraId="7B8CAF7D">
      <w:pPr>
        <w:spacing w:before="296" w:line="221" w:lineRule="auto"/>
        <w:ind w:left="170"/>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17.4</w:t>
      </w:r>
      <w:r>
        <w:rPr>
          <w:rFonts w:ascii="宋体" w:hAnsi="宋体" w:eastAsia="宋体" w:cs="宋体"/>
          <w:color w:val="auto"/>
          <w:spacing w:val="-55"/>
          <w:sz w:val="28"/>
          <w:szCs w:val="28"/>
          <w:highlight w:val="none"/>
        </w:rPr>
        <w:t xml:space="preserve"> </w:t>
      </w:r>
      <w:r>
        <w:rPr>
          <w:rFonts w:ascii="宋体" w:hAnsi="宋体" w:eastAsia="宋体" w:cs="宋体"/>
          <w:b/>
          <w:bCs/>
          <w:color w:val="auto"/>
          <w:spacing w:val="-7"/>
          <w:sz w:val="28"/>
          <w:szCs w:val="28"/>
          <w:highlight w:val="none"/>
        </w:rPr>
        <w:t>质量保证金</w:t>
      </w:r>
    </w:p>
    <w:p w14:paraId="637FFDE2">
      <w:pPr>
        <w:spacing w:before="279" w:line="331" w:lineRule="auto"/>
        <w:ind w:left="12" w:right="176" w:firstLine="43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17.4.1 每个付款周期扣留的质量保证金为工程进</w:t>
      </w:r>
      <w:r>
        <w:rPr>
          <w:rFonts w:ascii="宋体" w:hAnsi="宋体" w:eastAsia="宋体" w:cs="宋体"/>
          <w:color w:val="auto"/>
          <w:spacing w:val="-1"/>
          <w:sz w:val="21"/>
          <w:szCs w:val="21"/>
          <w:highlight w:val="none"/>
        </w:rPr>
        <w:t>度付款的</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%，扣留的质量保证金总额</w:t>
      </w:r>
      <w:r>
        <w:rPr>
          <w:rFonts w:ascii="宋体" w:hAnsi="宋体" w:eastAsia="宋体" w:cs="宋体"/>
          <w:color w:val="auto"/>
          <w:spacing w:val="-3"/>
          <w:sz w:val="21"/>
          <w:szCs w:val="21"/>
          <w:highlight w:val="none"/>
        </w:rPr>
        <w:t>为结算总额的</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3</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%。在工程项目竣工前，承包人已按招标文件和合同条款第</w:t>
      </w:r>
      <w:r>
        <w:rPr>
          <w:rFonts w:ascii="宋体" w:hAnsi="宋体" w:eastAsia="宋体" w:cs="宋体"/>
          <w:color w:val="auto"/>
          <w:spacing w:val="-30"/>
          <w:sz w:val="21"/>
          <w:szCs w:val="21"/>
          <w:highlight w:val="none"/>
        </w:rPr>
        <w:t xml:space="preserve"> </w:t>
      </w:r>
      <w:r>
        <w:rPr>
          <w:rFonts w:ascii="宋体" w:hAnsi="宋体" w:eastAsia="宋体" w:cs="宋体"/>
          <w:color w:val="auto"/>
          <w:spacing w:val="-3"/>
          <w:sz w:val="21"/>
          <w:szCs w:val="21"/>
          <w:highlight w:val="none"/>
        </w:rPr>
        <w:t>4.2</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款要求提供履</w:t>
      </w:r>
      <w:r>
        <w:rPr>
          <w:rFonts w:ascii="宋体" w:hAnsi="宋体" w:eastAsia="宋体" w:cs="宋体"/>
          <w:color w:val="auto"/>
          <w:spacing w:val="-2"/>
          <w:sz w:val="21"/>
          <w:szCs w:val="21"/>
          <w:highlight w:val="none"/>
        </w:rPr>
        <w:t>约担保的，发包人不得同时预留工程质量保证金。</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质量保证金采用以下第</w:t>
      </w:r>
      <w:r>
        <w:rPr>
          <w:rFonts w:ascii="宋体" w:hAnsi="宋体" w:eastAsia="宋体" w:cs="宋体"/>
          <w:color w:val="auto"/>
          <w:spacing w:val="-101"/>
          <w:sz w:val="21"/>
          <w:szCs w:val="21"/>
          <w:highlight w:val="none"/>
        </w:rPr>
        <w:t xml:space="preserve"> </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3"/>
          <w:sz w:val="21"/>
          <w:szCs w:val="21"/>
          <w:highlight w:val="none"/>
        </w:rPr>
        <w:t>种方式：</w:t>
      </w:r>
    </w:p>
    <w:p w14:paraId="38F99015">
      <w:pPr>
        <w:spacing w:before="30"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（1）质量保证金保函，保证金额为</w:t>
      </w:r>
      <w:r>
        <w:rPr>
          <w:rFonts w:ascii="宋体" w:hAnsi="宋体" w:eastAsia="宋体" w:cs="宋体"/>
          <w:color w:val="auto"/>
          <w:sz w:val="21"/>
          <w:szCs w:val="21"/>
          <w:highlight w:val="none"/>
        </w:rPr>
        <w:t>：</w:t>
      </w:r>
      <w:r>
        <w:rPr>
          <w:rFonts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3%的工程结算款</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z w:val="21"/>
          <w:szCs w:val="21"/>
          <w:highlight w:val="none"/>
        </w:rPr>
        <w:t>；</w:t>
      </w:r>
    </w:p>
    <w:p w14:paraId="5B8E3092">
      <w:pPr>
        <w:spacing w:before="157" w:line="221" w:lineRule="auto"/>
        <w:ind w:left="437"/>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w:t>
      </w:r>
      <w:r>
        <w:rPr>
          <w:rFonts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3</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3"/>
          <w:sz w:val="21"/>
          <w:szCs w:val="21"/>
          <w:highlight w:val="none"/>
        </w:rPr>
        <w:t>%的工程款；</w:t>
      </w:r>
    </w:p>
    <w:p w14:paraId="4CEC2EEA">
      <w:pPr>
        <w:spacing w:before="159" w:line="221" w:lineRule="auto"/>
        <w:ind w:left="43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（3）其他方式:</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70BA9A28">
      <w:pPr>
        <w:spacing w:before="156" w:line="220" w:lineRule="auto"/>
        <w:ind w:left="431"/>
        <w:outlineLvl w:val="9"/>
        <w:rPr>
          <w:rFonts w:ascii="Arial"/>
          <w:color w:val="auto"/>
          <w:sz w:val="21"/>
          <w:highlight w:val="none"/>
        </w:rPr>
      </w:pPr>
      <w:r>
        <w:rPr>
          <w:rFonts w:ascii="宋体" w:hAnsi="宋体" w:eastAsia="宋体" w:cs="宋体"/>
          <w:color w:val="auto"/>
          <w:sz w:val="21"/>
          <w:szCs w:val="21"/>
          <w:highlight w:val="none"/>
        </w:rPr>
        <w:t>质量保证金采用现金、支票形式提交的，发包人计付利息的计算方式：</w:t>
      </w:r>
      <w:r>
        <w:rPr>
          <w:rFonts w:hint="eastAsia" w:ascii="宋体" w:hAnsi="宋体" w:eastAsia="宋体" w:cs="宋体"/>
          <w:color w:val="auto"/>
          <w:sz w:val="21"/>
          <w:szCs w:val="21"/>
          <w:highlight w:val="none"/>
          <w:u w:val="single"/>
        </w:rPr>
        <w:t>以现金形式提交质量保证金的（含从工程款中以扣留方式提交的），同时退还银行同期活期存款利息</w:t>
      </w:r>
      <w:r>
        <w:rPr>
          <w:rFonts w:ascii="宋体" w:hAnsi="宋体" w:eastAsia="宋体" w:cs="宋体"/>
          <w:color w:val="auto"/>
          <w:spacing w:val="-1"/>
          <w:sz w:val="21"/>
          <w:szCs w:val="21"/>
          <w:highlight w:val="none"/>
        </w:rPr>
        <w:t>。</w:t>
      </w:r>
    </w:p>
    <w:p w14:paraId="54AE2E1C">
      <w:pPr>
        <w:spacing w:before="91" w:line="220" w:lineRule="auto"/>
        <w:ind w:left="17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17.5</w:t>
      </w:r>
      <w:r>
        <w:rPr>
          <w:rFonts w:ascii="宋体" w:hAnsi="宋体" w:eastAsia="宋体" w:cs="宋体"/>
          <w:color w:val="auto"/>
          <w:spacing w:val="-51"/>
          <w:sz w:val="28"/>
          <w:szCs w:val="28"/>
          <w:highlight w:val="none"/>
        </w:rPr>
        <w:t xml:space="preserve"> </w:t>
      </w:r>
      <w:r>
        <w:rPr>
          <w:rFonts w:ascii="宋体" w:hAnsi="宋体" w:eastAsia="宋体" w:cs="宋体"/>
          <w:b/>
          <w:bCs/>
          <w:color w:val="auto"/>
          <w:spacing w:val="-8"/>
          <w:sz w:val="28"/>
          <w:szCs w:val="28"/>
          <w:highlight w:val="none"/>
        </w:rPr>
        <w:t>竣工结算</w:t>
      </w:r>
    </w:p>
    <w:p w14:paraId="22F0947B">
      <w:pPr>
        <w:spacing w:before="280" w:line="221" w:lineRule="auto"/>
        <w:ind w:left="448"/>
        <w:outlineLvl w:val="9"/>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17.5.1</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竣工付款申请单</w:t>
      </w:r>
    </w:p>
    <w:p w14:paraId="22FA81B0">
      <w:pPr>
        <w:spacing w:before="157" w:line="221" w:lineRule="auto"/>
        <w:ind w:left="43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（1）承包人应提交竣工付款申请单一式</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4</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1"/>
          <w:sz w:val="21"/>
          <w:szCs w:val="21"/>
          <w:highlight w:val="none"/>
        </w:rPr>
        <w:t>份；提交期限为</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47480E30">
      <w:pPr>
        <w:spacing w:line="336" w:lineRule="auto"/>
        <w:outlineLvl w:val="9"/>
        <w:rPr>
          <w:rFonts w:ascii="Arial"/>
          <w:color w:val="auto"/>
          <w:sz w:val="21"/>
          <w:highlight w:val="none"/>
        </w:rPr>
      </w:pPr>
    </w:p>
    <w:p w14:paraId="607DE738">
      <w:pPr>
        <w:spacing w:before="91" w:line="220" w:lineRule="auto"/>
        <w:ind w:left="171"/>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17.6</w:t>
      </w:r>
      <w:r>
        <w:rPr>
          <w:rFonts w:ascii="宋体" w:hAnsi="宋体" w:eastAsia="宋体" w:cs="宋体"/>
          <w:color w:val="auto"/>
          <w:spacing w:val="-51"/>
          <w:sz w:val="28"/>
          <w:szCs w:val="28"/>
          <w:highlight w:val="none"/>
        </w:rPr>
        <w:t xml:space="preserve"> </w:t>
      </w:r>
      <w:r>
        <w:rPr>
          <w:rFonts w:ascii="宋体" w:hAnsi="宋体" w:eastAsia="宋体" w:cs="宋体"/>
          <w:b/>
          <w:bCs/>
          <w:color w:val="auto"/>
          <w:spacing w:val="-8"/>
          <w:sz w:val="28"/>
          <w:szCs w:val="28"/>
          <w:highlight w:val="none"/>
        </w:rPr>
        <w:t>最终结清</w:t>
      </w:r>
    </w:p>
    <w:p w14:paraId="084CB3A3">
      <w:pPr>
        <w:spacing w:before="278" w:line="221" w:lineRule="auto"/>
        <w:ind w:left="448"/>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17.6</w:t>
      </w:r>
      <w:r>
        <w:rPr>
          <w:rFonts w:ascii="宋体" w:hAnsi="宋体" w:eastAsia="宋体" w:cs="宋体"/>
          <w:color w:val="auto"/>
          <w:spacing w:val="32"/>
          <w:sz w:val="21"/>
          <w:szCs w:val="21"/>
          <w:highlight w:val="none"/>
        </w:rPr>
        <w:t xml:space="preserve"> </w:t>
      </w:r>
      <w:r>
        <w:rPr>
          <w:rFonts w:ascii="宋体" w:hAnsi="宋体" w:eastAsia="宋体" w:cs="宋体"/>
          <w:b/>
          <w:bCs/>
          <w:color w:val="auto"/>
          <w:spacing w:val="-5"/>
          <w:sz w:val="21"/>
          <w:szCs w:val="21"/>
          <w:highlight w:val="none"/>
        </w:rPr>
        <w:t>1</w:t>
      </w:r>
      <w:r>
        <w:rPr>
          <w:rFonts w:ascii="宋体" w:hAnsi="宋体" w:eastAsia="宋体" w:cs="宋体"/>
          <w:color w:val="auto"/>
          <w:spacing w:val="-5"/>
          <w:sz w:val="21"/>
          <w:szCs w:val="21"/>
          <w:highlight w:val="none"/>
        </w:rPr>
        <w:t xml:space="preserve">  </w:t>
      </w:r>
      <w:r>
        <w:rPr>
          <w:rFonts w:ascii="宋体" w:hAnsi="宋体" w:eastAsia="宋体" w:cs="宋体"/>
          <w:b/>
          <w:bCs/>
          <w:color w:val="auto"/>
          <w:spacing w:val="-5"/>
          <w:sz w:val="21"/>
          <w:szCs w:val="21"/>
          <w:highlight w:val="none"/>
        </w:rPr>
        <w:t>最终结清申请单</w:t>
      </w:r>
    </w:p>
    <w:p w14:paraId="34723D46">
      <w:pPr>
        <w:spacing w:before="159" w:line="345" w:lineRule="auto"/>
        <w:ind w:left="14" w:right="369" w:firstLine="42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（1）承包人应提交最终结清申请单一式</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5"/>
          <w:sz w:val="21"/>
          <w:szCs w:val="21"/>
          <w:highlight w:val="none"/>
          <w:u w:val="single" w:color="auto"/>
        </w:rPr>
        <w:t xml:space="preserve">  </w:t>
      </w:r>
      <w:r>
        <w:rPr>
          <w:rFonts w:hint="eastAsia" w:ascii="宋体" w:hAnsi="宋体" w:eastAsia="宋体" w:cs="宋体"/>
          <w:color w:val="auto"/>
          <w:spacing w:val="25"/>
          <w:sz w:val="21"/>
          <w:szCs w:val="21"/>
          <w:highlight w:val="none"/>
          <w:u w:val="single" w:color="auto"/>
          <w:lang w:val="en-US" w:eastAsia="zh-CN"/>
        </w:rPr>
        <w:t>4</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份；提交期限为</w:t>
      </w:r>
      <w:r>
        <w:rPr>
          <w:rFonts w:ascii="宋体" w:hAnsi="宋体" w:eastAsia="宋体" w:cs="宋体"/>
          <w:color w:val="auto"/>
          <w:spacing w:val="-2"/>
          <w:sz w:val="21"/>
          <w:szCs w:val="21"/>
          <w:highlight w:val="none"/>
          <w:u w:val="single" w:color="auto"/>
        </w:rPr>
        <w:t>缺陷责任期终止证书签发后</w:t>
      </w:r>
      <w:r>
        <w:rPr>
          <w:rFonts w:ascii="宋体" w:hAnsi="宋体" w:eastAsia="宋体" w:cs="宋体"/>
          <w:color w:val="auto"/>
          <w:spacing w:val="-42"/>
          <w:sz w:val="21"/>
          <w:szCs w:val="21"/>
          <w:highlight w:val="none"/>
          <w:u w:val="single" w:color="auto"/>
        </w:rPr>
        <w:t xml:space="preserve"> </w:t>
      </w:r>
      <w:r>
        <w:rPr>
          <w:rFonts w:ascii="宋体" w:hAnsi="宋体" w:eastAsia="宋体" w:cs="宋体"/>
          <w:color w:val="auto"/>
          <w:spacing w:val="-3"/>
          <w:sz w:val="21"/>
          <w:szCs w:val="21"/>
          <w:highlight w:val="none"/>
          <w:u w:val="single" w:color="auto"/>
        </w:rPr>
        <w:t>28</w:t>
      </w:r>
      <w:r>
        <w:rPr>
          <w:rFonts w:ascii="宋体" w:hAnsi="宋体" w:eastAsia="宋体" w:cs="宋体"/>
          <w:color w:val="auto"/>
          <w:spacing w:val="-4"/>
          <w:sz w:val="21"/>
          <w:szCs w:val="21"/>
          <w:highlight w:val="none"/>
          <w:u w:val="single" w:color="auto"/>
        </w:rPr>
        <w:t>天内</w:t>
      </w:r>
      <w:r>
        <w:rPr>
          <w:rFonts w:ascii="宋体" w:hAnsi="宋体" w:eastAsia="宋体" w:cs="宋体"/>
          <w:color w:val="auto"/>
          <w:spacing w:val="-4"/>
          <w:sz w:val="21"/>
          <w:szCs w:val="21"/>
          <w:highlight w:val="none"/>
        </w:rPr>
        <w:t>。</w:t>
      </w:r>
    </w:p>
    <w:p w14:paraId="3DCBF537">
      <w:pPr>
        <w:spacing w:before="169" w:line="225" w:lineRule="auto"/>
        <w:ind w:left="38"/>
        <w:outlineLvl w:val="9"/>
        <w:rPr>
          <w:rFonts w:ascii="宋体" w:hAnsi="宋体" w:eastAsia="宋体" w:cs="宋体"/>
          <w:color w:val="auto"/>
          <w:sz w:val="31"/>
          <w:szCs w:val="31"/>
          <w:highlight w:val="none"/>
        </w:rPr>
      </w:pPr>
      <w:bookmarkStart w:id="328" w:name="bookmark264"/>
      <w:bookmarkEnd w:id="328"/>
      <w:bookmarkStart w:id="329" w:name="_Toc17397"/>
      <w:bookmarkStart w:id="330" w:name="_Toc31969"/>
      <w:r>
        <w:rPr>
          <w:rFonts w:ascii="宋体" w:hAnsi="宋体" w:eastAsia="宋体" w:cs="宋体"/>
          <w:b/>
          <w:bCs/>
          <w:color w:val="auto"/>
          <w:sz w:val="31"/>
          <w:szCs w:val="31"/>
          <w:highlight w:val="none"/>
        </w:rPr>
        <w:t>18.竣工验收</w:t>
      </w:r>
      <w:bookmarkEnd w:id="329"/>
      <w:bookmarkEnd w:id="330"/>
    </w:p>
    <w:p w14:paraId="117ECAFF">
      <w:pPr>
        <w:spacing w:line="278" w:lineRule="auto"/>
        <w:outlineLvl w:val="9"/>
        <w:rPr>
          <w:rFonts w:ascii="Arial"/>
          <w:color w:val="auto"/>
          <w:sz w:val="21"/>
          <w:highlight w:val="none"/>
        </w:rPr>
      </w:pPr>
    </w:p>
    <w:p w14:paraId="0F7F84BE">
      <w:pPr>
        <w:spacing w:before="68" w:line="220" w:lineRule="auto"/>
        <w:ind w:left="43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本条补充以下内容：</w:t>
      </w:r>
    </w:p>
    <w:p w14:paraId="73D99872">
      <w:pPr>
        <w:spacing w:before="157" w:line="340" w:lineRule="auto"/>
        <w:ind w:firstLine="431"/>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本工程竣工验收执行</w:t>
      </w:r>
      <w:r>
        <w:rPr>
          <w:rFonts w:ascii="宋体" w:hAnsi="宋体" w:eastAsia="宋体" w:cs="宋体"/>
          <w:color w:val="auto"/>
          <w:spacing w:val="-8"/>
          <w:sz w:val="21"/>
          <w:szCs w:val="21"/>
          <w:highlight w:val="none"/>
          <w:u w:val="single" w:color="auto"/>
        </w:rPr>
        <w:t>《农业建设项目验收技术规程》（</w:t>
      </w:r>
      <w:r>
        <w:rPr>
          <w:rFonts w:ascii="Times New Roman" w:hAnsi="Times New Roman" w:eastAsia="Times New Roman" w:cs="Times New Roman"/>
          <w:color w:val="auto"/>
          <w:spacing w:val="-8"/>
          <w:sz w:val="21"/>
          <w:szCs w:val="21"/>
          <w:highlight w:val="none"/>
          <w:u w:val="single" w:color="auto"/>
        </w:rPr>
        <w:t>NY/T</w:t>
      </w:r>
      <w:r>
        <w:rPr>
          <w:rFonts w:ascii="Times New Roman" w:hAnsi="Times New Roman" w:eastAsia="Times New Roman" w:cs="Times New Roman"/>
          <w:color w:val="auto"/>
          <w:spacing w:val="25"/>
          <w:sz w:val="21"/>
          <w:szCs w:val="21"/>
          <w:highlight w:val="none"/>
          <w:u w:val="single" w:color="auto"/>
        </w:rPr>
        <w:t xml:space="preserve"> </w:t>
      </w:r>
      <w:r>
        <w:rPr>
          <w:rFonts w:ascii="Times New Roman" w:hAnsi="Times New Roman" w:eastAsia="Times New Roman" w:cs="Times New Roman"/>
          <w:color w:val="auto"/>
          <w:spacing w:val="-8"/>
          <w:sz w:val="21"/>
          <w:szCs w:val="21"/>
          <w:highlight w:val="none"/>
          <w:u w:val="single" w:color="auto"/>
        </w:rPr>
        <w:t>1717-2009</w:t>
      </w:r>
      <w:r>
        <w:rPr>
          <w:rFonts w:ascii="宋体" w:hAnsi="宋体" w:eastAsia="宋体" w:cs="宋体"/>
          <w:color w:val="auto"/>
          <w:spacing w:val="-8"/>
          <w:sz w:val="21"/>
          <w:szCs w:val="21"/>
          <w:highlight w:val="none"/>
          <w:u w:val="single" w:color="auto"/>
        </w:rPr>
        <w:t>）、《安徽省农业农村厅关</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u w:val="single" w:color="auto"/>
        </w:rPr>
        <w:t>于印发安徽省高标准农田建设项目竣工验收工作规定的通</w:t>
      </w:r>
      <w:r>
        <w:rPr>
          <w:rFonts w:ascii="宋体" w:hAnsi="宋体" w:eastAsia="宋体" w:cs="宋体"/>
          <w:color w:val="auto"/>
          <w:spacing w:val="-7"/>
          <w:sz w:val="21"/>
          <w:szCs w:val="21"/>
          <w:highlight w:val="none"/>
          <w:u w:val="single" w:color="auto"/>
        </w:rPr>
        <w:t>知》……</w:t>
      </w:r>
      <w:r>
        <w:rPr>
          <w:rFonts w:ascii="宋体" w:hAnsi="宋体" w:eastAsia="宋体" w:cs="宋体"/>
          <w:color w:val="auto"/>
          <w:spacing w:val="-7"/>
          <w:sz w:val="21"/>
          <w:szCs w:val="21"/>
          <w:highlight w:val="none"/>
        </w:rPr>
        <w:t>等农业农村部门有关规定。（</w:t>
      </w:r>
      <w:r>
        <w:rPr>
          <w:rFonts w:ascii="宋体" w:hAnsi="宋体" w:eastAsia="宋体" w:cs="宋体"/>
          <w:b/>
          <w:bCs/>
          <w:i/>
          <w:iCs/>
          <w:color w:val="auto"/>
          <w:spacing w:val="-7"/>
          <w:sz w:val="22"/>
          <w:szCs w:val="22"/>
          <w:highlight w:val="none"/>
        </w:rPr>
        <w:t>说明：</w:t>
      </w:r>
      <w:r>
        <w:rPr>
          <w:rFonts w:ascii="宋体" w:hAnsi="宋体" w:eastAsia="宋体" w:cs="宋体"/>
          <w:color w:val="auto"/>
          <w:sz w:val="22"/>
          <w:szCs w:val="22"/>
          <w:highlight w:val="none"/>
        </w:rPr>
        <w:t xml:space="preserve"> </w:t>
      </w:r>
      <w:r>
        <w:rPr>
          <w:rFonts w:ascii="宋体" w:hAnsi="宋体" w:eastAsia="宋体" w:cs="宋体"/>
          <w:b/>
          <w:bCs/>
          <w:i/>
          <w:iCs/>
          <w:color w:val="auto"/>
          <w:spacing w:val="-13"/>
          <w:sz w:val="22"/>
          <w:szCs w:val="22"/>
          <w:highlight w:val="none"/>
        </w:rPr>
        <w:t>横线上的内容为示范性写法，招标人可以根据招标项目的具体特点和实际需要自行填写。</w:t>
      </w:r>
      <w:r>
        <w:rPr>
          <w:rFonts w:ascii="宋体" w:hAnsi="宋体" w:eastAsia="宋体" w:cs="宋体"/>
          <w:color w:val="auto"/>
          <w:spacing w:val="-13"/>
          <w:sz w:val="21"/>
          <w:szCs w:val="21"/>
          <w:highlight w:val="none"/>
        </w:rPr>
        <w:t>）</w:t>
      </w:r>
    </w:p>
    <w:p w14:paraId="1EA50313">
      <w:pPr>
        <w:spacing w:before="166" w:line="225" w:lineRule="auto"/>
        <w:ind w:left="38"/>
        <w:outlineLvl w:val="9"/>
        <w:rPr>
          <w:rFonts w:ascii="宋体" w:hAnsi="宋体" w:eastAsia="宋体" w:cs="宋体"/>
          <w:color w:val="auto"/>
          <w:sz w:val="31"/>
          <w:szCs w:val="31"/>
          <w:highlight w:val="none"/>
        </w:rPr>
      </w:pPr>
      <w:bookmarkStart w:id="331" w:name="bookmark265"/>
      <w:bookmarkEnd w:id="331"/>
      <w:bookmarkStart w:id="332" w:name="_Toc3129"/>
      <w:bookmarkStart w:id="333" w:name="_Toc8677"/>
      <w:r>
        <w:rPr>
          <w:rFonts w:ascii="宋体" w:hAnsi="宋体" w:eastAsia="宋体" w:cs="宋体"/>
          <w:b/>
          <w:bCs/>
          <w:color w:val="auto"/>
          <w:spacing w:val="3"/>
          <w:sz w:val="31"/>
          <w:szCs w:val="31"/>
          <w:highlight w:val="none"/>
        </w:rPr>
        <w:t>19.</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缺陷责任与保修责任</w:t>
      </w:r>
      <w:bookmarkEnd w:id="332"/>
      <w:bookmarkEnd w:id="333"/>
    </w:p>
    <w:p w14:paraId="67AE1BCE">
      <w:pPr>
        <w:spacing w:line="404" w:lineRule="auto"/>
        <w:outlineLvl w:val="9"/>
        <w:rPr>
          <w:rFonts w:ascii="Arial"/>
          <w:color w:val="auto"/>
          <w:sz w:val="21"/>
          <w:highlight w:val="none"/>
        </w:rPr>
      </w:pPr>
    </w:p>
    <w:p w14:paraId="7D6CFED4">
      <w:pPr>
        <w:spacing w:before="91" w:line="220" w:lineRule="auto"/>
        <w:ind w:left="171"/>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19.1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缺陷责任期的起算时间</w:t>
      </w:r>
    </w:p>
    <w:p w14:paraId="3CE01574">
      <w:pPr>
        <w:spacing w:before="281" w:line="220" w:lineRule="auto"/>
        <w:ind w:left="43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本工程缺陷责任期计算如下：</w:t>
      </w:r>
      <w:r>
        <w:rPr>
          <w:rFonts w:hint="eastAsia" w:ascii="Times New Roman" w:hAnsi="Times New Roman" w:cs="Times New Roman"/>
          <w:color w:val="auto"/>
          <w:szCs w:val="21"/>
          <w:highlight w:val="none"/>
          <w:u w:val="single"/>
        </w:rPr>
        <w:t>自工程完工验收合格之日起</w:t>
      </w:r>
      <w:r>
        <w:rPr>
          <w:rFonts w:hint="eastAsia" w:ascii="Times New Roman" w:hAnsi="Times New Roman" w:eastAsia="宋体" w:cs="Times New Roman"/>
          <w:color w:val="auto"/>
          <w:szCs w:val="21"/>
          <w:highlight w:val="none"/>
          <w:u w:val="single"/>
          <w:lang w:val="en-US" w:eastAsia="zh-CN"/>
        </w:rPr>
        <w:t>24个月</w:t>
      </w:r>
      <w:r>
        <w:rPr>
          <w:rFonts w:ascii="宋体" w:hAnsi="宋体" w:eastAsia="宋体" w:cs="宋体"/>
          <w:color w:val="auto"/>
          <w:spacing w:val="-1"/>
          <w:sz w:val="21"/>
          <w:szCs w:val="21"/>
          <w:highlight w:val="none"/>
        </w:rPr>
        <w:t>。</w:t>
      </w:r>
    </w:p>
    <w:p w14:paraId="4B6D461D">
      <w:pPr>
        <w:spacing w:before="172" w:line="226" w:lineRule="auto"/>
        <w:ind w:left="18"/>
        <w:outlineLvl w:val="9"/>
        <w:rPr>
          <w:rFonts w:ascii="宋体" w:hAnsi="宋体" w:eastAsia="宋体" w:cs="宋体"/>
          <w:color w:val="auto"/>
          <w:sz w:val="31"/>
          <w:szCs w:val="31"/>
          <w:highlight w:val="none"/>
        </w:rPr>
      </w:pPr>
      <w:bookmarkStart w:id="334" w:name="bookmark266"/>
      <w:bookmarkEnd w:id="334"/>
      <w:bookmarkStart w:id="335" w:name="_Toc840"/>
      <w:bookmarkStart w:id="336" w:name="_Toc29346"/>
      <w:r>
        <w:rPr>
          <w:rFonts w:ascii="宋体" w:hAnsi="宋体" w:eastAsia="宋体" w:cs="宋体"/>
          <w:b/>
          <w:bCs/>
          <w:color w:val="auto"/>
          <w:spacing w:val="-2"/>
          <w:sz w:val="31"/>
          <w:szCs w:val="31"/>
          <w:highlight w:val="none"/>
        </w:rPr>
        <w:t>20.</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2"/>
          <w:sz w:val="31"/>
          <w:szCs w:val="31"/>
          <w:highlight w:val="none"/>
        </w:rPr>
        <w:t>保险</w:t>
      </w:r>
      <w:bookmarkEnd w:id="335"/>
      <w:bookmarkEnd w:id="336"/>
    </w:p>
    <w:p w14:paraId="1A91D8AC">
      <w:pPr>
        <w:spacing w:before="276" w:line="221" w:lineRule="auto"/>
        <w:ind w:left="153"/>
        <w:outlineLvl w:val="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20.1</w:t>
      </w:r>
      <w:r>
        <w:rPr>
          <w:rFonts w:ascii="宋体" w:hAnsi="宋体" w:eastAsia="宋体" w:cs="宋体"/>
          <w:color w:val="auto"/>
          <w:spacing w:val="23"/>
          <w:sz w:val="28"/>
          <w:szCs w:val="28"/>
          <w:highlight w:val="none"/>
        </w:rPr>
        <w:t xml:space="preserve"> </w:t>
      </w:r>
      <w:r>
        <w:rPr>
          <w:rFonts w:ascii="宋体" w:hAnsi="宋体" w:eastAsia="宋体" w:cs="宋体"/>
          <w:b/>
          <w:bCs/>
          <w:color w:val="auto"/>
          <w:spacing w:val="-6"/>
          <w:sz w:val="28"/>
          <w:szCs w:val="28"/>
          <w:highlight w:val="none"/>
        </w:rPr>
        <w:t>工程保险</w:t>
      </w:r>
    </w:p>
    <w:p w14:paraId="12BB76E1">
      <w:pPr>
        <w:spacing w:before="279" w:line="345" w:lineRule="auto"/>
        <w:ind w:left="433" w:right="272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建筑工程一切险和（或）安装工程一切险投保人：</w:t>
      </w:r>
      <w:r>
        <w:rPr>
          <w:rFonts w:ascii="宋体" w:hAnsi="宋体" w:eastAsia="宋体" w:cs="宋体"/>
          <w:color w:val="auto"/>
          <w:spacing w:val="-2"/>
          <w:sz w:val="21"/>
          <w:szCs w:val="21"/>
          <w:highlight w:val="none"/>
          <w:u w:val="single" w:color="auto"/>
        </w:rPr>
        <w:t>执行通用条款</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投保内容：</w:t>
      </w:r>
      <w:r>
        <w:rPr>
          <w:rFonts w:ascii="宋体" w:hAnsi="宋体" w:eastAsia="宋体" w:cs="宋体"/>
          <w:color w:val="auto"/>
          <w:spacing w:val="-1"/>
          <w:sz w:val="21"/>
          <w:szCs w:val="21"/>
          <w:highlight w:val="none"/>
          <w:u w:val="single" w:color="auto"/>
        </w:rPr>
        <w:t xml:space="preserve">       本项目         </w:t>
      </w:r>
      <w:r>
        <w:rPr>
          <w:rFonts w:ascii="宋体" w:hAnsi="宋体" w:eastAsia="宋体" w:cs="宋体"/>
          <w:color w:val="auto"/>
          <w:spacing w:val="-1"/>
          <w:sz w:val="21"/>
          <w:szCs w:val="21"/>
          <w:highlight w:val="none"/>
        </w:rPr>
        <w:t>；</w:t>
      </w:r>
    </w:p>
    <w:p w14:paraId="22B34E75">
      <w:pPr>
        <w:spacing w:before="33" w:line="344" w:lineRule="auto"/>
        <w:ind w:left="11" w:right="373" w:firstLine="42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保险金额、保险费率和保险期限：</w:t>
      </w:r>
      <w:r>
        <w:rPr>
          <w:rFonts w:ascii="宋体" w:hAnsi="宋体" w:eastAsia="宋体" w:cs="宋体"/>
          <w:color w:val="auto"/>
          <w:spacing w:val="-5"/>
          <w:sz w:val="21"/>
          <w:szCs w:val="21"/>
          <w:highlight w:val="none"/>
          <w:u w:val="single" w:color="auto"/>
        </w:rPr>
        <w:t>依据保险凭证；由承包人以</w:t>
      </w:r>
      <w:r>
        <w:rPr>
          <w:rFonts w:ascii="宋体" w:hAnsi="宋体" w:eastAsia="宋体" w:cs="宋体"/>
          <w:color w:val="auto"/>
          <w:spacing w:val="-6"/>
          <w:sz w:val="21"/>
          <w:szCs w:val="21"/>
          <w:highlight w:val="none"/>
          <w:u w:val="single" w:color="auto"/>
        </w:rPr>
        <w:t>发包人和承包人共同名义投保，</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u w:val="single" w:color="auto"/>
        </w:rPr>
        <w:t>保险费包含在签约合同价中</w:t>
      </w:r>
      <w:r>
        <w:rPr>
          <w:rFonts w:ascii="宋体" w:hAnsi="宋体" w:eastAsia="宋体" w:cs="宋体"/>
          <w:color w:val="auto"/>
          <w:spacing w:val="-1"/>
          <w:sz w:val="21"/>
          <w:szCs w:val="21"/>
          <w:highlight w:val="none"/>
        </w:rPr>
        <w:t>。</w:t>
      </w:r>
    </w:p>
    <w:p w14:paraId="3AE6A7BC">
      <w:pPr>
        <w:spacing w:before="32" w:line="219" w:lineRule="auto"/>
        <w:ind w:left="43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承包人须按照有关规定及时投保，否则，发包人有权在合同价款中扣除保险费。</w:t>
      </w:r>
    </w:p>
    <w:p w14:paraId="231C14BF">
      <w:pPr>
        <w:spacing w:before="56"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20.4</w:t>
      </w:r>
      <w:r>
        <w:rPr>
          <w:rFonts w:ascii="宋体" w:hAnsi="宋体" w:eastAsia="宋体" w:cs="宋体"/>
          <w:color w:val="auto"/>
          <w:spacing w:val="-53"/>
          <w:sz w:val="28"/>
          <w:szCs w:val="28"/>
          <w:highlight w:val="none"/>
        </w:rPr>
        <w:t xml:space="preserve"> </w:t>
      </w:r>
      <w:r>
        <w:rPr>
          <w:rFonts w:ascii="宋体" w:hAnsi="宋体" w:eastAsia="宋体" w:cs="宋体"/>
          <w:b/>
          <w:bCs/>
          <w:color w:val="auto"/>
          <w:spacing w:val="-5"/>
          <w:sz w:val="28"/>
          <w:szCs w:val="28"/>
          <w:highlight w:val="none"/>
        </w:rPr>
        <w:t>第三者责任险</w:t>
      </w:r>
    </w:p>
    <w:p w14:paraId="4A9FFB69">
      <w:pPr>
        <w:spacing w:before="279" w:line="347" w:lineRule="auto"/>
        <w:ind w:left="10" w:right="2" w:firstLine="41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20.4.2</w:t>
      </w:r>
      <w:r>
        <w:rPr>
          <w:rFonts w:ascii="宋体" w:hAnsi="宋体" w:eastAsia="宋体" w:cs="宋体"/>
          <w:color w:val="auto"/>
          <w:spacing w:val="-30"/>
          <w:sz w:val="21"/>
          <w:szCs w:val="21"/>
          <w:highlight w:val="none"/>
        </w:rPr>
        <w:t xml:space="preserve"> </w:t>
      </w:r>
      <w:r>
        <w:rPr>
          <w:rFonts w:ascii="宋体" w:hAnsi="宋体" w:eastAsia="宋体" w:cs="宋体"/>
          <w:color w:val="auto"/>
          <w:spacing w:val="-1"/>
          <w:sz w:val="21"/>
          <w:szCs w:val="21"/>
          <w:highlight w:val="none"/>
        </w:rPr>
        <w:t>第三者责任险保险费率：</w:t>
      </w:r>
      <w:r>
        <w:rPr>
          <w:rFonts w:ascii="宋体" w:hAnsi="宋体" w:eastAsia="宋体" w:cs="宋体"/>
          <w:color w:val="auto"/>
          <w:spacing w:val="-1"/>
          <w:sz w:val="21"/>
          <w:szCs w:val="21"/>
          <w:highlight w:val="none"/>
          <w:u w:val="single" w:color="auto"/>
        </w:rPr>
        <w:t>依据保险凭证，由承包人以发包人和承包人共同名义投保，保</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u w:val="single" w:color="auto"/>
        </w:rPr>
        <w:t>费包含在签约合同价中</w:t>
      </w:r>
      <w:r>
        <w:rPr>
          <w:rFonts w:ascii="宋体" w:hAnsi="宋体" w:eastAsia="宋体" w:cs="宋体"/>
          <w:color w:val="auto"/>
          <w:spacing w:val="-2"/>
          <w:sz w:val="21"/>
          <w:szCs w:val="21"/>
          <w:highlight w:val="none"/>
        </w:rPr>
        <w:t>；</w:t>
      </w:r>
    </w:p>
    <w:p w14:paraId="55BB8FD4">
      <w:pPr>
        <w:spacing w:before="29" w:line="220" w:lineRule="auto"/>
        <w:ind w:left="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第三者责任险保险金额：</w:t>
      </w:r>
      <w:r>
        <w:rPr>
          <w:rFonts w:ascii="宋体" w:hAnsi="宋体" w:eastAsia="宋体" w:cs="宋体"/>
          <w:color w:val="auto"/>
          <w:spacing w:val="-1"/>
          <w:sz w:val="21"/>
          <w:szCs w:val="21"/>
          <w:highlight w:val="none"/>
          <w:u w:val="single" w:color="auto"/>
        </w:rPr>
        <w:t xml:space="preserve">   依据保险凭证 </w:t>
      </w:r>
      <w:r>
        <w:rPr>
          <w:rFonts w:ascii="宋体" w:hAnsi="宋体" w:eastAsia="宋体" w:cs="宋体"/>
          <w:color w:val="auto"/>
          <w:spacing w:val="-1"/>
          <w:sz w:val="21"/>
          <w:szCs w:val="21"/>
          <w:highlight w:val="none"/>
        </w:rPr>
        <w:t>。</w:t>
      </w:r>
    </w:p>
    <w:p w14:paraId="3BE6E951">
      <w:pPr>
        <w:spacing w:line="333" w:lineRule="auto"/>
        <w:outlineLvl w:val="9"/>
        <w:rPr>
          <w:rFonts w:ascii="Arial"/>
          <w:color w:val="auto"/>
          <w:sz w:val="21"/>
          <w:highlight w:val="none"/>
        </w:rPr>
      </w:pPr>
    </w:p>
    <w:p w14:paraId="6D77C870">
      <w:pPr>
        <w:spacing w:before="91"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20.5</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其他保险</w:t>
      </w:r>
    </w:p>
    <w:p w14:paraId="652CC9F1">
      <w:pPr>
        <w:spacing w:before="279"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本款约定为：</w:t>
      </w:r>
    </w:p>
    <w:p w14:paraId="04092266">
      <w:pPr>
        <w:spacing w:before="157" w:line="347" w:lineRule="auto"/>
        <w:ind w:right="249" w:firstLine="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承包人应为其施工设备等办理保险，其投保金额应足以现场重置。办理本款保险的</w:t>
      </w:r>
      <w:r>
        <w:rPr>
          <w:rFonts w:ascii="宋体" w:hAnsi="宋体" w:eastAsia="宋体" w:cs="宋体"/>
          <w:color w:val="auto"/>
          <w:spacing w:val="-1"/>
          <w:sz w:val="21"/>
          <w:szCs w:val="21"/>
          <w:highlight w:val="none"/>
        </w:rPr>
        <w:t>一切费用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均由承包人承担，并包括在投标报价中，发包人不单独支付。</w:t>
      </w:r>
    </w:p>
    <w:p w14:paraId="141BD754">
      <w:pPr>
        <w:spacing w:before="31" w:line="345" w:lineRule="auto"/>
        <w:ind w:left="420" w:right="2591" w:firstLine="9"/>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需要投保的其他内容</w:t>
      </w:r>
      <w:r>
        <w:rPr>
          <w:rFonts w:ascii="宋体" w:hAnsi="宋体" w:eastAsia="宋体" w:cs="宋体"/>
          <w:color w:val="auto"/>
          <w:spacing w:val="-13"/>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保险金额、保险费率和保险期限：</w:t>
      </w:r>
      <w:r>
        <w:rPr>
          <w:rFonts w:ascii="宋体" w:hAnsi="宋体" w:eastAsia="宋体" w:cs="宋体"/>
          <w:color w:val="auto"/>
          <w:spacing w:val="-1"/>
          <w:sz w:val="21"/>
          <w:szCs w:val="21"/>
          <w:highlight w:val="none"/>
          <w:u w:val="single" w:color="auto"/>
        </w:rPr>
        <w:t xml:space="preserve">                       </w:t>
      </w:r>
    </w:p>
    <w:p w14:paraId="467A72C7">
      <w:pPr>
        <w:spacing w:before="299"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20.6</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对各项保险的一般要求</w:t>
      </w:r>
    </w:p>
    <w:p w14:paraId="19698E4A">
      <w:pPr>
        <w:spacing w:before="279"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保险凭证</w:t>
      </w:r>
    </w:p>
    <w:p w14:paraId="49ED2B6C">
      <w:pPr>
        <w:spacing w:before="157" w:line="220" w:lineRule="auto"/>
        <w:ind w:left="419"/>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承包人最迟应向发包人提交各项保险生效的证据和保险单副本</w:t>
      </w:r>
      <w:r>
        <w:rPr>
          <w:rFonts w:ascii="宋体" w:hAnsi="宋体" w:eastAsia="宋体" w:cs="宋体"/>
          <w:color w:val="auto"/>
          <w:spacing w:val="-1"/>
          <w:sz w:val="21"/>
          <w:szCs w:val="21"/>
          <w:highlight w:val="none"/>
        </w:rPr>
        <w:t>的期限：开工后</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
          <w:sz w:val="21"/>
          <w:szCs w:val="21"/>
          <w:highlight w:val="none"/>
        </w:rPr>
        <w:t>天</w:t>
      </w:r>
    </w:p>
    <w:p w14:paraId="67FD3C3E">
      <w:pPr>
        <w:spacing w:before="157" w:line="220" w:lineRule="auto"/>
        <w:ind w:left="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内。</w:t>
      </w:r>
    </w:p>
    <w:p w14:paraId="557C28E0">
      <w:pPr>
        <w:spacing w:before="160" w:line="221" w:lineRule="auto"/>
        <w:ind w:left="42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保险条件：</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75B6D680">
      <w:pPr>
        <w:spacing w:before="157"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20.6.4</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保险金不足的补偿</w:t>
      </w:r>
    </w:p>
    <w:p w14:paraId="2AC9EA50">
      <w:pPr>
        <w:spacing w:before="156" w:line="221" w:lineRule="auto"/>
        <w:ind w:left="41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承包人负责补偿的范围与金额：</w:t>
      </w:r>
      <w:r>
        <w:rPr>
          <w:rFonts w:ascii="宋体" w:hAnsi="宋体" w:eastAsia="宋体" w:cs="宋体"/>
          <w:color w:val="auto"/>
          <w:sz w:val="21"/>
          <w:szCs w:val="21"/>
          <w:highlight w:val="none"/>
          <w:u w:val="single" w:color="auto"/>
        </w:rPr>
        <w:t>全部由承包人负</w:t>
      </w:r>
      <w:r>
        <w:rPr>
          <w:rFonts w:ascii="宋体" w:hAnsi="宋体" w:eastAsia="宋体" w:cs="宋体"/>
          <w:color w:val="auto"/>
          <w:spacing w:val="-1"/>
          <w:sz w:val="21"/>
          <w:szCs w:val="21"/>
          <w:highlight w:val="none"/>
          <w:u w:val="single" w:color="auto"/>
        </w:rPr>
        <w:t>责补偿</w:t>
      </w:r>
      <w:r>
        <w:rPr>
          <w:rFonts w:ascii="宋体" w:hAnsi="宋体" w:eastAsia="宋体" w:cs="宋体"/>
          <w:color w:val="auto"/>
          <w:spacing w:val="-1"/>
          <w:sz w:val="21"/>
          <w:szCs w:val="21"/>
          <w:highlight w:val="none"/>
        </w:rPr>
        <w:t>；</w:t>
      </w:r>
    </w:p>
    <w:p w14:paraId="0070BD07">
      <w:pPr>
        <w:spacing w:before="157" w:line="221" w:lineRule="auto"/>
        <w:ind w:left="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发包人负责补偿的范围与金额：</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0AAAC077">
      <w:pPr>
        <w:spacing w:before="173" w:line="225" w:lineRule="auto"/>
        <w:ind w:left="7"/>
        <w:outlineLvl w:val="9"/>
        <w:rPr>
          <w:rFonts w:ascii="宋体" w:hAnsi="宋体" w:eastAsia="宋体" w:cs="宋体"/>
          <w:color w:val="auto"/>
          <w:sz w:val="31"/>
          <w:szCs w:val="31"/>
          <w:highlight w:val="none"/>
        </w:rPr>
      </w:pPr>
      <w:bookmarkStart w:id="337" w:name="bookmark267"/>
      <w:bookmarkEnd w:id="337"/>
      <w:bookmarkStart w:id="338" w:name="_Toc5113"/>
      <w:bookmarkStart w:id="339" w:name="_Toc8131"/>
      <w:r>
        <w:rPr>
          <w:rFonts w:ascii="宋体" w:hAnsi="宋体" w:eastAsia="宋体" w:cs="宋体"/>
          <w:b/>
          <w:bCs/>
          <w:color w:val="auto"/>
          <w:sz w:val="31"/>
          <w:szCs w:val="31"/>
          <w:highlight w:val="none"/>
        </w:rPr>
        <w:t>21.</w:t>
      </w:r>
      <w:r>
        <w:rPr>
          <w:rFonts w:ascii="宋体" w:hAnsi="宋体" w:eastAsia="宋体" w:cs="宋体"/>
          <w:color w:val="auto"/>
          <w:spacing w:val="29"/>
          <w:sz w:val="31"/>
          <w:szCs w:val="31"/>
          <w:highlight w:val="none"/>
        </w:rPr>
        <w:t xml:space="preserve"> </w:t>
      </w:r>
      <w:r>
        <w:rPr>
          <w:rFonts w:ascii="宋体" w:hAnsi="宋体" w:eastAsia="宋体" w:cs="宋体"/>
          <w:b/>
          <w:bCs/>
          <w:color w:val="auto"/>
          <w:sz w:val="31"/>
          <w:szCs w:val="31"/>
          <w:highlight w:val="none"/>
        </w:rPr>
        <w:t>不可抗力</w:t>
      </w:r>
      <w:bookmarkEnd w:id="338"/>
      <w:bookmarkEnd w:id="339"/>
    </w:p>
    <w:p w14:paraId="5A945683">
      <w:pPr>
        <w:spacing w:before="276"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不可抗力的确认</w:t>
      </w:r>
    </w:p>
    <w:p w14:paraId="705384CD">
      <w:pPr>
        <w:spacing w:before="280" w:line="221" w:lineRule="auto"/>
        <w:ind w:left="42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21.1.1 不可抗力的其他情形：</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08D062CA">
      <w:pPr>
        <w:spacing w:before="173" w:line="230" w:lineRule="auto"/>
        <w:ind w:left="7"/>
        <w:outlineLvl w:val="9"/>
        <w:rPr>
          <w:rFonts w:ascii="宋体" w:hAnsi="宋体" w:eastAsia="宋体" w:cs="宋体"/>
          <w:color w:val="auto"/>
          <w:sz w:val="31"/>
          <w:szCs w:val="31"/>
          <w:highlight w:val="none"/>
        </w:rPr>
      </w:pPr>
      <w:bookmarkStart w:id="340" w:name="bookmark268"/>
      <w:bookmarkEnd w:id="340"/>
      <w:bookmarkStart w:id="341" w:name="_Toc24135"/>
      <w:bookmarkStart w:id="342" w:name="_Toc4086"/>
      <w:r>
        <w:rPr>
          <w:rFonts w:ascii="宋体" w:hAnsi="宋体" w:eastAsia="宋体" w:cs="宋体"/>
          <w:b/>
          <w:bCs/>
          <w:color w:val="auto"/>
          <w:spacing w:val="-2"/>
          <w:sz w:val="31"/>
          <w:szCs w:val="31"/>
          <w:highlight w:val="none"/>
        </w:rPr>
        <w:t>22.</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2"/>
          <w:sz w:val="31"/>
          <w:szCs w:val="31"/>
          <w:highlight w:val="none"/>
        </w:rPr>
        <w:t>违约</w:t>
      </w:r>
      <w:bookmarkEnd w:id="341"/>
      <w:bookmarkEnd w:id="342"/>
    </w:p>
    <w:p w14:paraId="211AC50E">
      <w:pPr>
        <w:spacing w:before="268" w:line="220"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22.1</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承包人违约</w:t>
      </w:r>
    </w:p>
    <w:p w14:paraId="5A1A5186">
      <w:pPr>
        <w:spacing w:before="280" w:line="221" w:lineRule="auto"/>
        <w:ind w:left="41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22.1.2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对承包人违约的处理</w:t>
      </w:r>
    </w:p>
    <w:p w14:paraId="351D9600">
      <w:pPr>
        <w:spacing w:before="158" w:line="220" w:lineRule="auto"/>
        <w:ind w:left="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本项细化为：</w:t>
      </w:r>
    </w:p>
    <w:p w14:paraId="692F21D1">
      <w:pPr>
        <w:spacing w:before="157" w:line="348" w:lineRule="auto"/>
        <w:ind w:left="4" w:firstLine="41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22.1.2 当承包人发生第 22.1.1 项约定的违</w:t>
      </w:r>
      <w:r>
        <w:rPr>
          <w:rFonts w:ascii="宋体" w:hAnsi="宋体" w:eastAsia="宋体" w:cs="宋体"/>
          <w:color w:val="auto"/>
          <w:spacing w:val="-2"/>
          <w:sz w:val="21"/>
          <w:szCs w:val="21"/>
          <w:highlight w:val="none"/>
        </w:rPr>
        <w:t>约情况时，发包人有权向承包人课以违约金，具体</w:t>
      </w:r>
      <w:r>
        <w:rPr>
          <w:rFonts w:ascii="宋体" w:hAnsi="宋体" w:eastAsia="宋体" w:cs="宋体"/>
          <w:color w:val="auto"/>
          <w:sz w:val="21"/>
          <w:szCs w:val="21"/>
          <w:highlight w:val="none"/>
        </w:rPr>
        <w:t>约定如下：</w:t>
      </w:r>
    </w:p>
    <w:p w14:paraId="393BF2F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项目承包人在施工现场需配备标准化项目部，明确组成部分，配备标准化设施（智能刷脸系统等），配备足够的按表土剥离区划分的区域施工监督公示牌，具备创建标准化工地基本条件。</w:t>
      </w:r>
    </w:p>
    <w:p w14:paraId="5F5E37A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人员驻场要求：承包人项目经理、技术负责人等纳入生物识别系统进行管理和考核，必须常驻施工现场，履行义务，不得随意更换，且每月出勤天数不得少于22天，否则，每缺勤一次扣除违约金2000元；根据业主会议通知，项目经理、技术负责人等人员每缺席一次会议扣除违约金 5000元。专职质检员、专职安全员、专职资料员每月驻工地天数不得少于22 天，每缺勤一天扣除违约金 1000元。以上情况情节严重的，予以上网公示，报招投标管理部门对施工总承包企业和项目经理予以约谈、信用扣分、直至上“黑名单”。</w:t>
      </w:r>
    </w:p>
    <w:p w14:paraId="0E1242A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2、专项施工方案要求： 田块整治、灌溉与排水、田间道路等影响工程质量、工期的重要分部分项工程，施工总承包企业必须组织技术人员，经现场勘测、测量，建立施工控制网，编制专项施工方案，经发包人组织论证后方可按程序施工，否则每次扣罚1万元。  </w:t>
      </w:r>
    </w:p>
    <w:p w14:paraId="41D4B52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原材料、构配件和设备要求：承包人所采购并进入高标准农田建设项目施工现场的建筑材料、构配件和设备应具有质量保证资料（每批次的产品合格证、检测检验报告等）。进场的混凝土必须为商混并满足抗冻、抗渗、抗折等要求，商混严禁使用再生料拌制；使用的水泥等级标准最低满足42.5普通硅酸盐水泥；现场必须配备足够的新模具、新模板，严禁使用旧、变形等材料；以上每发现一次扣除违约金5000元，责令不符合要求的材料设备立即退场。施工单位、监理单位应对原材料和中间材料见证取样和送检，并对构配件和设备等进行抽检，合格并批准后方可使用，未经检查、检验擅自用于工程的，每次扣除违约金5000元，累计达三次以上发包人有权扣罚30%的履约保证金，并予以上网公示，报招投标管理部门对施工总承包企业和项目经理予以约谈、信用扣分、直至上“黑名单”。</w:t>
      </w:r>
    </w:p>
    <w:p w14:paraId="0B30F3C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工序、隐蔽工程施工要求：施工单位必须建立、健全施工质量的检验制度，严格工序管理，作好隐蔽工程的质量检查和记录。灌溉与排水、田间道路、构筑物等影响工程质量的重要工程，上一工序完工，隐蔽工程在隐蔽前，必须经发包方、监理方或发包方指定单位（人员）验收合格后方可进入下道工序，未经验收直接进入下道工序施工的，未造成质量安全问题的每次扣罚0.5万元，造成质量安全问题每次扣除违约金1万元-3万元，并无条件进行整改建设，累计达三次以上，扣除50%的履约保证金，予以上网公示并报招投标管理部门予以约谈、信用扣分、直至上“黑名单”。</w:t>
      </w:r>
    </w:p>
    <w:p w14:paraId="61C856C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农民工工资要求：严格按照国家法律、法规、政策及时办理农民工工资保函、保证金及有关要求，承包人在施工过程中，必须按月足额支付人工工资，乡镇组织的工程竣工验收前，承包人必须全部付清农民工工资、工程机械费等费用，否则不予拨付相应的进度款。因发放不及时造成上访或其他不稳定因素的，每次扣除违约金1-5万元。以上情况情节严重的，予以上网公示，报招投标管理部门对施工总承包企业和项目经理予以约谈、信用扣分、直至上“黑名单”。</w:t>
      </w:r>
    </w:p>
    <w:p w14:paraId="5C780F0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工程质量处置要求：承包人施工的工程质量不符合要求、发生严重质量（安全）事故、无故托延工期，发包人有权单方解除与承包人签订的施工合同。承包人从收到发包人要求撤离现场书面通知之日起7日内，必须无条件撤离现场（包括所有未使用的材料、机械、设备、成品、半成品，合同解除后，此部分发包人不支付任何费用），并自行承担撤离现场所发生的一切费用，同时发包人解除与承包人签订的施工合同，且不退还履约保证金，并报招投标管理部门予以信用扣分、上“黑名单”。</w:t>
      </w:r>
    </w:p>
    <w:p w14:paraId="5C621BF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安全生产和文明施工：严格遵守国家安全生产和文明施工规定，因承包人原因造成的各类人身伤亡等事故，其责任和费用均由承包人自行承担。承包人未按国家规定的安全文明施工标准施工，每发现一次扣罚2000元，累计达三次以上，发包人不支付安全文明施工专项费用。</w:t>
      </w:r>
    </w:p>
    <w:p w14:paraId="09A0615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8、按图施工：承包人未经发包人同意，不得随意变更田块大小和形状以及渠系和道路等位置，不按设计图纸施工，每发现一处扣罚1万元。</w:t>
      </w:r>
    </w:p>
    <w:p w14:paraId="5E32EAD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9、工程施工时间节点：结合工程特点，2025 年11月20日前必须完成田块第一次平整、深翻和有机肥播撒等，2026 年5月30日前对平整不到位的地块必须进行二次上水平整验收并交付正常使用，2026年11月20日前田块完成一季作物种植后仍未达到平整要求必须无条件开展再次平整，2026 年2月28日前完成塘坝清淤、扩建、填埋，机耕路、生产路路基等所有土方工程，2026 年4月30日前完成沟渠硬化、下田坡、道路，泵站、电力等所有水工建筑，未按时间节点完成的视情形扣罚1-5万元。</w:t>
      </w:r>
    </w:p>
    <w:p w14:paraId="3291DE5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竣工图：承包人提交竣工图（实测，定点定位）时必须同时提交竣工图光盘，光盘内容必须与竣工图相符，因承包人提供的竣工图与现场实际不符在后期造成不良后果的，所发生的整改费用由承包人承担并给予扣罚合同价的1-5%的罚金。</w:t>
      </w:r>
    </w:p>
    <w:p w14:paraId="5AD8467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信访投诉及舆情问题处理：由施工单位施工造成“12345”等信访投诉、社会舆情等方面问题，每发现一起扣除违约金5000元。由施工单位施工引起的未及时报告并积极解决的，造成不良社会影响，根据施工造成损失的程度扣除合同价款的0.1‰-5‰，直至承包人妥善解决问题为止。以上情况情节严重造成恶劣影响的，予以上网公示，报招投标管理部门对施工总承包企业和项目经理予以约谈、信用扣分、直至上“黑名单”。</w:t>
      </w:r>
    </w:p>
    <w:p w14:paraId="08E490A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以上扣除的违约金由审计单位从项目合同价款中据实予以扣除。</w:t>
      </w:r>
    </w:p>
    <w:p w14:paraId="497AEFB9">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有机肥要求：</w:t>
      </w:r>
      <w:r>
        <w:rPr>
          <w:rFonts w:hint="eastAsia" w:asciiTheme="minorEastAsia" w:hAnsiTheme="minorEastAsia" w:eastAsiaTheme="minorEastAsia" w:cstheme="minorEastAsia"/>
          <w:color w:val="auto"/>
          <w:sz w:val="21"/>
          <w:szCs w:val="21"/>
          <w:highlight w:val="none"/>
          <w:lang w:val="en-US" w:eastAsia="zh-CN"/>
        </w:rPr>
        <w:t>1、肥料标准需满足有机肥的产品标准：NY525—2021（农业部颁布的有机肥料的行业标准号）。2、有机肥料外观为颗粒状均匀，无恶臭，无机械杂质；3、有机肥料用覆膜编织袋或塑料编织袋衬聚乙烯内袋包装，每袋净含量（50±0.5）kg、（40±0.4）kg、（25±0.25）kg；有机肥包装袋上应注明：产品名称、商标、有机质含量、总养分含量、净含量、标准号、登记证号（或备案号）、企业名称、厂址。4、包含施肥播撒工作。</w:t>
      </w:r>
    </w:p>
    <w:p w14:paraId="0D5EFBE3">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土地深翻要求：</w:t>
      </w:r>
      <w:r>
        <w:rPr>
          <w:rFonts w:hint="eastAsia" w:asciiTheme="minorEastAsia" w:hAnsiTheme="minorEastAsia" w:eastAsiaTheme="minorEastAsia" w:cstheme="minorEastAsia"/>
          <w:color w:val="auto"/>
          <w:sz w:val="21"/>
          <w:szCs w:val="21"/>
          <w:highlight w:val="none"/>
          <w:lang w:val="en-US" w:eastAsia="zh-CN"/>
        </w:rPr>
        <w:t>拖拉机马力180匹以上并相配套的翻转犁、铧式犁作业机具，深翻深度≥25cm，各行深度一致，到边到角，不重不漏。</w:t>
      </w:r>
    </w:p>
    <w:p w14:paraId="2D519118">
      <w:pPr>
        <w:spacing w:before="296" w:line="221" w:lineRule="auto"/>
        <w:ind w:left="142"/>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22.2</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5"/>
          <w:sz w:val="28"/>
          <w:szCs w:val="28"/>
          <w:highlight w:val="none"/>
        </w:rPr>
        <w:t>发包人违约</w:t>
      </w:r>
    </w:p>
    <w:p w14:paraId="76CAA11C">
      <w:pPr>
        <w:spacing w:before="279" w:line="221" w:lineRule="auto"/>
        <w:ind w:left="424"/>
        <w:outlineLvl w:val="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22.2.2</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承包人有权暂停施工</w:t>
      </w:r>
    </w:p>
    <w:p w14:paraId="27E9F342">
      <w:pPr>
        <w:spacing w:before="42" w:line="220" w:lineRule="auto"/>
        <w:ind w:left="419"/>
        <w:outlineLvl w:val="9"/>
        <w:rPr>
          <w:rFonts w:ascii="宋体" w:hAnsi="宋体" w:eastAsia="宋体" w:cs="宋体"/>
          <w:color w:val="auto"/>
          <w:spacing w:val="-4"/>
          <w:sz w:val="21"/>
          <w:szCs w:val="21"/>
          <w:highlight w:val="none"/>
        </w:rPr>
      </w:pPr>
    </w:p>
    <w:p w14:paraId="40E9C84A">
      <w:pPr>
        <w:spacing w:before="42" w:line="220" w:lineRule="auto"/>
        <w:ind w:left="419"/>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本项补充以下内容：</w:t>
      </w:r>
    </w:p>
    <w:p w14:paraId="68414D07">
      <w:pPr>
        <w:spacing w:before="158" w:line="346" w:lineRule="auto"/>
        <w:ind w:left="4" w:right="4" w:firstLine="426"/>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当</w:t>
      </w:r>
      <w:r>
        <w:rPr>
          <w:rFonts w:ascii="宋体" w:hAnsi="宋体" w:eastAsia="宋体" w:cs="宋体"/>
          <w:color w:val="auto"/>
          <w:spacing w:val="-58"/>
          <w:sz w:val="21"/>
          <w:szCs w:val="21"/>
          <w:highlight w:val="none"/>
        </w:rPr>
        <w:t xml:space="preserve"> </w:t>
      </w:r>
      <w:r>
        <w:rPr>
          <w:rFonts w:ascii="宋体" w:hAnsi="宋体" w:eastAsia="宋体" w:cs="宋体"/>
          <w:color w:val="auto"/>
          <w:spacing w:val="4"/>
          <w:sz w:val="21"/>
          <w:szCs w:val="21"/>
          <w:highlight w:val="none"/>
        </w:rPr>
        <w:t>发包</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人</w:t>
      </w:r>
      <w:r>
        <w:rPr>
          <w:rFonts w:ascii="宋体" w:hAnsi="宋体" w:eastAsia="宋体" w:cs="宋体"/>
          <w:color w:val="auto"/>
          <w:spacing w:val="-60"/>
          <w:sz w:val="21"/>
          <w:szCs w:val="21"/>
          <w:highlight w:val="none"/>
        </w:rPr>
        <w:t xml:space="preserve"> </w:t>
      </w:r>
      <w:r>
        <w:rPr>
          <w:rFonts w:ascii="宋体" w:hAnsi="宋体" w:eastAsia="宋体" w:cs="宋体"/>
          <w:color w:val="auto"/>
          <w:spacing w:val="4"/>
          <w:sz w:val="21"/>
          <w:szCs w:val="21"/>
          <w:highlight w:val="none"/>
        </w:rPr>
        <w:t>发生第22.2.1项</w:t>
      </w:r>
      <w:r>
        <w:rPr>
          <w:rFonts w:ascii="宋体" w:hAnsi="宋体" w:eastAsia="宋体" w:cs="宋体"/>
          <w:color w:val="auto"/>
          <w:spacing w:val="-59"/>
          <w:sz w:val="21"/>
          <w:szCs w:val="21"/>
          <w:highlight w:val="none"/>
        </w:rPr>
        <w:t xml:space="preserve"> </w:t>
      </w:r>
      <w:r>
        <w:rPr>
          <w:rFonts w:ascii="宋体" w:hAnsi="宋体" w:eastAsia="宋体" w:cs="宋体"/>
          <w:color w:val="auto"/>
          <w:spacing w:val="4"/>
          <w:sz w:val="21"/>
          <w:szCs w:val="21"/>
          <w:highlight w:val="none"/>
        </w:rPr>
        <w:t>约</w:t>
      </w:r>
      <w:r>
        <w:rPr>
          <w:rFonts w:ascii="宋体" w:hAnsi="宋体" w:eastAsia="宋体" w:cs="宋体"/>
          <w:color w:val="auto"/>
          <w:spacing w:val="-58"/>
          <w:sz w:val="21"/>
          <w:szCs w:val="21"/>
          <w:highlight w:val="none"/>
        </w:rPr>
        <w:t xml:space="preserve"> </w:t>
      </w:r>
      <w:r>
        <w:rPr>
          <w:rFonts w:ascii="宋体" w:hAnsi="宋体" w:eastAsia="宋体" w:cs="宋体"/>
          <w:color w:val="auto"/>
          <w:spacing w:val="4"/>
          <w:sz w:val="21"/>
          <w:szCs w:val="21"/>
          <w:highlight w:val="none"/>
        </w:rPr>
        <w:t>定</w:t>
      </w:r>
      <w:r>
        <w:rPr>
          <w:rFonts w:ascii="宋体" w:hAnsi="宋体" w:eastAsia="宋体" w:cs="宋体"/>
          <w:color w:val="auto"/>
          <w:spacing w:val="-46"/>
          <w:sz w:val="21"/>
          <w:szCs w:val="21"/>
          <w:highlight w:val="none"/>
        </w:rPr>
        <w:t xml:space="preserve"> </w:t>
      </w:r>
      <w:r>
        <w:rPr>
          <w:rFonts w:ascii="宋体" w:hAnsi="宋体" w:eastAsia="宋体" w:cs="宋体"/>
          <w:color w:val="auto"/>
          <w:spacing w:val="4"/>
          <w:sz w:val="21"/>
          <w:szCs w:val="21"/>
          <w:highlight w:val="none"/>
        </w:rPr>
        <w:t>的违</w:t>
      </w:r>
      <w:r>
        <w:rPr>
          <w:rFonts w:ascii="宋体" w:hAnsi="宋体" w:eastAsia="宋体" w:cs="宋体"/>
          <w:color w:val="auto"/>
          <w:spacing w:val="-58"/>
          <w:sz w:val="21"/>
          <w:szCs w:val="21"/>
          <w:highlight w:val="none"/>
        </w:rPr>
        <w:t xml:space="preserve"> </w:t>
      </w:r>
      <w:r>
        <w:rPr>
          <w:rFonts w:ascii="宋体" w:hAnsi="宋体" w:eastAsia="宋体" w:cs="宋体"/>
          <w:color w:val="auto"/>
          <w:spacing w:val="4"/>
          <w:sz w:val="21"/>
          <w:szCs w:val="21"/>
          <w:highlight w:val="none"/>
        </w:rPr>
        <w:t>约情况</w:t>
      </w:r>
      <w:r>
        <w:rPr>
          <w:rFonts w:ascii="宋体" w:hAnsi="宋体" w:eastAsia="宋体" w:cs="宋体"/>
          <w:color w:val="auto"/>
          <w:spacing w:val="-54"/>
          <w:sz w:val="21"/>
          <w:szCs w:val="21"/>
          <w:highlight w:val="none"/>
        </w:rPr>
        <w:t xml:space="preserve"> </w:t>
      </w:r>
      <w:r>
        <w:rPr>
          <w:rFonts w:ascii="宋体" w:hAnsi="宋体" w:eastAsia="宋体" w:cs="宋体"/>
          <w:color w:val="auto"/>
          <w:spacing w:val="4"/>
          <w:sz w:val="21"/>
          <w:szCs w:val="21"/>
          <w:highlight w:val="none"/>
        </w:rPr>
        <w:t>时</w:t>
      </w:r>
      <w:r>
        <w:rPr>
          <w:rFonts w:ascii="宋体" w:hAnsi="宋体" w:eastAsia="宋体" w:cs="宋体"/>
          <w:color w:val="auto"/>
          <w:spacing w:val="-51"/>
          <w:sz w:val="21"/>
          <w:szCs w:val="21"/>
          <w:highlight w:val="none"/>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发包</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人应</w:t>
      </w:r>
      <w:r>
        <w:rPr>
          <w:rFonts w:ascii="宋体" w:hAnsi="宋体" w:eastAsia="宋体" w:cs="宋体"/>
          <w:color w:val="auto"/>
          <w:spacing w:val="-45"/>
          <w:sz w:val="21"/>
          <w:szCs w:val="21"/>
          <w:highlight w:val="none"/>
        </w:rPr>
        <w:t xml:space="preserve"> </w:t>
      </w:r>
      <w:r>
        <w:rPr>
          <w:rFonts w:ascii="宋体" w:hAnsi="宋体" w:eastAsia="宋体" w:cs="宋体"/>
          <w:color w:val="auto"/>
          <w:spacing w:val="4"/>
          <w:sz w:val="21"/>
          <w:szCs w:val="21"/>
          <w:highlight w:val="none"/>
        </w:rPr>
        <w:t>向承包人</w:t>
      </w:r>
      <w:r>
        <w:rPr>
          <w:rFonts w:ascii="宋体" w:hAnsi="宋体" w:eastAsia="宋体" w:cs="宋体"/>
          <w:color w:val="auto"/>
          <w:spacing w:val="-62"/>
          <w:sz w:val="21"/>
          <w:szCs w:val="21"/>
          <w:highlight w:val="none"/>
        </w:rPr>
        <w:t xml:space="preserve"> </w:t>
      </w:r>
      <w:r>
        <w:rPr>
          <w:rFonts w:ascii="宋体" w:hAnsi="宋体" w:eastAsia="宋体" w:cs="宋体"/>
          <w:color w:val="auto"/>
          <w:spacing w:val="4"/>
          <w:sz w:val="21"/>
          <w:szCs w:val="21"/>
          <w:highlight w:val="none"/>
        </w:rPr>
        <w:t>支付</w:t>
      </w:r>
      <w:r>
        <w:rPr>
          <w:rFonts w:ascii="宋体" w:hAnsi="宋体" w:eastAsia="宋体" w:cs="宋体"/>
          <w:color w:val="auto"/>
          <w:spacing w:val="-46"/>
          <w:sz w:val="21"/>
          <w:szCs w:val="21"/>
          <w:highlight w:val="none"/>
        </w:rPr>
        <w:t xml:space="preserve"> </w:t>
      </w:r>
      <w:r>
        <w:rPr>
          <w:rFonts w:ascii="宋体" w:hAnsi="宋体" w:eastAsia="宋体" w:cs="宋体"/>
          <w:color w:val="auto"/>
          <w:spacing w:val="4"/>
          <w:sz w:val="21"/>
          <w:szCs w:val="21"/>
          <w:highlight w:val="none"/>
        </w:rPr>
        <w:t>的违</w:t>
      </w:r>
      <w:r>
        <w:rPr>
          <w:rFonts w:ascii="宋体" w:hAnsi="宋体" w:eastAsia="宋体" w:cs="宋体"/>
          <w:color w:val="auto"/>
          <w:spacing w:val="-58"/>
          <w:sz w:val="21"/>
          <w:szCs w:val="21"/>
          <w:highlight w:val="none"/>
        </w:rPr>
        <w:t xml:space="preserve"> </w:t>
      </w:r>
      <w:r>
        <w:rPr>
          <w:rFonts w:ascii="宋体" w:hAnsi="宋体" w:eastAsia="宋体" w:cs="宋体"/>
          <w:color w:val="auto"/>
          <w:spacing w:val="4"/>
          <w:sz w:val="21"/>
          <w:szCs w:val="21"/>
          <w:highlight w:val="none"/>
        </w:rPr>
        <w:t>约</w:t>
      </w:r>
      <w:r>
        <w:rPr>
          <w:rFonts w:ascii="宋体" w:hAnsi="宋体" w:eastAsia="宋体" w:cs="宋体"/>
          <w:color w:val="auto"/>
          <w:spacing w:val="-62"/>
          <w:sz w:val="21"/>
          <w:szCs w:val="21"/>
          <w:highlight w:val="none"/>
        </w:rPr>
        <w:t xml:space="preserve"> </w:t>
      </w:r>
      <w:r>
        <w:rPr>
          <w:rFonts w:ascii="宋体" w:hAnsi="宋体" w:eastAsia="宋体" w:cs="宋体"/>
          <w:color w:val="auto"/>
          <w:spacing w:val="4"/>
          <w:sz w:val="21"/>
          <w:szCs w:val="21"/>
          <w:highlight w:val="none"/>
        </w:rPr>
        <w:t>金</w:t>
      </w:r>
      <w:r>
        <w:rPr>
          <w:rFonts w:ascii="宋体" w:hAnsi="宋体" w:eastAsia="宋体" w:cs="宋体"/>
          <w:color w:val="auto"/>
          <w:spacing w:val="-63"/>
          <w:sz w:val="21"/>
          <w:szCs w:val="21"/>
          <w:highlight w:val="none"/>
        </w:rPr>
        <w:t xml:space="preserve"> </w:t>
      </w:r>
      <w:r>
        <w:rPr>
          <w:rFonts w:ascii="宋体" w:hAnsi="宋体" w:eastAsia="宋体" w:cs="宋体"/>
          <w:color w:val="auto"/>
          <w:spacing w:val="4"/>
          <w:sz w:val="21"/>
          <w:szCs w:val="21"/>
          <w:highlight w:val="none"/>
        </w:rPr>
        <w:t>如</w:t>
      </w:r>
      <w:r>
        <w:rPr>
          <w:rFonts w:ascii="宋体" w:hAnsi="宋体" w:eastAsia="宋体" w:cs="宋体"/>
          <w:color w:val="auto"/>
          <w:spacing w:val="-5"/>
          <w:sz w:val="21"/>
          <w:szCs w:val="21"/>
          <w:highlight w:val="none"/>
        </w:rPr>
        <w:t>下：</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5"/>
          <w:sz w:val="21"/>
          <w:szCs w:val="21"/>
          <w:highlight w:val="none"/>
        </w:rPr>
        <w:t>。</w:t>
      </w:r>
    </w:p>
    <w:p w14:paraId="13525EBA">
      <w:pPr>
        <w:spacing w:line="351" w:lineRule="auto"/>
        <w:outlineLvl w:val="9"/>
        <w:rPr>
          <w:rFonts w:ascii="Arial"/>
          <w:color w:val="auto"/>
          <w:sz w:val="21"/>
          <w:highlight w:val="none"/>
        </w:rPr>
      </w:pPr>
    </w:p>
    <w:p w14:paraId="6EB1B253">
      <w:pPr>
        <w:spacing w:before="101" w:line="225" w:lineRule="auto"/>
        <w:ind w:left="6"/>
        <w:outlineLvl w:val="9"/>
        <w:rPr>
          <w:rFonts w:ascii="宋体" w:hAnsi="宋体" w:eastAsia="宋体" w:cs="宋体"/>
          <w:color w:val="auto"/>
          <w:sz w:val="31"/>
          <w:szCs w:val="31"/>
          <w:highlight w:val="none"/>
        </w:rPr>
      </w:pPr>
      <w:bookmarkStart w:id="343" w:name="bookmark269"/>
      <w:bookmarkEnd w:id="343"/>
      <w:bookmarkStart w:id="344" w:name="_Toc9523"/>
      <w:bookmarkStart w:id="345" w:name="_Toc8897"/>
      <w:r>
        <w:rPr>
          <w:rFonts w:ascii="宋体" w:hAnsi="宋体" w:eastAsia="宋体" w:cs="宋体"/>
          <w:b/>
          <w:bCs/>
          <w:color w:val="auto"/>
          <w:spacing w:val="1"/>
          <w:sz w:val="31"/>
          <w:szCs w:val="31"/>
          <w:highlight w:val="none"/>
        </w:rPr>
        <w:t>24.</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1"/>
          <w:sz w:val="31"/>
          <w:szCs w:val="31"/>
          <w:highlight w:val="none"/>
        </w:rPr>
        <w:t>争议的解决</w:t>
      </w:r>
      <w:bookmarkEnd w:id="344"/>
      <w:bookmarkEnd w:id="345"/>
    </w:p>
    <w:p w14:paraId="4CB397A3">
      <w:pPr>
        <w:spacing w:before="274" w:line="220" w:lineRule="auto"/>
        <w:ind w:left="141"/>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24.1</w:t>
      </w:r>
      <w:r>
        <w:rPr>
          <w:rFonts w:ascii="宋体" w:hAnsi="宋体" w:eastAsia="宋体" w:cs="宋体"/>
          <w:color w:val="auto"/>
          <w:spacing w:val="-50"/>
          <w:sz w:val="28"/>
          <w:szCs w:val="28"/>
          <w:highlight w:val="none"/>
        </w:rPr>
        <w:t xml:space="preserve"> </w:t>
      </w:r>
      <w:r>
        <w:rPr>
          <w:rFonts w:ascii="宋体" w:hAnsi="宋体" w:eastAsia="宋体" w:cs="宋体"/>
          <w:b/>
          <w:bCs/>
          <w:color w:val="auto"/>
          <w:spacing w:val="-5"/>
          <w:sz w:val="28"/>
          <w:szCs w:val="28"/>
          <w:highlight w:val="none"/>
        </w:rPr>
        <w:t>争议的解决方式</w:t>
      </w:r>
    </w:p>
    <w:p w14:paraId="68B4514E">
      <w:pPr>
        <w:spacing w:before="281" w:line="347" w:lineRule="auto"/>
        <w:ind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合同当事人友好协商解决不成、不愿提请争议评审或不接受争议评审组意</w:t>
      </w:r>
      <w:r>
        <w:rPr>
          <w:rFonts w:ascii="宋体" w:hAnsi="宋体" w:eastAsia="宋体" w:cs="宋体"/>
          <w:color w:val="auto"/>
          <w:sz w:val="21"/>
          <w:szCs w:val="21"/>
          <w:highlight w:val="none"/>
        </w:rPr>
        <w:t xml:space="preserve">见的，约定的合同争 </w:t>
      </w:r>
      <w:r>
        <w:rPr>
          <w:rFonts w:ascii="宋体" w:hAnsi="宋体" w:eastAsia="宋体" w:cs="宋体"/>
          <w:color w:val="auto"/>
          <w:spacing w:val="-2"/>
          <w:sz w:val="21"/>
          <w:szCs w:val="21"/>
          <w:highlight w:val="none"/>
        </w:rPr>
        <w:t>议解决方式：选择下列</w:t>
      </w:r>
      <w:r>
        <w:rPr>
          <w:rFonts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lang w:val="en-US" w:eastAsia="zh-CN"/>
        </w:rPr>
        <w:t>2</w:t>
      </w:r>
      <w:r>
        <w:rPr>
          <w:rFonts w:hint="eastAsia" w:ascii="宋体" w:hAnsi="宋体" w:eastAsia="宋体" w:cs="宋体"/>
          <w:color w:val="auto"/>
          <w:spacing w:val="-2"/>
          <w:sz w:val="21"/>
          <w:szCs w:val="21"/>
          <w:highlight w:val="none"/>
          <w:u w:val="single" w:color="auto"/>
          <w:lang w:eastAsia="zh-CN"/>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2"/>
          <w:sz w:val="21"/>
          <w:szCs w:val="21"/>
          <w:highlight w:val="none"/>
        </w:rPr>
        <w:t>方式解决：</w:t>
      </w:r>
    </w:p>
    <w:p w14:paraId="498AC3D1">
      <w:pPr>
        <w:spacing w:before="28" w:line="220" w:lineRule="auto"/>
        <w:ind w:left="424"/>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（1）向</w:t>
      </w:r>
      <w:r>
        <w:rPr>
          <w:rFonts w:ascii="宋体" w:hAnsi="宋体" w:eastAsia="宋体" w:cs="宋体"/>
          <w:color w:val="auto"/>
          <w:spacing w:val="-79"/>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5"/>
          <w:sz w:val="21"/>
          <w:szCs w:val="21"/>
          <w:highlight w:val="none"/>
        </w:rPr>
        <w:t>仲裁委员会申请仲裁；</w:t>
      </w:r>
    </w:p>
    <w:p w14:paraId="33386BB9">
      <w:pPr>
        <w:spacing w:before="158" w:line="221" w:lineRule="auto"/>
        <w:ind w:left="424"/>
        <w:outlineLvl w:val="9"/>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（2）向</w:t>
      </w:r>
      <w:r>
        <w:rPr>
          <w:rFonts w:ascii="宋体" w:hAnsi="宋体" w:eastAsia="宋体" w:cs="宋体"/>
          <w:color w:val="auto"/>
          <w:spacing w:val="-75"/>
          <w:sz w:val="21"/>
          <w:szCs w:val="21"/>
          <w:highlight w:val="none"/>
        </w:rPr>
        <w:t xml:space="preserve"> </w:t>
      </w:r>
      <w:r>
        <w:rPr>
          <w:rFonts w:hint="eastAsia" w:ascii="宋体" w:hAnsi="宋体" w:eastAsia="宋体" w:cs="宋体"/>
          <w:color w:val="auto"/>
          <w:sz w:val="21"/>
          <w:szCs w:val="21"/>
          <w:highlight w:val="none"/>
          <w:u w:val="single" w:color="auto"/>
          <w:lang w:val="en-US" w:eastAsia="zh-CN"/>
        </w:rPr>
        <w:t>肥东县</w:t>
      </w:r>
      <w:r>
        <w:rPr>
          <w:rFonts w:ascii="宋体" w:hAnsi="宋体" w:eastAsia="宋体" w:cs="宋体"/>
          <w:color w:val="auto"/>
          <w:spacing w:val="-94"/>
          <w:sz w:val="21"/>
          <w:szCs w:val="21"/>
          <w:highlight w:val="none"/>
        </w:rPr>
        <w:t xml:space="preserve"> </w:t>
      </w:r>
      <w:r>
        <w:rPr>
          <w:rFonts w:ascii="宋体" w:hAnsi="宋体" w:eastAsia="宋体" w:cs="宋体"/>
          <w:color w:val="auto"/>
          <w:spacing w:val="-4"/>
          <w:sz w:val="21"/>
          <w:szCs w:val="21"/>
          <w:highlight w:val="none"/>
        </w:rPr>
        <w:t>人民法院提起诉讼。</w:t>
      </w:r>
    </w:p>
    <w:p w14:paraId="3D9913F0">
      <w:pPr>
        <w:outlineLvl w:val="9"/>
        <w:rPr>
          <w:color w:val="auto"/>
          <w:highlight w:val="none"/>
        </w:rPr>
      </w:pPr>
    </w:p>
    <w:p w14:paraId="2A5D281C">
      <w:pPr>
        <w:spacing w:before="64" w:line="224" w:lineRule="auto"/>
        <w:ind w:left="2974"/>
        <w:outlineLvl w:val="9"/>
        <w:rPr>
          <w:rFonts w:ascii="宋体" w:hAnsi="宋体" w:eastAsia="宋体" w:cs="宋体"/>
          <w:color w:val="auto"/>
          <w:sz w:val="31"/>
          <w:szCs w:val="31"/>
          <w:highlight w:val="none"/>
        </w:rPr>
      </w:pPr>
      <w:bookmarkStart w:id="346" w:name="bookmark270"/>
      <w:bookmarkEnd w:id="346"/>
      <w:r>
        <w:rPr>
          <w:rFonts w:ascii="宋体" w:hAnsi="宋体" w:eastAsia="宋体" w:cs="宋体"/>
          <w:b/>
          <w:bCs/>
          <w:color w:val="auto"/>
          <w:spacing w:val="6"/>
          <w:sz w:val="31"/>
          <w:szCs w:val="31"/>
          <w:highlight w:val="none"/>
        </w:rPr>
        <w:t>第三节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合同附件格式</w:t>
      </w:r>
    </w:p>
    <w:p w14:paraId="357F0DCF">
      <w:pPr>
        <w:spacing w:before="65" w:line="219" w:lineRule="auto"/>
        <w:ind w:left="32"/>
        <w:outlineLvl w:val="9"/>
        <w:rPr>
          <w:rFonts w:ascii="宋体" w:hAnsi="宋体" w:eastAsia="宋体" w:cs="宋体"/>
          <w:color w:val="auto"/>
          <w:sz w:val="28"/>
          <w:szCs w:val="28"/>
          <w:highlight w:val="none"/>
        </w:rPr>
      </w:pPr>
      <w:bookmarkStart w:id="347" w:name="_Toc20315"/>
      <w:bookmarkStart w:id="348" w:name="_Toc6242"/>
      <w:r>
        <w:rPr>
          <w:rFonts w:ascii="宋体" w:hAnsi="宋体" w:eastAsia="宋体" w:cs="宋体"/>
          <w:b/>
          <w:bCs/>
          <w:color w:val="auto"/>
          <w:spacing w:val="-8"/>
          <w:sz w:val="28"/>
          <w:szCs w:val="28"/>
          <w:highlight w:val="none"/>
        </w:rPr>
        <w:t>附件一：合同协议书</w:t>
      </w:r>
      <w:bookmarkEnd w:id="347"/>
      <w:bookmarkEnd w:id="348"/>
    </w:p>
    <w:p w14:paraId="0655ABAE">
      <w:pPr>
        <w:spacing w:line="407" w:lineRule="auto"/>
        <w:outlineLvl w:val="9"/>
        <w:rPr>
          <w:rFonts w:ascii="Arial"/>
          <w:color w:val="auto"/>
          <w:sz w:val="21"/>
          <w:highlight w:val="none"/>
        </w:rPr>
      </w:pPr>
    </w:p>
    <w:p w14:paraId="620F3FC0">
      <w:pPr>
        <w:spacing w:before="91" w:line="219" w:lineRule="auto"/>
        <w:ind w:left="3842"/>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合同协议书</w:t>
      </w:r>
    </w:p>
    <w:p w14:paraId="4AFC0F06">
      <w:pPr>
        <w:spacing w:line="394" w:lineRule="auto"/>
        <w:outlineLvl w:val="9"/>
        <w:rPr>
          <w:rFonts w:ascii="Arial"/>
          <w:color w:val="auto"/>
          <w:sz w:val="21"/>
          <w:highlight w:val="none"/>
        </w:rPr>
      </w:pPr>
    </w:p>
    <w:p w14:paraId="00BAAC19">
      <w:pPr>
        <w:tabs>
          <w:tab w:val="left" w:pos="1095"/>
        </w:tabs>
        <w:spacing w:before="68" w:line="350" w:lineRule="auto"/>
        <w:ind w:left="8" w:firstLine="351"/>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3"/>
          <w:sz w:val="21"/>
          <w:szCs w:val="21"/>
          <w:highlight w:val="none"/>
        </w:rPr>
        <w:t>（发包人名称，以下简称“发包人”）为实施</w:t>
      </w:r>
      <w:r>
        <w:rPr>
          <w:rFonts w:ascii="宋体" w:hAnsi="宋体" w:eastAsia="宋体" w:cs="宋体"/>
          <w:color w:val="auto"/>
          <w:spacing w:val="-100"/>
          <w:sz w:val="21"/>
          <w:szCs w:val="21"/>
          <w:highlight w:val="none"/>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rPr>
        <w:t>（项目名称</w:t>
      </w:r>
      <w:r>
        <w:rPr>
          <w:rFonts w:ascii="宋体" w:hAnsi="宋体" w:eastAsia="宋体" w:cs="宋体"/>
          <w:color w:val="auto"/>
          <w:spacing w:val="-51"/>
          <w:w w:val="92"/>
          <w:sz w:val="21"/>
          <w:szCs w:val="21"/>
          <w:highlight w:val="none"/>
        </w:rPr>
        <w:t>），</w:t>
      </w:r>
      <w:r>
        <w:rPr>
          <w:rFonts w:ascii="宋体" w:hAnsi="宋体" w:eastAsia="宋体" w:cs="宋体"/>
          <w:color w:val="auto"/>
          <w:spacing w:val="2"/>
          <w:sz w:val="21"/>
          <w:szCs w:val="21"/>
          <w:highlight w:val="none"/>
        </w:rPr>
        <w:t xml:space="preserve"> </w:t>
      </w:r>
      <w:r>
        <w:rPr>
          <w:rFonts w:ascii="宋体" w:hAnsi="宋体" w:eastAsia="宋体" w:cs="宋体"/>
          <w:color w:val="auto"/>
          <w:spacing w:val="-3"/>
          <w:sz w:val="21"/>
          <w:szCs w:val="21"/>
          <w:highlight w:val="none"/>
        </w:rPr>
        <w:t>已接受</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（承包人名称，以下简称“承包人”）对该项目</w:t>
      </w:r>
      <w:r>
        <w:rPr>
          <w:rFonts w:ascii="宋体" w:hAnsi="宋体" w:eastAsia="宋体" w:cs="宋体"/>
          <w:color w:val="auto"/>
          <w:spacing w:val="-5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3"/>
          <w:sz w:val="21"/>
          <w:szCs w:val="21"/>
          <w:highlight w:val="none"/>
        </w:rPr>
        <w:t>标段施工的投标。发包人和承</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包人共同达成如下协议。</w:t>
      </w:r>
    </w:p>
    <w:p w14:paraId="681090C2">
      <w:pPr>
        <w:spacing w:before="30" w:line="220" w:lineRule="auto"/>
        <w:ind w:left="383"/>
        <w:outlineLvl w:val="9"/>
        <w:rPr>
          <w:rFonts w:ascii="宋体" w:hAnsi="宋体" w:eastAsia="宋体" w:cs="宋体"/>
          <w:color w:val="auto"/>
          <w:sz w:val="21"/>
          <w:szCs w:val="21"/>
          <w:highlight w:val="none"/>
        </w:rPr>
      </w:pPr>
      <w:bookmarkStart w:id="349" w:name="_Toc7867"/>
      <w:bookmarkStart w:id="350" w:name="_Toc30928"/>
      <w:r>
        <w:rPr>
          <w:rFonts w:ascii="宋体" w:hAnsi="宋体" w:eastAsia="宋体" w:cs="宋体"/>
          <w:color w:val="auto"/>
          <w:spacing w:val="-1"/>
          <w:sz w:val="21"/>
          <w:szCs w:val="21"/>
          <w:highlight w:val="none"/>
        </w:rPr>
        <w:t>1. 本协议书与下列文件一起构成合同文件：</w:t>
      </w:r>
      <w:bookmarkEnd w:id="349"/>
      <w:bookmarkEnd w:id="350"/>
    </w:p>
    <w:p w14:paraId="3C85DC2B">
      <w:pPr>
        <w:spacing w:before="160" w:line="220" w:lineRule="auto"/>
        <w:ind w:left="73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（1）中标通知书；</w:t>
      </w:r>
    </w:p>
    <w:p w14:paraId="6B3E8CFC">
      <w:pPr>
        <w:spacing w:before="158" w:line="220" w:lineRule="auto"/>
        <w:ind w:left="7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（2）投标函及投标函附录；</w:t>
      </w:r>
    </w:p>
    <w:p w14:paraId="6DD8ADC7">
      <w:pPr>
        <w:spacing w:before="158" w:line="221" w:lineRule="auto"/>
        <w:ind w:left="73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（3）专用合同条款；</w:t>
      </w:r>
    </w:p>
    <w:p w14:paraId="6BA05BC2">
      <w:pPr>
        <w:spacing w:before="157" w:line="221" w:lineRule="auto"/>
        <w:ind w:left="73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（4）通用合同条款；</w:t>
      </w:r>
    </w:p>
    <w:p w14:paraId="472E5382">
      <w:pPr>
        <w:spacing w:before="159" w:line="221" w:lineRule="auto"/>
        <w:ind w:left="732"/>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（5）技术标准和要求；</w:t>
      </w:r>
    </w:p>
    <w:p w14:paraId="2A6D61D4">
      <w:pPr>
        <w:spacing w:before="157" w:line="222" w:lineRule="auto"/>
        <w:ind w:left="73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（6）图纸；</w:t>
      </w:r>
    </w:p>
    <w:p w14:paraId="2990A882">
      <w:pPr>
        <w:spacing w:before="155" w:line="219" w:lineRule="auto"/>
        <w:ind w:left="73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（7）已标价工程量清单；</w:t>
      </w:r>
    </w:p>
    <w:p w14:paraId="31C17854">
      <w:pPr>
        <w:spacing w:before="159" w:line="221" w:lineRule="auto"/>
        <w:ind w:left="73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（8）其他合同文件。</w:t>
      </w:r>
    </w:p>
    <w:p w14:paraId="0150A1A1">
      <w:pPr>
        <w:spacing w:before="156" w:line="221" w:lineRule="auto"/>
        <w:ind w:left="37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 上述文件互相补充和解释，如有不明</w:t>
      </w:r>
      <w:r>
        <w:rPr>
          <w:rFonts w:ascii="宋体" w:hAnsi="宋体" w:eastAsia="宋体" w:cs="宋体"/>
          <w:color w:val="auto"/>
          <w:spacing w:val="-1"/>
          <w:sz w:val="21"/>
          <w:szCs w:val="21"/>
          <w:highlight w:val="none"/>
        </w:rPr>
        <w:t>确或不一致之处，以合同约定次序在先者为</w:t>
      </w:r>
      <w:r>
        <w:rPr>
          <w:rFonts w:hint="eastAsia" w:ascii="宋体" w:hAnsi="宋体" w:eastAsia="宋体" w:cs="宋体"/>
          <w:color w:val="auto"/>
          <w:spacing w:val="-1"/>
          <w:sz w:val="21"/>
          <w:szCs w:val="21"/>
          <w:highlight w:val="none"/>
          <w:lang w:val="en-US" w:eastAsia="zh-CN"/>
        </w:rPr>
        <w:t>准</w:t>
      </w:r>
      <w:r>
        <w:rPr>
          <w:rFonts w:ascii="宋体" w:hAnsi="宋体" w:eastAsia="宋体" w:cs="宋体"/>
          <w:color w:val="auto"/>
          <w:spacing w:val="-1"/>
          <w:sz w:val="21"/>
          <w:szCs w:val="21"/>
          <w:highlight w:val="none"/>
        </w:rPr>
        <w:t>。</w:t>
      </w:r>
    </w:p>
    <w:p w14:paraId="1EC97957">
      <w:pPr>
        <w:spacing w:before="160" w:line="219" w:lineRule="auto"/>
        <w:ind w:left="37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 签约合同价：人民币（大写）</w:t>
      </w:r>
      <w:r>
        <w:rPr>
          <w:rFonts w:ascii="宋体" w:hAnsi="宋体" w:eastAsia="宋体" w:cs="宋体"/>
          <w:color w:val="auto"/>
          <w:spacing w:val="-63"/>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1"/>
          <w:sz w:val="21"/>
          <w:szCs w:val="21"/>
          <w:highlight w:val="none"/>
        </w:rPr>
        <w:t>元(¥</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75"/>
          <w:sz w:val="21"/>
          <w:szCs w:val="21"/>
          <w:highlight w:val="none"/>
        </w:rPr>
        <w:t xml:space="preserve"> </w:t>
      </w:r>
      <w:r>
        <w:rPr>
          <w:rFonts w:ascii="宋体" w:hAnsi="宋体" w:eastAsia="宋体" w:cs="宋体"/>
          <w:color w:val="auto"/>
          <w:spacing w:val="1"/>
          <w:sz w:val="21"/>
          <w:szCs w:val="21"/>
          <w:highlight w:val="none"/>
        </w:rPr>
        <w:t>)。</w:t>
      </w:r>
    </w:p>
    <w:p w14:paraId="6802B371">
      <w:pPr>
        <w:spacing w:before="158" w:line="221" w:lineRule="auto"/>
        <w:ind w:left="367"/>
        <w:outlineLvl w:val="9"/>
        <w:rPr>
          <w:rFonts w:ascii="宋体" w:hAnsi="宋体" w:eastAsia="宋体" w:cs="宋体"/>
          <w:color w:val="auto"/>
          <w:sz w:val="21"/>
          <w:szCs w:val="21"/>
          <w:highlight w:val="none"/>
        </w:rPr>
      </w:pPr>
      <w:bookmarkStart w:id="351" w:name="_Toc5448"/>
      <w:bookmarkStart w:id="352" w:name="_Toc3950"/>
      <w:r>
        <w:rPr>
          <w:rFonts w:ascii="宋体" w:hAnsi="宋体" w:eastAsia="宋体" w:cs="宋体"/>
          <w:color w:val="auto"/>
          <w:sz w:val="21"/>
          <w:szCs w:val="21"/>
          <w:highlight w:val="none"/>
        </w:rPr>
        <w:t>4. 承包人项目经理：</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bookmarkEnd w:id="351"/>
      <w:bookmarkEnd w:id="352"/>
    </w:p>
    <w:p w14:paraId="685E6270">
      <w:pPr>
        <w:spacing w:before="157" w:line="221" w:lineRule="auto"/>
        <w:ind w:left="37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 工程质量符合</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1"/>
          <w:sz w:val="21"/>
          <w:szCs w:val="21"/>
          <w:highlight w:val="none"/>
        </w:rPr>
        <w:t>标准，安全目标：</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75"/>
          <w:sz w:val="21"/>
          <w:szCs w:val="21"/>
          <w:highlight w:val="none"/>
        </w:rPr>
        <w:t xml:space="preserve"> </w:t>
      </w:r>
      <w:r>
        <w:rPr>
          <w:rFonts w:ascii="宋体" w:hAnsi="宋体" w:eastAsia="宋体" w:cs="宋体"/>
          <w:color w:val="auto"/>
          <w:spacing w:val="-1"/>
          <w:sz w:val="21"/>
          <w:szCs w:val="21"/>
          <w:highlight w:val="none"/>
        </w:rPr>
        <w:t>，环保目标：</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458689E5">
      <w:pPr>
        <w:spacing w:before="157" w:line="221" w:lineRule="auto"/>
        <w:ind w:left="369"/>
        <w:outlineLvl w:val="9"/>
        <w:rPr>
          <w:rFonts w:ascii="宋体" w:hAnsi="宋体" w:eastAsia="宋体" w:cs="宋体"/>
          <w:color w:val="auto"/>
          <w:sz w:val="21"/>
          <w:szCs w:val="21"/>
          <w:highlight w:val="none"/>
        </w:rPr>
      </w:pPr>
      <w:bookmarkStart w:id="353" w:name="_Toc16077"/>
      <w:bookmarkStart w:id="354" w:name="_Toc21250"/>
      <w:r>
        <w:rPr>
          <w:rFonts w:ascii="宋体" w:hAnsi="宋体" w:eastAsia="宋体" w:cs="宋体"/>
          <w:color w:val="auto"/>
          <w:spacing w:val="-1"/>
          <w:sz w:val="21"/>
          <w:szCs w:val="21"/>
          <w:highlight w:val="none"/>
        </w:rPr>
        <w:t>6. 承包人承诺按合同约定承担工程的实施、完成及缺陷修复。</w:t>
      </w:r>
      <w:bookmarkEnd w:id="353"/>
      <w:bookmarkEnd w:id="354"/>
    </w:p>
    <w:p w14:paraId="1B69F4BF">
      <w:pPr>
        <w:spacing w:before="157" w:line="219" w:lineRule="auto"/>
        <w:ind w:left="37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 发包人承诺按合同约定的条件、时间和方式向承包人支付合同价款。</w:t>
      </w:r>
    </w:p>
    <w:p w14:paraId="6A229002">
      <w:pPr>
        <w:spacing w:before="161" w:line="221" w:lineRule="auto"/>
        <w:ind w:left="369"/>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8. 承包人应按照监理人指示开工，工期为</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3"/>
          <w:sz w:val="21"/>
          <w:szCs w:val="21"/>
          <w:highlight w:val="none"/>
        </w:rPr>
        <w:t xml:space="preserve"> </w:t>
      </w:r>
      <w:r>
        <w:rPr>
          <w:rFonts w:ascii="宋体" w:hAnsi="宋体" w:eastAsia="宋体" w:cs="宋体"/>
          <w:color w:val="auto"/>
          <w:spacing w:val="-3"/>
          <w:sz w:val="21"/>
          <w:szCs w:val="21"/>
          <w:highlight w:val="none"/>
        </w:rPr>
        <w:t>日历天。</w:t>
      </w:r>
    </w:p>
    <w:p w14:paraId="1AB8731A">
      <w:pPr>
        <w:spacing w:before="157" w:line="220" w:lineRule="auto"/>
        <w:ind w:left="36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 本协议书一式</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86"/>
          <w:sz w:val="21"/>
          <w:szCs w:val="21"/>
          <w:highlight w:val="none"/>
        </w:rPr>
        <w:t xml:space="preserve"> </w:t>
      </w:r>
      <w:r>
        <w:rPr>
          <w:rFonts w:ascii="宋体" w:hAnsi="宋体" w:eastAsia="宋体" w:cs="宋体"/>
          <w:color w:val="auto"/>
          <w:spacing w:val="-1"/>
          <w:sz w:val="21"/>
          <w:szCs w:val="21"/>
          <w:highlight w:val="none"/>
        </w:rPr>
        <w:t>份，合同双方各执一份。</w:t>
      </w:r>
    </w:p>
    <w:p w14:paraId="3065D386">
      <w:pPr>
        <w:spacing w:before="157" w:line="221" w:lineRule="auto"/>
        <w:ind w:left="38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10. 合同未尽事宜，双方另行签订补充协议。补充协议是合同的组成部分。</w:t>
      </w:r>
    </w:p>
    <w:p w14:paraId="41650518">
      <w:pPr>
        <w:spacing w:before="21"/>
        <w:outlineLvl w:val="9"/>
        <w:rPr>
          <w:color w:val="auto"/>
          <w:highlight w:val="none"/>
        </w:rPr>
      </w:pPr>
    </w:p>
    <w:p w14:paraId="2D0B5E28">
      <w:pPr>
        <w:spacing w:before="21"/>
        <w:outlineLvl w:val="9"/>
        <w:rPr>
          <w:color w:val="auto"/>
          <w:highlight w:val="none"/>
        </w:rPr>
      </w:pPr>
    </w:p>
    <w:p w14:paraId="50D98080">
      <w:pPr>
        <w:spacing w:before="42" w:line="220" w:lineRule="auto"/>
        <w:ind w:left="1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发包人</w:t>
      </w:r>
      <w:r>
        <w:rPr>
          <w:rFonts w:ascii="宋体" w:hAnsi="宋体" w:eastAsia="宋体" w:cs="宋体"/>
          <w:color w:val="auto"/>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z w:val="21"/>
          <w:szCs w:val="21"/>
          <w:highlight w:val="none"/>
        </w:rPr>
        <w:t>（</w:t>
      </w:r>
      <w:r>
        <w:rPr>
          <w:rFonts w:ascii="宋体" w:hAnsi="宋体" w:eastAsia="宋体" w:cs="宋体"/>
          <w:color w:val="auto"/>
          <w:spacing w:val="-2"/>
          <w:sz w:val="21"/>
          <w:szCs w:val="21"/>
          <w:highlight w:val="none"/>
        </w:rPr>
        <w:t>盖单位章）</w:t>
      </w:r>
    </w:p>
    <w:p w14:paraId="540D3FE1">
      <w:pPr>
        <w:spacing w:before="158" w:line="186" w:lineRule="auto"/>
        <w:ind w:left="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0"/>
          <w:sz w:val="21"/>
          <w:szCs w:val="21"/>
          <w:highlight w:val="none"/>
        </w:rPr>
        <w:t>（</w:t>
      </w:r>
      <w:r>
        <w:rPr>
          <w:rFonts w:ascii="宋体" w:hAnsi="宋体" w:eastAsia="宋体" w:cs="宋体"/>
          <w:color w:val="auto"/>
          <w:spacing w:val="1"/>
          <w:sz w:val="21"/>
          <w:szCs w:val="21"/>
          <w:highlight w:val="none"/>
        </w:rPr>
        <w:t>签字）</w:t>
      </w:r>
    </w:p>
    <w:p w14:paraId="3FB66595">
      <w:pPr>
        <w:spacing w:line="14" w:lineRule="auto"/>
        <w:outlineLvl w:val="9"/>
        <w:rPr>
          <w:rFonts w:hint="eastAsia" w:ascii="Arial" w:eastAsia="宋体"/>
          <w:color w:val="auto"/>
          <w:sz w:val="2"/>
          <w:highlight w:val="none"/>
          <w:lang w:eastAsia="zh-CN"/>
        </w:rPr>
      </w:pPr>
    </w:p>
    <w:p w14:paraId="3C9B2198">
      <w:pPr>
        <w:spacing w:before="41"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承包人</w:t>
      </w:r>
      <w:r>
        <w:rPr>
          <w:rFonts w:ascii="宋体" w:hAnsi="宋体" w:eastAsia="宋体" w:cs="宋体"/>
          <w:color w:val="auto"/>
          <w:spacing w:val="2"/>
          <w:sz w:val="21"/>
          <w:szCs w:val="21"/>
          <w:highlight w:val="none"/>
        </w:rPr>
        <w:t>：</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rPr>
        <w:t>盖单位章）</w:t>
      </w:r>
    </w:p>
    <w:p w14:paraId="2F671EDD">
      <w:pPr>
        <w:spacing w:before="157" w:line="186" w:lineRule="auto"/>
        <w:ind w:left="10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2"/>
          <w:sz w:val="21"/>
          <w:szCs w:val="21"/>
          <w:highlight w:val="none"/>
        </w:rPr>
        <w:t>（</w:t>
      </w:r>
      <w:r>
        <w:rPr>
          <w:rFonts w:ascii="宋体" w:hAnsi="宋体" w:eastAsia="宋体" w:cs="宋体"/>
          <w:color w:val="auto"/>
          <w:spacing w:val="1"/>
          <w:sz w:val="21"/>
          <w:szCs w:val="21"/>
          <w:highlight w:val="none"/>
        </w:rPr>
        <w:t>签字）</w:t>
      </w:r>
    </w:p>
    <w:p w14:paraId="09A6BDBB">
      <w:pPr>
        <w:tabs>
          <w:tab w:val="left" w:pos="945"/>
        </w:tabs>
        <w:spacing w:before="197" w:line="186"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12"/>
          <w:sz w:val="21"/>
          <w:szCs w:val="21"/>
          <w:highlight w:val="none"/>
        </w:rPr>
        <w:t xml:space="preserve">月 </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46"/>
          <w:sz w:val="21"/>
          <w:szCs w:val="21"/>
          <w:highlight w:val="none"/>
        </w:rPr>
        <w:t xml:space="preserve"> </w:t>
      </w:r>
      <w:r>
        <w:rPr>
          <w:rFonts w:ascii="宋体" w:hAnsi="宋体" w:eastAsia="宋体" w:cs="宋体"/>
          <w:color w:val="auto"/>
          <w:spacing w:val="-12"/>
          <w:sz w:val="21"/>
          <w:szCs w:val="21"/>
          <w:highlight w:val="none"/>
        </w:rPr>
        <w:t>日</w:t>
      </w:r>
      <w:r>
        <w:rPr>
          <w:rFonts w:ascii="宋体" w:hAnsi="宋体" w:eastAsia="宋体" w:cs="宋体"/>
          <w:color w:val="auto"/>
          <w:spacing w:val="11"/>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12"/>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84"/>
          <w:sz w:val="21"/>
          <w:szCs w:val="21"/>
          <w:highlight w:val="none"/>
        </w:rPr>
        <w:t xml:space="preserve"> </w:t>
      </w:r>
      <w:r>
        <w:rPr>
          <w:rFonts w:ascii="宋体" w:hAnsi="宋体" w:eastAsia="宋体" w:cs="宋体"/>
          <w:color w:val="auto"/>
          <w:spacing w:val="-12"/>
          <w:sz w:val="21"/>
          <w:szCs w:val="21"/>
          <w:highlight w:val="none"/>
        </w:rPr>
        <w:t>月</w:t>
      </w:r>
      <w:r>
        <w:rPr>
          <w:rFonts w:ascii="宋体" w:hAnsi="宋体" w:eastAsia="宋体" w:cs="宋体"/>
          <w:color w:val="auto"/>
          <w:sz w:val="21"/>
          <w:szCs w:val="21"/>
          <w:highlight w:val="none"/>
        </w:rPr>
        <w:t xml:space="preserve"> </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53"/>
          <w:sz w:val="21"/>
          <w:szCs w:val="21"/>
          <w:highlight w:val="none"/>
        </w:rPr>
        <w:t xml:space="preserve"> </w:t>
      </w:r>
      <w:r>
        <w:rPr>
          <w:rFonts w:ascii="宋体" w:hAnsi="宋体" w:eastAsia="宋体" w:cs="宋体"/>
          <w:color w:val="auto"/>
          <w:spacing w:val="-12"/>
          <w:sz w:val="21"/>
          <w:szCs w:val="21"/>
          <w:highlight w:val="none"/>
        </w:rPr>
        <w:t>日</w:t>
      </w:r>
    </w:p>
    <w:p w14:paraId="173FD70F">
      <w:pPr>
        <w:spacing w:before="65" w:line="219" w:lineRule="auto"/>
        <w:ind w:left="25"/>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附件二：廉政协议书</w:t>
      </w:r>
    </w:p>
    <w:p w14:paraId="5DF29642">
      <w:pPr>
        <w:spacing w:line="264" w:lineRule="auto"/>
        <w:outlineLvl w:val="9"/>
        <w:rPr>
          <w:rFonts w:ascii="Arial"/>
          <w:color w:val="auto"/>
          <w:sz w:val="21"/>
          <w:highlight w:val="none"/>
        </w:rPr>
      </w:pPr>
    </w:p>
    <w:p w14:paraId="609FDC13">
      <w:pPr>
        <w:spacing w:line="265" w:lineRule="auto"/>
        <w:outlineLvl w:val="9"/>
        <w:rPr>
          <w:rFonts w:ascii="Arial"/>
          <w:color w:val="auto"/>
          <w:sz w:val="21"/>
          <w:highlight w:val="none"/>
        </w:rPr>
      </w:pPr>
    </w:p>
    <w:p w14:paraId="58271505">
      <w:pPr>
        <w:spacing w:line="265" w:lineRule="auto"/>
        <w:outlineLvl w:val="9"/>
        <w:rPr>
          <w:rFonts w:ascii="Arial"/>
          <w:color w:val="auto"/>
          <w:sz w:val="21"/>
          <w:highlight w:val="none"/>
        </w:rPr>
      </w:pPr>
    </w:p>
    <w:p w14:paraId="23AAF989">
      <w:pPr>
        <w:spacing w:before="101" w:line="224" w:lineRule="auto"/>
        <w:ind w:left="4057"/>
        <w:outlineLvl w:val="9"/>
        <w:rPr>
          <w:rFonts w:ascii="宋体" w:hAnsi="宋体" w:eastAsia="宋体" w:cs="宋体"/>
          <w:color w:val="auto"/>
          <w:sz w:val="31"/>
          <w:szCs w:val="31"/>
          <w:highlight w:val="none"/>
        </w:rPr>
      </w:pPr>
      <w:bookmarkStart w:id="355" w:name="bookmark271"/>
      <w:bookmarkEnd w:id="355"/>
      <w:r>
        <w:rPr>
          <w:rFonts w:ascii="宋体" w:hAnsi="宋体" w:eastAsia="宋体" w:cs="宋体"/>
          <w:b/>
          <w:bCs/>
          <w:color w:val="auto"/>
          <w:spacing w:val="5"/>
          <w:sz w:val="31"/>
          <w:szCs w:val="31"/>
          <w:highlight w:val="none"/>
        </w:rPr>
        <w:t>廉政协议书</w:t>
      </w:r>
    </w:p>
    <w:p w14:paraId="1B214D69">
      <w:pPr>
        <w:spacing w:line="430" w:lineRule="auto"/>
        <w:outlineLvl w:val="9"/>
        <w:rPr>
          <w:rFonts w:ascii="Arial"/>
          <w:color w:val="auto"/>
          <w:sz w:val="21"/>
          <w:highlight w:val="none"/>
        </w:rPr>
      </w:pPr>
    </w:p>
    <w:p w14:paraId="662E3248">
      <w:pPr>
        <w:tabs>
          <w:tab w:val="left" w:pos="7132"/>
          <w:tab w:val="left" w:pos="7142"/>
        </w:tabs>
        <w:spacing w:before="69" w:line="398" w:lineRule="auto"/>
        <w:ind w:right="1925" w:firstLine="9"/>
        <w:jc w:val="both"/>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施工合同名称</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p>
    <w:p w14:paraId="74B4F806">
      <w:pPr>
        <w:tabs>
          <w:tab w:val="left" w:pos="7132"/>
          <w:tab w:val="left" w:pos="7142"/>
        </w:tabs>
        <w:spacing w:before="69" w:line="398" w:lineRule="auto"/>
        <w:ind w:right="1925" w:firstLine="9"/>
        <w:jc w:val="both"/>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施工合同编号</w:t>
      </w:r>
      <w:r>
        <w:rPr>
          <w:rFonts w:ascii="宋体" w:hAnsi="宋体" w:eastAsia="宋体" w:cs="宋体"/>
          <w:color w:val="auto"/>
          <w:spacing w:val="28"/>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p>
    <w:p w14:paraId="3A102AAC">
      <w:pPr>
        <w:tabs>
          <w:tab w:val="left" w:pos="7132"/>
          <w:tab w:val="left" w:pos="7142"/>
        </w:tabs>
        <w:spacing w:before="69" w:line="398" w:lineRule="auto"/>
        <w:ind w:right="1925" w:firstLine="9"/>
        <w:jc w:val="both"/>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发包人（甲方</w:t>
      </w:r>
      <w:r>
        <w:rPr>
          <w:rFonts w:ascii="宋体" w:hAnsi="宋体" w:eastAsia="宋体" w:cs="宋体"/>
          <w:color w:val="auto"/>
          <w:spacing w:val="-17"/>
          <w:sz w:val="21"/>
          <w:szCs w:val="21"/>
          <w:highlight w:val="none"/>
        </w:rPr>
        <w:t>）：</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p>
    <w:p w14:paraId="08D154F5">
      <w:pPr>
        <w:tabs>
          <w:tab w:val="left" w:pos="7132"/>
          <w:tab w:val="left" w:pos="7142"/>
        </w:tabs>
        <w:spacing w:before="69" w:line="398" w:lineRule="auto"/>
        <w:ind w:right="1925" w:firstLine="9"/>
        <w:jc w:val="both"/>
        <w:outlineLvl w:val="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承包人（乙方</w:t>
      </w:r>
      <w:r>
        <w:rPr>
          <w:rFonts w:ascii="宋体" w:hAnsi="宋体" w:eastAsia="宋体" w:cs="宋体"/>
          <w:color w:val="auto"/>
          <w:spacing w:val="-20"/>
          <w:sz w:val="21"/>
          <w:szCs w:val="21"/>
          <w:highlight w:val="none"/>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z w:val="21"/>
          <w:szCs w:val="21"/>
          <w:highlight w:val="none"/>
        </w:rPr>
        <w:t xml:space="preserve"> </w:t>
      </w:r>
    </w:p>
    <w:p w14:paraId="6893A90E">
      <w:pPr>
        <w:spacing w:line="268" w:lineRule="auto"/>
        <w:outlineLvl w:val="9"/>
        <w:rPr>
          <w:rFonts w:ascii="Arial"/>
          <w:color w:val="auto"/>
          <w:sz w:val="21"/>
          <w:highlight w:val="none"/>
        </w:rPr>
      </w:pPr>
    </w:p>
    <w:p w14:paraId="075353F8">
      <w:pPr>
        <w:spacing w:before="68" w:line="349" w:lineRule="auto"/>
        <w:ind w:left="1" w:right="38" w:firstLine="45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为加强安徽省农业工程建设中的廉政建设，规范农业工程建设项目中承发包双方的各项活动，</w:t>
      </w:r>
      <w:r>
        <w:rPr>
          <w:rFonts w:ascii="宋体" w:hAnsi="宋体" w:eastAsia="宋体" w:cs="宋体"/>
          <w:color w:val="auto"/>
          <w:spacing w:val="7"/>
          <w:sz w:val="21"/>
          <w:szCs w:val="21"/>
          <w:highlight w:val="none"/>
        </w:rPr>
        <w:t xml:space="preserve"> </w:t>
      </w:r>
      <w:r>
        <w:rPr>
          <w:rFonts w:ascii="宋体" w:hAnsi="宋体" w:eastAsia="宋体" w:cs="宋体"/>
          <w:color w:val="auto"/>
          <w:sz w:val="21"/>
          <w:szCs w:val="21"/>
          <w:highlight w:val="none"/>
        </w:rPr>
        <w:t>防止各种非法谋取不正当利益的行为，保护国家、集体和当事人的合法权益，根据国家有关</w:t>
      </w:r>
      <w:r>
        <w:rPr>
          <w:rFonts w:ascii="宋体" w:hAnsi="宋体" w:eastAsia="宋体" w:cs="宋体"/>
          <w:color w:val="auto"/>
          <w:spacing w:val="-1"/>
          <w:sz w:val="21"/>
          <w:szCs w:val="21"/>
          <w:highlight w:val="none"/>
        </w:rPr>
        <w:t>法律法</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规和廉政建设的要求，特签订本廉政协议。</w:t>
      </w:r>
    </w:p>
    <w:p w14:paraId="5988F00C">
      <w:pPr>
        <w:spacing w:before="31" w:line="220" w:lineRule="auto"/>
        <w:ind w:left="490"/>
        <w:outlineLvl w:val="9"/>
        <w:rPr>
          <w:rFonts w:ascii="宋体" w:hAnsi="宋体" w:eastAsia="宋体" w:cs="宋体"/>
          <w:color w:val="auto"/>
          <w:sz w:val="21"/>
          <w:szCs w:val="21"/>
          <w:highlight w:val="none"/>
        </w:rPr>
      </w:pPr>
      <w:r>
        <w:rPr>
          <w:rFonts w:ascii="黑体" w:hAnsi="黑体" w:eastAsia="黑体" w:cs="黑体"/>
          <w:color w:val="auto"/>
          <w:spacing w:val="-4"/>
          <w:sz w:val="21"/>
          <w:szCs w:val="21"/>
          <w:highlight w:val="none"/>
        </w:rPr>
        <w:t>第一条</w:t>
      </w:r>
      <w:r>
        <w:rPr>
          <w:rFonts w:ascii="黑体" w:hAnsi="黑体" w:eastAsia="黑体" w:cs="黑体"/>
          <w:color w:val="auto"/>
          <w:spacing w:val="48"/>
          <w:sz w:val="21"/>
          <w:szCs w:val="21"/>
          <w:highlight w:val="none"/>
        </w:rPr>
        <w:t xml:space="preserve">  </w:t>
      </w:r>
      <w:r>
        <w:rPr>
          <w:rFonts w:ascii="宋体" w:hAnsi="宋体" w:eastAsia="宋体" w:cs="宋体"/>
          <w:color w:val="auto"/>
          <w:spacing w:val="-4"/>
          <w:sz w:val="21"/>
          <w:szCs w:val="21"/>
          <w:highlight w:val="none"/>
        </w:rPr>
        <w:t>甲、乙双方的责任</w:t>
      </w:r>
    </w:p>
    <w:p w14:paraId="40FDE011">
      <w:pPr>
        <w:spacing w:before="157" w:line="220" w:lineRule="auto"/>
        <w:ind w:right="1"/>
        <w:jc w:val="right"/>
        <w:outlineLvl w:val="9"/>
        <w:rPr>
          <w:rFonts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lang w:val="en-US" w:eastAsia="zh-CN"/>
        </w:rPr>
        <w:t xml:space="preserve">  </w:t>
      </w:r>
      <w:r>
        <w:rPr>
          <w:rFonts w:ascii="宋体" w:hAnsi="宋体" w:eastAsia="宋体" w:cs="宋体"/>
          <w:color w:val="auto"/>
          <w:spacing w:val="-3"/>
          <w:sz w:val="21"/>
          <w:szCs w:val="21"/>
          <w:highlight w:val="none"/>
        </w:rPr>
        <w:t>（一）严格遵守国家、省关于农业工程建设有关法律法规、部门规</w:t>
      </w:r>
      <w:r>
        <w:rPr>
          <w:rFonts w:ascii="宋体" w:hAnsi="宋体" w:eastAsia="宋体" w:cs="宋体"/>
          <w:color w:val="auto"/>
          <w:spacing w:val="-4"/>
          <w:sz w:val="21"/>
          <w:szCs w:val="21"/>
          <w:highlight w:val="none"/>
        </w:rPr>
        <w:t>章以及廉政建设的各项</w:t>
      </w:r>
    </w:p>
    <w:p w14:paraId="64424268">
      <w:pPr>
        <w:spacing w:before="157" w:line="220" w:lineRule="auto"/>
        <w:ind w:right="1"/>
        <w:jc w:val="both"/>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规定。</w:t>
      </w:r>
    </w:p>
    <w:p w14:paraId="0907FC39">
      <w:pPr>
        <w:spacing w:before="160" w:line="221" w:lineRule="auto"/>
        <w:ind w:left="38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（二）严格执行工程项目承发包合同文件，认真履行合同</w:t>
      </w:r>
      <w:r>
        <w:rPr>
          <w:rFonts w:ascii="宋体" w:hAnsi="宋体" w:eastAsia="宋体" w:cs="宋体"/>
          <w:color w:val="auto"/>
          <w:spacing w:val="-1"/>
          <w:sz w:val="21"/>
          <w:szCs w:val="21"/>
          <w:highlight w:val="none"/>
        </w:rPr>
        <w:t>规定的权利和义务。</w:t>
      </w:r>
    </w:p>
    <w:p w14:paraId="1D97F1DB">
      <w:pPr>
        <w:spacing w:before="156" w:line="313" w:lineRule="auto"/>
        <w:ind w:left="3" w:firstLine="38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（三）业务活动必须坚持公开、公平、公正、诚信、透明的原则（除法律</w:t>
      </w:r>
      <w:r>
        <w:rPr>
          <w:rFonts w:ascii="宋体" w:hAnsi="宋体" w:eastAsia="宋体" w:cs="宋体"/>
          <w:color w:val="auto"/>
          <w:spacing w:val="-1"/>
          <w:sz w:val="21"/>
          <w:szCs w:val="21"/>
          <w:highlight w:val="none"/>
        </w:rPr>
        <w:t>认定的商业秘密和合</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同文件另有规定除外</w:t>
      </w:r>
      <w:r>
        <w:rPr>
          <w:rFonts w:ascii="宋体" w:hAnsi="宋体" w:eastAsia="宋体" w:cs="宋体"/>
          <w:color w:val="auto"/>
          <w:spacing w:val="-53"/>
          <w:w w:val="97"/>
          <w:sz w:val="21"/>
          <w:szCs w:val="21"/>
          <w:highlight w:val="none"/>
        </w:rPr>
        <w:t>），</w:t>
      </w:r>
      <w:r>
        <w:rPr>
          <w:rFonts w:ascii="宋体" w:hAnsi="宋体" w:eastAsia="宋体" w:cs="宋体"/>
          <w:color w:val="auto"/>
          <w:spacing w:val="-1"/>
          <w:sz w:val="21"/>
          <w:szCs w:val="21"/>
          <w:highlight w:val="none"/>
        </w:rPr>
        <w:t>不得为获取不正当利益而损害国家、集</w:t>
      </w:r>
      <w:r>
        <w:rPr>
          <w:rFonts w:ascii="宋体" w:hAnsi="宋体" w:eastAsia="宋体" w:cs="宋体"/>
          <w:color w:val="auto"/>
          <w:spacing w:val="-2"/>
          <w:sz w:val="21"/>
          <w:szCs w:val="21"/>
          <w:highlight w:val="none"/>
        </w:rPr>
        <w:t>体和对方利益，不得违反高标准农田</w:t>
      </w:r>
      <w:r>
        <w:rPr>
          <w:rFonts w:ascii="宋体" w:hAnsi="宋体" w:eastAsia="宋体" w:cs="宋体"/>
          <w:color w:val="auto"/>
          <w:spacing w:val="-1"/>
          <w:sz w:val="21"/>
          <w:szCs w:val="21"/>
          <w:highlight w:val="none"/>
        </w:rPr>
        <w:t>建设管理、勘察、设计、监理、施工的规定和规范。</w:t>
      </w:r>
    </w:p>
    <w:p w14:paraId="3D82AF43">
      <w:pPr>
        <w:spacing w:before="160" w:line="289" w:lineRule="auto"/>
        <w:ind w:right="127" w:firstLine="38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（四）发现对方在业务活动中有违规、违纪、违法行为，有责</w:t>
      </w:r>
      <w:r>
        <w:rPr>
          <w:rFonts w:ascii="宋体" w:hAnsi="宋体" w:eastAsia="宋体" w:cs="宋体"/>
          <w:color w:val="auto"/>
          <w:spacing w:val="-2"/>
          <w:sz w:val="21"/>
          <w:szCs w:val="21"/>
          <w:highlight w:val="none"/>
        </w:rPr>
        <w:t>任及时提醒对方，情节严重的，</w:t>
      </w:r>
      <w:r>
        <w:rPr>
          <w:rFonts w:ascii="宋体" w:hAnsi="宋体" w:eastAsia="宋体" w:cs="宋体"/>
          <w:color w:val="auto"/>
          <w:spacing w:val="-1"/>
          <w:sz w:val="21"/>
          <w:szCs w:val="21"/>
          <w:highlight w:val="none"/>
        </w:rPr>
        <w:t>应向其上级主管部门或纪检、监察、司法等机关举报。</w:t>
      </w:r>
    </w:p>
    <w:p w14:paraId="7F9B4BA5">
      <w:pPr>
        <w:spacing w:before="158" w:line="220" w:lineRule="auto"/>
        <w:ind w:left="490"/>
        <w:outlineLvl w:val="9"/>
        <w:rPr>
          <w:rFonts w:ascii="宋体" w:hAnsi="宋体" w:eastAsia="宋体" w:cs="宋体"/>
          <w:color w:val="auto"/>
          <w:sz w:val="21"/>
          <w:szCs w:val="21"/>
          <w:highlight w:val="none"/>
        </w:rPr>
      </w:pPr>
      <w:r>
        <w:rPr>
          <w:rFonts w:ascii="黑体" w:hAnsi="黑体" w:eastAsia="黑体" w:cs="黑体"/>
          <w:color w:val="auto"/>
          <w:spacing w:val="-5"/>
          <w:sz w:val="21"/>
          <w:szCs w:val="21"/>
          <w:highlight w:val="none"/>
        </w:rPr>
        <w:t>第二条</w:t>
      </w:r>
      <w:r>
        <w:rPr>
          <w:rFonts w:ascii="黑体" w:hAnsi="黑体" w:eastAsia="黑体" w:cs="黑体"/>
          <w:color w:val="auto"/>
          <w:spacing w:val="45"/>
          <w:sz w:val="21"/>
          <w:szCs w:val="21"/>
          <w:highlight w:val="none"/>
        </w:rPr>
        <w:t xml:space="preserve">  </w:t>
      </w:r>
      <w:r>
        <w:rPr>
          <w:rFonts w:ascii="宋体" w:hAnsi="宋体" w:eastAsia="宋体" w:cs="宋体"/>
          <w:color w:val="auto"/>
          <w:spacing w:val="-5"/>
          <w:sz w:val="21"/>
          <w:szCs w:val="21"/>
          <w:highlight w:val="none"/>
        </w:rPr>
        <w:t>甲方的责任</w:t>
      </w:r>
    </w:p>
    <w:p w14:paraId="05BE979E">
      <w:pPr>
        <w:spacing w:before="158" w:line="221" w:lineRule="auto"/>
        <w:ind w:firstLine="412" w:firstLineChars="20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甲方的领导和工作人员，在工程建设的事前、事中、事后应遵守以下规定：</w:t>
      </w:r>
    </w:p>
    <w:p w14:paraId="02D816C7">
      <w:pPr>
        <w:spacing w:before="142" w:line="290" w:lineRule="auto"/>
        <w:ind w:left="2" w:right="94" w:firstLine="38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（一）不准向乙方和相关单位索要或接受回</w:t>
      </w:r>
      <w:r>
        <w:rPr>
          <w:rFonts w:ascii="宋体" w:hAnsi="宋体" w:eastAsia="宋体" w:cs="宋体"/>
          <w:color w:val="auto"/>
          <w:spacing w:val="-1"/>
          <w:sz w:val="21"/>
          <w:szCs w:val="21"/>
          <w:highlight w:val="none"/>
        </w:rPr>
        <w:t>扣、礼金、有价证券、贵重物品和好处费、感谢费</w:t>
      </w:r>
      <w:r>
        <w:rPr>
          <w:rFonts w:ascii="宋体" w:hAnsi="宋体" w:eastAsia="宋体" w:cs="宋体"/>
          <w:color w:val="auto"/>
          <w:spacing w:val="-10"/>
          <w:sz w:val="21"/>
          <w:szCs w:val="21"/>
          <w:highlight w:val="none"/>
        </w:rPr>
        <w:t>等。</w:t>
      </w:r>
    </w:p>
    <w:p w14:paraId="3200A016">
      <w:pPr>
        <w:spacing w:before="156" w:line="221" w:lineRule="auto"/>
        <w:ind w:left="38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（二）不准在乙方和相关单位报销任何应由甲方或应</w:t>
      </w:r>
      <w:r>
        <w:rPr>
          <w:rFonts w:ascii="宋体" w:hAnsi="宋体" w:eastAsia="宋体" w:cs="宋体"/>
          <w:color w:val="auto"/>
          <w:spacing w:val="-1"/>
          <w:sz w:val="21"/>
          <w:szCs w:val="21"/>
          <w:highlight w:val="none"/>
        </w:rPr>
        <w:t>由个人支付的费用。</w:t>
      </w:r>
    </w:p>
    <w:p w14:paraId="23C074EA">
      <w:pPr>
        <w:spacing w:before="158" w:line="313" w:lineRule="auto"/>
        <w:ind w:firstLine="38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（三）不准要求、暗示或接受乙方和相关单位为个人装修住房、婚丧嫁娶</w:t>
      </w:r>
      <w:r>
        <w:rPr>
          <w:rFonts w:ascii="宋体" w:hAnsi="宋体" w:eastAsia="宋体" w:cs="宋体"/>
          <w:color w:val="auto"/>
          <w:spacing w:val="-1"/>
          <w:sz w:val="21"/>
          <w:szCs w:val="21"/>
          <w:highlight w:val="none"/>
        </w:rPr>
        <w:t>、配偶子女的工作安</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排以及出国（境）、旅游等提供方便。不准工作人员的配偶、子女从事与甲方工程交易行为有关的材</w:t>
      </w:r>
      <w:r>
        <w:rPr>
          <w:rFonts w:ascii="宋体" w:hAnsi="宋体" w:eastAsia="宋体" w:cs="宋体"/>
          <w:color w:val="auto"/>
          <w:spacing w:val="2"/>
          <w:sz w:val="21"/>
          <w:szCs w:val="21"/>
          <w:highlight w:val="none"/>
        </w:rPr>
        <w:t xml:space="preserve"> </w:t>
      </w:r>
      <w:r>
        <w:rPr>
          <w:rFonts w:ascii="宋体" w:hAnsi="宋体" w:eastAsia="宋体" w:cs="宋体"/>
          <w:color w:val="auto"/>
          <w:spacing w:val="-1"/>
          <w:sz w:val="21"/>
          <w:szCs w:val="21"/>
          <w:highlight w:val="none"/>
        </w:rPr>
        <w:t>料设备供应、工程分包、劳务等经济活动。</w:t>
      </w:r>
    </w:p>
    <w:p w14:paraId="619A70C2">
      <w:pPr>
        <w:spacing w:before="159" w:line="289" w:lineRule="auto"/>
        <w:ind w:left="4" w:right="112" w:firstLine="37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（四）不准参加有可能影响公正执行公务的乙方和相关单位宴请和营业性健身、娱乐等活动。不准接受乙方提供的通信工具和高档办公用品等。</w:t>
      </w:r>
    </w:p>
    <w:p w14:paraId="3C6CADE4">
      <w:pPr>
        <w:spacing w:before="159" w:line="313" w:lineRule="auto"/>
        <w:ind w:right="38" w:firstLine="383"/>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（五）不准向乙方介绍与工程建设项目有关的设备、材料采购、劳务等经</w:t>
      </w:r>
      <w:r>
        <w:rPr>
          <w:rFonts w:ascii="宋体" w:hAnsi="宋体" w:eastAsia="宋体" w:cs="宋体"/>
          <w:color w:val="auto"/>
          <w:spacing w:val="-1"/>
          <w:sz w:val="21"/>
          <w:szCs w:val="21"/>
          <w:highlight w:val="none"/>
        </w:rPr>
        <w:t>济活动，不得强行向</w:t>
      </w:r>
      <w:r>
        <w:rPr>
          <w:rFonts w:ascii="宋体" w:hAnsi="宋体" w:eastAsia="宋体" w:cs="宋体"/>
          <w:color w:val="auto"/>
          <w:sz w:val="21"/>
          <w:szCs w:val="21"/>
          <w:highlight w:val="none"/>
        </w:rPr>
        <w:t>乙方和相关单位推荐分包单位，不准以任何理由要求乙方购买工程建设项目施工合同规定以外</w:t>
      </w:r>
      <w:r>
        <w:rPr>
          <w:rFonts w:ascii="宋体" w:hAnsi="宋体" w:eastAsia="宋体" w:cs="宋体"/>
          <w:color w:val="auto"/>
          <w:spacing w:val="-1"/>
          <w:sz w:val="21"/>
          <w:szCs w:val="21"/>
          <w:highlight w:val="none"/>
        </w:rPr>
        <w:t>的材料、设备等。</w:t>
      </w:r>
    </w:p>
    <w:p w14:paraId="0A40AC14">
      <w:pPr>
        <w:spacing w:before="42" w:line="220" w:lineRule="auto"/>
        <w:ind w:left="490"/>
        <w:outlineLvl w:val="9"/>
        <w:rPr>
          <w:rFonts w:ascii="宋体" w:hAnsi="宋体" w:eastAsia="宋体" w:cs="宋体"/>
          <w:color w:val="auto"/>
          <w:sz w:val="21"/>
          <w:szCs w:val="21"/>
          <w:highlight w:val="none"/>
        </w:rPr>
      </w:pPr>
      <w:r>
        <w:rPr>
          <w:rFonts w:ascii="黑体" w:hAnsi="黑体" w:eastAsia="黑体" w:cs="黑体"/>
          <w:color w:val="auto"/>
          <w:spacing w:val="-4"/>
          <w:sz w:val="21"/>
          <w:szCs w:val="21"/>
          <w:highlight w:val="none"/>
        </w:rPr>
        <w:t>第三条</w:t>
      </w:r>
      <w:r>
        <w:rPr>
          <w:rFonts w:ascii="黑体" w:hAnsi="黑体" w:eastAsia="黑体" w:cs="黑体"/>
          <w:color w:val="auto"/>
          <w:spacing w:val="41"/>
          <w:sz w:val="21"/>
          <w:szCs w:val="21"/>
          <w:highlight w:val="none"/>
        </w:rPr>
        <w:t xml:space="preserve">  </w:t>
      </w:r>
      <w:r>
        <w:rPr>
          <w:rFonts w:ascii="宋体" w:hAnsi="宋体" w:eastAsia="宋体" w:cs="宋体"/>
          <w:color w:val="auto"/>
          <w:spacing w:val="-4"/>
          <w:sz w:val="21"/>
          <w:szCs w:val="21"/>
          <w:highlight w:val="none"/>
        </w:rPr>
        <w:t>乙方的责任</w:t>
      </w:r>
    </w:p>
    <w:p w14:paraId="1CB73730">
      <w:pPr>
        <w:spacing w:before="157" w:line="231" w:lineRule="auto"/>
        <w:ind w:right="38" w:firstLine="420" w:firstLineChars="20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应与甲方保持正常的业务交往，按照有关法律法规和合同规定开展业务工作，严格执</w:t>
      </w:r>
      <w:r>
        <w:rPr>
          <w:rFonts w:ascii="宋体" w:hAnsi="宋体" w:eastAsia="宋体" w:cs="宋体"/>
          <w:color w:val="auto"/>
          <w:spacing w:val="-1"/>
          <w:sz w:val="21"/>
          <w:szCs w:val="21"/>
          <w:highlight w:val="none"/>
        </w:rPr>
        <w:t>行工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程建设的有关政策，并遵守如下规定：</w:t>
      </w:r>
    </w:p>
    <w:p w14:paraId="4FAD1ADA">
      <w:pPr>
        <w:spacing w:before="139" w:line="290" w:lineRule="auto"/>
        <w:ind w:right="31" w:firstLine="37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（一）不准以任何理由向甲方、相关单位及其工作人员赠送礼金、有价证券、贵重物品和回扣、</w:t>
      </w:r>
      <w:r>
        <w:rPr>
          <w:rFonts w:ascii="宋体" w:hAnsi="宋体" w:eastAsia="宋体" w:cs="宋体"/>
          <w:color w:val="auto"/>
          <w:spacing w:val="-3"/>
          <w:sz w:val="21"/>
          <w:szCs w:val="21"/>
          <w:highlight w:val="none"/>
        </w:rPr>
        <w:t>好处费、感谢费等。</w:t>
      </w:r>
    </w:p>
    <w:p w14:paraId="1DD1F5A4">
      <w:pPr>
        <w:spacing w:before="156" w:line="221" w:lineRule="auto"/>
        <w:ind w:left="37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（二）不准以任何理由为甲方和相关单位报销应由对方或应由个人支付的费用。</w:t>
      </w:r>
    </w:p>
    <w:p w14:paraId="7E6C57FC">
      <w:pPr>
        <w:spacing w:before="160" w:line="289" w:lineRule="auto"/>
        <w:ind w:right="31" w:firstLine="371"/>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（三）不准为甲方、相关单位或个人装修住房、</w:t>
      </w:r>
      <w:r>
        <w:rPr>
          <w:rFonts w:ascii="宋体" w:hAnsi="宋体" w:eastAsia="宋体" w:cs="宋体"/>
          <w:color w:val="auto"/>
          <w:spacing w:val="-9"/>
          <w:sz w:val="21"/>
          <w:szCs w:val="21"/>
          <w:highlight w:val="none"/>
        </w:rPr>
        <w:t>婚丧嫁娶、配偶子女的工作安排以及出国（境）、</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旅游等提供方便。</w:t>
      </w:r>
    </w:p>
    <w:p w14:paraId="00B26C58">
      <w:pPr>
        <w:spacing w:before="158" w:line="289" w:lineRule="auto"/>
        <w:ind w:right="101" w:firstLine="37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（四）不准以任何理由为甲方、相关单位或个人组织有</w:t>
      </w:r>
      <w:r>
        <w:rPr>
          <w:rFonts w:ascii="宋体" w:hAnsi="宋体" w:eastAsia="宋体" w:cs="宋体"/>
          <w:color w:val="auto"/>
          <w:spacing w:val="-1"/>
          <w:sz w:val="21"/>
          <w:szCs w:val="21"/>
          <w:highlight w:val="none"/>
        </w:rPr>
        <w:t>可能影响公正执行公务的宴请和营业性</w:t>
      </w:r>
      <w:r>
        <w:rPr>
          <w:rFonts w:ascii="宋体" w:hAnsi="宋体" w:eastAsia="宋体" w:cs="宋体"/>
          <w:color w:val="auto"/>
          <w:sz w:val="21"/>
          <w:szCs w:val="21"/>
          <w:highlight w:val="none"/>
        </w:rPr>
        <w:t>健身、娱乐等活动。不准为甲方单位和个人购置或提供通信工具和高档办公用品等。</w:t>
      </w:r>
    </w:p>
    <w:p w14:paraId="72B92E29">
      <w:pPr>
        <w:spacing w:before="160" w:line="220" w:lineRule="auto"/>
        <w:ind w:left="490"/>
        <w:outlineLvl w:val="9"/>
        <w:rPr>
          <w:rFonts w:ascii="宋体" w:hAnsi="宋体" w:eastAsia="宋体" w:cs="宋体"/>
          <w:color w:val="auto"/>
          <w:sz w:val="21"/>
          <w:szCs w:val="21"/>
          <w:highlight w:val="none"/>
        </w:rPr>
      </w:pPr>
      <w:r>
        <w:rPr>
          <w:rFonts w:ascii="黑体" w:hAnsi="黑体" w:eastAsia="黑体" w:cs="黑体"/>
          <w:color w:val="auto"/>
          <w:spacing w:val="-2"/>
          <w:sz w:val="21"/>
          <w:szCs w:val="21"/>
          <w:highlight w:val="none"/>
        </w:rPr>
        <w:t>第四条</w:t>
      </w:r>
      <w:r>
        <w:rPr>
          <w:rFonts w:ascii="黑体" w:hAnsi="黑体" w:eastAsia="黑体" w:cs="黑体"/>
          <w:color w:val="auto"/>
          <w:spacing w:val="32"/>
          <w:sz w:val="21"/>
          <w:szCs w:val="21"/>
          <w:highlight w:val="none"/>
        </w:rPr>
        <w:t xml:space="preserve">  </w:t>
      </w:r>
      <w:r>
        <w:rPr>
          <w:rFonts w:ascii="宋体" w:hAnsi="宋体" w:eastAsia="宋体" w:cs="宋体"/>
          <w:color w:val="auto"/>
          <w:spacing w:val="-2"/>
          <w:sz w:val="21"/>
          <w:szCs w:val="21"/>
          <w:highlight w:val="none"/>
        </w:rPr>
        <w:t>违约责任</w:t>
      </w:r>
    </w:p>
    <w:p w14:paraId="39CF3387">
      <w:pPr>
        <w:spacing w:before="158" w:line="220" w:lineRule="auto"/>
        <w:ind w:firstLine="416" w:firstLineChars="200"/>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甲、乙双方工作人员如有违反本协议有关规定，按照管理权限，依据有关法律法规和</w:t>
      </w:r>
    </w:p>
    <w:p w14:paraId="523FE481">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规定</w:t>
      </w:r>
      <w:r>
        <w:rPr>
          <w:rFonts w:ascii="宋体" w:hAnsi="宋体" w:eastAsia="宋体" w:cs="宋体"/>
          <w:color w:val="auto"/>
          <w:sz w:val="21"/>
          <w:szCs w:val="21"/>
          <w:highlight w:val="none"/>
        </w:rPr>
        <w:t>对责任人和责任单位负责人给予党纪、政纪处分。涉嫌犯罪的，移交司法机关追究刑</w:t>
      </w:r>
    </w:p>
    <w:p w14:paraId="4BAC4BE1">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事责任。</w:t>
      </w:r>
    </w:p>
    <w:p w14:paraId="2167A860">
      <w:pPr>
        <w:spacing w:before="143" w:line="220" w:lineRule="auto"/>
        <w:ind w:left="447"/>
        <w:outlineLvl w:val="9"/>
        <w:rPr>
          <w:rFonts w:ascii="宋体" w:hAnsi="宋体" w:eastAsia="宋体" w:cs="宋体"/>
          <w:color w:val="auto"/>
          <w:sz w:val="21"/>
          <w:szCs w:val="21"/>
          <w:highlight w:val="none"/>
        </w:rPr>
      </w:pPr>
      <w:r>
        <w:rPr>
          <w:rFonts w:ascii="黑体" w:hAnsi="黑体" w:eastAsia="黑体" w:cs="黑体"/>
          <w:color w:val="auto"/>
          <w:sz w:val="21"/>
          <w:szCs w:val="21"/>
          <w:highlight w:val="none"/>
        </w:rPr>
        <w:t>第五条</w:t>
      </w:r>
      <w:r>
        <w:rPr>
          <w:rFonts w:ascii="黑体" w:hAnsi="黑体" w:eastAsia="黑体" w:cs="黑体"/>
          <w:color w:val="auto"/>
          <w:spacing w:val="46"/>
          <w:sz w:val="21"/>
          <w:szCs w:val="21"/>
          <w:highlight w:val="none"/>
        </w:rPr>
        <w:t xml:space="preserve">  </w:t>
      </w:r>
      <w:r>
        <w:rPr>
          <w:rFonts w:ascii="宋体" w:hAnsi="宋体" w:eastAsia="宋体" w:cs="宋体"/>
          <w:color w:val="auto"/>
          <w:sz w:val="21"/>
          <w:szCs w:val="21"/>
          <w:highlight w:val="none"/>
        </w:rPr>
        <w:t>本协议书的有效期自双方签署之日起至相应承发包</w:t>
      </w:r>
      <w:r>
        <w:rPr>
          <w:rFonts w:ascii="宋体" w:hAnsi="宋体" w:eastAsia="宋体" w:cs="宋体"/>
          <w:color w:val="auto"/>
          <w:spacing w:val="-1"/>
          <w:sz w:val="21"/>
          <w:szCs w:val="21"/>
          <w:highlight w:val="none"/>
        </w:rPr>
        <w:t>合同终了之日止。</w:t>
      </w:r>
    </w:p>
    <w:p w14:paraId="7BE82298">
      <w:pPr>
        <w:spacing w:before="159" w:line="345" w:lineRule="auto"/>
        <w:ind w:left="4" w:firstLine="443"/>
        <w:outlineLvl w:val="9"/>
        <w:rPr>
          <w:rFonts w:ascii="宋体" w:hAnsi="宋体" w:eastAsia="宋体" w:cs="宋体"/>
          <w:color w:val="auto"/>
          <w:sz w:val="21"/>
          <w:szCs w:val="21"/>
          <w:highlight w:val="none"/>
        </w:rPr>
      </w:pPr>
      <w:r>
        <w:rPr>
          <w:rFonts w:ascii="黑体" w:hAnsi="黑体" w:eastAsia="黑体" w:cs="黑体"/>
          <w:color w:val="auto"/>
          <w:spacing w:val="-2"/>
          <w:sz w:val="21"/>
          <w:szCs w:val="21"/>
          <w:highlight w:val="none"/>
        </w:rPr>
        <w:t>第六条</w:t>
      </w:r>
      <w:r>
        <w:rPr>
          <w:rFonts w:ascii="黑体" w:hAnsi="黑体" w:eastAsia="黑体" w:cs="黑体"/>
          <w:color w:val="auto"/>
          <w:spacing w:val="46"/>
          <w:sz w:val="21"/>
          <w:szCs w:val="21"/>
          <w:highlight w:val="none"/>
        </w:rPr>
        <w:t xml:space="preserve">  </w:t>
      </w:r>
      <w:r>
        <w:rPr>
          <w:rFonts w:ascii="宋体" w:hAnsi="宋体" w:eastAsia="宋体" w:cs="宋体"/>
          <w:color w:val="auto"/>
          <w:spacing w:val="-2"/>
          <w:sz w:val="21"/>
          <w:szCs w:val="21"/>
          <w:highlight w:val="none"/>
        </w:rPr>
        <w:t>本责任书一式</w:t>
      </w:r>
      <w:r>
        <w:rPr>
          <w:rFonts w:ascii="宋体" w:hAnsi="宋体" w:eastAsia="宋体" w:cs="宋体"/>
          <w:color w:val="auto"/>
          <w:spacing w:val="-10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2"/>
          <w:sz w:val="21"/>
          <w:szCs w:val="21"/>
          <w:highlight w:val="none"/>
        </w:rPr>
        <w:t>份，甲乙双方各执一份，并分送</w:t>
      </w:r>
      <w:r>
        <w:rPr>
          <w:rFonts w:ascii="宋体" w:hAnsi="宋体" w:eastAsia="宋体" w:cs="宋体"/>
          <w:color w:val="auto"/>
          <w:spacing w:val="-3"/>
          <w:sz w:val="21"/>
          <w:szCs w:val="21"/>
          <w:highlight w:val="none"/>
        </w:rPr>
        <w:t>甲乙双方主管单位纪检监察部门各</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一份。</w:t>
      </w:r>
    </w:p>
    <w:p w14:paraId="5A207F90">
      <w:pPr>
        <w:spacing w:line="247" w:lineRule="auto"/>
        <w:outlineLvl w:val="9"/>
        <w:rPr>
          <w:rFonts w:ascii="Arial"/>
          <w:color w:val="auto"/>
          <w:sz w:val="21"/>
          <w:highlight w:val="none"/>
        </w:rPr>
      </w:pPr>
    </w:p>
    <w:p w14:paraId="28137339">
      <w:pPr>
        <w:spacing w:line="247" w:lineRule="auto"/>
        <w:outlineLvl w:val="9"/>
        <w:rPr>
          <w:rFonts w:ascii="Arial"/>
          <w:color w:val="auto"/>
          <w:sz w:val="21"/>
          <w:highlight w:val="none"/>
        </w:rPr>
      </w:pPr>
    </w:p>
    <w:p w14:paraId="71D0692D">
      <w:pPr>
        <w:spacing w:line="248" w:lineRule="auto"/>
        <w:outlineLvl w:val="9"/>
        <w:rPr>
          <w:rFonts w:ascii="Arial"/>
          <w:color w:val="auto"/>
          <w:sz w:val="21"/>
          <w:highlight w:val="none"/>
        </w:rPr>
      </w:pPr>
    </w:p>
    <w:p w14:paraId="553F51AB">
      <w:pPr>
        <w:spacing w:before="68" w:line="220" w:lineRule="auto"/>
        <w:ind w:left="868"/>
        <w:outlineLvl w:val="9"/>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甲 方（盖章</w:t>
      </w:r>
      <w:r>
        <w:rPr>
          <w:rFonts w:ascii="宋体" w:hAnsi="宋体" w:eastAsia="宋体" w:cs="宋体"/>
          <w:color w:val="auto"/>
          <w:spacing w:val="-29"/>
          <w:sz w:val="21"/>
          <w:szCs w:val="21"/>
          <w:highlight w:val="none"/>
        </w:rPr>
        <w:t>）：</w:t>
      </w:r>
      <w:r>
        <w:rPr>
          <w:rFonts w:ascii="宋体" w:hAnsi="宋体" w:eastAsia="宋体" w:cs="宋体"/>
          <w:color w:val="auto"/>
          <w:spacing w:val="1"/>
          <w:sz w:val="21"/>
          <w:szCs w:val="21"/>
          <w:highlight w:val="none"/>
        </w:rPr>
        <w:t xml:space="preserve">                             </w:t>
      </w:r>
      <w:r>
        <w:rPr>
          <w:rFonts w:ascii="宋体" w:hAnsi="宋体" w:eastAsia="宋体" w:cs="宋体"/>
          <w:color w:val="auto"/>
          <w:spacing w:val="-17"/>
          <w:sz w:val="21"/>
          <w:szCs w:val="21"/>
          <w:highlight w:val="none"/>
        </w:rPr>
        <w:t>乙</w:t>
      </w:r>
      <w:r>
        <w:rPr>
          <w:rFonts w:ascii="宋体" w:hAnsi="宋体" w:eastAsia="宋体" w:cs="宋体"/>
          <w:color w:val="auto"/>
          <w:spacing w:val="16"/>
          <w:sz w:val="21"/>
          <w:szCs w:val="21"/>
          <w:highlight w:val="none"/>
        </w:rPr>
        <w:t xml:space="preserve"> </w:t>
      </w:r>
      <w:r>
        <w:rPr>
          <w:rFonts w:ascii="宋体" w:hAnsi="宋体" w:eastAsia="宋体" w:cs="宋体"/>
          <w:color w:val="auto"/>
          <w:spacing w:val="-17"/>
          <w:sz w:val="21"/>
          <w:szCs w:val="21"/>
          <w:highlight w:val="none"/>
        </w:rPr>
        <w:t>方（盖章</w:t>
      </w:r>
      <w:r>
        <w:rPr>
          <w:rFonts w:ascii="宋体" w:hAnsi="宋体" w:eastAsia="宋体" w:cs="宋体"/>
          <w:color w:val="auto"/>
          <w:spacing w:val="-29"/>
          <w:sz w:val="21"/>
          <w:szCs w:val="21"/>
          <w:highlight w:val="none"/>
        </w:rPr>
        <w:t>）：</w:t>
      </w:r>
    </w:p>
    <w:p w14:paraId="54B378F2">
      <w:pPr>
        <w:spacing w:line="463" w:lineRule="auto"/>
        <w:outlineLvl w:val="9"/>
        <w:rPr>
          <w:rFonts w:ascii="Arial"/>
          <w:color w:val="auto"/>
          <w:sz w:val="21"/>
          <w:highlight w:val="none"/>
        </w:rPr>
      </w:pPr>
    </w:p>
    <w:p w14:paraId="5CB87830">
      <w:pPr>
        <w:spacing w:before="69" w:line="221" w:lineRule="auto"/>
        <w:ind w:left="84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法定代表人：</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法定代表人：</w:t>
      </w:r>
    </w:p>
    <w:p w14:paraId="2E0A9157">
      <w:pPr>
        <w:spacing w:before="142" w:line="221" w:lineRule="auto"/>
        <w:ind w:left="63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（或委托代理人</w:t>
      </w:r>
      <w:r>
        <w:rPr>
          <w:rFonts w:ascii="宋体" w:hAnsi="宋体" w:eastAsia="宋体" w:cs="宋体"/>
          <w:color w:val="auto"/>
          <w:spacing w:val="-10"/>
          <w:sz w:val="21"/>
          <w:szCs w:val="21"/>
          <w:highlight w:val="none"/>
        </w:rPr>
        <w:t>）</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 xml:space="preserve">    </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或委托代理人）</w:t>
      </w:r>
    </w:p>
    <w:p w14:paraId="5A364E05">
      <w:pPr>
        <w:spacing w:line="462" w:lineRule="auto"/>
        <w:outlineLvl w:val="9"/>
        <w:rPr>
          <w:rFonts w:ascii="Arial"/>
          <w:color w:val="auto"/>
          <w:sz w:val="21"/>
          <w:highlight w:val="none"/>
        </w:rPr>
      </w:pPr>
    </w:p>
    <w:p w14:paraId="4D32A932">
      <w:pPr>
        <w:tabs>
          <w:tab w:val="left" w:pos="1298"/>
        </w:tabs>
        <w:spacing w:before="69" w:line="221" w:lineRule="auto"/>
        <w:ind w:left="35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4"/>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8"/>
          <w:sz w:val="21"/>
          <w:szCs w:val="21"/>
          <w:highlight w:val="none"/>
        </w:rPr>
        <w:t xml:space="preserve"> </w:t>
      </w:r>
      <w:r>
        <w:rPr>
          <w:rFonts w:ascii="宋体" w:hAnsi="宋体" w:eastAsia="宋体" w:cs="宋体"/>
          <w:color w:val="auto"/>
          <w:spacing w:val="-8"/>
          <w:sz w:val="21"/>
          <w:szCs w:val="21"/>
          <w:highlight w:val="none"/>
        </w:rPr>
        <w:t xml:space="preserve">日                   </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25"/>
          <w:sz w:val="21"/>
          <w:szCs w:val="21"/>
          <w:highlight w:val="none"/>
          <w:u w:val="single" w:color="auto"/>
        </w:rPr>
        <w:t xml:space="preserve">    </w:t>
      </w:r>
      <w:r>
        <w:rPr>
          <w:rFonts w:ascii="宋体" w:hAnsi="宋体" w:eastAsia="宋体" w:cs="宋体"/>
          <w:color w:val="auto"/>
          <w:spacing w:val="-57"/>
          <w:sz w:val="21"/>
          <w:szCs w:val="21"/>
          <w:highlight w:val="none"/>
        </w:rPr>
        <w:t xml:space="preserve"> </w:t>
      </w:r>
      <w:r>
        <w:rPr>
          <w:rFonts w:ascii="宋体" w:hAnsi="宋体" w:eastAsia="宋体" w:cs="宋体"/>
          <w:color w:val="auto"/>
          <w:spacing w:val="-8"/>
          <w:sz w:val="21"/>
          <w:szCs w:val="21"/>
          <w:highlight w:val="none"/>
        </w:rPr>
        <w:t>日</w:t>
      </w:r>
    </w:p>
    <w:p w14:paraId="5A8B1040">
      <w:pPr>
        <w:spacing w:before="65" w:line="219" w:lineRule="auto"/>
        <w:ind w:left="25"/>
        <w:outlineLvl w:val="9"/>
        <w:rPr>
          <w:rFonts w:ascii="宋体" w:hAnsi="宋体" w:eastAsia="宋体" w:cs="宋体"/>
          <w:b/>
          <w:bCs/>
          <w:color w:val="auto"/>
          <w:spacing w:val="-7"/>
          <w:sz w:val="28"/>
          <w:szCs w:val="28"/>
          <w:highlight w:val="none"/>
        </w:rPr>
      </w:pPr>
    </w:p>
    <w:p w14:paraId="1BB3A556">
      <w:pPr>
        <w:spacing w:before="65" w:line="219" w:lineRule="auto"/>
        <w:ind w:left="25"/>
        <w:outlineLvl w:val="9"/>
        <w:rPr>
          <w:rFonts w:ascii="宋体" w:hAnsi="宋体" w:eastAsia="宋体" w:cs="宋体"/>
          <w:b/>
          <w:bCs/>
          <w:color w:val="auto"/>
          <w:spacing w:val="-7"/>
          <w:sz w:val="28"/>
          <w:szCs w:val="28"/>
          <w:highlight w:val="none"/>
        </w:rPr>
      </w:pPr>
    </w:p>
    <w:p w14:paraId="3AB9507C">
      <w:pPr>
        <w:spacing w:before="65" w:line="219" w:lineRule="auto"/>
        <w:ind w:left="25"/>
        <w:outlineLvl w:val="9"/>
        <w:rPr>
          <w:rFonts w:ascii="宋体" w:hAnsi="宋体" w:eastAsia="宋体" w:cs="宋体"/>
          <w:b/>
          <w:bCs/>
          <w:color w:val="auto"/>
          <w:spacing w:val="-7"/>
          <w:sz w:val="28"/>
          <w:szCs w:val="28"/>
          <w:highlight w:val="none"/>
        </w:rPr>
      </w:pPr>
    </w:p>
    <w:p w14:paraId="3A8B2772">
      <w:pPr>
        <w:spacing w:before="65" w:line="219" w:lineRule="auto"/>
        <w:ind w:left="25"/>
        <w:outlineLvl w:val="9"/>
        <w:rPr>
          <w:rFonts w:ascii="宋体" w:hAnsi="宋体" w:eastAsia="宋体" w:cs="宋体"/>
          <w:b/>
          <w:bCs/>
          <w:color w:val="auto"/>
          <w:spacing w:val="-7"/>
          <w:sz w:val="28"/>
          <w:szCs w:val="28"/>
          <w:highlight w:val="none"/>
        </w:rPr>
      </w:pPr>
    </w:p>
    <w:p w14:paraId="5A08A9A0">
      <w:pPr>
        <w:spacing w:before="65" w:line="219" w:lineRule="auto"/>
        <w:ind w:left="25"/>
        <w:outlineLvl w:val="9"/>
        <w:rPr>
          <w:rFonts w:ascii="宋体" w:hAnsi="宋体" w:eastAsia="宋体" w:cs="宋体"/>
          <w:b/>
          <w:bCs/>
          <w:color w:val="auto"/>
          <w:spacing w:val="-7"/>
          <w:sz w:val="28"/>
          <w:szCs w:val="28"/>
          <w:highlight w:val="none"/>
        </w:rPr>
      </w:pPr>
    </w:p>
    <w:p w14:paraId="31437A6B">
      <w:pPr>
        <w:spacing w:before="65" w:line="219" w:lineRule="auto"/>
        <w:ind w:left="25"/>
        <w:outlineLvl w:val="9"/>
        <w:rPr>
          <w:rFonts w:ascii="宋体" w:hAnsi="宋体" w:eastAsia="宋体" w:cs="宋体"/>
          <w:b/>
          <w:bCs/>
          <w:color w:val="auto"/>
          <w:spacing w:val="-7"/>
          <w:sz w:val="28"/>
          <w:szCs w:val="28"/>
          <w:highlight w:val="none"/>
        </w:rPr>
      </w:pPr>
    </w:p>
    <w:p w14:paraId="06FB2A83">
      <w:pPr>
        <w:spacing w:before="65" w:line="219" w:lineRule="auto"/>
        <w:ind w:left="25"/>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附件三：安全生产责任书</w:t>
      </w:r>
    </w:p>
    <w:p w14:paraId="2EABF32E">
      <w:pPr>
        <w:spacing w:line="417" w:lineRule="auto"/>
        <w:outlineLvl w:val="9"/>
        <w:rPr>
          <w:rFonts w:ascii="Arial"/>
          <w:color w:val="auto"/>
          <w:sz w:val="21"/>
          <w:highlight w:val="none"/>
        </w:rPr>
      </w:pPr>
    </w:p>
    <w:p w14:paraId="77B21D06">
      <w:pPr>
        <w:spacing w:before="91" w:line="219" w:lineRule="auto"/>
        <w:ind w:left="3559"/>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安全生产责任书</w:t>
      </w:r>
    </w:p>
    <w:p w14:paraId="4D2C6292">
      <w:pPr>
        <w:spacing w:line="295" w:lineRule="auto"/>
        <w:outlineLvl w:val="9"/>
        <w:rPr>
          <w:rFonts w:ascii="Arial"/>
          <w:color w:val="auto"/>
          <w:sz w:val="21"/>
          <w:highlight w:val="none"/>
        </w:rPr>
      </w:pPr>
    </w:p>
    <w:p w14:paraId="02460424">
      <w:pPr>
        <w:spacing w:line="295" w:lineRule="auto"/>
        <w:outlineLvl w:val="9"/>
        <w:rPr>
          <w:rFonts w:ascii="Arial"/>
          <w:color w:val="auto"/>
          <w:sz w:val="21"/>
          <w:highlight w:val="none"/>
        </w:rPr>
      </w:pPr>
    </w:p>
    <w:p w14:paraId="0306CB6D">
      <w:pPr>
        <w:spacing w:before="69" w:line="223" w:lineRule="auto"/>
        <w:ind w:left="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施工合同名称： </w:t>
      </w:r>
      <w:r>
        <w:rPr>
          <w:rFonts w:ascii="宋体" w:hAnsi="宋体" w:eastAsia="宋体" w:cs="宋体"/>
          <w:color w:val="auto"/>
          <w:sz w:val="21"/>
          <w:szCs w:val="21"/>
          <w:highlight w:val="none"/>
          <w:u w:val="single" w:color="auto"/>
        </w:rPr>
        <w:t xml:space="preserve">                                                     </w:t>
      </w:r>
    </w:p>
    <w:p w14:paraId="05248F9E">
      <w:pPr>
        <w:spacing w:before="156" w:line="221"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施工合同编号： </w:t>
      </w:r>
      <w:r>
        <w:rPr>
          <w:rFonts w:ascii="宋体" w:hAnsi="宋体" w:eastAsia="宋体" w:cs="宋体"/>
          <w:color w:val="auto"/>
          <w:sz w:val="21"/>
          <w:szCs w:val="21"/>
          <w:highlight w:val="none"/>
          <w:u w:val="single" w:color="auto"/>
        </w:rPr>
        <w:t xml:space="preserve">                                                     </w:t>
      </w:r>
    </w:p>
    <w:p w14:paraId="22240E87">
      <w:pPr>
        <w:spacing w:before="157" w:line="221" w:lineRule="auto"/>
        <w:ind w:left="4"/>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发</w:t>
      </w:r>
      <w:r>
        <w:rPr>
          <w:rFonts w:ascii="宋体" w:hAnsi="宋体" w:eastAsia="宋体" w:cs="宋体"/>
          <w:color w:val="auto"/>
          <w:spacing w:val="3"/>
          <w:sz w:val="21"/>
          <w:szCs w:val="21"/>
          <w:highlight w:val="none"/>
        </w:rPr>
        <w:t xml:space="preserve">   </w:t>
      </w:r>
      <w:r>
        <w:rPr>
          <w:rFonts w:ascii="宋体" w:hAnsi="宋体" w:eastAsia="宋体" w:cs="宋体"/>
          <w:color w:val="auto"/>
          <w:spacing w:val="-4"/>
          <w:sz w:val="21"/>
          <w:szCs w:val="21"/>
          <w:highlight w:val="none"/>
        </w:rPr>
        <w:t>包</w:t>
      </w:r>
      <w:r>
        <w:rPr>
          <w:rFonts w:ascii="宋体" w:hAnsi="宋体" w:eastAsia="宋体" w:cs="宋体"/>
          <w:color w:val="auto"/>
          <w:spacing w:val="3"/>
          <w:sz w:val="21"/>
          <w:szCs w:val="21"/>
          <w:highlight w:val="none"/>
        </w:rPr>
        <w:t xml:space="preserve">   </w:t>
      </w:r>
      <w:r>
        <w:rPr>
          <w:rFonts w:ascii="宋体" w:hAnsi="宋体" w:eastAsia="宋体" w:cs="宋体"/>
          <w:color w:val="auto"/>
          <w:spacing w:val="-4"/>
          <w:sz w:val="21"/>
          <w:szCs w:val="21"/>
          <w:highlight w:val="none"/>
        </w:rPr>
        <w:t xml:space="preserve">人： </w:t>
      </w:r>
      <w:r>
        <w:rPr>
          <w:rFonts w:ascii="宋体" w:hAnsi="宋体" w:eastAsia="宋体" w:cs="宋体"/>
          <w:color w:val="auto"/>
          <w:spacing w:val="-4"/>
          <w:sz w:val="21"/>
          <w:szCs w:val="21"/>
          <w:highlight w:val="none"/>
          <w:u w:val="single" w:color="auto"/>
        </w:rPr>
        <w:t xml:space="preserve">                                                       </w:t>
      </w:r>
    </w:p>
    <w:p w14:paraId="12ED7903">
      <w:pPr>
        <w:spacing w:before="155" w:line="221" w:lineRule="auto"/>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承</w:t>
      </w:r>
      <w:r>
        <w:rPr>
          <w:rFonts w:ascii="宋体" w:hAnsi="宋体" w:eastAsia="宋体" w:cs="宋体"/>
          <w:color w:val="auto"/>
          <w:spacing w:val="2"/>
          <w:sz w:val="21"/>
          <w:szCs w:val="21"/>
          <w:highlight w:val="none"/>
        </w:rPr>
        <w:t xml:space="preserve">   </w:t>
      </w:r>
      <w:r>
        <w:rPr>
          <w:rFonts w:ascii="宋体" w:hAnsi="宋体" w:eastAsia="宋体" w:cs="宋体"/>
          <w:color w:val="auto"/>
          <w:spacing w:val="-5"/>
          <w:sz w:val="21"/>
          <w:szCs w:val="21"/>
          <w:highlight w:val="none"/>
        </w:rPr>
        <w:t>包</w:t>
      </w:r>
      <w:r>
        <w:rPr>
          <w:rFonts w:ascii="宋体" w:hAnsi="宋体" w:eastAsia="宋体" w:cs="宋体"/>
          <w:color w:val="auto"/>
          <w:spacing w:val="3"/>
          <w:sz w:val="21"/>
          <w:szCs w:val="21"/>
          <w:highlight w:val="none"/>
        </w:rPr>
        <w:t xml:space="preserve">   </w:t>
      </w:r>
      <w:r>
        <w:rPr>
          <w:rFonts w:ascii="宋体" w:hAnsi="宋体" w:eastAsia="宋体" w:cs="宋体"/>
          <w:color w:val="auto"/>
          <w:spacing w:val="-5"/>
          <w:sz w:val="21"/>
          <w:szCs w:val="21"/>
          <w:highlight w:val="none"/>
        </w:rPr>
        <w:t xml:space="preserve">人： </w:t>
      </w:r>
      <w:r>
        <w:rPr>
          <w:rFonts w:ascii="宋体" w:hAnsi="宋体" w:eastAsia="宋体" w:cs="宋体"/>
          <w:color w:val="auto"/>
          <w:sz w:val="21"/>
          <w:szCs w:val="21"/>
          <w:highlight w:val="none"/>
          <w:u w:val="single" w:color="auto"/>
        </w:rPr>
        <w:t xml:space="preserve">                                                     </w:t>
      </w:r>
    </w:p>
    <w:p w14:paraId="4079CCE1">
      <w:pPr>
        <w:spacing w:before="156" w:line="351" w:lineRule="auto"/>
        <w:ind w:left="1" w:firstLine="450"/>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为进一步落实施工过程的安全生产主体责任，加强项目安全生产管理工作，有效保</w:t>
      </w:r>
      <w:r>
        <w:rPr>
          <w:rFonts w:ascii="宋体" w:hAnsi="宋体" w:eastAsia="宋体" w:cs="宋体"/>
          <w:color w:val="auto"/>
          <w:spacing w:val="-1"/>
          <w:sz w:val="21"/>
          <w:szCs w:val="21"/>
          <w:highlight w:val="none"/>
        </w:rPr>
        <w:t>障从业人员</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人身安全和职业健康，根据《中华人民共和国安全生产法》、国务院《建设工程安全生产管理条例》</w:t>
      </w:r>
      <w:r>
        <w:rPr>
          <w:rFonts w:ascii="宋体" w:hAnsi="宋体" w:eastAsia="宋体" w:cs="宋体"/>
          <w:color w:val="auto"/>
          <w:spacing w:val="3"/>
          <w:sz w:val="21"/>
          <w:szCs w:val="21"/>
          <w:highlight w:val="none"/>
        </w:rPr>
        <w:t xml:space="preserve"> </w:t>
      </w:r>
      <w:r>
        <w:rPr>
          <w:rFonts w:ascii="宋体" w:hAnsi="宋体" w:eastAsia="宋体" w:cs="宋体"/>
          <w:color w:val="auto"/>
          <w:sz w:val="21"/>
          <w:szCs w:val="21"/>
          <w:highlight w:val="none"/>
        </w:rPr>
        <w:t>和《安徽省建设工程安全生产管理办法》等法律法规规章，制订本安全生产责任</w:t>
      </w:r>
      <w:r>
        <w:rPr>
          <w:rFonts w:ascii="宋体" w:hAnsi="宋体" w:eastAsia="宋体" w:cs="宋体"/>
          <w:color w:val="auto"/>
          <w:spacing w:val="-1"/>
          <w:sz w:val="21"/>
          <w:szCs w:val="21"/>
          <w:highlight w:val="none"/>
        </w:rPr>
        <w:t>书。</w:t>
      </w:r>
    </w:p>
    <w:p w14:paraId="7652FD52">
      <w:pPr>
        <w:spacing w:before="31" w:line="221" w:lineRule="auto"/>
        <w:ind w:left="45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一、目标与要求</w:t>
      </w:r>
    </w:p>
    <w:p w14:paraId="140E3A46">
      <w:pPr>
        <w:spacing w:before="157" w:line="345" w:lineRule="auto"/>
        <w:ind w:left="452" w:right="1600" w:firstLine="13"/>
        <w:outlineLvl w:val="9"/>
        <w:rPr>
          <w:rFonts w:ascii="宋体" w:hAnsi="宋体" w:eastAsia="宋体" w:cs="宋体"/>
          <w:color w:val="auto"/>
          <w:spacing w:val="-2"/>
          <w:sz w:val="21"/>
          <w:szCs w:val="21"/>
          <w:highlight w:val="none"/>
        </w:rPr>
      </w:pPr>
      <w:bookmarkStart w:id="356" w:name="_Toc4729"/>
      <w:bookmarkStart w:id="357" w:name="_Toc32483"/>
      <w:r>
        <w:rPr>
          <w:rFonts w:ascii="宋体" w:hAnsi="宋体" w:eastAsia="宋体" w:cs="宋体"/>
          <w:color w:val="auto"/>
          <w:spacing w:val="-1"/>
          <w:sz w:val="21"/>
          <w:szCs w:val="21"/>
          <w:highlight w:val="none"/>
        </w:rPr>
        <w:t>1.强化承包人的安全生产主体责任，确保本</w:t>
      </w:r>
      <w:r>
        <w:rPr>
          <w:rFonts w:ascii="宋体" w:hAnsi="宋体" w:eastAsia="宋体" w:cs="宋体"/>
          <w:color w:val="auto"/>
          <w:spacing w:val="-2"/>
          <w:sz w:val="21"/>
          <w:szCs w:val="21"/>
          <w:highlight w:val="none"/>
        </w:rPr>
        <w:t>项目安全生产工作规范有</w:t>
      </w:r>
      <w:bookmarkEnd w:id="356"/>
      <w:bookmarkEnd w:id="357"/>
    </w:p>
    <w:p w14:paraId="1CD0E583">
      <w:pPr>
        <w:spacing w:before="157" w:line="345" w:lineRule="auto"/>
        <w:ind w:right="1600"/>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序开展。</w:t>
      </w:r>
    </w:p>
    <w:p w14:paraId="0D95AB9E">
      <w:pPr>
        <w:spacing w:before="157" w:line="345" w:lineRule="auto"/>
        <w:ind w:left="452" w:right="1600" w:firstLine="13"/>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2.严格兑现投标文件中有关安全生产方面的承诺。</w:t>
      </w:r>
    </w:p>
    <w:p w14:paraId="1D3E424D">
      <w:pPr>
        <w:spacing w:before="157" w:line="345" w:lineRule="auto"/>
        <w:ind w:right="1600" w:firstLine="416" w:firstLineChars="20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3.事故控制目标：不发生死亡事故及重伤事故。</w:t>
      </w:r>
    </w:p>
    <w:p w14:paraId="43798EE7">
      <w:pPr>
        <w:spacing w:before="157" w:line="221" w:lineRule="auto"/>
        <w:ind w:left="45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二、施工单位安全生产责任</w:t>
      </w:r>
    </w:p>
    <w:p w14:paraId="6E95E1AB">
      <w:pPr>
        <w:spacing w:before="157" w:line="345" w:lineRule="auto"/>
        <w:ind w:right="108" w:firstLine="46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1.认真贯彻落实“安全第一，预防为主，综合治理”的方针，严格遵守安全生产法律法规、规程规范，开展安全生产标准化工地建设。</w:t>
      </w:r>
    </w:p>
    <w:p w14:paraId="5B2857C3">
      <w:pPr>
        <w:spacing w:before="32" w:line="347" w:lineRule="auto"/>
        <w:ind w:left="41" w:right="89" w:firstLine="41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2.健全安全生产责任体系。施工企业法定代表人是本单位的安全生产第一责任人，项目经理（项目负责人）对本项目的施工安全生产全面负责，明确落实各部门、各环节、各岗位的安全生产责任。</w:t>
      </w:r>
    </w:p>
    <w:p w14:paraId="303A37C3">
      <w:pPr>
        <w:spacing w:before="29" w:line="345" w:lineRule="auto"/>
        <w:ind w:left="1" w:right="145" w:firstLine="45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3.健全安全生产管理体系。设立现场安全生产管理机构，按规定配备</w:t>
      </w:r>
      <w:r>
        <w:rPr>
          <w:rFonts w:ascii="宋体" w:hAnsi="宋体" w:eastAsia="宋体" w:cs="宋体"/>
          <w:color w:val="auto"/>
          <w:spacing w:val="-2"/>
          <w:sz w:val="21"/>
          <w:szCs w:val="21"/>
          <w:highlight w:val="none"/>
        </w:rPr>
        <w:t>专职安全生产管理人员，</w:t>
      </w:r>
      <w:r>
        <w:rPr>
          <w:rFonts w:ascii="宋体" w:hAnsi="宋体" w:eastAsia="宋体" w:cs="宋体"/>
          <w:color w:val="auto"/>
          <w:spacing w:val="-1"/>
          <w:sz w:val="21"/>
          <w:szCs w:val="21"/>
          <w:highlight w:val="none"/>
        </w:rPr>
        <w:t>保证专职安全生产管理人员有职有权。</w:t>
      </w:r>
    </w:p>
    <w:p w14:paraId="520B052B">
      <w:pPr>
        <w:spacing w:before="32" w:line="344" w:lineRule="auto"/>
        <w:ind w:left="3" w:right="99" w:firstLine="44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4.健全安全生产规章制度。结合本项目特点，建立并完善安全生产责任制、教育培训、日</w:t>
      </w:r>
      <w:r>
        <w:rPr>
          <w:rFonts w:ascii="宋体" w:hAnsi="宋体" w:eastAsia="宋体" w:cs="宋体"/>
          <w:color w:val="auto"/>
          <w:spacing w:val="-1"/>
          <w:sz w:val="21"/>
          <w:szCs w:val="21"/>
          <w:highlight w:val="none"/>
        </w:rPr>
        <w:t>常检查、隐患排查治理、事故报告等规章制度。</w:t>
      </w:r>
    </w:p>
    <w:p w14:paraId="28788D0D">
      <w:pPr>
        <w:spacing w:before="35" w:line="345" w:lineRule="auto"/>
        <w:ind w:left="23" w:right="89" w:firstLine="430"/>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5.提升从业人员安全生产知识技能。认真开展“三级安全生产教育”；保证特种作业人员持证上</w:t>
      </w:r>
      <w:r>
        <w:rPr>
          <w:rFonts w:ascii="宋体" w:hAnsi="宋体" w:eastAsia="宋体" w:cs="宋体"/>
          <w:color w:val="auto"/>
          <w:spacing w:val="-1"/>
          <w:sz w:val="21"/>
          <w:szCs w:val="21"/>
          <w:highlight w:val="none"/>
        </w:rPr>
        <w:t>岗；各作业场所悬挂安全生产操作规程；施工前必须进行安全技术交底。</w:t>
      </w:r>
    </w:p>
    <w:p w14:paraId="05134062">
      <w:pPr>
        <w:spacing w:before="30" w:line="221" w:lineRule="auto"/>
        <w:ind w:left="451"/>
        <w:outlineLvl w:val="9"/>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6.保证安全生产投入。不得挪用安全生产措施</w:t>
      </w:r>
      <w:r>
        <w:rPr>
          <w:rFonts w:ascii="宋体" w:hAnsi="宋体" w:eastAsia="宋体" w:cs="宋体"/>
          <w:color w:val="auto"/>
          <w:spacing w:val="-1"/>
          <w:sz w:val="21"/>
          <w:szCs w:val="21"/>
          <w:highlight w:val="none"/>
        </w:rPr>
        <w:t>费，施工安全生产投入应满足实际需要</w:t>
      </w:r>
      <w:r>
        <w:rPr>
          <w:rFonts w:hint="eastAsia" w:ascii="宋体" w:hAnsi="宋体" w:eastAsia="宋体" w:cs="宋体"/>
          <w:color w:val="auto"/>
          <w:spacing w:val="-1"/>
          <w:sz w:val="21"/>
          <w:szCs w:val="21"/>
          <w:highlight w:val="none"/>
          <w:lang w:eastAsia="zh-CN"/>
        </w:rPr>
        <w:t>。</w:t>
      </w:r>
    </w:p>
    <w:p w14:paraId="32E46F72">
      <w:pPr>
        <w:spacing w:before="157" w:line="351" w:lineRule="auto"/>
        <w:ind w:right="89" w:firstLine="453"/>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7.建立风险管控和隐患排查治理双重预防工作机制。构建安全风险管控“六项机制”，经常开展</w:t>
      </w:r>
      <w:r>
        <w:rPr>
          <w:rFonts w:ascii="宋体" w:hAnsi="宋体" w:eastAsia="宋体" w:cs="宋体"/>
          <w:color w:val="auto"/>
          <w:spacing w:val="7"/>
          <w:sz w:val="21"/>
          <w:szCs w:val="21"/>
          <w:highlight w:val="none"/>
        </w:rPr>
        <w:t xml:space="preserve"> </w:t>
      </w:r>
      <w:r>
        <w:rPr>
          <w:rFonts w:ascii="宋体" w:hAnsi="宋体" w:eastAsia="宋体" w:cs="宋体"/>
          <w:color w:val="auto"/>
          <w:sz w:val="21"/>
          <w:szCs w:val="21"/>
          <w:highlight w:val="none"/>
        </w:rPr>
        <w:t>安全隐患排查治理，认真落实项目主管及安全生产监督等机构的检查意见并按时反馈整改结果</w:t>
      </w:r>
      <w:r>
        <w:rPr>
          <w:rFonts w:ascii="宋体" w:hAnsi="宋体" w:eastAsia="宋体" w:cs="宋体"/>
          <w:color w:val="auto"/>
          <w:spacing w:val="-1"/>
          <w:sz w:val="21"/>
          <w:szCs w:val="21"/>
          <w:highlight w:val="none"/>
        </w:rPr>
        <w:t>。生</w:t>
      </w:r>
      <w:r>
        <w:rPr>
          <w:rFonts w:ascii="宋体" w:hAnsi="宋体" w:eastAsia="宋体" w:cs="宋体"/>
          <w:color w:val="auto"/>
          <w:sz w:val="21"/>
          <w:szCs w:val="21"/>
          <w:highlight w:val="none"/>
        </w:rPr>
        <w:t>产安全事故隐患排查整治方案要做到责任到人、明确时限、</w:t>
      </w:r>
      <w:r>
        <w:rPr>
          <w:rFonts w:ascii="宋体" w:hAnsi="宋体" w:eastAsia="宋体" w:cs="宋体"/>
          <w:color w:val="auto"/>
          <w:spacing w:val="-1"/>
          <w:sz w:val="21"/>
          <w:szCs w:val="21"/>
          <w:highlight w:val="none"/>
        </w:rPr>
        <w:t>规范程序，保证及时消除事故隐患。</w:t>
      </w:r>
    </w:p>
    <w:p w14:paraId="773DC9D9">
      <w:pPr>
        <w:spacing w:before="28" w:line="350" w:lineRule="auto"/>
        <w:ind w:right="99" w:firstLine="450"/>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8.制定各类有关安全生产方案或预案。辨识危险源和危险性较大的单项工程，对达到一</w:t>
      </w:r>
      <w:r>
        <w:rPr>
          <w:rFonts w:ascii="宋体" w:hAnsi="宋体" w:eastAsia="宋体" w:cs="宋体"/>
          <w:color w:val="auto"/>
          <w:spacing w:val="-1"/>
          <w:sz w:val="21"/>
          <w:szCs w:val="21"/>
          <w:highlight w:val="none"/>
        </w:rPr>
        <w:t>定规模</w:t>
      </w:r>
      <w:r>
        <w:rPr>
          <w:rFonts w:ascii="宋体" w:hAnsi="宋体" w:eastAsia="宋体" w:cs="宋体"/>
          <w:color w:val="auto"/>
          <w:sz w:val="21"/>
          <w:szCs w:val="21"/>
          <w:highlight w:val="none"/>
        </w:rPr>
        <w:t xml:space="preserve"> 的危险性较大工程制定专项施工方案，超过一定规模的危险性较大工程组织论证；有度汛要求的工 </w:t>
      </w:r>
      <w:r>
        <w:rPr>
          <w:rFonts w:ascii="宋体" w:hAnsi="宋体" w:eastAsia="宋体" w:cs="宋体"/>
          <w:color w:val="auto"/>
          <w:spacing w:val="-1"/>
          <w:sz w:val="21"/>
          <w:szCs w:val="21"/>
          <w:highlight w:val="none"/>
        </w:rPr>
        <w:t>程，制定相应的度汛方案；编制应急救援预案，并保持与地方应急部门联系畅通。</w:t>
      </w:r>
    </w:p>
    <w:p w14:paraId="75952AAE">
      <w:pPr>
        <w:spacing w:before="41" w:line="350" w:lineRule="auto"/>
        <w:ind w:firstLine="448"/>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9.严格执行《安徽省生产安全事故报告和调查处理办法》。事故发生后，应及时向地方应急部门</w:t>
      </w:r>
      <w:r>
        <w:rPr>
          <w:rFonts w:ascii="宋体" w:hAnsi="宋体" w:eastAsia="宋体" w:cs="宋体"/>
          <w:color w:val="auto"/>
          <w:sz w:val="21"/>
          <w:szCs w:val="21"/>
          <w:highlight w:val="none"/>
        </w:rPr>
        <w:t>和本项目发包人、主管部门报告，采取有效措施抢救人员和财产，保护事故现场，配合事故调</w:t>
      </w:r>
      <w:r>
        <w:rPr>
          <w:rFonts w:ascii="宋体" w:hAnsi="宋体" w:eastAsia="宋体" w:cs="宋体"/>
          <w:color w:val="auto"/>
          <w:spacing w:val="-1"/>
          <w:sz w:val="21"/>
          <w:szCs w:val="21"/>
          <w:highlight w:val="none"/>
        </w:rPr>
        <w:t>查，</w:t>
      </w:r>
      <w:r>
        <w:rPr>
          <w:rFonts w:ascii="宋体" w:hAnsi="宋体" w:eastAsia="宋体" w:cs="宋体"/>
          <w:color w:val="auto"/>
          <w:sz w:val="21"/>
          <w:szCs w:val="21"/>
          <w:highlight w:val="none"/>
        </w:rPr>
        <w:t>妥善处理事故善后工作；严格落实 “四不放过</w:t>
      </w:r>
      <w:r>
        <w:rPr>
          <w:rFonts w:ascii="宋体" w:hAnsi="宋体" w:eastAsia="宋体" w:cs="宋体"/>
          <w:color w:val="auto"/>
          <w:spacing w:val="-1"/>
          <w:sz w:val="21"/>
          <w:szCs w:val="21"/>
          <w:highlight w:val="none"/>
        </w:rPr>
        <w:t>”处理原则。</w:t>
      </w:r>
    </w:p>
    <w:p w14:paraId="2837866E">
      <w:pPr>
        <w:spacing w:before="30" w:line="220" w:lineRule="auto"/>
        <w:ind w:left="44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三、本责任书一式三份，发包人与承包人各存一份，报送农业农村部门</w:t>
      </w:r>
      <w:r>
        <w:rPr>
          <w:rFonts w:ascii="宋体" w:hAnsi="宋体" w:eastAsia="宋体" w:cs="宋体"/>
          <w:color w:val="auto"/>
          <w:spacing w:val="-1"/>
          <w:sz w:val="21"/>
          <w:szCs w:val="21"/>
          <w:highlight w:val="none"/>
        </w:rPr>
        <w:t>一份。</w:t>
      </w:r>
    </w:p>
    <w:p w14:paraId="62E490D1">
      <w:pPr>
        <w:spacing w:before="160" w:line="220" w:lineRule="auto"/>
        <w:ind w:left="46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四、本责任书自签订施工合同起执行，至合同工程完工验收结束止。</w:t>
      </w:r>
    </w:p>
    <w:p w14:paraId="63AA7277">
      <w:pPr>
        <w:spacing w:line="258" w:lineRule="auto"/>
        <w:outlineLvl w:val="9"/>
        <w:rPr>
          <w:rFonts w:ascii="Arial"/>
          <w:color w:val="auto"/>
          <w:sz w:val="21"/>
          <w:highlight w:val="none"/>
        </w:rPr>
      </w:pPr>
    </w:p>
    <w:p w14:paraId="4A3CA34B">
      <w:pPr>
        <w:spacing w:line="258" w:lineRule="auto"/>
        <w:outlineLvl w:val="9"/>
        <w:rPr>
          <w:rFonts w:ascii="Arial"/>
          <w:color w:val="auto"/>
          <w:sz w:val="21"/>
          <w:highlight w:val="none"/>
        </w:rPr>
      </w:pPr>
    </w:p>
    <w:p w14:paraId="06460AEB">
      <w:pPr>
        <w:spacing w:line="258" w:lineRule="auto"/>
        <w:outlineLvl w:val="9"/>
        <w:rPr>
          <w:rFonts w:ascii="Arial"/>
          <w:color w:val="auto"/>
          <w:sz w:val="21"/>
          <w:highlight w:val="none"/>
        </w:rPr>
      </w:pPr>
    </w:p>
    <w:p w14:paraId="0347B148">
      <w:pPr>
        <w:spacing w:line="258" w:lineRule="auto"/>
        <w:outlineLvl w:val="9"/>
        <w:rPr>
          <w:rFonts w:ascii="Arial"/>
          <w:color w:val="auto"/>
          <w:sz w:val="21"/>
          <w:highlight w:val="none"/>
        </w:rPr>
      </w:pPr>
    </w:p>
    <w:p w14:paraId="35D20C7E">
      <w:pPr>
        <w:spacing w:line="259" w:lineRule="auto"/>
        <w:outlineLvl w:val="9"/>
        <w:rPr>
          <w:rFonts w:ascii="Arial"/>
          <w:color w:val="auto"/>
          <w:sz w:val="21"/>
          <w:highlight w:val="none"/>
        </w:rPr>
      </w:pPr>
    </w:p>
    <w:p w14:paraId="5E8520B7">
      <w:pPr>
        <w:spacing w:before="68" w:line="220" w:lineRule="auto"/>
        <w:ind w:left="948"/>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发包人（盖章</w:t>
      </w:r>
      <w:r>
        <w:rPr>
          <w:rFonts w:ascii="宋体" w:hAnsi="宋体" w:eastAsia="宋体" w:cs="宋体"/>
          <w:color w:val="auto"/>
          <w:spacing w:val="-25"/>
          <w:sz w:val="21"/>
          <w:szCs w:val="21"/>
          <w:highlight w:val="none"/>
        </w:rPr>
        <w:t>）：</w:t>
      </w:r>
      <w:r>
        <w:rPr>
          <w:rFonts w:ascii="宋体" w:hAnsi="宋体" w:eastAsia="宋体" w:cs="宋体"/>
          <w:color w:val="auto"/>
          <w:spacing w:val="1"/>
          <w:sz w:val="21"/>
          <w:szCs w:val="21"/>
          <w:highlight w:val="none"/>
        </w:rPr>
        <w:t xml:space="preserve">                    </w:t>
      </w:r>
      <w:r>
        <w:rPr>
          <w:rFonts w:ascii="宋体" w:hAnsi="宋体" w:eastAsia="宋体" w:cs="宋体"/>
          <w:color w:val="auto"/>
          <w:spacing w:val="-13"/>
          <w:sz w:val="21"/>
          <w:szCs w:val="21"/>
          <w:highlight w:val="none"/>
        </w:rPr>
        <w:t>承包人（盖章</w:t>
      </w:r>
      <w:r>
        <w:rPr>
          <w:rFonts w:ascii="宋体" w:hAnsi="宋体" w:eastAsia="宋体" w:cs="宋体"/>
          <w:color w:val="auto"/>
          <w:spacing w:val="-25"/>
          <w:sz w:val="21"/>
          <w:szCs w:val="21"/>
          <w:highlight w:val="none"/>
        </w:rPr>
        <w:t>）：</w:t>
      </w:r>
    </w:p>
    <w:p w14:paraId="0DF727FF">
      <w:pPr>
        <w:spacing w:line="284" w:lineRule="auto"/>
        <w:outlineLvl w:val="9"/>
        <w:rPr>
          <w:rFonts w:ascii="Arial"/>
          <w:color w:val="auto"/>
          <w:sz w:val="21"/>
          <w:highlight w:val="none"/>
        </w:rPr>
      </w:pPr>
    </w:p>
    <w:p w14:paraId="276399D6">
      <w:pPr>
        <w:spacing w:line="284" w:lineRule="auto"/>
        <w:outlineLvl w:val="9"/>
        <w:rPr>
          <w:rFonts w:ascii="Arial"/>
          <w:color w:val="auto"/>
          <w:sz w:val="21"/>
          <w:highlight w:val="none"/>
        </w:rPr>
      </w:pPr>
    </w:p>
    <w:p w14:paraId="7B6B1FC8">
      <w:pPr>
        <w:spacing w:line="284" w:lineRule="auto"/>
        <w:outlineLvl w:val="9"/>
        <w:rPr>
          <w:rFonts w:ascii="Arial"/>
          <w:color w:val="auto"/>
          <w:sz w:val="21"/>
          <w:highlight w:val="none"/>
        </w:rPr>
      </w:pPr>
    </w:p>
    <w:p w14:paraId="5565BABF">
      <w:pPr>
        <w:spacing w:before="68" w:line="221" w:lineRule="auto"/>
        <w:ind w:left="94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法定代表人：                     </w:t>
      </w:r>
      <w:r>
        <w:rPr>
          <w:rFonts w:ascii="宋体" w:hAnsi="宋体" w:eastAsia="宋体" w:cs="宋体"/>
          <w:color w:val="auto"/>
          <w:spacing w:val="-1"/>
          <w:sz w:val="21"/>
          <w:szCs w:val="21"/>
          <w:highlight w:val="none"/>
        </w:rPr>
        <w:t xml:space="preserve">   法定代表人：</w:t>
      </w:r>
    </w:p>
    <w:p w14:paraId="183F08E1">
      <w:pPr>
        <w:spacing w:before="142" w:line="221" w:lineRule="auto"/>
        <w:ind w:left="63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（或委托代理人</w:t>
      </w:r>
      <w:r>
        <w:rPr>
          <w:rFonts w:ascii="宋体" w:hAnsi="宋体" w:eastAsia="宋体" w:cs="宋体"/>
          <w:color w:val="auto"/>
          <w:spacing w:val="3"/>
          <w:sz w:val="21"/>
          <w:szCs w:val="21"/>
          <w:highlight w:val="none"/>
        </w:rPr>
        <w:t>）</w:t>
      </w:r>
      <w:r>
        <w:rPr>
          <w:rFonts w:ascii="宋体" w:hAnsi="宋体" w:eastAsia="宋体" w:cs="宋体"/>
          <w:color w:val="auto"/>
          <w:spacing w:val="5"/>
          <w:sz w:val="21"/>
          <w:szCs w:val="21"/>
          <w:highlight w:val="none"/>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或委托代理人）</w:t>
      </w:r>
    </w:p>
    <w:p w14:paraId="2AC2898D">
      <w:pPr>
        <w:spacing w:line="283" w:lineRule="auto"/>
        <w:outlineLvl w:val="9"/>
        <w:rPr>
          <w:rFonts w:ascii="Arial"/>
          <w:color w:val="auto"/>
          <w:sz w:val="21"/>
          <w:highlight w:val="none"/>
        </w:rPr>
      </w:pPr>
    </w:p>
    <w:p w14:paraId="596D976D">
      <w:pPr>
        <w:spacing w:line="284" w:lineRule="auto"/>
        <w:outlineLvl w:val="9"/>
        <w:rPr>
          <w:rFonts w:ascii="Arial"/>
          <w:color w:val="auto"/>
          <w:sz w:val="21"/>
          <w:highlight w:val="none"/>
        </w:rPr>
      </w:pPr>
    </w:p>
    <w:p w14:paraId="46FB24A6">
      <w:pPr>
        <w:spacing w:line="284" w:lineRule="auto"/>
        <w:outlineLvl w:val="9"/>
        <w:rPr>
          <w:rFonts w:ascii="Arial"/>
          <w:color w:val="auto"/>
          <w:sz w:val="21"/>
          <w:highlight w:val="none"/>
        </w:rPr>
      </w:pPr>
    </w:p>
    <w:p w14:paraId="0EF7BEE3">
      <w:pPr>
        <w:tabs>
          <w:tab w:val="left" w:pos="1250"/>
        </w:tabs>
        <w:spacing w:before="68" w:line="221" w:lineRule="auto"/>
        <w:ind w:left="305"/>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14"/>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88"/>
          <w:sz w:val="21"/>
          <w:szCs w:val="21"/>
          <w:highlight w:val="none"/>
        </w:rPr>
        <w:t xml:space="preserve"> </w:t>
      </w:r>
      <w:r>
        <w:rPr>
          <w:rFonts w:ascii="宋体" w:hAnsi="宋体" w:eastAsia="宋体" w:cs="宋体"/>
          <w:color w:val="auto"/>
          <w:spacing w:val="-14"/>
          <w:sz w:val="21"/>
          <w:szCs w:val="21"/>
          <w:highlight w:val="none"/>
        </w:rPr>
        <w:t>月</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14"/>
          <w:sz w:val="21"/>
          <w:szCs w:val="21"/>
          <w:highlight w:val="none"/>
        </w:rPr>
        <w:t>日</w:t>
      </w:r>
      <w:r>
        <w:rPr>
          <w:rFonts w:ascii="宋体" w:hAnsi="宋体" w:eastAsia="宋体" w:cs="宋体"/>
          <w:color w:val="auto"/>
          <w:spacing w:val="11"/>
          <w:sz w:val="21"/>
          <w:szCs w:val="21"/>
          <w:highlight w:val="none"/>
        </w:rPr>
        <w:t xml:space="preserve">         </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4"/>
          <w:sz w:val="21"/>
          <w:szCs w:val="21"/>
          <w:highlight w:val="none"/>
        </w:rPr>
        <w:t>年</w:t>
      </w:r>
      <w:r>
        <w:rPr>
          <w:rFonts w:ascii="宋体" w:hAnsi="宋体" w:eastAsia="宋体" w:cs="宋体"/>
          <w:color w:val="auto"/>
          <w:spacing w:val="-10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14"/>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14"/>
          <w:sz w:val="21"/>
          <w:szCs w:val="21"/>
          <w:highlight w:val="none"/>
        </w:rPr>
        <w:t>日</w:t>
      </w:r>
    </w:p>
    <w:p w14:paraId="06BE3E0C">
      <w:pPr>
        <w:spacing w:before="65" w:line="219" w:lineRule="auto"/>
        <w:ind w:left="26"/>
        <w:outlineLvl w:val="9"/>
        <w:rPr>
          <w:rFonts w:ascii="宋体" w:hAnsi="宋体" w:eastAsia="宋体" w:cs="宋体"/>
          <w:b/>
          <w:bCs/>
          <w:color w:val="auto"/>
          <w:spacing w:val="-5"/>
          <w:sz w:val="28"/>
          <w:szCs w:val="28"/>
          <w:highlight w:val="none"/>
        </w:rPr>
      </w:pPr>
      <w:bookmarkStart w:id="358" w:name="bookmark272"/>
      <w:bookmarkEnd w:id="358"/>
    </w:p>
    <w:p w14:paraId="43193B87">
      <w:pPr>
        <w:spacing w:before="65" w:line="219" w:lineRule="auto"/>
        <w:ind w:left="26"/>
        <w:outlineLvl w:val="9"/>
        <w:rPr>
          <w:rFonts w:ascii="宋体" w:hAnsi="宋体" w:eastAsia="宋体" w:cs="宋体"/>
          <w:b/>
          <w:bCs/>
          <w:color w:val="auto"/>
          <w:spacing w:val="-5"/>
          <w:sz w:val="28"/>
          <w:szCs w:val="28"/>
          <w:highlight w:val="none"/>
        </w:rPr>
      </w:pPr>
    </w:p>
    <w:p w14:paraId="0048A984">
      <w:pPr>
        <w:spacing w:before="65" w:line="219" w:lineRule="auto"/>
        <w:ind w:left="26"/>
        <w:outlineLvl w:val="9"/>
        <w:rPr>
          <w:rFonts w:ascii="宋体" w:hAnsi="宋体" w:eastAsia="宋体" w:cs="宋体"/>
          <w:b/>
          <w:bCs/>
          <w:color w:val="auto"/>
          <w:spacing w:val="-5"/>
          <w:sz w:val="28"/>
          <w:szCs w:val="28"/>
          <w:highlight w:val="none"/>
        </w:rPr>
      </w:pPr>
    </w:p>
    <w:p w14:paraId="35657990">
      <w:pPr>
        <w:spacing w:before="65" w:line="219" w:lineRule="auto"/>
        <w:ind w:left="26"/>
        <w:outlineLvl w:val="9"/>
        <w:rPr>
          <w:rFonts w:ascii="宋体" w:hAnsi="宋体" w:eastAsia="宋体" w:cs="宋体"/>
          <w:b/>
          <w:bCs/>
          <w:color w:val="auto"/>
          <w:spacing w:val="-5"/>
          <w:sz w:val="28"/>
          <w:szCs w:val="28"/>
          <w:highlight w:val="none"/>
        </w:rPr>
      </w:pPr>
    </w:p>
    <w:p w14:paraId="33CA62C5">
      <w:pPr>
        <w:spacing w:before="65" w:line="219" w:lineRule="auto"/>
        <w:ind w:left="26"/>
        <w:outlineLvl w:val="9"/>
        <w:rPr>
          <w:rFonts w:ascii="宋体" w:hAnsi="宋体" w:eastAsia="宋体" w:cs="宋体"/>
          <w:b/>
          <w:bCs/>
          <w:color w:val="auto"/>
          <w:spacing w:val="-5"/>
          <w:sz w:val="28"/>
          <w:szCs w:val="28"/>
          <w:highlight w:val="none"/>
        </w:rPr>
      </w:pPr>
    </w:p>
    <w:p w14:paraId="0F9800DC">
      <w:pPr>
        <w:spacing w:before="65" w:line="219" w:lineRule="auto"/>
        <w:ind w:left="26"/>
        <w:outlineLvl w:val="9"/>
        <w:rPr>
          <w:rFonts w:ascii="宋体" w:hAnsi="宋体" w:eastAsia="宋体" w:cs="宋体"/>
          <w:b/>
          <w:bCs/>
          <w:color w:val="auto"/>
          <w:spacing w:val="-5"/>
          <w:sz w:val="28"/>
          <w:szCs w:val="28"/>
          <w:highlight w:val="none"/>
        </w:rPr>
      </w:pPr>
    </w:p>
    <w:p w14:paraId="10518D4A">
      <w:pPr>
        <w:spacing w:before="65" w:line="219" w:lineRule="auto"/>
        <w:ind w:left="26"/>
        <w:outlineLvl w:val="9"/>
        <w:rPr>
          <w:rFonts w:ascii="宋体" w:hAnsi="宋体" w:eastAsia="宋体" w:cs="宋体"/>
          <w:b/>
          <w:bCs/>
          <w:color w:val="auto"/>
          <w:spacing w:val="-5"/>
          <w:sz w:val="28"/>
          <w:szCs w:val="28"/>
          <w:highlight w:val="none"/>
        </w:rPr>
      </w:pPr>
    </w:p>
    <w:p w14:paraId="3B5A610D">
      <w:pPr>
        <w:spacing w:before="65" w:line="219" w:lineRule="auto"/>
        <w:ind w:left="26"/>
        <w:outlineLvl w:val="9"/>
        <w:rPr>
          <w:rFonts w:ascii="宋体" w:hAnsi="宋体" w:eastAsia="宋体" w:cs="宋体"/>
          <w:b/>
          <w:bCs/>
          <w:color w:val="auto"/>
          <w:spacing w:val="-5"/>
          <w:sz w:val="28"/>
          <w:szCs w:val="28"/>
          <w:highlight w:val="none"/>
        </w:rPr>
      </w:pPr>
    </w:p>
    <w:p w14:paraId="672D7E4D">
      <w:pPr>
        <w:spacing w:before="65" w:line="219" w:lineRule="auto"/>
        <w:ind w:left="26"/>
        <w:outlineLvl w:val="9"/>
        <w:rPr>
          <w:rFonts w:ascii="宋体" w:hAnsi="宋体" w:eastAsia="宋体" w:cs="宋体"/>
          <w:b/>
          <w:bCs/>
          <w:color w:val="auto"/>
          <w:spacing w:val="-5"/>
          <w:sz w:val="28"/>
          <w:szCs w:val="28"/>
          <w:highlight w:val="none"/>
        </w:rPr>
      </w:pPr>
    </w:p>
    <w:p w14:paraId="53FB9971">
      <w:pPr>
        <w:spacing w:before="65" w:line="219" w:lineRule="auto"/>
        <w:ind w:left="26"/>
        <w:outlineLvl w:val="9"/>
        <w:rPr>
          <w:rFonts w:ascii="宋体" w:hAnsi="宋体" w:eastAsia="宋体" w:cs="宋体"/>
          <w:b/>
          <w:bCs/>
          <w:color w:val="auto"/>
          <w:spacing w:val="-5"/>
          <w:sz w:val="28"/>
          <w:szCs w:val="28"/>
          <w:highlight w:val="none"/>
        </w:rPr>
      </w:pPr>
    </w:p>
    <w:p w14:paraId="5CAC0FB7">
      <w:pPr>
        <w:spacing w:before="65" w:line="219" w:lineRule="auto"/>
        <w:ind w:left="26"/>
        <w:outlineLvl w:val="9"/>
        <w:rPr>
          <w:rFonts w:ascii="宋体" w:hAnsi="宋体" w:eastAsia="宋体" w:cs="宋体"/>
          <w:b/>
          <w:bCs/>
          <w:color w:val="auto"/>
          <w:spacing w:val="-5"/>
          <w:sz w:val="28"/>
          <w:szCs w:val="28"/>
          <w:highlight w:val="none"/>
        </w:rPr>
      </w:pPr>
    </w:p>
    <w:p w14:paraId="3AF12F0D">
      <w:pPr>
        <w:spacing w:before="65" w:line="219" w:lineRule="auto"/>
        <w:ind w:left="26"/>
        <w:outlineLvl w:val="9"/>
        <w:rPr>
          <w:rFonts w:ascii="宋体" w:hAnsi="宋体" w:eastAsia="宋体" w:cs="宋体"/>
          <w:b/>
          <w:bCs/>
          <w:color w:val="auto"/>
          <w:spacing w:val="-5"/>
          <w:sz w:val="28"/>
          <w:szCs w:val="28"/>
          <w:highlight w:val="none"/>
        </w:rPr>
      </w:pPr>
    </w:p>
    <w:p w14:paraId="356A93A2">
      <w:pPr>
        <w:spacing w:before="65" w:line="219" w:lineRule="auto"/>
        <w:ind w:left="26"/>
        <w:outlineLvl w:val="9"/>
        <w:rPr>
          <w:rFonts w:ascii="宋体" w:hAnsi="宋体" w:eastAsia="宋体" w:cs="宋体"/>
          <w:b/>
          <w:bCs/>
          <w:color w:val="auto"/>
          <w:spacing w:val="-5"/>
          <w:sz w:val="28"/>
          <w:szCs w:val="28"/>
          <w:highlight w:val="none"/>
        </w:rPr>
      </w:pPr>
    </w:p>
    <w:p w14:paraId="21F84DEF">
      <w:pPr>
        <w:spacing w:before="65" w:line="219" w:lineRule="auto"/>
        <w:ind w:left="26"/>
        <w:outlineLvl w:val="9"/>
        <w:rPr>
          <w:rFonts w:ascii="宋体" w:hAnsi="宋体" w:eastAsia="宋体" w:cs="宋体"/>
          <w:color w:val="auto"/>
          <w:sz w:val="28"/>
          <w:szCs w:val="28"/>
          <w:highlight w:val="none"/>
        </w:rPr>
      </w:pPr>
      <w:bookmarkStart w:id="359" w:name="_Toc12421"/>
      <w:bookmarkStart w:id="360" w:name="_Toc32718"/>
      <w:r>
        <w:rPr>
          <w:rFonts w:ascii="宋体" w:hAnsi="宋体" w:eastAsia="宋体" w:cs="宋体"/>
          <w:b/>
          <w:bCs/>
          <w:color w:val="auto"/>
          <w:spacing w:val="-5"/>
          <w:sz w:val="28"/>
          <w:szCs w:val="28"/>
          <w:highlight w:val="none"/>
        </w:rPr>
        <w:t>附件四：工程质量终身责任承诺书</w:t>
      </w:r>
      <w:bookmarkEnd w:id="359"/>
      <w:bookmarkEnd w:id="360"/>
    </w:p>
    <w:p w14:paraId="2524B194">
      <w:pPr>
        <w:spacing w:before="156" w:line="224" w:lineRule="auto"/>
        <w:ind w:left="2777"/>
        <w:outlineLvl w:val="9"/>
        <w:rPr>
          <w:rFonts w:ascii="宋体" w:hAnsi="宋体" w:eastAsia="宋体" w:cs="宋体"/>
          <w:b/>
          <w:bCs/>
          <w:color w:val="auto"/>
          <w:spacing w:val="6"/>
          <w:sz w:val="31"/>
          <w:szCs w:val="31"/>
          <w:highlight w:val="none"/>
        </w:rPr>
      </w:pPr>
    </w:p>
    <w:p w14:paraId="610491EA">
      <w:pPr>
        <w:spacing w:before="156" w:line="224" w:lineRule="auto"/>
        <w:ind w:left="2777"/>
        <w:outlineLvl w:val="9"/>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工程质量终身责任承诺书</w:t>
      </w:r>
    </w:p>
    <w:p w14:paraId="2EDE5B9B">
      <w:pPr>
        <w:spacing w:line="280" w:lineRule="auto"/>
        <w:outlineLvl w:val="9"/>
        <w:rPr>
          <w:rFonts w:ascii="Arial"/>
          <w:color w:val="auto"/>
          <w:sz w:val="21"/>
          <w:highlight w:val="none"/>
        </w:rPr>
      </w:pPr>
    </w:p>
    <w:p w14:paraId="4291C786">
      <w:pPr>
        <w:keepNext w:val="0"/>
        <w:keepLines w:val="0"/>
        <w:pageBreakBefore w:val="0"/>
        <w:widowControl/>
        <w:kinsoku w:val="0"/>
        <w:wordWrap/>
        <w:overflowPunct/>
        <w:topLinePunct w:val="0"/>
        <w:autoSpaceDE w:val="0"/>
        <w:autoSpaceDN w:val="0"/>
        <w:bidi w:val="0"/>
        <w:adjustRightInd w:val="0"/>
        <w:snapToGrid w:val="0"/>
        <w:spacing w:before="68" w:line="360" w:lineRule="auto"/>
        <w:ind w:left="5" w:right="9" w:firstLine="446"/>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本人承诺在本工程建设过程中认真履行下列相应职责，并对施工原因造成的质量问题承</w:t>
      </w:r>
      <w:r>
        <w:rPr>
          <w:rFonts w:ascii="宋体" w:hAnsi="宋体" w:eastAsia="宋体" w:cs="宋体"/>
          <w:color w:val="auto"/>
          <w:spacing w:val="-1"/>
          <w:sz w:val="21"/>
          <w:szCs w:val="21"/>
          <w:highlight w:val="none"/>
        </w:rPr>
        <w:t>担相应</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终身质量责任。</w:t>
      </w:r>
    </w:p>
    <w:p w14:paraId="0FB95255">
      <w:pPr>
        <w:keepNext w:val="0"/>
        <w:keepLines w:val="0"/>
        <w:pageBreakBefore w:val="0"/>
        <w:widowControl/>
        <w:kinsoku w:val="0"/>
        <w:wordWrap/>
        <w:overflowPunct/>
        <w:topLinePunct w:val="0"/>
        <w:autoSpaceDE w:val="0"/>
        <w:autoSpaceDN w:val="0"/>
        <w:bidi w:val="0"/>
        <w:adjustRightInd w:val="0"/>
        <w:snapToGrid w:val="0"/>
        <w:spacing w:before="31" w:line="360" w:lineRule="auto"/>
        <w:ind w:left="3" w:right="9" w:firstLine="462"/>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1.不转包或违法分包所承揽的施工业务，严格按照经</w:t>
      </w:r>
      <w:r>
        <w:rPr>
          <w:rFonts w:ascii="宋体" w:hAnsi="宋体" w:eastAsia="宋体" w:cs="宋体"/>
          <w:color w:val="auto"/>
          <w:spacing w:val="-1"/>
          <w:sz w:val="21"/>
          <w:szCs w:val="21"/>
          <w:highlight w:val="none"/>
        </w:rPr>
        <w:t>审查合格的工程设计图纸、文件和施工技术标准及规程规范进行施工，不擅自修改设计文件，不偷工减料。</w:t>
      </w:r>
    </w:p>
    <w:p w14:paraId="7471BD5D">
      <w:pPr>
        <w:keepNext w:val="0"/>
        <w:keepLines w:val="0"/>
        <w:pageBreakBefore w:val="0"/>
        <w:widowControl/>
        <w:kinsoku w:val="0"/>
        <w:wordWrap/>
        <w:overflowPunct/>
        <w:topLinePunct w:val="0"/>
        <w:autoSpaceDE w:val="0"/>
        <w:autoSpaceDN w:val="0"/>
        <w:bidi w:val="0"/>
        <w:adjustRightInd w:val="0"/>
        <w:snapToGrid w:val="0"/>
        <w:spacing w:before="28" w:line="360" w:lineRule="auto"/>
        <w:ind w:left="2" w:firstLine="450"/>
        <w:textAlignment w:val="baseline"/>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2.组织建立健全质量管理体系，组织成立符合</w:t>
      </w:r>
      <w:r>
        <w:rPr>
          <w:rFonts w:ascii="宋体" w:hAnsi="宋体" w:eastAsia="宋体" w:cs="宋体"/>
          <w:color w:val="auto"/>
          <w:spacing w:val="-4"/>
          <w:sz w:val="21"/>
          <w:szCs w:val="21"/>
          <w:highlight w:val="none"/>
        </w:rPr>
        <w:t>规定并满足施工需要的项目管理机构，配备符合</w:t>
      </w:r>
      <w:r>
        <w:rPr>
          <w:rFonts w:ascii="宋体" w:hAnsi="宋体" w:eastAsia="宋体" w:cs="宋体"/>
          <w:color w:val="auto"/>
          <w:spacing w:val="-1"/>
          <w:sz w:val="21"/>
          <w:szCs w:val="21"/>
          <w:highlight w:val="none"/>
        </w:rPr>
        <w:t>规定和合同要求的管理人员，并确保所有人员到岗履职。</w:t>
      </w:r>
    </w:p>
    <w:p w14:paraId="6D8CA394">
      <w:pPr>
        <w:keepNext w:val="0"/>
        <w:keepLines w:val="0"/>
        <w:pageBreakBefore w:val="0"/>
        <w:widowControl/>
        <w:kinsoku w:val="0"/>
        <w:wordWrap/>
        <w:overflowPunct/>
        <w:topLinePunct w:val="0"/>
        <w:autoSpaceDE w:val="0"/>
        <w:autoSpaceDN w:val="0"/>
        <w:bidi w:val="0"/>
        <w:adjustRightInd w:val="0"/>
        <w:snapToGrid w:val="0"/>
        <w:spacing w:before="30" w:line="360" w:lineRule="auto"/>
        <w:ind w:right="9" w:firstLine="453"/>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3.组织质量管理人员学习规程规范、设计文件提出的工艺、工法和技术要求，熟</w:t>
      </w:r>
      <w:r>
        <w:rPr>
          <w:rFonts w:ascii="宋体" w:hAnsi="宋体" w:eastAsia="宋体" w:cs="宋体"/>
          <w:color w:val="auto"/>
          <w:spacing w:val="-1"/>
          <w:sz w:val="21"/>
          <w:szCs w:val="21"/>
          <w:highlight w:val="none"/>
        </w:rPr>
        <w:t>悉相关施工流</w:t>
      </w:r>
      <w:r>
        <w:rPr>
          <w:rFonts w:ascii="宋体" w:hAnsi="宋体" w:eastAsia="宋体" w:cs="宋体"/>
          <w:color w:val="auto"/>
          <w:spacing w:val="-2"/>
          <w:sz w:val="21"/>
          <w:szCs w:val="21"/>
          <w:highlight w:val="none"/>
        </w:rPr>
        <w:t>程和技术，提高质量管理水平。</w:t>
      </w:r>
    </w:p>
    <w:p w14:paraId="3B5859B8">
      <w:pPr>
        <w:keepNext w:val="0"/>
        <w:keepLines w:val="0"/>
        <w:pageBreakBefore w:val="0"/>
        <w:widowControl/>
        <w:kinsoku w:val="0"/>
        <w:wordWrap/>
        <w:overflowPunct/>
        <w:topLinePunct w:val="0"/>
        <w:autoSpaceDE w:val="0"/>
        <w:autoSpaceDN w:val="0"/>
        <w:bidi w:val="0"/>
        <w:adjustRightInd w:val="0"/>
        <w:snapToGrid w:val="0"/>
        <w:spacing w:before="32" w:line="360" w:lineRule="auto"/>
        <w:ind w:left="3" w:firstLine="446"/>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4.按照工程设计要求、技术标准和合同约定，对原材料、中间产品、</w:t>
      </w:r>
      <w:r>
        <w:rPr>
          <w:rFonts w:ascii="宋体" w:hAnsi="宋体" w:eastAsia="宋体" w:cs="宋体"/>
          <w:color w:val="auto"/>
          <w:spacing w:val="-3"/>
          <w:sz w:val="21"/>
          <w:szCs w:val="21"/>
          <w:highlight w:val="none"/>
        </w:rPr>
        <w:t>工程设备等进行检验，未</w:t>
      </w:r>
      <w:r>
        <w:rPr>
          <w:rFonts w:ascii="宋体" w:hAnsi="宋体" w:eastAsia="宋体" w:cs="宋体"/>
          <w:color w:val="auto"/>
          <w:sz w:val="21"/>
          <w:szCs w:val="21"/>
          <w:highlight w:val="none"/>
        </w:rPr>
        <w:t xml:space="preserve"> 经检验或者检验不合格的，绝不在工程建设中使用；不使用国家明令淘汰、禁止使用的材料</w:t>
      </w:r>
      <w:r>
        <w:rPr>
          <w:rFonts w:ascii="宋体" w:hAnsi="宋体" w:eastAsia="宋体" w:cs="宋体"/>
          <w:color w:val="auto"/>
          <w:spacing w:val="-1"/>
          <w:sz w:val="21"/>
          <w:szCs w:val="21"/>
          <w:highlight w:val="none"/>
        </w:rPr>
        <w:t>设备、</w:t>
      </w:r>
      <w:r>
        <w:rPr>
          <w:rFonts w:ascii="宋体" w:hAnsi="宋体" w:eastAsia="宋体" w:cs="宋体"/>
          <w:color w:val="auto"/>
          <w:spacing w:val="-9"/>
          <w:sz w:val="21"/>
          <w:szCs w:val="21"/>
          <w:highlight w:val="none"/>
        </w:rPr>
        <w:t>工艺。</w:t>
      </w:r>
    </w:p>
    <w:p w14:paraId="58DE5806">
      <w:pPr>
        <w:keepNext w:val="0"/>
        <w:keepLines w:val="0"/>
        <w:pageBreakBefore w:val="0"/>
        <w:widowControl/>
        <w:kinsoku w:val="0"/>
        <w:wordWrap/>
        <w:overflowPunct/>
        <w:topLinePunct w:val="0"/>
        <w:autoSpaceDE w:val="0"/>
        <w:autoSpaceDN w:val="0"/>
        <w:bidi w:val="0"/>
        <w:adjustRightInd w:val="0"/>
        <w:snapToGrid w:val="0"/>
        <w:spacing w:before="21" w:line="360" w:lineRule="auto"/>
        <w:ind w:left="2" w:right="9" w:firstLine="452"/>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5.在施工中按照设计和规范要求对原材料、中间产品和部分实体质量进行检测</w:t>
      </w:r>
      <w:r>
        <w:rPr>
          <w:rFonts w:ascii="宋体" w:hAnsi="宋体" w:eastAsia="宋体" w:cs="宋体"/>
          <w:color w:val="auto"/>
          <w:spacing w:val="-1"/>
          <w:sz w:val="21"/>
          <w:szCs w:val="21"/>
          <w:highlight w:val="none"/>
        </w:rPr>
        <w:t>；送检试样不弄虚作假，不篡改或者伪造检测报告，不明示或暗示检测机构出具虚假检测报告。</w:t>
      </w:r>
    </w:p>
    <w:p w14:paraId="2FE95414">
      <w:pPr>
        <w:keepNext w:val="0"/>
        <w:keepLines w:val="0"/>
        <w:pageBreakBefore w:val="0"/>
        <w:widowControl/>
        <w:kinsoku w:val="0"/>
        <w:wordWrap/>
        <w:overflowPunct/>
        <w:topLinePunct w:val="0"/>
        <w:autoSpaceDE w:val="0"/>
        <w:autoSpaceDN w:val="0"/>
        <w:bidi w:val="0"/>
        <w:adjustRightInd w:val="0"/>
        <w:snapToGrid w:val="0"/>
        <w:spacing w:before="35" w:line="360" w:lineRule="auto"/>
        <w:ind w:right="9" w:firstLine="451"/>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6.组织现场质量管理人员严格按照“ 三检制” 要求，真实、准确地做好每一道工序</w:t>
      </w:r>
      <w:r>
        <w:rPr>
          <w:rFonts w:ascii="宋体" w:hAnsi="宋体" w:eastAsia="宋体" w:cs="宋体"/>
          <w:color w:val="auto"/>
          <w:spacing w:val="-1"/>
          <w:sz w:val="21"/>
          <w:szCs w:val="21"/>
          <w:highlight w:val="none"/>
        </w:rPr>
        <w:t>的质量检验和质量自评工作，及时填写工序和单元工程质量评定资料，并报监理单位复核</w:t>
      </w:r>
      <w:r>
        <w:rPr>
          <w:rFonts w:hint="eastAsia" w:ascii="宋体" w:hAnsi="宋体" w:eastAsia="宋体" w:cs="宋体"/>
          <w:color w:val="auto"/>
          <w:spacing w:val="-1"/>
          <w:sz w:val="21"/>
          <w:szCs w:val="21"/>
          <w:highlight w:val="none"/>
          <w:lang w:eastAsia="zh-CN"/>
        </w:rPr>
        <w:t>。</w:t>
      </w:r>
    </w:p>
    <w:p w14:paraId="57A46D15">
      <w:pPr>
        <w:keepNext w:val="0"/>
        <w:keepLines w:val="0"/>
        <w:pageBreakBefore w:val="0"/>
        <w:widowControl/>
        <w:kinsoku w:val="0"/>
        <w:wordWrap/>
        <w:overflowPunct/>
        <w:topLinePunct w:val="0"/>
        <w:autoSpaceDE w:val="0"/>
        <w:autoSpaceDN w:val="0"/>
        <w:bidi w:val="0"/>
        <w:adjustRightInd w:val="0"/>
        <w:snapToGrid w:val="0"/>
        <w:spacing w:before="31" w:line="360" w:lineRule="auto"/>
        <w:ind w:right="2" w:firstLine="45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 组织人员做好重要隐蔽（关键部位）单元工程</w:t>
      </w:r>
      <w:r>
        <w:rPr>
          <w:rFonts w:ascii="宋体" w:hAnsi="宋体" w:eastAsia="宋体" w:cs="宋体"/>
          <w:color w:val="auto"/>
          <w:spacing w:val="-3"/>
          <w:sz w:val="21"/>
          <w:szCs w:val="21"/>
          <w:highlight w:val="none"/>
        </w:rPr>
        <w:t>的自评工作，并负责收集测量成果、检测试验</w:t>
      </w:r>
      <w:r>
        <w:rPr>
          <w:rFonts w:ascii="宋体" w:hAnsi="宋体" w:eastAsia="宋体" w:cs="宋体"/>
          <w:color w:val="auto"/>
          <w:sz w:val="21"/>
          <w:szCs w:val="21"/>
          <w:highlight w:val="none"/>
        </w:rPr>
        <w:t>报告、影像资料等基础资料，派人参加联合验收小组并在质量等级签证表上签字；参加法人验收，对工程质量等级提出自评意见并签字；主持编制施工管理</w:t>
      </w:r>
      <w:r>
        <w:rPr>
          <w:rFonts w:ascii="宋体" w:hAnsi="宋体" w:eastAsia="宋体" w:cs="宋体"/>
          <w:color w:val="auto"/>
          <w:spacing w:val="-1"/>
          <w:sz w:val="21"/>
          <w:szCs w:val="21"/>
          <w:highlight w:val="none"/>
        </w:rPr>
        <w:t>工作报告并签字，参加竣工验收。</w:t>
      </w:r>
    </w:p>
    <w:p w14:paraId="0C6492E2">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51"/>
        <w:textAlignment w:val="baseline"/>
        <w:outlineLvl w:val="9"/>
        <w:rPr>
          <w:rFonts w:ascii="宋体" w:hAnsi="宋体" w:eastAsia="宋体" w:cs="宋体"/>
          <w:color w:val="auto"/>
          <w:spacing w:val="-1"/>
          <w:sz w:val="21"/>
          <w:szCs w:val="21"/>
          <w:highlight w:val="none"/>
        </w:rPr>
      </w:pPr>
      <w:bookmarkStart w:id="361" w:name="_Toc3711"/>
      <w:bookmarkStart w:id="362" w:name="_Toc5555"/>
      <w:r>
        <w:rPr>
          <w:rFonts w:ascii="宋体" w:hAnsi="宋体" w:eastAsia="宋体" w:cs="宋体"/>
          <w:color w:val="auto"/>
          <w:sz w:val="21"/>
          <w:szCs w:val="21"/>
          <w:highlight w:val="none"/>
        </w:rPr>
        <w:t>8. 对已验收合格并交付使用的工程按规定承担保修责任，并对造成的损失承担赔</w:t>
      </w:r>
      <w:r>
        <w:rPr>
          <w:rFonts w:ascii="宋体" w:hAnsi="宋体" w:eastAsia="宋体" w:cs="宋体"/>
          <w:color w:val="auto"/>
          <w:spacing w:val="-1"/>
          <w:sz w:val="21"/>
          <w:szCs w:val="21"/>
          <w:highlight w:val="none"/>
        </w:rPr>
        <w:t>偿</w:t>
      </w:r>
      <w:bookmarkEnd w:id="361"/>
      <w:bookmarkEnd w:id="362"/>
    </w:p>
    <w:p w14:paraId="439BC6F5">
      <w:pPr>
        <w:keepNext w:val="0"/>
        <w:keepLines w:val="0"/>
        <w:pageBreakBefore w:val="0"/>
        <w:widowControl/>
        <w:kinsoku w:val="0"/>
        <w:wordWrap/>
        <w:overflowPunct/>
        <w:topLinePunct w:val="0"/>
        <w:autoSpaceDE w:val="0"/>
        <w:autoSpaceDN w:val="0"/>
        <w:bidi w:val="0"/>
        <w:adjustRightInd w:val="0"/>
        <w:snapToGrid w:val="0"/>
        <w:spacing w:before="158" w:line="360" w:lineRule="auto"/>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责任。</w:t>
      </w:r>
    </w:p>
    <w:p w14:paraId="49EE503E">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51"/>
        <w:textAlignment w:val="baseline"/>
        <w:outlineLvl w:val="9"/>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9. 确保工程施工资料收集真实、准确、完整，签章手续齐全，及时整理移交</w:t>
      </w:r>
      <w:r>
        <w:rPr>
          <w:rFonts w:ascii="宋体" w:hAnsi="宋体" w:eastAsia="宋体" w:cs="宋体"/>
          <w:color w:val="auto"/>
          <w:spacing w:val="-1"/>
          <w:sz w:val="21"/>
          <w:szCs w:val="21"/>
          <w:highlight w:val="none"/>
        </w:rPr>
        <w:t>并归档</w:t>
      </w:r>
      <w:r>
        <w:rPr>
          <w:rFonts w:hint="eastAsia" w:ascii="宋体" w:hAnsi="宋体" w:eastAsia="宋体" w:cs="宋体"/>
          <w:color w:val="auto"/>
          <w:spacing w:val="-1"/>
          <w:sz w:val="21"/>
          <w:szCs w:val="21"/>
          <w:highlight w:val="none"/>
          <w:lang w:eastAsia="zh-CN"/>
        </w:rPr>
        <w:t>。</w:t>
      </w:r>
    </w:p>
    <w:p w14:paraId="3F144E23">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66"/>
        <w:textAlignment w:val="baseline"/>
        <w:outlineLvl w:val="9"/>
        <w:rPr>
          <w:rFonts w:ascii="宋体" w:hAnsi="宋体" w:eastAsia="宋体" w:cs="宋体"/>
          <w:color w:val="auto"/>
          <w:sz w:val="21"/>
          <w:szCs w:val="21"/>
          <w:highlight w:val="none"/>
        </w:rPr>
      </w:pPr>
      <w:bookmarkStart w:id="363" w:name="_Toc9182"/>
      <w:bookmarkStart w:id="364" w:name="_Toc13700"/>
      <w:r>
        <w:rPr>
          <w:rFonts w:ascii="宋体" w:hAnsi="宋体" w:eastAsia="宋体" w:cs="宋体"/>
          <w:color w:val="auto"/>
          <w:spacing w:val="-2"/>
          <w:sz w:val="21"/>
          <w:szCs w:val="21"/>
          <w:highlight w:val="none"/>
        </w:rPr>
        <w:t>10. 履行其他法律法规和规程规范中规定的职责。</w:t>
      </w:r>
      <w:bookmarkEnd w:id="363"/>
      <w:bookmarkEnd w:id="364"/>
    </w:p>
    <w:p w14:paraId="20094E29">
      <w:pPr>
        <w:keepNext w:val="0"/>
        <w:keepLines w:val="0"/>
        <w:pageBreakBefore w:val="0"/>
        <w:widowControl/>
        <w:kinsoku w:val="0"/>
        <w:wordWrap/>
        <w:overflowPunct/>
        <w:topLinePunct w:val="0"/>
        <w:autoSpaceDE w:val="0"/>
        <w:autoSpaceDN w:val="0"/>
        <w:bidi w:val="0"/>
        <w:adjustRightInd w:val="0"/>
        <w:snapToGrid w:val="0"/>
        <w:spacing w:before="156" w:line="360" w:lineRule="auto"/>
        <w:ind w:left="2" w:right="9" w:firstLine="448"/>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本承诺书一式四份，一份在竣工验收时提交竣工验收主持单位，与竣工验收鉴定书等资</w:t>
      </w:r>
      <w:r>
        <w:rPr>
          <w:rFonts w:ascii="宋体" w:hAnsi="宋体" w:eastAsia="宋体" w:cs="宋体"/>
          <w:color w:val="auto"/>
          <w:spacing w:val="-1"/>
          <w:sz w:val="21"/>
          <w:szCs w:val="21"/>
          <w:highlight w:val="none"/>
        </w:rPr>
        <w:t>料一起</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作为永久档案保存；一份由项目法人作为工程建设永久档案进行归档保存；一份由</w:t>
      </w:r>
      <w:r>
        <w:rPr>
          <w:rFonts w:ascii="宋体" w:hAnsi="宋体" w:eastAsia="宋体" w:cs="宋体"/>
          <w:color w:val="auto"/>
          <w:spacing w:val="-5"/>
          <w:sz w:val="21"/>
          <w:szCs w:val="21"/>
          <w:highlight w:val="none"/>
        </w:rPr>
        <w:t>承诺人自行保存。</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一份由承诺人自行保存。</w:t>
      </w:r>
    </w:p>
    <w:p w14:paraId="79F6835B">
      <w:pPr>
        <w:spacing w:before="29" w:line="221" w:lineRule="auto"/>
        <w:ind w:left="5083"/>
        <w:outlineLvl w:val="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承</w:t>
      </w:r>
      <w:r>
        <w:rPr>
          <w:rFonts w:ascii="宋体" w:hAnsi="宋体" w:eastAsia="宋体" w:cs="宋体"/>
          <w:color w:val="auto"/>
          <w:spacing w:val="14"/>
          <w:sz w:val="21"/>
          <w:szCs w:val="21"/>
          <w:highlight w:val="none"/>
        </w:rPr>
        <w:t xml:space="preserve"> </w:t>
      </w:r>
      <w:r>
        <w:rPr>
          <w:rFonts w:ascii="宋体" w:hAnsi="宋体" w:eastAsia="宋体" w:cs="宋体"/>
          <w:color w:val="auto"/>
          <w:spacing w:val="-9"/>
          <w:sz w:val="21"/>
          <w:szCs w:val="21"/>
          <w:highlight w:val="none"/>
        </w:rPr>
        <w:t>诺</w:t>
      </w:r>
      <w:r>
        <w:rPr>
          <w:rFonts w:ascii="宋体" w:hAnsi="宋体" w:eastAsia="宋体" w:cs="宋体"/>
          <w:color w:val="auto"/>
          <w:spacing w:val="8"/>
          <w:sz w:val="21"/>
          <w:szCs w:val="21"/>
          <w:highlight w:val="none"/>
        </w:rPr>
        <w:t xml:space="preserve"> </w:t>
      </w:r>
      <w:r>
        <w:rPr>
          <w:rFonts w:ascii="宋体" w:hAnsi="宋体" w:eastAsia="宋体" w:cs="宋体"/>
          <w:color w:val="auto"/>
          <w:spacing w:val="-9"/>
          <w:sz w:val="21"/>
          <w:szCs w:val="21"/>
          <w:highlight w:val="none"/>
        </w:rPr>
        <w:t>人 签</w:t>
      </w:r>
      <w:r>
        <w:rPr>
          <w:rFonts w:ascii="宋体" w:hAnsi="宋体" w:eastAsia="宋体" w:cs="宋体"/>
          <w:color w:val="auto"/>
          <w:spacing w:val="10"/>
          <w:sz w:val="21"/>
          <w:szCs w:val="21"/>
          <w:highlight w:val="none"/>
        </w:rPr>
        <w:t xml:space="preserve"> </w:t>
      </w:r>
      <w:r>
        <w:rPr>
          <w:rFonts w:ascii="宋体" w:hAnsi="宋体" w:eastAsia="宋体" w:cs="宋体"/>
          <w:color w:val="auto"/>
          <w:spacing w:val="-9"/>
          <w:sz w:val="21"/>
          <w:szCs w:val="21"/>
          <w:highlight w:val="none"/>
        </w:rPr>
        <w:t>字</w:t>
      </w:r>
      <w:r>
        <w:rPr>
          <w:rFonts w:ascii="宋体" w:hAnsi="宋体" w:eastAsia="宋体" w:cs="宋体"/>
          <w:color w:val="auto"/>
          <w:spacing w:val="25"/>
          <w:sz w:val="21"/>
          <w:szCs w:val="21"/>
          <w:highlight w:val="none"/>
        </w:rPr>
        <w:t xml:space="preserve"> </w:t>
      </w:r>
      <w:r>
        <w:rPr>
          <w:rFonts w:ascii="宋体" w:hAnsi="宋体" w:eastAsia="宋体" w:cs="宋体"/>
          <w:color w:val="auto"/>
          <w:spacing w:val="-9"/>
          <w:sz w:val="21"/>
          <w:szCs w:val="21"/>
          <w:highlight w:val="none"/>
        </w:rPr>
        <w:t>：</w:t>
      </w:r>
      <w:r>
        <w:rPr>
          <w:rFonts w:ascii="宋体" w:hAnsi="宋体" w:eastAsia="宋体" w:cs="宋体"/>
          <w:color w:val="auto"/>
          <w:sz w:val="21"/>
          <w:szCs w:val="21"/>
          <w:highlight w:val="none"/>
          <w:u w:val="single" w:color="auto"/>
        </w:rPr>
        <w:t xml:space="preserve">                     </w:t>
      </w:r>
    </w:p>
    <w:p w14:paraId="0A204C78">
      <w:pPr>
        <w:spacing w:before="158" w:line="221" w:lineRule="auto"/>
        <w:ind w:left="5403"/>
        <w:outlineLvl w:val="9"/>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身</w:t>
      </w:r>
      <w:r>
        <w:rPr>
          <w:rFonts w:ascii="宋体" w:hAnsi="宋体" w:eastAsia="宋体" w:cs="宋体"/>
          <w:color w:val="auto"/>
          <w:spacing w:val="11"/>
          <w:sz w:val="21"/>
          <w:szCs w:val="21"/>
          <w:highlight w:val="none"/>
        </w:rPr>
        <w:t xml:space="preserve"> </w:t>
      </w:r>
      <w:r>
        <w:rPr>
          <w:rFonts w:ascii="宋体" w:hAnsi="宋体" w:eastAsia="宋体" w:cs="宋体"/>
          <w:color w:val="auto"/>
          <w:spacing w:val="-14"/>
          <w:sz w:val="21"/>
          <w:szCs w:val="21"/>
          <w:highlight w:val="none"/>
        </w:rPr>
        <w:t>份</w:t>
      </w:r>
      <w:r>
        <w:rPr>
          <w:rFonts w:ascii="宋体" w:hAnsi="宋体" w:eastAsia="宋体" w:cs="宋体"/>
          <w:color w:val="auto"/>
          <w:spacing w:val="6"/>
          <w:sz w:val="21"/>
          <w:szCs w:val="21"/>
          <w:highlight w:val="none"/>
        </w:rPr>
        <w:t xml:space="preserve"> </w:t>
      </w:r>
      <w:r>
        <w:rPr>
          <w:rFonts w:ascii="宋体" w:hAnsi="宋体" w:eastAsia="宋体" w:cs="宋体"/>
          <w:color w:val="auto"/>
          <w:spacing w:val="-14"/>
          <w:sz w:val="21"/>
          <w:szCs w:val="21"/>
          <w:highlight w:val="none"/>
        </w:rPr>
        <w:t>证</w:t>
      </w:r>
      <w:r>
        <w:rPr>
          <w:rFonts w:ascii="宋体" w:hAnsi="宋体" w:eastAsia="宋体" w:cs="宋体"/>
          <w:color w:val="auto"/>
          <w:spacing w:val="12"/>
          <w:sz w:val="21"/>
          <w:szCs w:val="21"/>
          <w:highlight w:val="none"/>
        </w:rPr>
        <w:t xml:space="preserve"> </w:t>
      </w:r>
      <w:r>
        <w:rPr>
          <w:rFonts w:ascii="宋体" w:hAnsi="宋体" w:eastAsia="宋体" w:cs="宋体"/>
          <w:color w:val="auto"/>
          <w:spacing w:val="-14"/>
          <w:sz w:val="21"/>
          <w:szCs w:val="21"/>
          <w:highlight w:val="none"/>
        </w:rPr>
        <w:t>号</w:t>
      </w:r>
      <w:r>
        <w:rPr>
          <w:rFonts w:ascii="宋体" w:hAnsi="宋体" w:eastAsia="宋体" w:cs="宋体"/>
          <w:color w:val="auto"/>
          <w:spacing w:val="27"/>
          <w:sz w:val="21"/>
          <w:szCs w:val="21"/>
          <w:highlight w:val="none"/>
        </w:rPr>
        <w:t xml:space="preserve"> </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u w:val="single" w:color="auto"/>
        </w:rPr>
        <w:t xml:space="preserve">                     </w:t>
      </w:r>
    </w:p>
    <w:p w14:paraId="0AF8E711">
      <w:pPr>
        <w:spacing w:before="156" w:line="221" w:lineRule="auto"/>
        <w:ind w:left="529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注册执业资格</w:t>
      </w:r>
      <w:r>
        <w:rPr>
          <w:rFonts w:ascii="宋体" w:hAnsi="宋体" w:eastAsia="宋体" w:cs="宋体"/>
          <w:color w:val="auto"/>
          <w:spacing w:val="27"/>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z w:val="21"/>
          <w:szCs w:val="21"/>
          <w:highlight w:val="none"/>
          <w:u w:val="single" w:color="auto"/>
        </w:rPr>
        <w:t xml:space="preserve">                     </w:t>
      </w:r>
    </w:p>
    <w:p w14:paraId="5B593C41">
      <w:pPr>
        <w:spacing w:before="159" w:line="346" w:lineRule="auto"/>
        <w:ind w:left="5083" w:right="211" w:firstLine="208"/>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注册执业证号</w:t>
      </w:r>
      <w:r>
        <w:rPr>
          <w:rFonts w:ascii="宋体" w:hAnsi="宋体" w:eastAsia="宋体" w:cs="宋体"/>
          <w:color w:val="auto"/>
          <w:spacing w:val="27"/>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6"/>
          <w:sz w:val="21"/>
          <w:szCs w:val="21"/>
          <w:highlight w:val="none"/>
        </w:rPr>
        <w:t>职</w:t>
      </w:r>
      <w:r>
        <w:rPr>
          <w:rFonts w:ascii="宋体" w:hAnsi="宋体" w:eastAsia="宋体" w:cs="宋体"/>
          <w:color w:val="auto"/>
          <w:spacing w:val="10"/>
          <w:sz w:val="21"/>
          <w:szCs w:val="21"/>
          <w:highlight w:val="none"/>
        </w:rPr>
        <w:t xml:space="preserve"> </w:t>
      </w:r>
      <w:r>
        <w:rPr>
          <w:rFonts w:ascii="宋体" w:hAnsi="宋体" w:eastAsia="宋体" w:cs="宋体"/>
          <w:color w:val="auto"/>
          <w:spacing w:val="-6"/>
          <w:sz w:val="21"/>
          <w:szCs w:val="21"/>
          <w:highlight w:val="none"/>
        </w:rPr>
        <w:t>称 及</w:t>
      </w:r>
      <w:r>
        <w:rPr>
          <w:rFonts w:ascii="宋体" w:hAnsi="宋体" w:eastAsia="宋体" w:cs="宋体"/>
          <w:color w:val="auto"/>
          <w:spacing w:val="7"/>
          <w:sz w:val="21"/>
          <w:szCs w:val="21"/>
          <w:highlight w:val="none"/>
        </w:rPr>
        <w:t xml:space="preserve"> </w:t>
      </w:r>
      <w:r>
        <w:rPr>
          <w:rFonts w:ascii="宋体" w:hAnsi="宋体" w:eastAsia="宋体" w:cs="宋体"/>
          <w:color w:val="auto"/>
          <w:spacing w:val="-6"/>
          <w:sz w:val="21"/>
          <w:szCs w:val="21"/>
          <w:highlight w:val="none"/>
        </w:rPr>
        <w:t>专</w:t>
      </w:r>
      <w:r>
        <w:rPr>
          <w:rFonts w:ascii="宋体" w:hAnsi="宋体" w:eastAsia="宋体" w:cs="宋体"/>
          <w:color w:val="auto"/>
          <w:spacing w:val="8"/>
          <w:sz w:val="21"/>
          <w:szCs w:val="21"/>
          <w:highlight w:val="none"/>
        </w:rPr>
        <w:t xml:space="preserve"> </w:t>
      </w:r>
      <w:r>
        <w:rPr>
          <w:rFonts w:ascii="宋体" w:hAnsi="宋体" w:eastAsia="宋体" w:cs="宋体"/>
          <w:color w:val="auto"/>
          <w:spacing w:val="-6"/>
          <w:sz w:val="21"/>
          <w:szCs w:val="21"/>
          <w:highlight w:val="none"/>
        </w:rPr>
        <w:t>业</w:t>
      </w:r>
      <w:r>
        <w:rPr>
          <w:rFonts w:ascii="宋体" w:hAnsi="宋体" w:eastAsia="宋体" w:cs="宋体"/>
          <w:color w:val="auto"/>
          <w:spacing w:val="25"/>
          <w:sz w:val="21"/>
          <w:szCs w:val="21"/>
          <w:highlight w:val="none"/>
        </w:rPr>
        <w:t xml:space="preserve"> </w:t>
      </w:r>
      <w:r>
        <w:rPr>
          <w:rFonts w:ascii="宋体" w:hAnsi="宋体" w:eastAsia="宋体" w:cs="宋体"/>
          <w:color w:val="auto"/>
          <w:spacing w:val="-6"/>
          <w:sz w:val="21"/>
          <w:szCs w:val="21"/>
          <w:highlight w:val="none"/>
        </w:rPr>
        <w:t>：</w:t>
      </w:r>
      <w:r>
        <w:rPr>
          <w:rFonts w:ascii="宋体" w:hAnsi="宋体" w:eastAsia="宋体" w:cs="宋体"/>
          <w:color w:val="auto"/>
          <w:spacing w:val="-6"/>
          <w:sz w:val="21"/>
          <w:szCs w:val="21"/>
          <w:highlight w:val="none"/>
          <w:u w:val="single" w:color="auto"/>
        </w:rPr>
        <w:t xml:space="preserve">                    </w:t>
      </w:r>
    </w:p>
    <w:p w14:paraId="0C438FBF">
      <w:pPr>
        <w:spacing w:before="29"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签</w:t>
      </w:r>
      <w:r>
        <w:rPr>
          <w:rFonts w:ascii="宋体" w:hAnsi="宋体" w:eastAsia="宋体" w:cs="宋体"/>
          <w:color w:val="auto"/>
          <w:spacing w:val="11"/>
          <w:sz w:val="21"/>
          <w:szCs w:val="21"/>
          <w:highlight w:val="none"/>
        </w:rPr>
        <w:t xml:space="preserve"> </w:t>
      </w:r>
      <w:r>
        <w:rPr>
          <w:rFonts w:ascii="宋体" w:hAnsi="宋体" w:eastAsia="宋体" w:cs="宋体"/>
          <w:color w:val="auto"/>
          <w:spacing w:val="-20"/>
          <w:sz w:val="21"/>
          <w:szCs w:val="21"/>
          <w:highlight w:val="none"/>
        </w:rPr>
        <w:t>字</w:t>
      </w:r>
      <w:r>
        <w:rPr>
          <w:rFonts w:ascii="宋体" w:hAnsi="宋体" w:eastAsia="宋体" w:cs="宋体"/>
          <w:color w:val="auto"/>
          <w:spacing w:val="21"/>
          <w:sz w:val="21"/>
          <w:szCs w:val="21"/>
          <w:highlight w:val="none"/>
        </w:rPr>
        <w:t xml:space="preserve">  </w:t>
      </w:r>
      <w:r>
        <w:rPr>
          <w:rFonts w:ascii="宋体" w:hAnsi="宋体" w:eastAsia="宋体" w:cs="宋体"/>
          <w:color w:val="auto"/>
          <w:spacing w:val="-20"/>
          <w:sz w:val="21"/>
          <w:szCs w:val="21"/>
          <w:highlight w:val="none"/>
        </w:rPr>
        <w:t>日</w:t>
      </w:r>
      <w:r>
        <w:rPr>
          <w:rFonts w:ascii="宋体" w:hAnsi="宋体" w:eastAsia="宋体" w:cs="宋体"/>
          <w:color w:val="auto"/>
          <w:spacing w:val="10"/>
          <w:sz w:val="21"/>
          <w:szCs w:val="21"/>
          <w:highlight w:val="none"/>
        </w:rPr>
        <w:t xml:space="preserve"> </w:t>
      </w:r>
      <w:r>
        <w:rPr>
          <w:rFonts w:ascii="宋体" w:hAnsi="宋体" w:eastAsia="宋体" w:cs="宋体"/>
          <w:color w:val="auto"/>
          <w:spacing w:val="-20"/>
          <w:sz w:val="21"/>
          <w:szCs w:val="21"/>
          <w:highlight w:val="none"/>
        </w:rPr>
        <w:t>期</w:t>
      </w:r>
      <w:r>
        <w:rPr>
          <w:rFonts w:ascii="宋体" w:hAnsi="宋体" w:eastAsia="宋体" w:cs="宋体"/>
          <w:color w:val="auto"/>
          <w:spacing w:val="25"/>
          <w:sz w:val="21"/>
          <w:szCs w:val="21"/>
          <w:highlight w:val="none"/>
        </w:rPr>
        <w:t xml:space="preserve"> </w:t>
      </w:r>
      <w:r>
        <w:rPr>
          <w:rFonts w:ascii="宋体" w:hAnsi="宋体" w:eastAsia="宋体" w:cs="宋体"/>
          <w:color w:val="auto"/>
          <w:spacing w:val="-20"/>
          <w:sz w:val="21"/>
          <w:szCs w:val="21"/>
          <w:highlight w:val="none"/>
        </w:rPr>
        <w:t>：</w:t>
      </w:r>
      <w:r>
        <w:rPr>
          <w:rFonts w:ascii="宋体" w:hAnsi="宋体" w:eastAsia="宋体" w:cs="宋体"/>
          <w:color w:val="auto"/>
          <w:spacing w:val="1"/>
          <w:sz w:val="21"/>
          <w:szCs w:val="21"/>
          <w:highlight w:val="none"/>
        </w:rPr>
        <w:t xml:space="preserve">       </w:t>
      </w:r>
      <w:r>
        <w:rPr>
          <w:rFonts w:ascii="宋体" w:hAnsi="宋体" w:eastAsia="宋体" w:cs="宋体"/>
          <w:color w:val="auto"/>
          <w:spacing w:val="-20"/>
          <w:sz w:val="21"/>
          <w:szCs w:val="21"/>
          <w:highlight w:val="none"/>
        </w:rPr>
        <w:t>年</w:t>
      </w:r>
      <w:r>
        <w:rPr>
          <w:rFonts w:ascii="宋体" w:hAnsi="宋体" w:eastAsia="宋体" w:cs="宋体"/>
          <w:color w:val="auto"/>
          <w:spacing w:val="3"/>
          <w:sz w:val="21"/>
          <w:szCs w:val="21"/>
          <w:highlight w:val="none"/>
        </w:rPr>
        <w:t xml:space="preserve">     </w:t>
      </w:r>
      <w:r>
        <w:rPr>
          <w:rFonts w:ascii="宋体" w:hAnsi="宋体" w:eastAsia="宋体" w:cs="宋体"/>
          <w:color w:val="auto"/>
          <w:spacing w:val="-20"/>
          <w:sz w:val="21"/>
          <w:szCs w:val="21"/>
          <w:highlight w:val="none"/>
        </w:rPr>
        <w:t>月</w:t>
      </w:r>
      <w:r>
        <w:rPr>
          <w:rFonts w:ascii="宋体" w:hAnsi="宋体" w:eastAsia="宋体" w:cs="宋体"/>
          <w:color w:val="auto"/>
          <w:spacing w:val="11"/>
          <w:sz w:val="21"/>
          <w:szCs w:val="21"/>
          <w:highlight w:val="none"/>
        </w:rPr>
        <w:t xml:space="preserve">    </w:t>
      </w:r>
      <w:r>
        <w:rPr>
          <w:rFonts w:ascii="宋体" w:hAnsi="宋体" w:eastAsia="宋体" w:cs="宋体"/>
          <w:color w:val="auto"/>
          <w:spacing w:val="-20"/>
          <w:sz w:val="21"/>
          <w:szCs w:val="21"/>
          <w:highlight w:val="none"/>
        </w:rPr>
        <w:t>日</w:t>
      </w:r>
    </w:p>
    <w:p w14:paraId="7F1148D8">
      <w:pPr>
        <w:spacing w:before="286" w:line="219" w:lineRule="auto"/>
        <w:ind w:left="32"/>
        <w:outlineLvl w:val="9"/>
        <w:rPr>
          <w:rFonts w:ascii="宋体" w:hAnsi="宋体" w:eastAsia="宋体" w:cs="宋体"/>
          <w:b/>
          <w:bCs/>
          <w:color w:val="auto"/>
          <w:spacing w:val="-7"/>
          <w:sz w:val="28"/>
          <w:szCs w:val="28"/>
          <w:highlight w:val="none"/>
        </w:rPr>
      </w:pPr>
    </w:p>
    <w:p w14:paraId="65BD6100">
      <w:pPr>
        <w:spacing w:before="286" w:line="219" w:lineRule="auto"/>
        <w:ind w:left="32"/>
        <w:outlineLvl w:val="9"/>
        <w:rPr>
          <w:rFonts w:ascii="宋体" w:hAnsi="宋体" w:eastAsia="宋体" w:cs="宋体"/>
          <w:b/>
          <w:bCs/>
          <w:color w:val="auto"/>
          <w:spacing w:val="-7"/>
          <w:sz w:val="28"/>
          <w:szCs w:val="28"/>
          <w:highlight w:val="none"/>
        </w:rPr>
      </w:pPr>
    </w:p>
    <w:p w14:paraId="09CC0853">
      <w:pPr>
        <w:spacing w:before="286" w:line="219" w:lineRule="auto"/>
        <w:ind w:left="32"/>
        <w:outlineLvl w:val="9"/>
        <w:rPr>
          <w:rFonts w:ascii="宋体" w:hAnsi="宋体" w:eastAsia="宋体" w:cs="宋体"/>
          <w:b/>
          <w:bCs/>
          <w:color w:val="auto"/>
          <w:spacing w:val="-7"/>
          <w:sz w:val="28"/>
          <w:szCs w:val="28"/>
          <w:highlight w:val="none"/>
        </w:rPr>
      </w:pPr>
    </w:p>
    <w:p w14:paraId="32B8D58D">
      <w:pPr>
        <w:spacing w:before="286" w:line="219" w:lineRule="auto"/>
        <w:ind w:left="32"/>
        <w:outlineLvl w:val="9"/>
        <w:rPr>
          <w:rFonts w:ascii="宋体" w:hAnsi="宋体" w:eastAsia="宋体" w:cs="宋体"/>
          <w:b/>
          <w:bCs/>
          <w:color w:val="auto"/>
          <w:spacing w:val="-7"/>
          <w:sz w:val="28"/>
          <w:szCs w:val="28"/>
          <w:highlight w:val="none"/>
        </w:rPr>
      </w:pPr>
    </w:p>
    <w:p w14:paraId="2BB6D53E">
      <w:pPr>
        <w:spacing w:before="286" w:line="219" w:lineRule="auto"/>
        <w:ind w:left="32"/>
        <w:outlineLvl w:val="9"/>
        <w:rPr>
          <w:rFonts w:ascii="宋体" w:hAnsi="宋体" w:eastAsia="宋体" w:cs="宋体"/>
          <w:b/>
          <w:bCs/>
          <w:color w:val="auto"/>
          <w:spacing w:val="-7"/>
          <w:sz w:val="28"/>
          <w:szCs w:val="28"/>
          <w:highlight w:val="none"/>
        </w:rPr>
      </w:pPr>
    </w:p>
    <w:p w14:paraId="34F7EDB2">
      <w:pPr>
        <w:spacing w:before="286" w:line="219" w:lineRule="auto"/>
        <w:ind w:left="32"/>
        <w:outlineLvl w:val="9"/>
        <w:rPr>
          <w:rFonts w:ascii="宋体" w:hAnsi="宋体" w:eastAsia="宋体" w:cs="宋体"/>
          <w:b/>
          <w:bCs/>
          <w:color w:val="auto"/>
          <w:spacing w:val="-7"/>
          <w:sz w:val="28"/>
          <w:szCs w:val="28"/>
          <w:highlight w:val="none"/>
        </w:rPr>
      </w:pPr>
    </w:p>
    <w:p w14:paraId="51B29915">
      <w:pPr>
        <w:spacing w:before="286" w:line="219" w:lineRule="auto"/>
        <w:ind w:left="32"/>
        <w:outlineLvl w:val="9"/>
        <w:rPr>
          <w:rFonts w:ascii="宋体" w:hAnsi="宋体" w:eastAsia="宋体" w:cs="宋体"/>
          <w:b/>
          <w:bCs/>
          <w:color w:val="auto"/>
          <w:spacing w:val="-7"/>
          <w:sz w:val="28"/>
          <w:szCs w:val="28"/>
          <w:highlight w:val="none"/>
        </w:rPr>
      </w:pPr>
    </w:p>
    <w:p w14:paraId="3163D981">
      <w:pPr>
        <w:spacing w:before="286" w:line="219" w:lineRule="auto"/>
        <w:ind w:left="32"/>
        <w:outlineLvl w:val="9"/>
        <w:rPr>
          <w:rFonts w:ascii="宋体" w:hAnsi="宋体" w:eastAsia="宋体" w:cs="宋体"/>
          <w:b/>
          <w:bCs/>
          <w:color w:val="auto"/>
          <w:spacing w:val="-7"/>
          <w:sz w:val="28"/>
          <w:szCs w:val="28"/>
          <w:highlight w:val="none"/>
        </w:rPr>
      </w:pPr>
    </w:p>
    <w:p w14:paraId="1CC6F933">
      <w:pPr>
        <w:spacing w:before="286" w:line="219" w:lineRule="auto"/>
        <w:ind w:left="32"/>
        <w:outlineLvl w:val="9"/>
        <w:rPr>
          <w:rFonts w:ascii="宋体" w:hAnsi="宋体" w:eastAsia="宋体" w:cs="宋体"/>
          <w:b/>
          <w:bCs/>
          <w:color w:val="auto"/>
          <w:spacing w:val="-7"/>
          <w:sz w:val="28"/>
          <w:szCs w:val="28"/>
          <w:highlight w:val="none"/>
        </w:rPr>
      </w:pPr>
    </w:p>
    <w:p w14:paraId="254390BD">
      <w:pPr>
        <w:spacing w:before="286" w:line="219" w:lineRule="auto"/>
        <w:ind w:left="32"/>
        <w:outlineLvl w:val="9"/>
        <w:rPr>
          <w:rFonts w:ascii="宋体" w:hAnsi="宋体" w:eastAsia="宋体" w:cs="宋体"/>
          <w:b/>
          <w:bCs/>
          <w:color w:val="auto"/>
          <w:spacing w:val="-7"/>
          <w:sz w:val="28"/>
          <w:szCs w:val="28"/>
          <w:highlight w:val="none"/>
        </w:rPr>
      </w:pPr>
    </w:p>
    <w:p w14:paraId="44E6D8E3">
      <w:pPr>
        <w:spacing w:before="286" w:line="219" w:lineRule="auto"/>
        <w:ind w:left="32"/>
        <w:outlineLvl w:val="9"/>
        <w:rPr>
          <w:rFonts w:ascii="宋体" w:hAnsi="宋体" w:eastAsia="宋体" w:cs="宋体"/>
          <w:b/>
          <w:bCs/>
          <w:color w:val="auto"/>
          <w:spacing w:val="-7"/>
          <w:sz w:val="28"/>
          <w:szCs w:val="28"/>
          <w:highlight w:val="none"/>
        </w:rPr>
      </w:pPr>
    </w:p>
    <w:p w14:paraId="64F5D225">
      <w:pPr>
        <w:spacing w:before="286" w:line="219" w:lineRule="auto"/>
        <w:ind w:left="32"/>
        <w:outlineLvl w:val="9"/>
        <w:rPr>
          <w:rFonts w:ascii="宋体" w:hAnsi="宋体" w:eastAsia="宋体" w:cs="宋体"/>
          <w:b/>
          <w:bCs/>
          <w:color w:val="auto"/>
          <w:spacing w:val="-7"/>
          <w:sz w:val="28"/>
          <w:szCs w:val="28"/>
          <w:highlight w:val="none"/>
        </w:rPr>
      </w:pPr>
    </w:p>
    <w:p w14:paraId="684F6F95">
      <w:pPr>
        <w:outlineLvl w:val="9"/>
        <w:rPr>
          <w:rFonts w:ascii="宋体" w:hAnsi="宋体" w:eastAsia="宋体" w:cs="宋体"/>
          <w:b/>
          <w:bCs/>
          <w:color w:val="auto"/>
          <w:spacing w:val="-7"/>
          <w:sz w:val="28"/>
          <w:szCs w:val="28"/>
          <w:highlight w:val="none"/>
        </w:rPr>
      </w:pPr>
    </w:p>
    <w:p w14:paraId="365050B7">
      <w:pPr>
        <w:outlineLvl w:val="9"/>
        <w:rPr>
          <w:rFonts w:ascii="宋体" w:hAnsi="宋体" w:eastAsia="宋体" w:cs="宋体"/>
          <w:b/>
          <w:bCs/>
          <w:color w:val="auto"/>
          <w:spacing w:val="-7"/>
          <w:sz w:val="28"/>
          <w:szCs w:val="28"/>
          <w:highlight w:val="none"/>
        </w:rPr>
      </w:pPr>
    </w:p>
    <w:p w14:paraId="4EE381A8">
      <w:pPr>
        <w:outlineLvl w:val="9"/>
        <w:rPr>
          <w:rFonts w:ascii="宋体" w:hAnsi="宋体" w:eastAsia="宋体" w:cs="宋体"/>
          <w:b/>
          <w:bCs/>
          <w:color w:val="auto"/>
          <w:spacing w:val="-7"/>
          <w:sz w:val="28"/>
          <w:szCs w:val="28"/>
          <w:highlight w:val="none"/>
        </w:rPr>
      </w:pPr>
    </w:p>
    <w:p w14:paraId="6966C751">
      <w:pPr>
        <w:outlineLvl w:val="9"/>
        <w:rPr>
          <w:rFonts w:ascii="宋体" w:hAnsi="宋体" w:eastAsia="宋体" w:cs="宋体"/>
          <w:b/>
          <w:bCs/>
          <w:color w:val="auto"/>
          <w:spacing w:val="-7"/>
          <w:sz w:val="28"/>
          <w:szCs w:val="28"/>
          <w:highlight w:val="none"/>
        </w:rPr>
      </w:pPr>
    </w:p>
    <w:p w14:paraId="574A0EE2">
      <w:pPr>
        <w:outlineLvl w:val="9"/>
        <w:rPr>
          <w:rFonts w:ascii="宋体" w:hAnsi="宋体" w:eastAsia="宋体" w:cs="宋体"/>
          <w:b/>
          <w:bCs/>
          <w:color w:val="auto"/>
          <w:spacing w:val="-7"/>
          <w:sz w:val="28"/>
          <w:szCs w:val="28"/>
          <w:highlight w:val="none"/>
        </w:rPr>
      </w:pPr>
    </w:p>
    <w:p w14:paraId="03C80F35">
      <w:pPr>
        <w:outlineLvl w:val="9"/>
        <w:rPr>
          <w:color w:val="auto"/>
          <w:highlight w:val="none"/>
        </w:rPr>
      </w:pPr>
    </w:p>
    <w:p w14:paraId="3FE136DB">
      <w:pPr>
        <w:spacing w:before="286" w:line="219" w:lineRule="auto"/>
        <w:ind w:left="32"/>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附件五：履约保证金</w:t>
      </w:r>
    </w:p>
    <w:p w14:paraId="60109D32">
      <w:pPr>
        <w:spacing w:line="462" w:lineRule="auto"/>
        <w:outlineLvl w:val="9"/>
        <w:rPr>
          <w:rFonts w:ascii="Arial"/>
          <w:color w:val="auto"/>
          <w:sz w:val="21"/>
          <w:highlight w:val="none"/>
        </w:rPr>
      </w:pPr>
    </w:p>
    <w:p w14:paraId="0AAFFF36">
      <w:pPr>
        <w:spacing w:before="91" w:line="219" w:lineRule="auto"/>
        <w:ind w:left="3426"/>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履约保函示范文本</w:t>
      </w:r>
    </w:p>
    <w:p w14:paraId="08894CE8">
      <w:pPr>
        <w:spacing w:before="204" w:line="221" w:lineRule="auto"/>
        <w:ind w:left="7294"/>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编号：</w:t>
      </w:r>
    </w:p>
    <w:p w14:paraId="2B6F320B">
      <w:pPr>
        <w:spacing w:line="246" w:lineRule="auto"/>
        <w:outlineLvl w:val="9"/>
        <w:rPr>
          <w:rFonts w:ascii="Arial"/>
          <w:color w:val="auto"/>
          <w:sz w:val="21"/>
          <w:highlight w:val="none"/>
        </w:rPr>
      </w:pPr>
    </w:p>
    <w:p w14:paraId="22F37BB6">
      <w:pPr>
        <w:spacing w:line="247" w:lineRule="auto"/>
        <w:outlineLvl w:val="9"/>
        <w:rPr>
          <w:rFonts w:ascii="Arial"/>
          <w:color w:val="auto"/>
          <w:sz w:val="21"/>
          <w:highlight w:val="none"/>
        </w:rPr>
      </w:pPr>
    </w:p>
    <w:p w14:paraId="515D6316">
      <w:pPr>
        <w:tabs>
          <w:tab w:val="left" w:pos="1471"/>
        </w:tabs>
        <w:spacing w:before="68" w:line="223"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3"/>
          <w:sz w:val="21"/>
          <w:szCs w:val="21"/>
          <w:highlight w:val="none"/>
        </w:rPr>
        <w:t>（受益人名称</w:t>
      </w:r>
      <w:r>
        <w:rPr>
          <w:rFonts w:ascii="宋体" w:hAnsi="宋体" w:eastAsia="宋体" w:cs="宋体"/>
          <w:color w:val="auto"/>
          <w:spacing w:val="-20"/>
          <w:sz w:val="21"/>
          <w:szCs w:val="21"/>
          <w:highlight w:val="none"/>
        </w:rPr>
        <w:t>）：</w:t>
      </w:r>
    </w:p>
    <w:p w14:paraId="0ACDEFF2">
      <w:pPr>
        <w:spacing w:before="153" w:line="354" w:lineRule="auto"/>
        <w:ind w:left="9" w:firstLine="420"/>
        <w:jc w:val="both"/>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鉴于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（以下简称“受益人</w:t>
      </w:r>
      <w:r>
        <w:rPr>
          <w:rFonts w:ascii="宋体" w:hAnsi="宋体" w:eastAsia="宋体" w:cs="宋体"/>
          <w:color w:val="auto"/>
          <w:spacing w:val="-59"/>
          <w:sz w:val="21"/>
          <w:szCs w:val="21"/>
          <w:highlight w:val="none"/>
        </w:rPr>
        <w:t xml:space="preserve"> </w:t>
      </w:r>
      <w:r>
        <w:rPr>
          <w:rFonts w:ascii="宋体" w:hAnsi="宋体" w:eastAsia="宋体" w:cs="宋体"/>
          <w:color w:val="auto"/>
          <w:spacing w:val="-8"/>
          <w:sz w:val="21"/>
          <w:szCs w:val="21"/>
          <w:highlight w:val="none"/>
        </w:rPr>
        <w:t>”）与</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8"/>
          <w:sz w:val="21"/>
          <w:szCs w:val="21"/>
          <w:highlight w:val="none"/>
        </w:rPr>
        <w:t>（以下简称“</w:t>
      </w:r>
      <w:r>
        <w:rPr>
          <w:rFonts w:ascii="宋体" w:hAnsi="宋体" w:eastAsia="宋体" w:cs="宋体"/>
          <w:color w:val="auto"/>
          <w:spacing w:val="-62"/>
          <w:sz w:val="21"/>
          <w:szCs w:val="21"/>
          <w:highlight w:val="none"/>
        </w:rPr>
        <w:t xml:space="preserve"> </w:t>
      </w:r>
      <w:r>
        <w:rPr>
          <w:rFonts w:ascii="宋体" w:hAnsi="宋体" w:eastAsia="宋体" w:cs="宋体"/>
          <w:color w:val="auto"/>
          <w:spacing w:val="-8"/>
          <w:sz w:val="21"/>
          <w:szCs w:val="21"/>
          <w:highlight w:val="none"/>
        </w:rPr>
        <w:t>申请人”）于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51"/>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8"/>
          <w:sz w:val="21"/>
          <w:szCs w:val="21"/>
          <w:highlight w:val="none"/>
        </w:rPr>
        <w:t>日</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就</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（标段编号）的</w:t>
      </w:r>
      <w:r>
        <w:rPr>
          <w:rFonts w:ascii="宋体" w:hAnsi="宋体" w:eastAsia="宋体" w:cs="宋体"/>
          <w:color w:val="auto"/>
          <w:spacing w:val="-105"/>
          <w:sz w:val="21"/>
          <w:szCs w:val="21"/>
          <w:highlight w:val="none"/>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（标段名称）有关事项协商一致共同签订</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（以下</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简称“基础合同”</w:t>
      </w:r>
      <w:r>
        <w:rPr>
          <w:rFonts w:ascii="宋体" w:hAnsi="宋体" w:eastAsia="宋体" w:cs="宋体"/>
          <w:color w:val="auto"/>
          <w:spacing w:val="-37"/>
          <w:w w:val="67"/>
          <w:sz w:val="21"/>
          <w:szCs w:val="21"/>
          <w:highlight w:val="none"/>
        </w:rPr>
        <w:t>），</w:t>
      </w:r>
      <w:r>
        <w:rPr>
          <w:rFonts w:ascii="宋体" w:hAnsi="宋体" w:eastAsia="宋体" w:cs="宋体"/>
          <w:color w:val="auto"/>
          <w:spacing w:val="1"/>
          <w:sz w:val="21"/>
          <w:szCs w:val="21"/>
          <w:highlight w:val="none"/>
        </w:rPr>
        <w:t>开立人根据基础合同了解到申请人为基础合同项下之承包人</w:t>
      </w:r>
      <w:r>
        <w:rPr>
          <w:rFonts w:ascii="宋体" w:hAnsi="宋体" w:eastAsia="宋体" w:cs="宋体"/>
          <w:color w:val="auto"/>
          <w:sz w:val="21"/>
          <w:szCs w:val="21"/>
          <w:highlight w:val="none"/>
        </w:rPr>
        <w:t>，受益人为基础合</w:t>
      </w:r>
      <w:r>
        <w:rPr>
          <w:rFonts w:ascii="宋体" w:hAnsi="宋体" w:eastAsia="宋体" w:cs="宋体"/>
          <w:color w:val="auto"/>
          <w:spacing w:val="1"/>
          <w:sz w:val="21"/>
          <w:szCs w:val="21"/>
          <w:highlight w:val="none"/>
        </w:rPr>
        <w:t>同项下之发包人，基于申请人的请求，开立人同意就申请人履行与受益人签订</w:t>
      </w:r>
      <w:r>
        <w:rPr>
          <w:rFonts w:ascii="宋体" w:hAnsi="宋体" w:eastAsia="宋体" w:cs="宋体"/>
          <w:color w:val="auto"/>
          <w:sz w:val="21"/>
          <w:szCs w:val="21"/>
          <w:highlight w:val="none"/>
        </w:rPr>
        <w:t xml:space="preserve">的基础合同项下的义 </w:t>
      </w:r>
      <w:r>
        <w:rPr>
          <w:rFonts w:ascii="宋体" w:hAnsi="宋体" w:eastAsia="宋体" w:cs="宋体"/>
          <w:color w:val="auto"/>
          <w:spacing w:val="-5"/>
          <w:sz w:val="21"/>
          <w:szCs w:val="21"/>
          <w:highlight w:val="none"/>
        </w:rPr>
        <w:t>务，向受益人提供不可撤销、不可转让的见索即付独立保函（以下简称“本保函”）。</w:t>
      </w:r>
    </w:p>
    <w:p w14:paraId="4DB6355E">
      <w:pPr>
        <w:spacing w:before="30" w:line="291" w:lineRule="auto"/>
        <w:ind w:left="9" w:right="12" w:firstLine="42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一、本保函担保范围：承包人未按照基础合同</w:t>
      </w:r>
      <w:r>
        <w:rPr>
          <w:rFonts w:ascii="宋体" w:hAnsi="宋体" w:eastAsia="宋体" w:cs="宋体"/>
          <w:color w:val="auto"/>
          <w:sz w:val="21"/>
          <w:szCs w:val="21"/>
          <w:highlight w:val="none"/>
        </w:rPr>
        <w:t xml:space="preserve">的约定履行义务，应当向受益人承担的违约责任 </w:t>
      </w:r>
      <w:r>
        <w:rPr>
          <w:rFonts w:ascii="宋体" w:hAnsi="宋体" w:eastAsia="宋体" w:cs="宋体"/>
          <w:color w:val="auto"/>
          <w:spacing w:val="-1"/>
          <w:sz w:val="21"/>
          <w:szCs w:val="21"/>
          <w:highlight w:val="none"/>
        </w:rPr>
        <w:t>和赔偿因此造成的损失、利息、律师费、诉讼费用等实现债权的费用。</w:t>
      </w:r>
    </w:p>
    <w:p w14:paraId="1C0DE481">
      <w:pPr>
        <w:spacing w:before="157" w:line="220" w:lineRule="auto"/>
        <w:ind w:left="43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二、本保函担保金额最高不超过人民币（大写）</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元(¥</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72"/>
          <w:sz w:val="21"/>
          <w:szCs w:val="21"/>
          <w:highlight w:val="none"/>
        </w:rPr>
        <w:t xml:space="preserve"> </w:t>
      </w:r>
      <w:r>
        <w:rPr>
          <w:rFonts w:ascii="宋体" w:hAnsi="宋体" w:eastAsia="宋体" w:cs="宋体"/>
          <w:color w:val="auto"/>
          <w:spacing w:val="2"/>
          <w:sz w:val="21"/>
          <w:szCs w:val="21"/>
          <w:highlight w:val="none"/>
        </w:rPr>
        <w:t>)。</w:t>
      </w:r>
    </w:p>
    <w:p w14:paraId="01089999">
      <w:pPr>
        <w:spacing w:before="158" w:line="220" w:lineRule="auto"/>
        <w:ind w:left="42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三、本保函有效期自开立之日起至基础合同约定的缺陷责任期满之</w:t>
      </w:r>
      <w:r>
        <w:rPr>
          <w:rFonts w:ascii="宋体" w:hAnsi="宋体" w:eastAsia="宋体" w:cs="宋体"/>
          <w:color w:val="auto"/>
          <w:spacing w:val="-1"/>
          <w:sz w:val="21"/>
          <w:szCs w:val="21"/>
          <w:highlight w:val="none"/>
        </w:rPr>
        <w:t>日止。</w:t>
      </w:r>
    </w:p>
    <w:p w14:paraId="119A8A0D">
      <w:pPr>
        <w:spacing w:before="157" w:line="291" w:lineRule="auto"/>
        <w:ind w:firstLine="416" w:firstLineChars="20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四、开立人承诺，在收到受益人发来的书面付款通知后的七日内无条件支付，前述书面</w:t>
      </w:r>
      <w:r>
        <w:rPr>
          <w:rFonts w:ascii="宋体" w:hAnsi="宋体" w:eastAsia="宋体" w:cs="宋体"/>
          <w:color w:val="auto"/>
          <w:spacing w:val="-2"/>
          <w:sz w:val="21"/>
          <w:szCs w:val="21"/>
          <w:highlight w:val="none"/>
        </w:rPr>
        <w:t>付款通</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知即为付款要求之单据，且应满足以下要求：</w:t>
      </w:r>
    </w:p>
    <w:p w14:paraId="4A3AD329">
      <w:pPr>
        <w:spacing w:before="157" w:line="220"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（1）付款通知到达的日期在本保函的有效期内；</w:t>
      </w:r>
    </w:p>
    <w:p w14:paraId="298C8B43">
      <w:pPr>
        <w:spacing w:before="158"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（2）载明要求支付的金额；</w:t>
      </w:r>
    </w:p>
    <w:p w14:paraId="12AB31EC">
      <w:pPr>
        <w:spacing w:before="156"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（3）载明申请人违反合同义务的条款和内容；</w:t>
      </w:r>
    </w:p>
    <w:p w14:paraId="1A094FC2">
      <w:pPr>
        <w:spacing w:before="157" w:line="221"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（4）声明不存在合同文件约定或我国法律规定免除申请人或开立</w:t>
      </w:r>
      <w:r>
        <w:rPr>
          <w:rFonts w:ascii="宋体" w:hAnsi="宋体" w:eastAsia="宋体" w:cs="宋体"/>
          <w:color w:val="auto"/>
          <w:spacing w:val="-1"/>
          <w:sz w:val="21"/>
          <w:szCs w:val="21"/>
          <w:highlight w:val="none"/>
        </w:rPr>
        <w:t>人支付责任的情形；</w:t>
      </w:r>
    </w:p>
    <w:p w14:paraId="73DFC6A1">
      <w:pPr>
        <w:spacing w:before="159" w:line="220"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（5）付款通知应在本保函有效期内到达的地址是：</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2F403B3D">
      <w:pPr>
        <w:spacing w:before="158" w:line="220" w:lineRule="auto"/>
        <w:ind w:left="434"/>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受益人发出的书面付款通知应由其法定代表人（负责人）或授权代理人</w:t>
      </w:r>
      <w:r>
        <w:rPr>
          <w:rFonts w:ascii="宋体" w:hAnsi="宋体" w:eastAsia="宋体" w:cs="宋体"/>
          <w:color w:val="auto"/>
          <w:spacing w:val="-1"/>
          <w:sz w:val="21"/>
          <w:szCs w:val="21"/>
          <w:highlight w:val="none"/>
        </w:rPr>
        <w:t>签字并加盖公</w:t>
      </w:r>
    </w:p>
    <w:p w14:paraId="6EBC0B31">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章。</w:t>
      </w:r>
    </w:p>
    <w:p w14:paraId="6D7C55FC">
      <w:pPr>
        <w:spacing w:before="158" w:line="345" w:lineRule="auto"/>
        <w:ind w:left="14" w:firstLine="41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五、本保函项下的权利不得转让，不得设定担保。受益人未经我方书面同意转 让本保函或其项</w:t>
      </w:r>
      <w:r>
        <w:rPr>
          <w:rFonts w:ascii="宋体" w:hAnsi="宋体" w:eastAsia="宋体" w:cs="宋体"/>
          <w:color w:val="auto"/>
          <w:spacing w:val="-1"/>
          <w:sz w:val="21"/>
          <w:szCs w:val="21"/>
          <w:highlight w:val="none"/>
        </w:rPr>
        <w:t>下任何权利，对我方不发生法律效力。</w:t>
      </w:r>
    </w:p>
    <w:p w14:paraId="3AD89F2E">
      <w:pPr>
        <w:spacing w:before="31" w:line="291" w:lineRule="auto"/>
        <w:ind w:left="9" w:right="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六、与本保函有关的基础合同不成立、不生效、无效、被撤销、被解除</w:t>
      </w:r>
      <w:r>
        <w:rPr>
          <w:rFonts w:ascii="宋体" w:hAnsi="宋体" w:eastAsia="宋体" w:cs="宋体"/>
          <w:color w:val="auto"/>
          <w:sz w:val="21"/>
          <w:szCs w:val="21"/>
          <w:highlight w:val="none"/>
        </w:rPr>
        <w:t>，不影响本保函的独立</w:t>
      </w:r>
      <w:r>
        <w:rPr>
          <w:rFonts w:ascii="宋体" w:hAnsi="宋体" w:eastAsia="宋体" w:cs="宋体"/>
          <w:color w:val="auto"/>
          <w:spacing w:val="-8"/>
          <w:sz w:val="21"/>
          <w:szCs w:val="21"/>
          <w:highlight w:val="none"/>
        </w:rPr>
        <w:t>有效。</w:t>
      </w:r>
    </w:p>
    <w:p w14:paraId="06814CFE">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七、本保函项下的义务和责任均在保函有效期到期后自动消</w:t>
      </w:r>
      <w:r>
        <w:rPr>
          <w:rFonts w:ascii="宋体" w:hAnsi="宋体" w:eastAsia="宋体" w:cs="宋体"/>
          <w:color w:val="auto"/>
          <w:spacing w:val="-1"/>
          <w:sz w:val="21"/>
          <w:szCs w:val="21"/>
          <w:highlight w:val="none"/>
        </w:rPr>
        <w:t>灭。</w:t>
      </w:r>
    </w:p>
    <w:p w14:paraId="0A66E8B3">
      <w:pPr>
        <w:spacing w:before="158" w:line="289" w:lineRule="auto"/>
        <w:ind w:left="28" w:right="3" w:firstLine="40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八、本保函适用的法律为中华人民共和国法律，因本保函产生的</w:t>
      </w:r>
      <w:r>
        <w:rPr>
          <w:rFonts w:ascii="宋体" w:hAnsi="宋体" w:eastAsia="宋体" w:cs="宋体"/>
          <w:color w:val="auto"/>
          <w:spacing w:val="-1"/>
          <w:sz w:val="21"/>
          <w:szCs w:val="21"/>
          <w:highlight w:val="none"/>
        </w:rPr>
        <w:t>纠纷案件，</w:t>
      </w:r>
      <w:r>
        <w:rPr>
          <w:rFonts w:ascii="宋体" w:hAnsi="宋体" w:eastAsia="宋体" w:cs="宋体"/>
          <w:color w:val="auto"/>
          <w:spacing w:val="-63"/>
          <w:sz w:val="21"/>
          <w:szCs w:val="21"/>
          <w:highlight w:val="none"/>
        </w:rPr>
        <w:t xml:space="preserve"> </w:t>
      </w:r>
      <w:r>
        <w:rPr>
          <w:rFonts w:ascii="宋体" w:hAnsi="宋体" w:eastAsia="宋体" w:cs="宋体"/>
          <w:color w:val="auto"/>
          <w:spacing w:val="-1"/>
          <w:sz w:val="21"/>
          <w:szCs w:val="21"/>
          <w:highlight w:val="none"/>
        </w:rPr>
        <w:t>由受益人所在地人</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民法院管辖。</w:t>
      </w:r>
    </w:p>
    <w:p w14:paraId="2295926C">
      <w:pPr>
        <w:spacing w:before="160" w:line="220" w:lineRule="auto"/>
        <w:ind w:left="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九、本保函自我方法定代表人或授权代表签字并加盖公章之日起生效。</w:t>
      </w:r>
    </w:p>
    <w:p w14:paraId="49C302F4">
      <w:pPr>
        <w:spacing w:line="354" w:lineRule="auto"/>
        <w:outlineLvl w:val="9"/>
        <w:rPr>
          <w:rFonts w:hint="eastAsia" w:ascii="Arial" w:eastAsia="宋体"/>
          <w:color w:val="auto"/>
          <w:sz w:val="21"/>
          <w:highlight w:val="none"/>
          <w:lang w:eastAsia="zh-CN"/>
        </w:rPr>
      </w:pPr>
    </w:p>
    <w:p w14:paraId="70FD6B1A">
      <w:pPr>
        <w:spacing w:before="68" w:line="220" w:lineRule="auto"/>
        <w:ind w:left="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开 立 人</w:t>
      </w:r>
      <w:r>
        <w:rPr>
          <w:rFonts w:ascii="宋体" w:hAnsi="宋体" w:eastAsia="宋体" w:cs="宋体"/>
          <w:color w:val="auto"/>
          <w:spacing w:val="-28"/>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8"/>
          <w:sz w:val="21"/>
          <w:szCs w:val="21"/>
          <w:highlight w:val="none"/>
        </w:rPr>
        <w:t>（</w:t>
      </w:r>
      <w:r>
        <w:rPr>
          <w:rFonts w:ascii="宋体" w:hAnsi="宋体" w:eastAsia="宋体" w:cs="宋体"/>
          <w:color w:val="auto"/>
          <w:spacing w:val="5"/>
          <w:sz w:val="21"/>
          <w:szCs w:val="21"/>
          <w:highlight w:val="none"/>
        </w:rPr>
        <w:t>公章）</w:t>
      </w:r>
    </w:p>
    <w:p w14:paraId="728A4CBA">
      <w:pPr>
        <w:spacing w:before="157"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法定代表人（或授权代表</w:t>
      </w:r>
      <w:r>
        <w:rPr>
          <w:rFonts w:ascii="宋体" w:hAnsi="宋体" w:eastAsia="宋体" w:cs="宋体"/>
          <w:color w:val="auto"/>
          <w:spacing w:val="-33"/>
          <w:sz w:val="21"/>
          <w:szCs w:val="21"/>
          <w:highlight w:val="none"/>
        </w:rPr>
        <w:t>）：</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33"/>
          <w:sz w:val="21"/>
          <w:szCs w:val="21"/>
          <w:highlight w:val="none"/>
        </w:rPr>
        <w:t>（</w:t>
      </w:r>
      <w:r>
        <w:rPr>
          <w:rFonts w:ascii="宋体" w:hAnsi="宋体" w:eastAsia="宋体" w:cs="宋体"/>
          <w:color w:val="auto"/>
          <w:spacing w:val="-1"/>
          <w:sz w:val="21"/>
          <w:szCs w:val="21"/>
          <w:highlight w:val="none"/>
        </w:rPr>
        <w:t>签字）</w:t>
      </w:r>
    </w:p>
    <w:p w14:paraId="6DA199E4">
      <w:pPr>
        <w:spacing w:before="157" w:line="347" w:lineRule="auto"/>
        <w:ind w:left="76" w:right="3137" w:hanging="1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地</w:t>
      </w:r>
      <w:r>
        <w:rPr>
          <w:rFonts w:ascii="宋体" w:hAnsi="宋体" w:eastAsia="宋体" w:cs="宋体"/>
          <w:color w:val="auto"/>
          <w:spacing w:val="3"/>
          <w:sz w:val="21"/>
          <w:szCs w:val="21"/>
          <w:highlight w:val="none"/>
        </w:rPr>
        <w:t xml:space="preserve">    </w:t>
      </w:r>
      <w:r>
        <w:rPr>
          <w:rFonts w:ascii="宋体" w:hAnsi="宋体" w:eastAsia="宋体" w:cs="宋体"/>
          <w:color w:val="auto"/>
          <w:spacing w:val="-3"/>
          <w:sz w:val="21"/>
          <w:szCs w:val="21"/>
          <w:highlight w:val="none"/>
        </w:rPr>
        <w:t>址：</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5"/>
          <w:sz w:val="21"/>
          <w:szCs w:val="21"/>
          <w:highlight w:val="none"/>
        </w:rPr>
        <w:t>邮政编码：</w:t>
      </w:r>
      <w:r>
        <w:rPr>
          <w:rFonts w:ascii="宋体" w:hAnsi="宋体" w:eastAsia="宋体" w:cs="宋体"/>
          <w:color w:val="auto"/>
          <w:sz w:val="21"/>
          <w:szCs w:val="21"/>
          <w:highlight w:val="none"/>
          <w:u w:val="single" w:color="auto"/>
        </w:rPr>
        <w:t xml:space="preserve">                 </w:t>
      </w:r>
    </w:p>
    <w:p w14:paraId="641D2A95">
      <w:pPr>
        <w:spacing w:before="28" w:line="345" w:lineRule="auto"/>
        <w:ind w:left="59" w:right="5446" w:firstLine="26"/>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pacing w:val="-7"/>
          <w:sz w:val="21"/>
          <w:szCs w:val="21"/>
          <w:highlight w:val="none"/>
        </w:rPr>
        <w:t>话：</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传</w:t>
      </w:r>
      <w:r>
        <w:rPr>
          <w:rFonts w:ascii="宋体" w:hAnsi="宋体" w:eastAsia="宋体" w:cs="宋体"/>
          <w:color w:val="auto"/>
          <w:spacing w:val="2"/>
          <w:sz w:val="21"/>
          <w:szCs w:val="21"/>
          <w:highlight w:val="none"/>
        </w:rPr>
        <w:t xml:space="preserve">    </w:t>
      </w:r>
      <w:r>
        <w:rPr>
          <w:rFonts w:ascii="宋体" w:hAnsi="宋体" w:eastAsia="宋体" w:cs="宋体"/>
          <w:color w:val="auto"/>
          <w:spacing w:val="-6"/>
          <w:sz w:val="21"/>
          <w:szCs w:val="21"/>
          <w:highlight w:val="none"/>
        </w:rPr>
        <w:t>真：</w:t>
      </w:r>
      <w:r>
        <w:rPr>
          <w:rFonts w:ascii="宋体" w:hAnsi="宋体" w:eastAsia="宋体" w:cs="宋体"/>
          <w:color w:val="auto"/>
          <w:sz w:val="21"/>
          <w:szCs w:val="21"/>
          <w:highlight w:val="none"/>
          <w:u w:val="single" w:color="auto"/>
        </w:rPr>
        <w:t xml:space="preserve">                 </w:t>
      </w:r>
    </w:p>
    <w:p w14:paraId="560D5EAA">
      <w:pPr>
        <w:spacing w:before="31"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开立时间：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
          <w:sz w:val="21"/>
          <w:szCs w:val="21"/>
          <w:highlight w:val="none"/>
        </w:rPr>
        <w:t>日</w:t>
      </w:r>
    </w:p>
    <w:p w14:paraId="2BCF4CDE">
      <w:pPr>
        <w:spacing w:before="286" w:line="219" w:lineRule="auto"/>
        <w:ind w:left="32"/>
        <w:outlineLvl w:val="9"/>
        <w:rPr>
          <w:rFonts w:ascii="宋体" w:hAnsi="宋体" w:eastAsia="宋体" w:cs="宋体"/>
          <w:b/>
          <w:bCs/>
          <w:color w:val="auto"/>
          <w:spacing w:val="-7"/>
          <w:sz w:val="28"/>
          <w:szCs w:val="28"/>
          <w:highlight w:val="none"/>
        </w:rPr>
      </w:pPr>
    </w:p>
    <w:p w14:paraId="279C56F0">
      <w:pPr>
        <w:spacing w:before="286" w:line="219" w:lineRule="auto"/>
        <w:ind w:left="32"/>
        <w:outlineLvl w:val="9"/>
        <w:rPr>
          <w:rFonts w:ascii="宋体" w:hAnsi="宋体" w:eastAsia="宋体" w:cs="宋体"/>
          <w:b/>
          <w:bCs/>
          <w:color w:val="auto"/>
          <w:spacing w:val="-7"/>
          <w:sz w:val="28"/>
          <w:szCs w:val="28"/>
          <w:highlight w:val="none"/>
        </w:rPr>
      </w:pPr>
    </w:p>
    <w:p w14:paraId="19F07CC5">
      <w:pPr>
        <w:spacing w:before="286" w:line="219" w:lineRule="auto"/>
        <w:ind w:left="32"/>
        <w:outlineLvl w:val="9"/>
        <w:rPr>
          <w:rFonts w:ascii="宋体" w:hAnsi="宋体" w:eastAsia="宋体" w:cs="宋体"/>
          <w:b/>
          <w:bCs/>
          <w:color w:val="auto"/>
          <w:spacing w:val="-7"/>
          <w:sz w:val="28"/>
          <w:szCs w:val="28"/>
          <w:highlight w:val="none"/>
        </w:rPr>
      </w:pPr>
    </w:p>
    <w:p w14:paraId="4AF3081F">
      <w:pPr>
        <w:spacing w:before="286" w:line="219" w:lineRule="auto"/>
        <w:ind w:left="32"/>
        <w:outlineLvl w:val="9"/>
        <w:rPr>
          <w:rFonts w:ascii="宋体" w:hAnsi="宋体" w:eastAsia="宋体" w:cs="宋体"/>
          <w:b/>
          <w:bCs/>
          <w:color w:val="auto"/>
          <w:spacing w:val="-7"/>
          <w:sz w:val="28"/>
          <w:szCs w:val="28"/>
          <w:highlight w:val="none"/>
        </w:rPr>
      </w:pPr>
    </w:p>
    <w:p w14:paraId="19DADBD9">
      <w:pPr>
        <w:spacing w:before="286" w:line="219" w:lineRule="auto"/>
        <w:ind w:left="32"/>
        <w:outlineLvl w:val="9"/>
        <w:rPr>
          <w:rFonts w:ascii="宋体" w:hAnsi="宋体" w:eastAsia="宋体" w:cs="宋体"/>
          <w:b/>
          <w:bCs/>
          <w:color w:val="auto"/>
          <w:spacing w:val="-7"/>
          <w:sz w:val="28"/>
          <w:szCs w:val="28"/>
          <w:highlight w:val="none"/>
        </w:rPr>
      </w:pPr>
    </w:p>
    <w:p w14:paraId="3D27CEAF">
      <w:pPr>
        <w:spacing w:before="286" w:line="219" w:lineRule="auto"/>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附件六：预付款担保</w:t>
      </w:r>
    </w:p>
    <w:p w14:paraId="64BFD63E">
      <w:pPr>
        <w:spacing w:line="462" w:lineRule="auto"/>
        <w:outlineLvl w:val="9"/>
        <w:rPr>
          <w:rFonts w:ascii="Arial"/>
          <w:color w:val="auto"/>
          <w:sz w:val="21"/>
          <w:highlight w:val="none"/>
        </w:rPr>
      </w:pPr>
    </w:p>
    <w:p w14:paraId="6A7ED950">
      <w:pPr>
        <w:spacing w:before="91" w:line="219" w:lineRule="auto"/>
        <w:ind w:left="3282"/>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预付款保函示范文本</w:t>
      </w:r>
    </w:p>
    <w:p w14:paraId="65093A6B">
      <w:pPr>
        <w:spacing w:before="204" w:line="221" w:lineRule="auto"/>
        <w:ind w:left="7294"/>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编号：</w:t>
      </w:r>
    </w:p>
    <w:p w14:paraId="503DD44E">
      <w:pPr>
        <w:spacing w:line="246" w:lineRule="auto"/>
        <w:outlineLvl w:val="9"/>
        <w:rPr>
          <w:rFonts w:ascii="Arial"/>
          <w:color w:val="auto"/>
          <w:sz w:val="21"/>
          <w:highlight w:val="none"/>
        </w:rPr>
      </w:pPr>
    </w:p>
    <w:p w14:paraId="42B19D1C">
      <w:pPr>
        <w:spacing w:line="247" w:lineRule="auto"/>
        <w:outlineLvl w:val="9"/>
        <w:rPr>
          <w:rFonts w:ascii="Arial"/>
          <w:color w:val="auto"/>
          <w:sz w:val="21"/>
          <w:highlight w:val="none"/>
        </w:rPr>
      </w:pPr>
    </w:p>
    <w:p w14:paraId="2086673B">
      <w:pPr>
        <w:tabs>
          <w:tab w:val="left" w:pos="1471"/>
        </w:tabs>
        <w:spacing w:before="68" w:line="223"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3"/>
          <w:sz w:val="21"/>
          <w:szCs w:val="21"/>
          <w:highlight w:val="none"/>
        </w:rPr>
        <w:t>（受益人名称</w:t>
      </w:r>
      <w:r>
        <w:rPr>
          <w:rFonts w:ascii="宋体" w:hAnsi="宋体" w:eastAsia="宋体" w:cs="宋体"/>
          <w:color w:val="auto"/>
          <w:spacing w:val="-20"/>
          <w:sz w:val="21"/>
          <w:szCs w:val="21"/>
          <w:highlight w:val="none"/>
        </w:rPr>
        <w:t>）：</w:t>
      </w:r>
    </w:p>
    <w:p w14:paraId="7E580299">
      <w:pPr>
        <w:spacing w:before="153" w:line="354" w:lineRule="auto"/>
        <w:ind w:left="8" w:firstLine="422"/>
        <w:jc w:val="both"/>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鉴于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（以下简称“受益人</w:t>
      </w:r>
      <w:r>
        <w:rPr>
          <w:rFonts w:ascii="宋体" w:hAnsi="宋体" w:eastAsia="宋体" w:cs="宋体"/>
          <w:color w:val="auto"/>
          <w:spacing w:val="-59"/>
          <w:sz w:val="21"/>
          <w:szCs w:val="21"/>
          <w:highlight w:val="none"/>
        </w:rPr>
        <w:t xml:space="preserve"> </w:t>
      </w:r>
      <w:r>
        <w:rPr>
          <w:rFonts w:ascii="宋体" w:hAnsi="宋体" w:eastAsia="宋体" w:cs="宋体"/>
          <w:color w:val="auto"/>
          <w:spacing w:val="-8"/>
          <w:sz w:val="21"/>
          <w:szCs w:val="21"/>
          <w:highlight w:val="none"/>
        </w:rPr>
        <w:t>”）与</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8"/>
          <w:sz w:val="21"/>
          <w:szCs w:val="21"/>
          <w:highlight w:val="none"/>
        </w:rPr>
        <w:t>（以下简称“</w:t>
      </w:r>
      <w:r>
        <w:rPr>
          <w:rFonts w:ascii="宋体" w:hAnsi="宋体" w:eastAsia="宋体" w:cs="宋体"/>
          <w:color w:val="auto"/>
          <w:spacing w:val="-62"/>
          <w:sz w:val="21"/>
          <w:szCs w:val="21"/>
          <w:highlight w:val="none"/>
        </w:rPr>
        <w:t xml:space="preserve"> </w:t>
      </w:r>
      <w:r>
        <w:rPr>
          <w:rFonts w:ascii="宋体" w:hAnsi="宋体" w:eastAsia="宋体" w:cs="宋体"/>
          <w:color w:val="auto"/>
          <w:spacing w:val="-8"/>
          <w:sz w:val="21"/>
          <w:szCs w:val="21"/>
          <w:highlight w:val="none"/>
        </w:rPr>
        <w:t>申请人”）于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51"/>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8"/>
          <w:sz w:val="21"/>
          <w:szCs w:val="21"/>
          <w:highlight w:val="none"/>
        </w:rPr>
        <w:t>日</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就</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（标段编号）的</w:t>
      </w:r>
      <w:r>
        <w:rPr>
          <w:rFonts w:ascii="宋体" w:hAnsi="宋体" w:eastAsia="宋体" w:cs="宋体"/>
          <w:color w:val="auto"/>
          <w:spacing w:val="-104"/>
          <w:sz w:val="21"/>
          <w:szCs w:val="21"/>
          <w:highlight w:val="none"/>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（标段名称）有关事项协商一致共同签订</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（以下</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简称“基础合同”</w:t>
      </w:r>
      <w:r>
        <w:rPr>
          <w:rFonts w:ascii="宋体" w:hAnsi="宋体" w:eastAsia="宋体" w:cs="宋体"/>
          <w:color w:val="auto"/>
          <w:spacing w:val="-37"/>
          <w:w w:val="67"/>
          <w:sz w:val="21"/>
          <w:szCs w:val="21"/>
          <w:highlight w:val="none"/>
        </w:rPr>
        <w:t>），</w:t>
      </w:r>
      <w:r>
        <w:rPr>
          <w:rFonts w:ascii="宋体" w:hAnsi="宋体" w:eastAsia="宋体" w:cs="宋体"/>
          <w:color w:val="auto"/>
          <w:spacing w:val="1"/>
          <w:sz w:val="21"/>
          <w:szCs w:val="21"/>
          <w:highlight w:val="none"/>
        </w:rPr>
        <w:t>开立人根据主合同了解到申请人</w:t>
      </w:r>
      <w:r>
        <w:rPr>
          <w:rFonts w:ascii="宋体" w:hAnsi="宋体" w:eastAsia="宋体" w:cs="宋体"/>
          <w:color w:val="auto"/>
          <w:sz w:val="21"/>
          <w:szCs w:val="21"/>
          <w:highlight w:val="none"/>
        </w:rPr>
        <w:t>为主合同项下之承包人，受益人为主合同项下</w:t>
      </w:r>
      <w:r>
        <w:rPr>
          <w:rFonts w:ascii="宋体" w:hAnsi="宋体" w:eastAsia="宋体" w:cs="宋体"/>
          <w:color w:val="auto"/>
          <w:spacing w:val="1"/>
          <w:sz w:val="21"/>
          <w:szCs w:val="21"/>
          <w:highlight w:val="none"/>
        </w:rPr>
        <w:t>之发包人，基于申请人的请求，开立人同意就申请人按照合同约定正确和合理地</w:t>
      </w:r>
      <w:r>
        <w:rPr>
          <w:rFonts w:ascii="宋体" w:hAnsi="宋体" w:eastAsia="宋体" w:cs="宋体"/>
          <w:color w:val="auto"/>
          <w:sz w:val="21"/>
          <w:szCs w:val="21"/>
          <w:highlight w:val="none"/>
        </w:rPr>
        <w:t>为合同目的使用预</w:t>
      </w:r>
      <w:r>
        <w:rPr>
          <w:rFonts w:ascii="宋体" w:hAnsi="宋体" w:eastAsia="宋体" w:cs="宋体"/>
          <w:color w:val="auto"/>
          <w:spacing w:val="-5"/>
          <w:sz w:val="21"/>
          <w:szCs w:val="21"/>
          <w:highlight w:val="none"/>
        </w:rPr>
        <w:t>付款，向受益人提供不可撤销、不可转让的见索即付独立保函（以下简称“本保函”）。</w:t>
      </w:r>
    </w:p>
    <w:p w14:paraId="1BE18EFB">
      <w:pPr>
        <w:spacing w:before="30" w:line="291" w:lineRule="auto"/>
        <w:ind w:left="9" w:right="12" w:firstLine="42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一、本保函担保范围：申请人未按照合同约定</w:t>
      </w:r>
      <w:r>
        <w:rPr>
          <w:rFonts w:ascii="宋体" w:hAnsi="宋体" w:eastAsia="宋体" w:cs="宋体"/>
          <w:color w:val="auto"/>
          <w:sz w:val="21"/>
          <w:szCs w:val="21"/>
          <w:highlight w:val="none"/>
        </w:rPr>
        <w:t>正确和合理地为合同目的使用预付款，应当向受 益人承担的违约责任和赔偿因此造成的损失、利息</w:t>
      </w:r>
      <w:r>
        <w:rPr>
          <w:rFonts w:ascii="宋体" w:hAnsi="宋体" w:eastAsia="宋体" w:cs="宋体"/>
          <w:color w:val="auto"/>
          <w:spacing w:val="-1"/>
          <w:sz w:val="21"/>
          <w:szCs w:val="21"/>
          <w:highlight w:val="none"/>
        </w:rPr>
        <w:t>、律师费、诉讼费用等实现债权的费用。</w:t>
      </w:r>
    </w:p>
    <w:p w14:paraId="18D24F1D">
      <w:pPr>
        <w:spacing w:before="157" w:line="220" w:lineRule="auto"/>
        <w:ind w:left="43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二、本保函担保金额最高不超过人民币（大写）</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元(¥</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72"/>
          <w:sz w:val="21"/>
          <w:szCs w:val="21"/>
          <w:highlight w:val="none"/>
        </w:rPr>
        <w:t xml:space="preserve"> </w:t>
      </w:r>
      <w:r>
        <w:rPr>
          <w:rFonts w:ascii="宋体" w:hAnsi="宋体" w:eastAsia="宋体" w:cs="宋体"/>
          <w:color w:val="auto"/>
          <w:spacing w:val="2"/>
          <w:sz w:val="21"/>
          <w:szCs w:val="21"/>
          <w:highlight w:val="none"/>
        </w:rPr>
        <w:t>)。</w:t>
      </w:r>
    </w:p>
    <w:p w14:paraId="2065B0A2">
      <w:pPr>
        <w:spacing w:before="158" w:line="220" w:lineRule="auto"/>
        <w:ind w:left="42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三、本保函有效期自开立之日起至发包人全额扣回预付款之日止。</w:t>
      </w:r>
    </w:p>
    <w:p w14:paraId="5BACCE35">
      <w:pPr>
        <w:spacing w:before="157" w:line="291" w:lineRule="auto"/>
        <w:ind w:left="12" w:firstLine="49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四、开立人承诺，在收到受益人发来的书面付款通知后的七日内无条件支付，前述书面</w:t>
      </w:r>
      <w:r>
        <w:rPr>
          <w:rFonts w:ascii="宋体" w:hAnsi="宋体" w:eastAsia="宋体" w:cs="宋体"/>
          <w:color w:val="auto"/>
          <w:spacing w:val="-2"/>
          <w:sz w:val="21"/>
          <w:szCs w:val="21"/>
          <w:highlight w:val="none"/>
        </w:rPr>
        <w:t>付款通</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知即为付款要求之单据，且应满足以下要求：</w:t>
      </w:r>
    </w:p>
    <w:p w14:paraId="40BE4617">
      <w:pPr>
        <w:spacing w:before="157" w:line="220"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（1）付款通知到达的日期在本保函的有效期内；</w:t>
      </w:r>
    </w:p>
    <w:p w14:paraId="4D1842D1">
      <w:pPr>
        <w:spacing w:before="158"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（2）载明要求支付的金额；</w:t>
      </w:r>
    </w:p>
    <w:p w14:paraId="1EDBD62F">
      <w:pPr>
        <w:spacing w:before="156"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（3）载明申请人违反合同义务的条款和内容；</w:t>
      </w:r>
    </w:p>
    <w:p w14:paraId="011C6A21">
      <w:pPr>
        <w:spacing w:before="157" w:line="221"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（4）声明不存在合同文件约定或我国法律规定免除申请人或开立</w:t>
      </w:r>
      <w:r>
        <w:rPr>
          <w:rFonts w:ascii="宋体" w:hAnsi="宋体" w:eastAsia="宋体" w:cs="宋体"/>
          <w:color w:val="auto"/>
          <w:spacing w:val="-1"/>
          <w:sz w:val="21"/>
          <w:szCs w:val="21"/>
          <w:highlight w:val="none"/>
        </w:rPr>
        <w:t>人支付责任的情形；</w:t>
      </w:r>
    </w:p>
    <w:p w14:paraId="60EB4B94">
      <w:pPr>
        <w:spacing w:before="159" w:line="220"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（5）付款通知应在本保函有效期内到达的地址是：</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59984C47">
      <w:pPr>
        <w:spacing w:before="158" w:line="220" w:lineRule="auto"/>
        <w:ind w:left="434"/>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受益人发出的书面付款通知应由其法定代表人（负责人）或授权代理人</w:t>
      </w:r>
      <w:r>
        <w:rPr>
          <w:rFonts w:ascii="宋体" w:hAnsi="宋体" w:eastAsia="宋体" w:cs="宋体"/>
          <w:color w:val="auto"/>
          <w:spacing w:val="-1"/>
          <w:sz w:val="21"/>
          <w:szCs w:val="21"/>
          <w:highlight w:val="none"/>
        </w:rPr>
        <w:t>签字并加盖公</w:t>
      </w:r>
    </w:p>
    <w:p w14:paraId="718A02F1">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章。</w:t>
      </w:r>
    </w:p>
    <w:p w14:paraId="6BB03BD7">
      <w:pPr>
        <w:spacing w:before="158" w:line="345" w:lineRule="auto"/>
        <w:ind w:left="11"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五、本保函项下的权利不得转让，不得设定担保。受益人未经开立人</w:t>
      </w:r>
      <w:r>
        <w:rPr>
          <w:rFonts w:ascii="宋体" w:hAnsi="宋体" w:eastAsia="宋体" w:cs="宋体"/>
          <w:color w:val="auto"/>
          <w:sz w:val="21"/>
          <w:szCs w:val="21"/>
          <w:highlight w:val="none"/>
        </w:rPr>
        <w:t>书面同意转让本保函或其</w:t>
      </w:r>
      <w:r>
        <w:rPr>
          <w:rFonts w:ascii="宋体" w:hAnsi="宋体" w:eastAsia="宋体" w:cs="宋体"/>
          <w:color w:val="auto"/>
          <w:spacing w:val="-1"/>
          <w:sz w:val="21"/>
          <w:szCs w:val="21"/>
          <w:highlight w:val="none"/>
        </w:rPr>
        <w:t>项下任何权利，对开立人不发生法律效力。</w:t>
      </w:r>
    </w:p>
    <w:p w14:paraId="0D5ED433">
      <w:pPr>
        <w:spacing w:before="31" w:line="291" w:lineRule="auto"/>
        <w:ind w:left="13"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六、本保函项下的基础交易不成立、不生效、无效、被撤销、被解除，</w:t>
      </w:r>
      <w:r>
        <w:rPr>
          <w:rFonts w:ascii="宋体" w:hAnsi="宋体" w:eastAsia="宋体" w:cs="宋体"/>
          <w:color w:val="auto"/>
          <w:sz w:val="21"/>
          <w:szCs w:val="21"/>
          <w:highlight w:val="none"/>
        </w:rPr>
        <w:t>不影响本保函的独立有</w:t>
      </w:r>
      <w:r>
        <w:rPr>
          <w:rFonts w:ascii="宋体" w:hAnsi="宋体" w:eastAsia="宋体" w:cs="宋体"/>
          <w:color w:val="auto"/>
          <w:spacing w:val="-11"/>
          <w:sz w:val="21"/>
          <w:szCs w:val="21"/>
          <w:highlight w:val="none"/>
        </w:rPr>
        <w:t>效。</w:t>
      </w:r>
    </w:p>
    <w:p w14:paraId="623EE346">
      <w:pPr>
        <w:spacing w:before="157" w:line="220"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七、本保函项下的义务和责任均在保函有效期到期后自动消</w:t>
      </w:r>
      <w:r>
        <w:rPr>
          <w:rFonts w:ascii="宋体" w:hAnsi="宋体" w:eastAsia="宋体" w:cs="宋体"/>
          <w:color w:val="auto"/>
          <w:spacing w:val="-1"/>
          <w:sz w:val="21"/>
          <w:szCs w:val="21"/>
          <w:highlight w:val="none"/>
        </w:rPr>
        <w:t>灭。</w:t>
      </w:r>
    </w:p>
    <w:p w14:paraId="4B75EED4">
      <w:pPr>
        <w:spacing w:before="158" w:line="289" w:lineRule="auto"/>
        <w:ind w:left="28" w:right="3" w:firstLine="40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八、本保函适用的法律为中华人民共和国法律，因本保函产生的</w:t>
      </w:r>
      <w:r>
        <w:rPr>
          <w:rFonts w:ascii="宋体" w:hAnsi="宋体" w:eastAsia="宋体" w:cs="宋体"/>
          <w:color w:val="auto"/>
          <w:spacing w:val="-1"/>
          <w:sz w:val="21"/>
          <w:szCs w:val="21"/>
          <w:highlight w:val="none"/>
        </w:rPr>
        <w:t>纠纷案件，</w:t>
      </w:r>
      <w:r>
        <w:rPr>
          <w:rFonts w:ascii="宋体" w:hAnsi="宋体" w:eastAsia="宋体" w:cs="宋体"/>
          <w:color w:val="auto"/>
          <w:spacing w:val="-63"/>
          <w:sz w:val="21"/>
          <w:szCs w:val="21"/>
          <w:highlight w:val="none"/>
        </w:rPr>
        <w:t xml:space="preserve"> </w:t>
      </w:r>
      <w:r>
        <w:rPr>
          <w:rFonts w:ascii="宋体" w:hAnsi="宋体" w:eastAsia="宋体" w:cs="宋体"/>
          <w:color w:val="auto"/>
          <w:spacing w:val="-1"/>
          <w:sz w:val="21"/>
          <w:szCs w:val="21"/>
          <w:highlight w:val="none"/>
        </w:rPr>
        <w:t>由受益人所在地人</w:t>
      </w:r>
      <w:r>
        <w:rPr>
          <w:rFonts w:ascii="宋体" w:hAnsi="宋体" w:eastAsia="宋体" w:cs="宋体"/>
          <w:color w:val="auto"/>
          <w:spacing w:val="-5"/>
          <w:sz w:val="21"/>
          <w:szCs w:val="21"/>
          <w:highlight w:val="none"/>
        </w:rPr>
        <w:t>民法院管辖。</w:t>
      </w:r>
    </w:p>
    <w:p w14:paraId="759AC651">
      <w:pPr>
        <w:spacing w:before="160" w:line="220" w:lineRule="auto"/>
        <w:ind w:left="43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九、本保函自我方法定代表人或授权代表签字并加盖公章之日起生效。</w:t>
      </w:r>
    </w:p>
    <w:p w14:paraId="264E3FFF">
      <w:pPr>
        <w:spacing w:line="354" w:lineRule="auto"/>
        <w:outlineLvl w:val="9"/>
        <w:rPr>
          <w:rFonts w:hint="eastAsia" w:ascii="Arial" w:eastAsia="宋体"/>
          <w:color w:val="auto"/>
          <w:sz w:val="21"/>
          <w:highlight w:val="none"/>
          <w:lang w:eastAsia="zh-CN"/>
        </w:rPr>
      </w:pPr>
    </w:p>
    <w:p w14:paraId="568F5790">
      <w:pPr>
        <w:spacing w:before="68" w:line="220" w:lineRule="auto"/>
        <w:ind w:left="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开 立 人</w:t>
      </w:r>
      <w:r>
        <w:rPr>
          <w:rFonts w:ascii="宋体" w:hAnsi="宋体" w:eastAsia="宋体" w:cs="宋体"/>
          <w:color w:val="auto"/>
          <w:spacing w:val="-28"/>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8"/>
          <w:sz w:val="21"/>
          <w:szCs w:val="21"/>
          <w:highlight w:val="none"/>
        </w:rPr>
        <w:t>（</w:t>
      </w:r>
      <w:r>
        <w:rPr>
          <w:rFonts w:ascii="宋体" w:hAnsi="宋体" w:eastAsia="宋体" w:cs="宋体"/>
          <w:color w:val="auto"/>
          <w:spacing w:val="5"/>
          <w:sz w:val="21"/>
          <w:szCs w:val="21"/>
          <w:highlight w:val="none"/>
        </w:rPr>
        <w:t>公章）</w:t>
      </w:r>
    </w:p>
    <w:p w14:paraId="37853C15">
      <w:pPr>
        <w:spacing w:before="157"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法定代表人（或授权代表</w:t>
      </w:r>
      <w:r>
        <w:rPr>
          <w:rFonts w:ascii="宋体" w:hAnsi="宋体" w:eastAsia="宋体" w:cs="宋体"/>
          <w:color w:val="auto"/>
          <w:spacing w:val="-33"/>
          <w:sz w:val="21"/>
          <w:szCs w:val="21"/>
          <w:highlight w:val="none"/>
        </w:rPr>
        <w:t>）：</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33"/>
          <w:sz w:val="21"/>
          <w:szCs w:val="21"/>
          <w:highlight w:val="none"/>
        </w:rPr>
        <w:t>（</w:t>
      </w:r>
      <w:r>
        <w:rPr>
          <w:rFonts w:ascii="宋体" w:hAnsi="宋体" w:eastAsia="宋体" w:cs="宋体"/>
          <w:color w:val="auto"/>
          <w:spacing w:val="-1"/>
          <w:sz w:val="21"/>
          <w:szCs w:val="21"/>
          <w:highlight w:val="none"/>
        </w:rPr>
        <w:t>签字）</w:t>
      </w:r>
    </w:p>
    <w:p w14:paraId="7B98BD8B">
      <w:pPr>
        <w:spacing w:before="157" w:line="347" w:lineRule="auto"/>
        <w:ind w:left="76" w:right="3137" w:hanging="15"/>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地</w:t>
      </w:r>
      <w:r>
        <w:rPr>
          <w:rFonts w:ascii="宋体" w:hAnsi="宋体" w:eastAsia="宋体" w:cs="宋体"/>
          <w:color w:val="auto"/>
          <w:spacing w:val="3"/>
          <w:sz w:val="21"/>
          <w:szCs w:val="21"/>
          <w:highlight w:val="none"/>
        </w:rPr>
        <w:t xml:space="preserve">    </w:t>
      </w:r>
      <w:r>
        <w:rPr>
          <w:rFonts w:ascii="宋体" w:hAnsi="宋体" w:eastAsia="宋体" w:cs="宋体"/>
          <w:color w:val="auto"/>
          <w:spacing w:val="-3"/>
          <w:sz w:val="21"/>
          <w:szCs w:val="21"/>
          <w:highlight w:val="none"/>
        </w:rPr>
        <w:t>址：</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5"/>
          <w:sz w:val="21"/>
          <w:szCs w:val="21"/>
          <w:highlight w:val="none"/>
        </w:rPr>
        <w:t>邮政编码：</w:t>
      </w:r>
      <w:r>
        <w:rPr>
          <w:rFonts w:ascii="宋体" w:hAnsi="宋体" w:eastAsia="宋体" w:cs="宋体"/>
          <w:color w:val="auto"/>
          <w:sz w:val="21"/>
          <w:szCs w:val="21"/>
          <w:highlight w:val="none"/>
          <w:u w:val="single" w:color="auto"/>
        </w:rPr>
        <w:t xml:space="preserve">                 </w:t>
      </w:r>
    </w:p>
    <w:p w14:paraId="07BEBF08">
      <w:pPr>
        <w:spacing w:before="28" w:line="345" w:lineRule="auto"/>
        <w:ind w:left="59" w:right="5446" w:firstLine="26"/>
        <w:outlineLvl w:val="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pacing w:val="-7"/>
          <w:sz w:val="21"/>
          <w:szCs w:val="21"/>
          <w:highlight w:val="none"/>
        </w:rPr>
        <w:t>话：</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传</w:t>
      </w:r>
      <w:r>
        <w:rPr>
          <w:rFonts w:ascii="宋体" w:hAnsi="宋体" w:eastAsia="宋体" w:cs="宋体"/>
          <w:color w:val="auto"/>
          <w:spacing w:val="2"/>
          <w:sz w:val="21"/>
          <w:szCs w:val="21"/>
          <w:highlight w:val="none"/>
        </w:rPr>
        <w:t xml:space="preserve">    </w:t>
      </w:r>
      <w:r>
        <w:rPr>
          <w:rFonts w:ascii="宋体" w:hAnsi="宋体" w:eastAsia="宋体" w:cs="宋体"/>
          <w:color w:val="auto"/>
          <w:spacing w:val="-6"/>
          <w:sz w:val="21"/>
          <w:szCs w:val="21"/>
          <w:highlight w:val="none"/>
        </w:rPr>
        <w:t>真：</w:t>
      </w:r>
      <w:r>
        <w:rPr>
          <w:rFonts w:ascii="宋体" w:hAnsi="宋体" w:eastAsia="宋体" w:cs="宋体"/>
          <w:color w:val="auto"/>
          <w:sz w:val="21"/>
          <w:szCs w:val="21"/>
          <w:highlight w:val="none"/>
          <w:u w:val="single" w:color="auto"/>
        </w:rPr>
        <w:t xml:space="preserve">                 </w:t>
      </w:r>
    </w:p>
    <w:p w14:paraId="33735286">
      <w:pPr>
        <w:spacing w:before="31"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开立时间：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
          <w:sz w:val="21"/>
          <w:szCs w:val="21"/>
          <w:highlight w:val="none"/>
        </w:rPr>
        <w:t>日</w:t>
      </w:r>
    </w:p>
    <w:p w14:paraId="63F90CC6">
      <w:pPr>
        <w:spacing w:before="286" w:line="219" w:lineRule="auto"/>
        <w:ind w:left="32"/>
        <w:outlineLvl w:val="9"/>
        <w:rPr>
          <w:rFonts w:ascii="宋体" w:hAnsi="宋体" w:eastAsia="宋体" w:cs="宋体"/>
          <w:b/>
          <w:bCs/>
          <w:color w:val="auto"/>
          <w:spacing w:val="-8"/>
          <w:sz w:val="28"/>
          <w:szCs w:val="28"/>
          <w:highlight w:val="none"/>
        </w:rPr>
      </w:pPr>
    </w:p>
    <w:p w14:paraId="4E545088">
      <w:pPr>
        <w:spacing w:before="286" w:line="219" w:lineRule="auto"/>
        <w:ind w:left="32"/>
        <w:outlineLvl w:val="9"/>
        <w:rPr>
          <w:rFonts w:ascii="宋体" w:hAnsi="宋体" w:eastAsia="宋体" w:cs="宋体"/>
          <w:b/>
          <w:bCs/>
          <w:color w:val="auto"/>
          <w:spacing w:val="-8"/>
          <w:sz w:val="28"/>
          <w:szCs w:val="28"/>
          <w:highlight w:val="none"/>
        </w:rPr>
      </w:pPr>
    </w:p>
    <w:p w14:paraId="0665A0F3">
      <w:pPr>
        <w:spacing w:before="286" w:line="219" w:lineRule="auto"/>
        <w:ind w:left="32"/>
        <w:outlineLvl w:val="9"/>
        <w:rPr>
          <w:rFonts w:ascii="宋体" w:hAnsi="宋体" w:eastAsia="宋体" w:cs="宋体"/>
          <w:b/>
          <w:bCs/>
          <w:color w:val="auto"/>
          <w:spacing w:val="-8"/>
          <w:sz w:val="28"/>
          <w:szCs w:val="28"/>
          <w:highlight w:val="none"/>
        </w:rPr>
      </w:pPr>
    </w:p>
    <w:p w14:paraId="7E421ABE">
      <w:pPr>
        <w:spacing w:before="286" w:line="219" w:lineRule="auto"/>
        <w:ind w:left="32"/>
        <w:outlineLvl w:val="9"/>
        <w:rPr>
          <w:rFonts w:ascii="宋体" w:hAnsi="宋体" w:eastAsia="宋体" w:cs="宋体"/>
          <w:b/>
          <w:bCs/>
          <w:color w:val="auto"/>
          <w:spacing w:val="-8"/>
          <w:sz w:val="28"/>
          <w:szCs w:val="28"/>
          <w:highlight w:val="none"/>
        </w:rPr>
      </w:pPr>
    </w:p>
    <w:p w14:paraId="5881DFCD">
      <w:pPr>
        <w:spacing w:before="286" w:line="219" w:lineRule="auto"/>
        <w:ind w:left="32"/>
        <w:outlineLvl w:val="9"/>
        <w:rPr>
          <w:rFonts w:ascii="宋体" w:hAnsi="宋体" w:eastAsia="宋体" w:cs="宋体"/>
          <w:b/>
          <w:bCs/>
          <w:color w:val="auto"/>
          <w:spacing w:val="-8"/>
          <w:sz w:val="28"/>
          <w:szCs w:val="28"/>
          <w:highlight w:val="none"/>
        </w:rPr>
      </w:pPr>
    </w:p>
    <w:p w14:paraId="51FC3D03">
      <w:pPr>
        <w:spacing w:before="286" w:line="219" w:lineRule="auto"/>
        <w:ind w:left="32"/>
        <w:outlineLvl w:val="9"/>
        <w:rPr>
          <w:rFonts w:ascii="宋体" w:hAnsi="宋体" w:eastAsia="宋体" w:cs="宋体"/>
          <w:b/>
          <w:bCs/>
          <w:color w:val="auto"/>
          <w:spacing w:val="-8"/>
          <w:sz w:val="28"/>
          <w:szCs w:val="28"/>
          <w:highlight w:val="none"/>
        </w:rPr>
      </w:pPr>
    </w:p>
    <w:p w14:paraId="13ED9C38">
      <w:pPr>
        <w:spacing w:before="286" w:line="219" w:lineRule="auto"/>
        <w:ind w:left="32"/>
        <w:outlineLvl w:val="9"/>
        <w:rPr>
          <w:rFonts w:ascii="宋体" w:hAnsi="宋体" w:eastAsia="宋体" w:cs="宋体"/>
          <w:b/>
          <w:bCs/>
          <w:color w:val="auto"/>
          <w:spacing w:val="-8"/>
          <w:sz w:val="28"/>
          <w:szCs w:val="28"/>
          <w:highlight w:val="none"/>
        </w:rPr>
      </w:pPr>
    </w:p>
    <w:p w14:paraId="2F8279C0">
      <w:pPr>
        <w:spacing w:before="286" w:line="219" w:lineRule="auto"/>
        <w:ind w:left="32"/>
        <w:outlineLvl w:val="9"/>
        <w:rPr>
          <w:rFonts w:ascii="宋体" w:hAnsi="宋体" w:eastAsia="宋体" w:cs="宋体"/>
          <w:b/>
          <w:bCs/>
          <w:color w:val="auto"/>
          <w:spacing w:val="-8"/>
          <w:sz w:val="28"/>
          <w:szCs w:val="28"/>
          <w:highlight w:val="none"/>
        </w:rPr>
      </w:pPr>
    </w:p>
    <w:p w14:paraId="74CAACF1">
      <w:pPr>
        <w:spacing w:before="286" w:line="219" w:lineRule="auto"/>
        <w:ind w:left="32"/>
        <w:outlineLvl w:val="9"/>
        <w:rPr>
          <w:rFonts w:ascii="宋体" w:hAnsi="宋体" w:eastAsia="宋体" w:cs="宋体"/>
          <w:b/>
          <w:bCs/>
          <w:color w:val="auto"/>
          <w:spacing w:val="-8"/>
          <w:sz w:val="28"/>
          <w:szCs w:val="28"/>
          <w:highlight w:val="none"/>
        </w:rPr>
      </w:pPr>
    </w:p>
    <w:p w14:paraId="04AA2D51">
      <w:pPr>
        <w:spacing w:before="286" w:line="219" w:lineRule="auto"/>
        <w:ind w:left="32"/>
        <w:outlineLvl w:val="9"/>
        <w:rPr>
          <w:rFonts w:ascii="宋体" w:hAnsi="宋体" w:eastAsia="宋体" w:cs="宋体"/>
          <w:b/>
          <w:bCs/>
          <w:color w:val="auto"/>
          <w:spacing w:val="-8"/>
          <w:sz w:val="28"/>
          <w:szCs w:val="28"/>
          <w:highlight w:val="none"/>
        </w:rPr>
      </w:pPr>
    </w:p>
    <w:p w14:paraId="79140A54">
      <w:pPr>
        <w:spacing w:before="286" w:line="219" w:lineRule="auto"/>
        <w:ind w:left="32"/>
        <w:outlineLvl w:val="9"/>
        <w:rPr>
          <w:rFonts w:ascii="宋体" w:hAnsi="宋体" w:eastAsia="宋体" w:cs="宋体"/>
          <w:b/>
          <w:bCs/>
          <w:color w:val="auto"/>
          <w:spacing w:val="-8"/>
          <w:sz w:val="28"/>
          <w:szCs w:val="28"/>
          <w:highlight w:val="none"/>
        </w:rPr>
      </w:pPr>
    </w:p>
    <w:p w14:paraId="5B71E191">
      <w:pPr>
        <w:spacing w:before="286" w:line="219" w:lineRule="auto"/>
        <w:ind w:left="32"/>
        <w:outlineLvl w:val="9"/>
        <w:rPr>
          <w:rFonts w:ascii="宋体" w:hAnsi="宋体" w:eastAsia="宋体" w:cs="宋体"/>
          <w:b/>
          <w:bCs/>
          <w:color w:val="auto"/>
          <w:spacing w:val="-8"/>
          <w:sz w:val="28"/>
          <w:szCs w:val="28"/>
          <w:highlight w:val="none"/>
        </w:rPr>
      </w:pPr>
    </w:p>
    <w:p w14:paraId="6FC4238F">
      <w:pPr>
        <w:spacing w:before="286" w:line="219" w:lineRule="auto"/>
        <w:ind w:left="32"/>
        <w:outlineLvl w:val="9"/>
        <w:rPr>
          <w:rFonts w:ascii="宋体" w:hAnsi="宋体" w:eastAsia="宋体" w:cs="宋体"/>
          <w:b/>
          <w:bCs/>
          <w:color w:val="auto"/>
          <w:spacing w:val="-8"/>
          <w:sz w:val="28"/>
          <w:szCs w:val="28"/>
          <w:highlight w:val="none"/>
        </w:rPr>
      </w:pPr>
    </w:p>
    <w:p w14:paraId="74583917">
      <w:pPr>
        <w:spacing w:before="286" w:line="219" w:lineRule="auto"/>
        <w:ind w:left="32"/>
        <w:outlineLvl w:val="9"/>
        <w:rPr>
          <w:rFonts w:ascii="宋体" w:hAnsi="宋体" w:eastAsia="宋体" w:cs="宋体"/>
          <w:b/>
          <w:bCs/>
          <w:color w:val="auto"/>
          <w:spacing w:val="-8"/>
          <w:sz w:val="28"/>
          <w:szCs w:val="28"/>
          <w:highlight w:val="none"/>
        </w:rPr>
      </w:pPr>
    </w:p>
    <w:p w14:paraId="13B3E036">
      <w:pPr>
        <w:spacing w:before="286" w:line="219" w:lineRule="auto"/>
        <w:ind w:left="32"/>
        <w:outlineLvl w:val="9"/>
        <w:rPr>
          <w:rFonts w:ascii="宋体" w:hAnsi="宋体" w:eastAsia="宋体" w:cs="宋体"/>
          <w:b/>
          <w:bCs/>
          <w:color w:val="auto"/>
          <w:spacing w:val="-8"/>
          <w:sz w:val="28"/>
          <w:szCs w:val="28"/>
          <w:highlight w:val="none"/>
        </w:rPr>
      </w:pPr>
    </w:p>
    <w:p w14:paraId="7AF66C14">
      <w:pPr>
        <w:spacing w:before="286" w:line="219" w:lineRule="auto"/>
        <w:ind w:left="32"/>
        <w:outlineLvl w:val="9"/>
        <w:rPr>
          <w:rFonts w:ascii="宋体" w:hAnsi="宋体" w:eastAsia="宋体" w:cs="宋体"/>
          <w:b/>
          <w:bCs/>
          <w:color w:val="auto"/>
          <w:spacing w:val="-8"/>
          <w:sz w:val="28"/>
          <w:szCs w:val="28"/>
          <w:highlight w:val="none"/>
        </w:rPr>
      </w:pPr>
    </w:p>
    <w:p w14:paraId="5D9B6994">
      <w:pPr>
        <w:spacing w:before="286" w:line="219" w:lineRule="auto"/>
        <w:ind w:left="32"/>
        <w:outlineLvl w:val="9"/>
        <w:rPr>
          <w:rFonts w:ascii="宋体" w:hAnsi="宋体" w:eastAsia="宋体" w:cs="宋体"/>
          <w:b/>
          <w:bCs/>
          <w:color w:val="auto"/>
          <w:spacing w:val="-8"/>
          <w:sz w:val="28"/>
          <w:szCs w:val="28"/>
          <w:highlight w:val="none"/>
        </w:rPr>
      </w:pPr>
    </w:p>
    <w:p w14:paraId="5BD3D054">
      <w:pPr>
        <w:spacing w:before="286" w:line="219" w:lineRule="auto"/>
        <w:ind w:left="32"/>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附件七：支付担保</w:t>
      </w:r>
    </w:p>
    <w:p w14:paraId="3486A7BD">
      <w:pPr>
        <w:spacing w:line="313" w:lineRule="auto"/>
        <w:outlineLvl w:val="9"/>
        <w:rPr>
          <w:rFonts w:ascii="Arial"/>
          <w:color w:val="auto"/>
          <w:sz w:val="21"/>
          <w:highlight w:val="none"/>
        </w:rPr>
      </w:pPr>
    </w:p>
    <w:p w14:paraId="5D5E5E49">
      <w:pPr>
        <w:spacing w:line="314" w:lineRule="auto"/>
        <w:outlineLvl w:val="9"/>
        <w:rPr>
          <w:rFonts w:ascii="Arial"/>
          <w:color w:val="auto"/>
          <w:sz w:val="21"/>
          <w:highlight w:val="none"/>
        </w:rPr>
      </w:pPr>
    </w:p>
    <w:p w14:paraId="57E7ED47">
      <w:pPr>
        <w:spacing w:line="314" w:lineRule="auto"/>
        <w:outlineLvl w:val="9"/>
        <w:rPr>
          <w:rFonts w:ascii="Arial"/>
          <w:color w:val="auto"/>
          <w:sz w:val="21"/>
          <w:highlight w:val="none"/>
        </w:rPr>
      </w:pPr>
    </w:p>
    <w:p w14:paraId="67F40055">
      <w:pPr>
        <w:spacing w:before="91" w:line="219" w:lineRule="auto"/>
        <w:ind w:left="3422"/>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支付保函示范文本</w:t>
      </w:r>
    </w:p>
    <w:p w14:paraId="31FF9720">
      <w:pPr>
        <w:spacing w:before="204" w:line="221" w:lineRule="auto"/>
        <w:ind w:left="7294"/>
        <w:outlineLvl w:val="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编号：</w:t>
      </w:r>
    </w:p>
    <w:p w14:paraId="59322CF3">
      <w:pPr>
        <w:spacing w:line="246" w:lineRule="auto"/>
        <w:outlineLvl w:val="9"/>
        <w:rPr>
          <w:rFonts w:ascii="Arial"/>
          <w:color w:val="auto"/>
          <w:sz w:val="21"/>
          <w:highlight w:val="none"/>
        </w:rPr>
      </w:pPr>
    </w:p>
    <w:p w14:paraId="69263F93">
      <w:pPr>
        <w:spacing w:line="247" w:lineRule="auto"/>
        <w:outlineLvl w:val="9"/>
        <w:rPr>
          <w:rFonts w:ascii="Arial"/>
          <w:color w:val="auto"/>
          <w:sz w:val="21"/>
          <w:highlight w:val="none"/>
        </w:rPr>
      </w:pPr>
    </w:p>
    <w:p w14:paraId="78E329CC">
      <w:pPr>
        <w:tabs>
          <w:tab w:val="left" w:pos="1471"/>
        </w:tabs>
        <w:spacing w:before="68" w:line="223" w:lineRule="auto"/>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3"/>
          <w:sz w:val="21"/>
          <w:szCs w:val="21"/>
          <w:highlight w:val="none"/>
        </w:rPr>
        <w:t>（受益人名称</w:t>
      </w:r>
      <w:r>
        <w:rPr>
          <w:rFonts w:ascii="宋体" w:hAnsi="宋体" w:eastAsia="宋体" w:cs="宋体"/>
          <w:color w:val="auto"/>
          <w:spacing w:val="-20"/>
          <w:sz w:val="21"/>
          <w:szCs w:val="21"/>
          <w:highlight w:val="none"/>
        </w:rPr>
        <w:t>）：</w:t>
      </w:r>
    </w:p>
    <w:p w14:paraId="467F8C74">
      <w:pPr>
        <w:spacing w:before="154" w:line="355" w:lineRule="auto"/>
        <w:ind w:left="9" w:firstLine="421"/>
        <w:jc w:val="both"/>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鉴于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（以下简称“受益人</w:t>
      </w:r>
      <w:r>
        <w:rPr>
          <w:rFonts w:ascii="宋体" w:hAnsi="宋体" w:eastAsia="宋体" w:cs="宋体"/>
          <w:color w:val="auto"/>
          <w:spacing w:val="-59"/>
          <w:sz w:val="21"/>
          <w:szCs w:val="21"/>
          <w:highlight w:val="none"/>
        </w:rPr>
        <w:t xml:space="preserve"> </w:t>
      </w:r>
      <w:r>
        <w:rPr>
          <w:rFonts w:ascii="宋体" w:hAnsi="宋体" w:eastAsia="宋体" w:cs="宋体"/>
          <w:color w:val="auto"/>
          <w:spacing w:val="-8"/>
          <w:sz w:val="21"/>
          <w:szCs w:val="21"/>
          <w:highlight w:val="none"/>
        </w:rPr>
        <w:t>”）与</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8"/>
          <w:sz w:val="21"/>
          <w:szCs w:val="21"/>
          <w:highlight w:val="none"/>
        </w:rPr>
        <w:t>（以下简称“</w:t>
      </w:r>
      <w:r>
        <w:rPr>
          <w:rFonts w:ascii="宋体" w:hAnsi="宋体" w:eastAsia="宋体" w:cs="宋体"/>
          <w:color w:val="auto"/>
          <w:spacing w:val="-62"/>
          <w:sz w:val="21"/>
          <w:szCs w:val="21"/>
          <w:highlight w:val="none"/>
        </w:rPr>
        <w:t xml:space="preserve"> </w:t>
      </w:r>
      <w:r>
        <w:rPr>
          <w:rFonts w:ascii="宋体" w:hAnsi="宋体" w:eastAsia="宋体" w:cs="宋体"/>
          <w:color w:val="auto"/>
          <w:spacing w:val="-8"/>
          <w:sz w:val="21"/>
          <w:szCs w:val="21"/>
          <w:highlight w:val="none"/>
        </w:rPr>
        <w:t>申请人”）于</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51"/>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8"/>
          <w:sz w:val="21"/>
          <w:szCs w:val="21"/>
          <w:highlight w:val="none"/>
        </w:rPr>
        <w:t>日</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就</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（标段编号）的</w:t>
      </w:r>
      <w:r>
        <w:rPr>
          <w:rFonts w:ascii="宋体" w:hAnsi="宋体" w:eastAsia="宋体" w:cs="宋体"/>
          <w:color w:val="auto"/>
          <w:spacing w:val="-104"/>
          <w:sz w:val="21"/>
          <w:szCs w:val="21"/>
          <w:highlight w:val="none"/>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（标段名称）有关事项协商一致共同签订</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（以下</w:t>
      </w:r>
      <w:r>
        <w:rPr>
          <w:rFonts w:ascii="宋体" w:hAnsi="宋体" w:eastAsia="宋体" w:cs="宋体"/>
          <w:color w:val="auto"/>
          <w:spacing w:val="1"/>
          <w:sz w:val="21"/>
          <w:szCs w:val="21"/>
          <w:highlight w:val="none"/>
        </w:rPr>
        <w:t>简称基础合同”</w:t>
      </w:r>
      <w:r>
        <w:rPr>
          <w:rFonts w:ascii="宋体" w:hAnsi="宋体" w:eastAsia="宋体" w:cs="宋体"/>
          <w:color w:val="auto"/>
          <w:spacing w:val="-39"/>
          <w:w w:val="71"/>
          <w:sz w:val="21"/>
          <w:szCs w:val="21"/>
          <w:highlight w:val="none"/>
        </w:rPr>
        <w:t>），</w:t>
      </w:r>
      <w:r>
        <w:rPr>
          <w:rFonts w:ascii="宋体" w:hAnsi="宋体" w:eastAsia="宋体" w:cs="宋体"/>
          <w:color w:val="auto"/>
          <w:spacing w:val="1"/>
          <w:sz w:val="21"/>
          <w:szCs w:val="21"/>
          <w:highlight w:val="none"/>
        </w:rPr>
        <w:t>开立人根据基础合同了解到申请人为基</w:t>
      </w:r>
      <w:r>
        <w:rPr>
          <w:rFonts w:ascii="宋体" w:hAnsi="宋体" w:eastAsia="宋体" w:cs="宋体"/>
          <w:color w:val="auto"/>
          <w:sz w:val="21"/>
          <w:szCs w:val="21"/>
          <w:highlight w:val="none"/>
        </w:rPr>
        <w:t>础合同项下之发包人，受益人为基础合同</w:t>
      </w:r>
      <w:r>
        <w:rPr>
          <w:rFonts w:ascii="宋体" w:hAnsi="宋体" w:eastAsia="宋体" w:cs="宋体"/>
          <w:color w:val="auto"/>
          <w:spacing w:val="1"/>
          <w:sz w:val="21"/>
          <w:szCs w:val="21"/>
          <w:highlight w:val="none"/>
        </w:rPr>
        <w:t>项下之承包人，基于申请人的请求，开立人同意就申请人履行与受益人签订的基</w:t>
      </w:r>
      <w:r>
        <w:rPr>
          <w:rFonts w:ascii="宋体" w:hAnsi="宋体" w:eastAsia="宋体" w:cs="宋体"/>
          <w:color w:val="auto"/>
          <w:sz w:val="21"/>
          <w:szCs w:val="21"/>
          <w:highlight w:val="none"/>
        </w:rPr>
        <w:t>础合同项下的工程</w:t>
      </w:r>
      <w:r>
        <w:rPr>
          <w:rFonts w:ascii="宋体" w:hAnsi="宋体" w:eastAsia="宋体" w:cs="宋体"/>
          <w:color w:val="auto"/>
          <w:spacing w:val="1"/>
          <w:sz w:val="21"/>
          <w:szCs w:val="21"/>
          <w:highlight w:val="none"/>
        </w:rPr>
        <w:t>款（指基础合同约定的除工程质量保修金以外的工程款）付款义务，向受益人提</w:t>
      </w:r>
      <w:r>
        <w:rPr>
          <w:rFonts w:ascii="宋体" w:hAnsi="宋体" w:eastAsia="宋体" w:cs="宋体"/>
          <w:color w:val="auto"/>
          <w:sz w:val="21"/>
          <w:szCs w:val="21"/>
          <w:highlight w:val="none"/>
        </w:rPr>
        <w:t>供不可撤销、不可</w:t>
      </w:r>
      <w:r>
        <w:rPr>
          <w:rFonts w:ascii="宋体" w:hAnsi="宋体" w:eastAsia="宋体" w:cs="宋体"/>
          <w:color w:val="auto"/>
          <w:spacing w:val="-8"/>
          <w:sz w:val="21"/>
          <w:szCs w:val="21"/>
          <w:highlight w:val="none"/>
        </w:rPr>
        <w:t>转让的见索即付独立保函（以下简称“本保</w:t>
      </w:r>
      <w:r>
        <w:rPr>
          <w:rFonts w:ascii="宋体" w:hAnsi="宋体" w:eastAsia="宋体" w:cs="宋体"/>
          <w:color w:val="auto"/>
          <w:spacing w:val="-9"/>
          <w:sz w:val="21"/>
          <w:szCs w:val="21"/>
          <w:highlight w:val="none"/>
        </w:rPr>
        <w:t>函”）。</w:t>
      </w:r>
    </w:p>
    <w:p w14:paraId="39CEAF8B">
      <w:pPr>
        <w:spacing w:before="30" w:line="290" w:lineRule="auto"/>
        <w:ind w:left="13" w:right="12" w:firstLine="418"/>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一、本保函担保范围：申请人未履行基础合同</w:t>
      </w:r>
      <w:r>
        <w:rPr>
          <w:rFonts w:ascii="宋体" w:hAnsi="宋体" w:eastAsia="宋体" w:cs="宋体"/>
          <w:color w:val="auto"/>
          <w:sz w:val="21"/>
          <w:szCs w:val="21"/>
          <w:highlight w:val="none"/>
        </w:rPr>
        <w:t>约定的工程款支付义务，应当向受益人承担的违约责任和赔偿因此造成的损失、利息、律师费、诉讼费用等</w:t>
      </w:r>
      <w:r>
        <w:rPr>
          <w:rFonts w:ascii="宋体" w:hAnsi="宋体" w:eastAsia="宋体" w:cs="宋体"/>
          <w:color w:val="auto"/>
          <w:spacing w:val="-1"/>
          <w:sz w:val="21"/>
          <w:szCs w:val="21"/>
          <w:highlight w:val="none"/>
        </w:rPr>
        <w:t>实现债权的费用。</w:t>
      </w:r>
    </w:p>
    <w:p w14:paraId="6DED62BF">
      <w:pPr>
        <w:spacing w:before="157" w:line="220" w:lineRule="auto"/>
        <w:ind w:left="431"/>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二、本保函担保金额最高不超过人民币（大写）</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2"/>
          <w:sz w:val="21"/>
          <w:szCs w:val="21"/>
          <w:highlight w:val="none"/>
        </w:rPr>
        <w:t>元(¥</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72"/>
          <w:sz w:val="21"/>
          <w:szCs w:val="21"/>
          <w:highlight w:val="none"/>
        </w:rPr>
        <w:t xml:space="preserve"> </w:t>
      </w:r>
      <w:r>
        <w:rPr>
          <w:rFonts w:ascii="宋体" w:hAnsi="宋体" w:eastAsia="宋体" w:cs="宋体"/>
          <w:color w:val="auto"/>
          <w:spacing w:val="2"/>
          <w:sz w:val="21"/>
          <w:szCs w:val="21"/>
          <w:highlight w:val="none"/>
        </w:rPr>
        <w:t>)。</w:t>
      </w:r>
    </w:p>
    <w:p w14:paraId="2E957D8F">
      <w:pPr>
        <w:spacing w:before="160" w:line="290" w:lineRule="auto"/>
        <w:ind w:left="9" w:right="3" w:firstLine="419"/>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三、本保函有效期自开立之日起至基础合同约定的除工程质量保修金以外的</w:t>
      </w:r>
      <w:r>
        <w:rPr>
          <w:rFonts w:ascii="宋体" w:hAnsi="宋体" w:eastAsia="宋体" w:cs="宋体"/>
          <w:color w:val="auto"/>
          <w:sz w:val="21"/>
          <w:szCs w:val="21"/>
          <w:highlight w:val="none"/>
        </w:rPr>
        <w:t>全部工程结算款项</w:t>
      </w:r>
      <w:r>
        <w:rPr>
          <w:rFonts w:ascii="宋体" w:hAnsi="宋体" w:eastAsia="宋体" w:cs="宋体"/>
          <w:color w:val="auto"/>
          <w:spacing w:val="-5"/>
          <w:sz w:val="21"/>
          <w:szCs w:val="21"/>
          <w:highlight w:val="none"/>
        </w:rPr>
        <w:t>支付之日后</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52"/>
          <w:sz w:val="21"/>
          <w:szCs w:val="21"/>
          <w:highlight w:val="none"/>
        </w:rPr>
        <w:t xml:space="preserve"> </w:t>
      </w:r>
      <w:r>
        <w:rPr>
          <w:rFonts w:ascii="宋体" w:hAnsi="宋体" w:eastAsia="宋体" w:cs="宋体"/>
          <w:color w:val="auto"/>
          <w:spacing w:val="-5"/>
          <w:sz w:val="21"/>
          <w:szCs w:val="21"/>
          <w:highlight w:val="none"/>
        </w:rPr>
        <w:t>日止。</w:t>
      </w:r>
    </w:p>
    <w:p w14:paraId="4BD828B2">
      <w:pPr>
        <w:spacing w:before="156" w:line="290" w:lineRule="auto"/>
        <w:ind w:left="12" w:firstLine="49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四、开立人承诺，在收到受益人发来的书面付款通知后的七日内无条件支付，前述书面</w:t>
      </w:r>
      <w:r>
        <w:rPr>
          <w:rFonts w:ascii="宋体" w:hAnsi="宋体" w:eastAsia="宋体" w:cs="宋体"/>
          <w:color w:val="auto"/>
          <w:spacing w:val="-2"/>
          <w:sz w:val="21"/>
          <w:szCs w:val="21"/>
          <w:highlight w:val="none"/>
        </w:rPr>
        <w:t>付款通知即为付款要求之单据，且应满足以下要求：</w:t>
      </w:r>
    </w:p>
    <w:p w14:paraId="37C3B164">
      <w:pPr>
        <w:spacing w:before="157" w:line="220"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（1）付款通知到达的日期在本保函的有效期内；</w:t>
      </w:r>
    </w:p>
    <w:p w14:paraId="065F6007">
      <w:pPr>
        <w:spacing w:before="160"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（2）载明要求支付的金额；</w:t>
      </w:r>
    </w:p>
    <w:p w14:paraId="5195DC7C">
      <w:pPr>
        <w:spacing w:before="157" w:line="221" w:lineRule="auto"/>
        <w:ind w:left="434"/>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（3）载明申请人违反合同义务的条款和内容；</w:t>
      </w:r>
    </w:p>
    <w:p w14:paraId="3897BE11">
      <w:pPr>
        <w:spacing w:before="156" w:line="221"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（4）声明不存在合同文件约定或我国法律规定免除申请人或开立</w:t>
      </w:r>
      <w:r>
        <w:rPr>
          <w:rFonts w:ascii="宋体" w:hAnsi="宋体" w:eastAsia="宋体" w:cs="宋体"/>
          <w:color w:val="auto"/>
          <w:spacing w:val="-1"/>
          <w:sz w:val="21"/>
          <w:szCs w:val="21"/>
          <w:highlight w:val="none"/>
        </w:rPr>
        <w:t>人支付责任的情形；</w:t>
      </w:r>
    </w:p>
    <w:p w14:paraId="2DF6E431">
      <w:pPr>
        <w:spacing w:before="157" w:line="220" w:lineRule="auto"/>
        <w:ind w:left="434"/>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（5）付款通知应在本保函有效期内到达的地址是：</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14:paraId="11E574A8">
      <w:pPr>
        <w:spacing w:before="158" w:line="220" w:lineRule="auto"/>
        <w:ind w:left="434"/>
        <w:outlineLvl w:val="9"/>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受益人发出的书面付款通知应由其法定代表人（负责人）或授权代理人</w:t>
      </w:r>
      <w:r>
        <w:rPr>
          <w:rFonts w:ascii="宋体" w:hAnsi="宋体" w:eastAsia="宋体" w:cs="宋体"/>
          <w:color w:val="auto"/>
          <w:spacing w:val="-1"/>
          <w:sz w:val="21"/>
          <w:szCs w:val="21"/>
          <w:highlight w:val="none"/>
        </w:rPr>
        <w:t>签字并加盖公</w:t>
      </w:r>
    </w:p>
    <w:p w14:paraId="0E6DE131">
      <w:pPr>
        <w:spacing w:before="158" w:line="220" w:lineRule="auto"/>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章。</w:t>
      </w:r>
    </w:p>
    <w:p w14:paraId="74B6735C">
      <w:pPr>
        <w:spacing w:before="159" w:line="346" w:lineRule="auto"/>
        <w:ind w:left="11" w:right="2"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五、本保函项下的权利不得转让，不得设定担保。受益人未经开立人</w:t>
      </w:r>
      <w:r>
        <w:rPr>
          <w:rFonts w:ascii="宋体" w:hAnsi="宋体" w:eastAsia="宋体" w:cs="宋体"/>
          <w:color w:val="auto"/>
          <w:sz w:val="21"/>
          <w:szCs w:val="21"/>
          <w:highlight w:val="none"/>
        </w:rPr>
        <w:t xml:space="preserve">书面同意转让本保函或其 </w:t>
      </w:r>
      <w:r>
        <w:rPr>
          <w:rFonts w:ascii="宋体" w:hAnsi="宋体" w:eastAsia="宋体" w:cs="宋体"/>
          <w:color w:val="auto"/>
          <w:spacing w:val="-1"/>
          <w:sz w:val="21"/>
          <w:szCs w:val="21"/>
          <w:highlight w:val="none"/>
        </w:rPr>
        <w:t>项下任何权利，对开立人不发生法律效力。</w:t>
      </w:r>
    </w:p>
    <w:p w14:paraId="462B428C">
      <w:pPr>
        <w:spacing w:before="31" w:line="290" w:lineRule="auto"/>
        <w:ind w:left="13" w:right="3" w:firstLine="41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六、本保函项下的基础交易不成立、不生效、无效、被撤销、被解除，</w:t>
      </w:r>
      <w:r>
        <w:rPr>
          <w:rFonts w:ascii="宋体" w:hAnsi="宋体" w:eastAsia="宋体" w:cs="宋体"/>
          <w:color w:val="auto"/>
          <w:sz w:val="21"/>
          <w:szCs w:val="21"/>
          <w:highlight w:val="none"/>
        </w:rPr>
        <w:t xml:space="preserve">不影响本保函的独立有 </w:t>
      </w:r>
      <w:r>
        <w:rPr>
          <w:rFonts w:ascii="宋体" w:hAnsi="宋体" w:eastAsia="宋体" w:cs="宋体"/>
          <w:color w:val="auto"/>
          <w:spacing w:val="-11"/>
          <w:sz w:val="21"/>
          <w:szCs w:val="21"/>
          <w:highlight w:val="none"/>
        </w:rPr>
        <w:t>效。</w:t>
      </w:r>
    </w:p>
    <w:p w14:paraId="0B1536ED">
      <w:pPr>
        <w:spacing w:before="158" w:line="220" w:lineRule="auto"/>
        <w:ind w:left="427"/>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七、本保函项下的义务和责任均在保函有效期到期后自动消</w:t>
      </w:r>
      <w:r>
        <w:rPr>
          <w:rFonts w:ascii="宋体" w:hAnsi="宋体" w:eastAsia="宋体" w:cs="宋体"/>
          <w:color w:val="auto"/>
          <w:spacing w:val="-1"/>
          <w:sz w:val="21"/>
          <w:szCs w:val="21"/>
          <w:highlight w:val="none"/>
        </w:rPr>
        <w:t>灭。</w:t>
      </w:r>
    </w:p>
    <w:p w14:paraId="4C03A075">
      <w:pPr>
        <w:spacing w:before="159" w:line="289" w:lineRule="auto"/>
        <w:ind w:left="28" w:right="3" w:firstLine="40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八、本保函适用的法律为中华人民共和国法律，因本保函产生的</w:t>
      </w:r>
      <w:r>
        <w:rPr>
          <w:rFonts w:ascii="宋体" w:hAnsi="宋体" w:eastAsia="宋体" w:cs="宋体"/>
          <w:color w:val="auto"/>
          <w:spacing w:val="-1"/>
          <w:sz w:val="21"/>
          <w:szCs w:val="21"/>
          <w:highlight w:val="none"/>
        </w:rPr>
        <w:t>纠纷案件，</w:t>
      </w:r>
      <w:r>
        <w:rPr>
          <w:rFonts w:ascii="宋体" w:hAnsi="宋体" w:eastAsia="宋体" w:cs="宋体"/>
          <w:color w:val="auto"/>
          <w:spacing w:val="-63"/>
          <w:sz w:val="21"/>
          <w:szCs w:val="21"/>
          <w:highlight w:val="none"/>
        </w:rPr>
        <w:t xml:space="preserve"> </w:t>
      </w:r>
      <w:r>
        <w:rPr>
          <w:rFonts w:ascii="宋体" w:hAnsi="宋体" w:eastAsia="宋体" w:cs="宋体"/>
          <w:color w:val="auto"/>
          <w:spacing w:val="-1"/>
          <w:sz w:val="21"/>
          <w:szCs w:val="21"/>
          <w:highlight w:val="none"/>
        </w:rPr>
        <w:t>由申请人所在地人</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民法院管辖。</w:t>
      </w:r>
    </w:p>
    <w:p w14:paraId="1E257831">
      <w:pPr>
        <w:spacing w:before="42" w:line="220" w:lineRule="auto"/>
        <w:ind w:left="66"/>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九、本保函自我方法定代表人或授权代表签字并加盖公章之日起生效。</w:t>
      </w:r>
    </w:p>
    <w:p w14:paraId="6CE366CA">
      <w:pPr>
        <w:spacing w:line="300" w:lineRule="auto"/>
        <w:outlineLvl w:val="9"/>
        <w:rPr>
          <w:rFonts w:ascii="Arial"/>
          <w:color w:val="auto"/>
          <w:sz w:val="21"/>
          <w:highlight w:val="none"/>
        </w:rPr>
      </w:pPr>
    </w:p>
    <w:p w14:paraId="0E1F24C3">
      <w:pPr>
        <w:spacing w:line="300" w:lineRule="auto"/>
        <w:outlineLvl w:val="9"/>
        <w:rPr>
          <w:rFonts w:ascii="Arial"/>
          <w:color w:val="auto"/>
          <w:sz w:val="21"/>
          <w:highlight w:val="none"/>
        </w:rPr>
      </w:pPr>
    </w:p>
    <w:p w14:paraId="1F8A82F6">
      <w:pPr>
        <w:spacing w:line="300" w:lineRule="auto"/>
        <w:outlineLvl w:val="9"/>
        <w:rPr>
          <w:rFonts w:ascii="Arial"/>
          <w:color w:val="auto"/>
          <w:sz w:val="21"/>
          <w:highlight w:val="none"/>
        </w:rPr>
      </w:pPr>
    </w:p>
    <w:p w14:paraId="17299F26">
      <w:pPr>
        <w:spacing w:before="68" w:line="220" w:lineRule="auto"/>
        <w:ind w:left="62"/>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开 立 人</w:t>
      </w:r>
      <w:r>
        <w:rPr>
          <w:rFonts w:ascii="宋体" w:hAnsi="宋体" w:eastAsia="宋体" w:cs="宋体"/>
          <w:color w:val="auto"/>
          <w:spacing w:val="-28"/>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8"/>
          <w:sz w:val="21"/>
          <w:szCs w:val="21"/>
          <w:highlight w:val="none"/>
        </w:rPr>
        <w:t>（</w:t>
      </w:r>
      <w:r>
        <w:rPr>
          <w:rFonts w:ascii="宋体" w:hAnsi="宋体" w:eastAsia="宋体" w:cs="宋体"/>
          <w:color w:val="auto"/>
          <w:spacing w:val="5"/>
          <w:sz w:val="21"/>
          <w:szCs w:val="21"/>
          <w:highlight w:val="none"/>
        </w:rPr>
        <w:t>公章）</w:t>
      </w:r>
    </w:p>
    <w:p w14:paraId="3C7693A6">
      <w:pPr>
        <w:spacing w:before="159" w:line="221" w:lineRule="auto"/>
        <w:ind w:left="62"/>
        <w:outlineLvl w:val="9"/>
        <w:rPr>
          <w:rFonts w:ascii="宋体" w:hAnsi="宋体" w:eastAsia="宋体" w:cs="宋体"/>
          <w:color w:val="auto"/>
          <w:sz w:val="21"/>
          <w:szCs w:val="21"/>
          <w:highlight w:val="none"/>
        </w:rPr>
      </w:pPr>
      <w:bookmarkStart w:id="365" w:name="_Toc32269"/>
      <w:bookmarkStart w:id="366" w:name="_Toc32767"/>
      <w:r>
        <w:rPr>
          <w:rFonts w:ascii="宋体" w:hAnsi="宋体" w:eastAsia="宋体" w:cs="宋体"/>
          <w:color w:val="auto"/>
          <w:spacing w:val="-1"/>
          <w:sz w:val="21"/>
          <w:szCs w:val="21"/>
          <w:highlight w:val="none"/>
        </w:rPr>
        <w:t>法定代表人（或授权代表</w:t>
      </w:r>
      <w:r>
        <w:rPr>
          <w:rFonts w:ascii="宋体" w:hAnsi="宋体" w:eastAsia="宋体" w:cs="宋体"/>
          <w:color w:val="auto"/>
          <w:spacing w:val="-33"/>
          <w:sz w:val="21"/>
          <w:szCs w:val="21"/>
          <w:highlight w:val="none"/>
        </w:rPr>
        <w:t>）：</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33"/>
          <w:sz w:val="21"/>
          <w:szCs w:val="21"/>
          <w:highlight w:val="none"/>
        </w:rPr>
        <w:t>（</w:t>
      </w:r>
      <w:r>
        <w:rPr>
          <w:rFonts w:ascii="宋体" w:hAnsi="宋体" w:eastAsia="宋体" w:cs="宋体"/>
          <w:color w:val="auto"/>
          <w:spacing w:val="-1"/>
          <w:sz w:val="21"/>
          <w:szCs w:val="21"/>
          <w:highlight w:val="none"/>
        </w:rPr>
        <w:t>签字）</w:t>
      </w:r>
      <w:bookmarkEnd w:id="365"/>
      <w:bookmarkEnd w:id="366"/>
    </w:p>
    <w:p w14:paraId="00099ED5">
      <w:pPr>
        <w:spacing w:before="157" w:line="230" w:lineRule="auto"/>
        <w:ind w:left="61"/>
        <w:outlineLvl w:val="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地</w:t>
      </w:r>
      <w:r>
        <w:rPr>
          <w:rFonts w:ascii="宋体" w:hAnsi="宋体" w:eastAsia="宋体" w:cs="宋体"/>
          <w:color w:val="auto"/>
          <w:spacing w:val="2"/>
          <w:sz w:val="21"/>
          <w:szCs w:val="21"/>
          <w:highlight w:val="none"/>
        </w:rPr>
        <w:t xml:space="preserve">    </w:t>
      </w:r>
      <w:r>
        <w:rPr>
          <w:rFonts w:ascii="宋体" w:hAnsi="宋体" w:eastAsia="宋体" w:cs="宋体"/>
          <w:color w:val="auto"/>
          <w:spacing w:val="-6"/>
          <w:sz w:val="21"/>
          <w:szCs w:val="21"/>
          <w:highlight w:val="none"/>
        </w:rPr>
        <w:t>址：</w:t>
      </w:r>
      <w:r>
        <w:rPr>
          <w:rFonts w:ascii="宋体" w:hAnsi="宋体" w:eastAsia="宋体" w:cs="宋体"/>
          <w:color w:val="auto"/>
          <w:sz w:val="21"/>
          <w:szCs w:val="21"/>
          <w:highlight w:val="none"/>
          <w:u w:val="single" w:color="auto"/>
        </w:rPr>
        <w:t xml:space="preserve">                                       </w:t>
      </w:r>
    </w:p>
    <w:p w14:paraId="423E3D61">
      <w:pPr>
        <w:tabs>
          <w:tab w:val="left" w:pos="2887"/>
        </w:tabs>
        <w:spacing w:before="144" w:line="351" w:lineRule="auto"/>
        <w:ind w:left="59" w:right="5446" w:firstLine="17"/>
        <w:jc w:val="both"/>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邮政编码：</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pacing w:val="-5"/>
          <w:sz w:val="21"/>
          <w:szCs w:val="21"/>
          <w:highlight w:val="none"/>
        </w:rPr>
        <w:t>话：</w:t>
      </w:r>
      <w:r>
        <w:rPr>
          <w:rFonts w:ascii="宋体" w:hAnsi="宋体" w:eastAsia="宋体" w:cs="宋体"/>
          <w:color w:val="auto"/>
          <w:sz w:val="21"/>
          <w:szCs w:val="21"/>
          <w:highlight w:val="none"/>
          <w:u w:val="single" w:color="auto"/>
        </w:rPr>
        <w:tab/>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传</w:t>
      </w:r>
      <w:r>
        <w:rPr>
          <w:rFonts w:ascii="宋体" w:hAnsi="宋体" w:eastAsia="宋体" w:cs="宋体"/>
          <w:color w:val="auto"/>
          <w:spacing w:val="2"/>
          <w:sz w:val="21"/>
          <w:szCs w:val="21"/>
          <w:highlight w:val="none"/>
        </w:rPr>
        <w:t xml:space="preserve">    </w:t>
      </w:r>
      <w:r>
        <w:rPr>
          <w:rFonts w:ascii="宋体" w:hAnsi="宋体" w:eastAsia="宋体" w:cs="宋体"/>
          <w:color w:val="auto"/>
          <w:spacing w:val="-6"/>
          <w:sz w:val="21"/>
          <w:szCs w:val="21"/>
          <w:highlight w:val="none"/>
        </w:rPr>
        <w:t>真：</w:t>
      </w:r>
      <w:r>
        <w:rPr>
          <w:rFonts w:ascii="宋体" w:hAnsi="宋体" w:eastAsia="宋体" w:cs="宋体"/>
          <w:color w:val="auto"/>
          <w:sz w:val="21"/>
          <w:szCs w:val="21"/>
          <w:highlight w:val="none"/>
          <w:u w:val="single" w:color="auto"/>
        </w:rPr>
        <w:t xml:space="preserve">                 </w:t>
      </w:r>
    </w:p>
    <w:p w14:paraId="211AB887">
      <w:pPr>
        <w:spacing w:before="30"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开立时间：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79"/>
          <w:sz w:val="21"/>
          <w:szCs w:val="21"/>
          <w:highlight w:val="none"/>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
          <w:sz w:val="21"/>
          <w:szCs w:val="21"/>
          <w:highlight w:val="none"/>
        </w:rPr>
        <w:t>日</w:t>
      </w:r>
    </w:p>
    <w:p w14:paraId="250E0524">
      <w:pPr>
        <w:spacing w:before="87" w:line="223" w:lineRule="auto"/>
        <w:ind w:left="3108"/>
        <w:outlineLvl w:val="9"/>
        <w:rPr>
          <w:rFonts w:ascii="宋体" w:hAnsi="宋体" w:eastAsia="宋体" w:cs="宋体"/>
          <w:b/>
          <w:bCs/>
          <w:color w:val="auto"/>
          <w:spacing w:val="4"/>
          <w:sz w:val="43"/>
          <w:szCs w:val="43"/>
          <w:highlight w:val="none"/>
        </w:rPr>
      </w:pPr>
      <w:bookmarkStart w:id="367" w:name="bookmark273"/>
      <w:bookmarkEnd w:id="367"/>
    </w:p>
    <w:p w14:paraId="13D58E25">
      <w:pPr>
        <w:spacing w:before="87" w:line="223" w:lineRule="auto"/>
        <w:jc w:val="center"/>
        <w:outlineLvl w:val="0"/>
        <w:rPr>
          <w:rFonts w:ascii="宋体" w:hAnsi="宋体" w:eastAsia="宋体" w:cs="宋体"/>
          <w:color w:val="auto"/>
          <w:sz w:val="43"/>
          <w:szCs w:val="43"/>
          <w:highlight w:val="none"/>
        </w:rPr>
      </w:pPr>
      <w:bookmarkStart w:id="368" w:name="_Toc5601"/>
      <w:r>
        <w:rPr>
          <w:rFonts w:ascii="宋体" w:hAnsi="宋体" w:eastAsia="宋体" w:cs="宋体"/>
          <w:b/>
          <w:bCs/>
          <w:color w:val="auto"/>
          <w:spacing w:val="4"/>
          <w:sz w:val="43"/>
          <w:szCs w:val="43"/>
          <w:highlight w:val="none"/>
        </w:rPr>
        <w:t>第五章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工程量清单</w:t>
      </w:r>
      <w:bookmarkEnd w:id="368"/>
    </w:p>
    <w:p w14:paraId="4F0A8210">
      <w:pPr>
        <w:keepNext w:val="0"/>
        <w:keepLines w:val="0"/>
        <w:pageBreakBefore w:val="0"/>
        <w:kinsoku w:val="0"/>
        <w:overflowPunct/>
        <w:topLinePunct w:val="0"/>
        <w:autoSpaceDE w:val="0"/>
        <w:autoSpaceDN w:val="0"/>
        <w:bidi w:val="0"/>
        <w:adjustRightInd w:val="0"/>
        <w:snapToGrid w:val="0"/>
        <w:spacing w:before="251" w:line="360" w:lineRule="auto"/>
        <w:ind w:left="28"/>
        <w:textAlignment w:val="baseline"/>
        <w:outlineLvl w:val="9"/>
        <w:rPr>
          <w:rFonts w:ascii="宋体" w:hAnsi="宋体" w:eastAsia="宋体" w:cs="宋体"/>
          <w:color w:val="auto"/>
          <w:sz w:val="31"/>
          <w:szCs w:val="31"/>
          <w:highlight w:val="none"/>
        </w:rPr>
      </w:pPr>
      <w:r>
        <w:rPr>
          <w:rFonts w:ascii="宋体" w:hAnsi="宋体" w:eastAsia="宋体" w:cs="宋体"/>
          <w:b/>
          <w:bCs/>
          <w:color w:val="auto"/>
          <w:spacing w:val="2"/>
          <w:sz w:val="31"/>
          <w:szCs w:val="31"/>
          <w:highlight w:val="none"/>
        </w:rPr>
        <w:t>1.工程量清单说明</w:t>
      </w:r>
    </w:p>
    <w:p w14:paraId="4FC83F19">
      <w:pPr>
        <w:keepNext w:val="0"/>
        <w:keepLines w:val="0"/>
        <w:pageBreakBefore w:val="0"/>
        <w:kinsoku w:val="0"/>
        <w:overflowPunct/>
        <w:topLinePunct w:val="0"/>
        <w:autoSpaceDE w:val="0"/>
        <w:autoSpaceDN w:val="0"/>
        <w:bidi w:val="0"/>
        <w:adjustRightInd w:val="0"/>
        <w:snapToGrid w:val="0"/>
        <w:spacing w:before="124" w:line="360" w:lineRule="auto"/>
        <w:ind w:left="2" w:right="72" w:firstLine="434"/>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1.1 </w:t>
      </w:r>
      <w:r>
        <w:rPr>
          <w:rFonts w:ascii="宋体" w:hAnsi="宋体" w:eastAsia="宋体" w:cs="宋体"/>
          <w:color w:val="auto"/>
          <w:spacing w:val="-2"/>
          <w:sz w:val="21"/>
          <w:szCs w:val="21"/>
          <w:highlight w:val="none"/>
        </w:rPr>
        <w:t>本工程量清单应与招标文件中的投标人须知、通用合同条款、专用合同条款、技术标准和要</w:t>
      </w:r>
      <w:r>
        <w:rPr>
          <w:rFonts w:ascii="宋体" w:hAnsi="宋体" w:eastAsia="宋体" w:cs="宋体"/>
          <w:color w:val="auto"/>
          <w:spacing w:val="-6"/>
          <w:sz w:val="21"/>
          <w:szCs w:val="21"/>
          <w:highlight w:val="none"/>
        </w:rPr>
        <w:t>求（合同技术条款）、图纸等一起阅读和理</w:t>
      </w:r>
      <w:r>
        <w:rPr>
          <w:rFonts w:ascii="宋体" w:hAnsi="宋体" w:eastAsia="宋体" w:cs="宋体"/>
          <w:color w:val="auto"/>
          <w:spacing w:val="-7"/>
          <w:sz w:val="21"/>
          <w:szCs w:val="21"/>
          <w:highlight w:val="none"/>
        </w:rPr>
        <w:t>解。</w:t>
      </w:r>
    </w:p>
    <w:p w14:paraId="46966D01">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1.2 </w:t>
      </w:r>
      <w:r>
        <w:rPr>
          <w:rFonts w:ascii="宋体" w:hAnsi="宋体" w:eastAsia="宋体" w:cs="宋体"/>
          <w:color w:val="auto"/>
          <w:spacing w:val="-2"/>
          <w:sz w:val="21"/>
          <w:szCs w:val="21"/>
          <w:highlight w:val="none"/>
        </w:rPr>
        <w:t>工程量清单仅是投标人投标报价的共同基础。除另有约定外，工程量清单中的工程量是根据</w:t>
      </w:r>
      <w:r>
        <w:rPr>
          <w:rFonts w:ascii="宋体" w:hAnsi="宋体" w:eastAsia="宋体" w:cs="宋体"/>
          <w:color w:val="auto"/>
          <w:spacing w:val="1"/>
          <w:sz w:val="21"/>
          <w:szCs w:val="21"/>
          <w:highlight w:val="none"/>
        </w:rPr>
        <w:t>招标设计图纸按现行工程量清单计价规范和计量规则计算的用于投标报价的估算工</w:t>
      </w:r>
      <w:r>
        <w:rPr>
          <w:rFonts w:ascii="宋体" w:hAnsi="宋体" w:eastAsia="宋体" w:cs="宋体"/>
          <w:color w:val="auto"/>
          <w:sz w:val="21"/>
          <w:szCs w:val="21"/>
          <w:highlight w:val="none"/>
        </w:rPr>
        <w:t>程量，不作为最</w:t>
      </w:r>
      <w:r>
        <w:rPr>
          <w:rFonts w:ascii="宋体" w:hAnsi="宋体" w:eastAsia="宋体" w:cs="宋体"/>
          <w:color w:val="auto"/>
          <w:spacing w:val="-4"/>
          <w:sz w:val="21"/>
          <w:szCs w:val="21"/>
          <w:highlight w:val="none"/>
        </w:rPr>
        <w:t>终结算工程量。最终结算工程量是承包人实际完成并符合技术标准和要求（合同技术条款）、现行工</w:t>
      </w:r>
      <w:r>
        <w:rPr>
          <w:rFonts w:ascii="宋体" w:hAnsi="宋体" w:eastAsia="宋体" w:cs="宋体"/>
          <w:color w:val="auto"/>
          <w:spacing w:val="-1"/>
          <w:sz w:val="21"/>
          <w:szCs w:val="21"/>
          <w:highlight w:val="none"/>
        </w:rPr>
        <w:t>程量清单计价规范和计量规则等规定，按施工图纸计算的有效工程量。</w:t>
      </w:r>
    </w:p>
    <w:p w14:paraId="4AFDCCD2">
      <w:pPr>
        <w:keepNext w:val="0"/>
        <w:keepLines w:val="0"/>
        <w:pageBreakBefore w:val="0"/>
        <w:kinsoku w:val="0"/>
        <w:overflowPunct/>
        <w:topLinePunct w:val="0"/>
        <w:autoSpaceDE w:val="0"/>
        <w:autoSpaceDN w:val="0"/>
        <w:bidi w:val="0"/>
        <w:adjustRightInd w:val="0"/>
        <w:snapToGrid w:val="0"/>
        <w:spacing w:before="159" w:line="360" w:lineRule="auto"/>
        <w:ind w:left="4" w:right="72" w:firstLine="433"/>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1.3 </w:t>
      </w:r>
      <w:r>
        <w:rPr>
          <w:rFonts w:ascii="宋体" w:hAnsi="宋体" w:eastAsia="宋体" w:cs="宋体"/>
          <w:color w:val="auto"/>
          <w:spacing w:val="-2"/>
          <w:sz w:val="21"/>
          <w:szCs w:val="21"/>
          <w:highlight w:val="none"/>
        </w:rPr>
        <w:t>工程量清单中各项目的工作内容和要求应符合相关技术标准和要求（合同技术条款）以及现行工程量清单计价规范的规定。</w:t>
      </w:r>
    </w:p>
    <w:p w14:paraId="245A2F23">
      <w:pPr>
        <w:keepNext w:val="0"/>
        <w:keepLines w:val="0"/>
        <w:pageBreakBefore w:val="0"/>
        <w:kinsoku w:val="0"/>
        <w:overflowPunct/>
        <w:topLinePunct w:val="0"/>
        <w:autoSpaceDE w:val="0"/>
        <w:autoSpaceDN w:val="0"/>
        <w:bidi w:val="0"/>
        <w:adjustRightInd w:val="0"/>
        <w:snapToGrid w:val="0"/>
        <w:spacing w:before="158" w:line="360" w:lineRule="auto"/>
        <w:jc w:val="right"/>
        <w:textAlignment w:val="baseline"/>
        <w:outlineLvl w:val="9"/>
        <w:rPr>
          <w:rFonts w:ascii="宋体" w:hAnsi="宋体" w:eastAsia="宋体" w:cs="宋体"/>
          <w:color w:val="auto"/>
          <w:spacing w:val="-5"/>
          <w:sz w:val="21"/>
          <w:szCs w:val="21"/>
          <w:highlight w:val="none"/>
        </w:rPr>
      </w:pPr>
      <w:r>
        <w:rPr>
          <w:rFonts w:ascii="Times New Roman" w:hAnsi="Times New Roman" w:eastAsia="Times New Roman" w:cs="Times New Roman"/>
          <w:color w:val="auto"/>
          <w:spacing w:val="-5"/>
          <w:sz w:val="21"/>
          <w:szCs w:val="21"/>
          <w:highlight w:val="none"/>
        </w:rPr>
        <w:t xml:space="preserve">1.4 </w:t>
      </w:r>
      <w:r>
        <w:rPr>
          <w:rFonts w:ascii="宋体" w:hAnsi="宋体" w:eastAsia="宋体" w:cs="宋体"/>
          <w:color w:val="auto"/>
          <w:spacing w:val="-5"/>
          <w:sz w:val="21"/>
          <w:szCs w:val="21"/>
          <w:highlight w:val="none"/>
        </w:rPr>
        <w:t>工程量清单中各项目的工作内容和要求应符合相关技术标准和要求（合同技术条款）的规</w:t>
      </w:r>
    </w:p>
    <w:p w14:paraId="750F414B">
      <w:pPr>
        <w:keepNext w:val="0"/>
        <w:keepLines w:val="0"/>
        <w:pageBreakBefore w:val="0"/>
        <w:kinsoku w:val="0"/>
        <w:overflowPunct/>
        <w:topLinePunct w:val="0"/>
        <w:autoSpaceDE w:val="0"/>
        <w:autoSpaceDN w:val="0"/>
        <w:bidi w:val="0"/>
        <w:adjustRightInd w:val="0"/>
        <w:snapToGrid w:val="0"/>
        <w:spacing w:before="158" w:line="360" w:lineRule="auto"/>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定。</w:t>
      </w:r>
    </w:p>
    <w:p w14:paraId="2BB8EA78">
      <w:pPr>
        <w:keepNext w:val="0"/>
        <w:keepLines w:val="0"/>
        <w:pageBreakBefore w:val="0"/>
        <w:kinsoku w:val="0"/>
        <w:overflowPunct/>
        <w:topLinePunct w:val="0"/>
        <w:autoSpaceDE w:val="0"/>
        <w:autoSpaceDN w:val="0"/>
        <w:bidi w:val="0"/>
        <w:adjustRightInd w:val="0"/>
        <w:snapToGrid w:val="0"/>
        <w:spacing w:before="157" w:line="360" w:lineRule="auto"/>
        <w:ind w:left="437"/>
        <w:textAlignment w:val="baseline"/>
        <w:outlineLvl w:val="9"/>
        <w:rPr>
          <w:rFonts w:ascii="宋体" w:hAnsi="宋体" w:eastAsia="宋体" w:cs="宋体"/>
          <w:color w:val="auto"/>
          <w:sz w:val="21"/>
          <w:szCs w:val="21"/>
          <w:highlight w:val="none"/>
        </w:rPr>
      </w:pPr>
      <w:bookmarkStart w:id="369" w:name="_Toc26344"/>
      <w:bookmarkStart w:id="370" w:name="_Toc3160"/>
      <w:r>
        <w:rPr>
          <w:rFonts w:ascii="Times New Roman" w:hAnsi="Times New Roman" w:eastAsia="Times New Roman" w:cs="Times New Roman"/>
          <w:color w:val="auto"/>
          <w:spacing w:val="-1"/>
          <w:sz w:val="21"/>
          <w:szCs w:val="21"/>
          <w:highlight w:val="none"/>
        </w:rPr>
        <w:t xml:space="preserve">1.5 </w:t>
      </w:r>
      <w:r>
        <w:rPr>
          <w:rFonts w:ascii="宋体" w:hAnsi="宋体" w:eastAsia="宋体" w:cs="宋体"/>
          <w:color w:val="auto"/>
          <w:spacing w:val="-1"/>
          <w:sz w:val="21"/>
          <w:szCs w:val="21"/>
          <w:highlight w:val="none"/>
        </w:rPr>
        <w:t>工程价款的支付遵循第四章合同条款的相关约定。</w:t>
      </w:r>
      <w:bookmarkEnd w:id="369"/>
      <w:bookmarkEnd w:id="370"/>
    </w:p>
    <w:p w14:paraId="729FB4E9">
      <w:pPr>
        <w:keepNext w:val="0"/>
        <w:keepLines w:val="0"/>
        <w:pageBreakBefore w:val="0"/>
        <w:kinsoku w:val="0"/>
        <w:overflowPunct/>
        <w:topLinePunct w:val="0"/>
        <w:autoSpaceDE w:val="0"/>
        <w:autoSpaceDN w:val="0"/>
        <w:bidi w:val="0"/>
        <w:adjustRightInd w:val="0"/>
        <w:snapToGrid w:val="0"/>
        <w:spacing w:before="296" w:line="360" w:lineRule="auto"/>
        <w:ind w:left="8"/>
        <w:textAlignment w:val="baseline"/>
        <w:outlineLvl w:val="9"/>
        <w:rPr>
          <w:rFonts w:ascii="宋体" w:hAnsi="宋体" w:eastAsia="宋体" w:cs="宋体"/>
          <w:color w:val="auto"/>
          <w:sz w:val="31"/>
          <w:szCs w:val="31"/>
          <w:highlight w:val="none"/>
        </w:rPr>
      </w:pPr>
      <w:bookmarkStart w:id="371" w:name="bookmark274"/>
      <w:bookmarkEnd w:id="371"/>
      <w:r>
        <w:rPr>
          <w:rFonts w:ascii="宋体" w:hAnsi="宋体" w:eastAsia="宋体" w:cs="宋体"/>
          <w:b/>
          <w:bCs/>
          <w:color w:val="auto"/>
          <w:spacing w:val="4"/>
          <w:sz w:val="31"/>
          <w:szCs w:val="31"/>
          <w:highlight w:val="none"/>
        </w:rPr>
        <w:t>2.投标报价说明</w:t>
      </w:r>
    </w:p>
    <w:p w14:paraId="30FF254C">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2.1 工程量清单报价表组成见招标人发布的工程量清单。</w:t>
      </w:r>
    </w:p>
    <w:p w14:paraId="144FF480">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outlineLvl w:val="9"/>
        <w:rPr>
          <w:rFonts w:ascii="Arial"/>
          <w:color w:val="auto"/>
          <w:sz w:val="21"/>
          <w:highlight w:val="none"/>
        </w:rPr>
      </w:pPr>
      <w:r>
        <w:rPr>
          <w:rFonts w:ascii="宋体" w:hAnsi="宋体" w:eastAsia="宋体" w:cs="宋体"/>
          <w:color w:val="auto"/>
          <w:sz w:val="21"/>
          <w:szCs w:val="21"/>
          <w:highlight w:val="none"/>
        </w:rPr>
        <w:t>2.2  工程量清单报价表填写规定</w:t>
      </w:r>
    </w:p>
    <w:p w14:paraId="3B215D51">
      <w:pPr>
        <w:keepNext w:val="0"/>
        <w:keepLines w:val="0"/>
        <w:pageBreakBefore w:val="0"/>
        <w:kinsoku w:val="0"/>
        <w:overflowPunct/>
        <w:topLinePunct w:val="0"/>
        <w:autoSpaceDE w:val="0"/>
        <w:autoSpaceDN w:val="0"/>
        <w:bidi w:val="0"/>
        <w:adjustRightInd w:val="0"/>
        <w:snapToGrid w:val="0"/>
        <w:spacing w:before="102" w:line="360" w:lineRule="auto"/>
        <w:ind w:left="11"/>
        <w:textAlignment w:val="baseline"/>
        <w:outlineLvl w:val="9"/>
        <w:rPr>
          <w:rFonts w:ascii="宋体" w:hAnsi="宋体" w:eastAsia="宋体" w:cs="宋体"/>
          <w:color w:val="auto"/>
          <w:sz w:val="31"/>
          <w:szCs w:val="31"/>
          <w:highlight w:val="none"/>
        </w:rPr>
      </w:pPr>
      <w:bookmarkStart w:id="372" w:name="bookmark275"/>
      <w:bookmarkEnd w:id="372"/>
      <w:r>
        <w:rPr>
          <w:rFonts w:ascii="宋体" w:hAnsi="宋体" w:eastAsia="宋体" w:cs="宋体"/>
          <w:b/>
          <w:bCs/>
          <w:color w:val="auto"/>
          <w:spacing w:val="3"/>
          <w:sz w:val="31"/>
          <w:szCs w:val="31"/>
          <w:highlight w:val="none"/>
        </w:rPr>
        <w:t>3.其他说明</w:t>
      </w:r>
    </w:p>
    <w:p w14:paraId="5A809D9F">
      <w:pPr>
        <w:keepNext w:val="0"/>
        <w:keepLines w:val="0"/>
        <w:pageBreakBefore w:val="0"/>
        <w:kinsoku w:val="0"/>
        <w:overflowPunct/>
        <w:topLinePunct w:val="0"/>
        <w:autoSpaceDE w:val="0"/>
        <w:autoSpaceDN w:val="0"/>
        <w:bidi w:val="0"/>
        <w:adjustRightInd w:val="0"/>
        <w:snapToGrid w:val="0"/>
        <w:spacing w:before="128" w:line="360" w:lineRule="auto"/>
        <w:ind w:left="421"/>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3.1 </w:t>
      </w:r>
      <w:r>
        <w:rPr>
          <w:rFonts w:ascii="宋体" w:hAnsi="宋体" w:eastAsia="宋体" w:cs="宋体"/>
          <w:color w:val="auto"/>
          <w:spacing w:val="-1"/>
          <w:sz w:val="21"/>
          <w:szCs w:val="21"/>
          <w:highlight w:val="none"/>
        </w:rPr>
        <w:t>广域网考勤产生的相关费用，由中标人承担，含在投标总报价中，不单独计列。</w:t>
      </w:r>
    </w:p>
    <w:p w14:paraId="534894BD">
      <w:pPr>
        <w:keepNext w:val="0"/>
        <w:keepLines w:val="0"/>
        <w:pageBreakBefore w:val="0"/>
        <w:kinsoku w:val="0"/>
        <w:overflowPunct/>
        <w:topLinePunct w:val="0"/>
        <w:autoSpaceDE w:val="0"/>
        <w:autoSpaceDN w:val="0"/>
        <w:bidi w:val="0"/>
        <w:adjustRightInd w:val="0"/>
        <w:snapToGrid w:val="0"/>
        <w:spacing w:before="158" w:line="360" w:lineRule="auto"/>
        <w:ind w:left="3" w:right="72" w:firstLine="417"/>
        <w:textAlignment w:val="baseline"/>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3.2 </w:t>
      </w:r>
      <w:r>
        <w:rPr>
          <w:rFonts w:ascii="宋体" w:hAnsi="宋体" w:eastAsia="宋体" w:cs="宋体"/>
          <w:color w:val="auto"/>
          <w:spacing w:val="-1"/>
          <w:sz w:val="21"/>
          <w:szCs w:val="21"/>
          <w:highlight w:val="none"/>
        </w:rPr>
        <w:t>招标代理服务费、工程量清单和控</w:t>
      </w:r>
      <w:r>
        <w:rPr>
          <w:rFonts w:ascii="宋体" w:hAnsi="宋体" w:eastAsia="宋体" w:cs="宋体"/>
          <w:color w:val="auto"/>
          <w:spacing w:val="-2"/>
          <w:sz w:val="21"/>
          <w:szCs w:val="21"/>
          <w:highlight w:val="none"/>
        </w:rPr>
        <w:t>制价编制费约定由中标人支付的，该部分费用应当包含在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投标报价的单价、合价与总价中，投标人无需单独报价。</w:t>
      </w:r>
    </w:p>
    <w:p w14:paraId="4FCDDFC5">
      <w:pPr>
        <w:keepNext w:val="0"/>
        <w:keepLines w:val="0"/>
        <w:pageBreakBefore w:val="0"/>
        <w:kinsoku w:val="0"/>
        <w:overflowPunct/>
        <w:topLinePunct w:val="0"/>
        <w:autoSpaceDE w:val="0"/>
        <w:autoSpaceDN w:val="0"/>
        <w:bidi w:val="0"/>
        <w:adjustRightInd w:val="0"/>
        <w:snapToGrid w:val="0"/>
        <w:spacing w:before="294" w:line="360" w:lineRule="auto"/>
        <w:ind w:left="3"/>
        <w:textAlignment w:val="baseline"/>
        <w:outlineLvl w:val="9"/>
        <w:rPr>
          <w:rFonts w:ascii="宋体" w:hAnsi="宋体" w:eastAsia="宋体" w:cs="宋体"/>
          <w:color w:val="auto"/>
          <w:sz w:val="31"/>
          <w:szCs w:val="31"/>
          <w:highlight w:val="none"/>
        </w:rPr>
      </w:pPr>
      <w:bookmarkStart w:id="373" w:name="bookmark276"/>
      <w:bookmarkEnd w:id="373"/>
      <w:r>
        <w:rPr>
          <w:rFonts w:ascii="宋体" w:hAnsi="宋体" w:eastAsia="宋体" w:cs="宋体"/>
          <w:b/>
          <w:bCs/>
          <w:color w:val="auto"/>
          <w:spacing w:val="5"/>
          <w:sz w:val="31"/>
          <w:szCs w:val="31"/>
          <w:highlight w:val="none"/>
        </w:rPr>
        <w:t>4.工程量清单</w:t>
      </w:r>
    </w:p>
    <w:p w14:paraId="731BBA8C">
      <w:pPr>
        <w:keepNext w:val="0"/>
        <w:keepLines w:val="0"/>
        <w:pageBreakBefore w:val="0"/>
        <w:widowControl w:val="0"/>
        <w:suppressLineNumbers w:val="0"/>
        <w:kinsoku w:val="0"/>
        <w:wordWrap w:val="0"/>
        <w:overflowPunct/>
        <w:topLinePunct w:val="0"/>
        <w:autoSpaceDE w:val="0"/>
        <w:autoSpaceDN w:val="0"/>
        <w:bidi w:val="0"/>
        <w:adjustRightInd w:val="0"/>
        <w:snapToGrid w:val="0"/>
        <w:spacing w:before="0" w:beforeAutospacing="0" w:after="0" w:afterAutospacing="0" w:line="360" w:lineRule="auto"/>
        <w:ind w:right="0" w:firstLine="281" w:firstLineChars="100"/>
        <w:jc w:val="both"/>
        <w:textAlignment w:val="baseline"/>
        <w:outlineLvl w:val="9"/>
        <w:rPr>
          <w:rFonts w:ascii="宋体" w:hAnsi="宋体" w:eastAsia="宋体" w:cs="宋体"/>
          <w:b/>
          <w:bCs/>
          <w:color w:val="auto"/>
          <w:spacing w:val="-2"/>
          <w:sz w:val="43"/>
          <w:szCs w:val="43"/>
          <w:highlight w:val="none"/>
        </w:rPr>
      </w:pPr>
      <w:r>
        <w:rPr>
          <w:rFonts w:hint="eastAsia" w:ascii="Times New Roman" w:hAnsi="Times New Roman" w:eastAsia="宋体" w:cs="宋体"/>
          <w:b/>
          <w:bCs w:val="0"/>
          <w:snapToGrid w:val="0"/>
          <w:color w:val="auto"/>
          <w:kern w:val="2"/>
          <w:sz w:val="28"/>
          <w:szCs w:val="28"/>
          <w:highlight w:val="none"/>
          <w:lang w:val="en-US" w:eastAsia="zh-CN" w:bidi="ar"/>
        </w:rPr>
        <w:t>工程量清单格式和内容以招标人提供的工程量清单为准，请投标人自行登录系统下载本项目附件。</w:t>
      </w:r>
      <w:bookmarkStart w:id="374" w:name="bookmark277"/>
      <w:bookmarkEnd w:id="374"/>
    </w:p>
    <w:p w14:paraId="32AC257B">
      <w:pPr>
        <w:spacing w:before="87" w:line="223" w:lineRule="auto"/>
        <w:ind w:left="2297"/>
        <w:outlineLvl w:val="0"/>
        <w:rPr>
          <w:rFonts w:ascii="宋体" w:hAnsi="宋体" w:eastAsia="宋体" w:cs="宋体"/>
          <w:color w:val="auto"/>
          <w:sz w:val="43"/>
          <w:szCs w:val="43"/>
          <w:highlight w:val="none"/>
        </w:rPr>
      </w:pPr>
      <w:bookmarkStart w:id="375" w:name="_Toc22328"/>
      <w:r>
        <w:rPr>
          <w:rFonts w:ascii="宋体" w:hAnsi="宋体" w:eastAsia="宋体" w:cs="宋体"/>
          <w:b/>
          <w:bCs/>
          <w:color w:val="auto"/>
          <w:spacing w:val="-2"/>
          <w:sz w:val="43"/>
          <w:szCs w:val="43"/>
          <w:highlight w:val="none"/>
        </w:rPr>
        <w:t>第六章</w:t>
      </w:r>
      <w:r>
        <w:rPr>
          <w:rFonts w:ascii="宋体" w:hAnsi="宋体" w:eastAsia="宋体" w:cs="宋体"/>
          <w:color w:val="auto"/>
          <w:spacing w:val="70"/>
          <w:sz w:val="43"/>
          <w:szCs w:val="43"/>
          <w:highlight w:val="none"/>
        </w:rPr>
        <w:t xml:space="preserve"> </w:t>
      </w:r>
      <w:r>
        <w:rPr>
          <w:rFonts w:ascii="宋体" w:hAnsi="宋体" w:eastAsia="宋体" w:cs="宋体"/>
          <w:b/>
          <w:bCs/>
          <w:color w:val="auto"/>
          <w:spacing w:val="-2"/>
          <w:sz w:val="43"/>
          <w:szCs w:val="43"/>
          <w:highlight w:val="none"/>
        </w:rPr>
        <w:t>图纸（招标图纸）</w:t>
      </w:r>
      <w:bookmarkEnd w:id="375"/>
    </w:p>
    <w:p w14:paraId="31006D53">
      <w:pPr>
        <w:spacing w:before="63" w:line="226" w:lineRule="auto"/>
        <w:ind w:left="3677"/>
        <w:outlineLvl w:val="9"/>
        <w:rPr>
          <w:rFonts w:ascii="宋体" w:hAnsi="宋体" w:eastAsia="宋体" w:cs="宋体"/>
          <w:color w:val="auto"/>
          <w:sz w:val="31"/>
          <w:szCs w:val="31"/>
          <w:highlight w:val="none"/>
        </w:rPr>
      </w:pPr>
      <w:bookmarkStart w:id="376" w:name="bookmark278"/>
      <w:bookmarkEnd w:id="376"/>
      <w:r>
        <w:rPr>
          <w:rFonts w:ascii="宋体" w:hAnsi="宋体" w:eastAsia="宋体" w:cs="宋体"/>
          <w:b/>
          <w:bCs/>
          <w:color w:val="auto"/>
          <w:sz w:val="31"/>
          <w:szCs w:val="31"/>
          <w:highlight w:val="none"/>
        </w:rPr>
        <w:t>1.</w:t>
      </w:r>
      <w:r>
        <w:rPr>
          <w:rFonts w:ascii="宋体" w:hAnsi="宋体" w:eastAsia="宋体" w:cs="宋体"/>
          <w:color w:val="auto"/>
          <w:spacing w:val="23"/>
          <w:sz w:val="31"/>
          <w:szCs w:val="31"/>
          <w:highlight w:val="none"/>
        </w:rPr>
        <w:t xml:space="preserve"> </w:t>
      </w:r>
      <w:r>
        <w:rPr>
          <w:rFonts w:ascii="宋体" w:hAnsi="宋体" w:eastAsia="宋体" w:cs="宋体"/>
          <w:b/>
          <w:bCs/>
          <w:color w:val="auto"/>
          <w:sz w:val="31"/>
          <w:szCs w:val="31"/>
          <w:highlight w:val="none"/>
        </w:rPr>
        <w:t>招标图纸目录</w:t>
      </w:r>
    </w:p>
    <w:p w14:paraId="508350E2">
      <w:pPr>
        <w:spacing w:before="6"/>
        <w:outlineLvl w:val="9"/>
        <w:rPr>
          <w:color w:val="auto"/>
          <w:highlight w:val="none"/>
        </w:rPr>
      </w:pPr>
    </w:p>
    <w:p w14:paraId="6E36CF54">
      <w:pPr>
        <w:spacing w:before="6"/>
        <w:outlineLvl w:val="9"/>
        <w:rPr>
          <w:color w:val="auto"/>
          <w:highlight w:val="none"/>
        </w:rPr>
      </w:pPr>
    </w:p>
    <w:tbl>
      <w:tblPr>
        <w:tblStyle w:val="26"/>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1545"/>
        <w:gridCol w:w="1547"/>
        <w:gridCol w:w="1548"/>
        <w:gridCol w:w="1547"/>
        <w:gridCol w:w="1447"/>
      </w:tblGrid>
      <w:tr w14:paraId="0D037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429" w:type="dxa"/>
            <w:vAlign w:val="top"/>
          </w:tcPr>
          <w:p w14:paraId="5BE5972A">
            <w:pPr>
              <w:pStyle w:val="27"/>
              <w:spacing w:before="279" w:line="222" w:lineRule="auto"/>
              <w:ind w:left="508"/>
              <w:outlineLvl w:val="9"/>
              <w:rPr>
                <w:color w:val="auto"/>
                <w:highlight w:val="none"/>
              </w:rPr>
            </w:pPr>
            <w:r>
              <w:rPr>
                <w:color w:val="auto"/>
                <w:spacing w:val="-2"/>
                <w:highlight w:val="none"/>
              </w:rPr>
              <w:t>序号</w:t>
            </w:r>
          </w:p>
        </w:tc>
        <w:tc>
          <w:tcPr>
            <w:tcW w:w="1545" w:type="dxa"/>
            <w:vAlign w:val="top"/>
          </w:tcPr>
          <w:p w14:paraId="0B038C82">
            <w:pPr>
              <w:pStyle w:val="27"/>
              <w:spacing w:before="279" w:line="222" w:lineRule="auto"/>
              <w:ind w:left="586"/>
              <w:outlineLvl w:val="9"/>
              <w:rPr>
                <w:color w:val="auto"/>
                <w:highlight w:val="none"/>
              </w:rPr>
            </w:pPr>
            <w:r>
              <w:rPr>
                <w:color w:val="auto"/>
                <w:spacing w:val="-7"/>
                <w:highlight w:val="none"/>
              </w:rPr>
              <w:t>图名</w:t>
            </w:r>
          </w:p>
        </w:tc>
        <w:tc>
          <w:tcPr>
            <w:tcW w:w="1547" w:type="dxa"/>
            <w:vAlign w:val="top"/>
          </w:tcPr>
          <w:p w14:paraId="0A3821F6">
            <w:pPr>
              <w:pStyle w:val="27"/>
              <w:spacing w:before="279" w:line="222" w:lineRule="auto"/>
              <w:ind w:left="590"/>
              <w:outlineLvl w:val="9"/>
              <w:rPr>
                <w:color w:val="auto"/>
                <w:highlight w:val="none"/>
              </w:rPr>
            </w:pPr>
            <w:r>
              <w:rPr>
                <w:color w:val="auto"/>
                <w:spacing w:val="-7"/>
                <w:highlight w:val="none"/>
              </w:rPr>
              <w:t>图号</w:t>
            </w:r>
          </w:p>
        </w:tc>
        <w:tc>
          <w:tcPr>
            <w:tcW w:w="1548" w:type="dxa"/>
            <w:vAlign w:val="top"/>
          </w:tcPr>
          <w:p w14:paraId="1CB09586">
            <w:pPr>
              <w:pStyle w:val="27"/>
              <w:spacing w:before="279" w:line="220" w:lineRule="auto"/>
              <w:ind w:left="571"/>
              <w:outlineLvl w:val="9"/>
              <w:rPr>
                <w:color w:val="auto"/>
                <w:highlight w:val="none"/>
              </w:rPr>
            </w:pPr>
            <w:r>
              <w:rPr>
                <w:color w:val="auto"/>
                <w:spacing w:val="-2"/>
                <w:highlight w:val="none"/>
              </w:rPr>
              <w:t>版本</w:t>
            </w:r>
          </w:p>
        </w:tc>
        <w:tc>
          <w:tcPr>
            <w:tcW w:w="1547" w:type="dxa"/>
            <w:vAlign w:val="top"/>
          </w:tcPr>
          <w:p w14:paraId="4231E775">
            <w:pPr>
              <w:pStyle w:val="27"/>
              <w:spacing w:before="279" w:line="221" w:lineRule="auto"/>
              <w:ind w:left="378"/>
              <w:outlineLvl w:val="9"/>
              <w:rPr>
                <w:color w:val="auto"/>
                <w:highlight w:val="none"/>
              </w:rPr>
            </w:pPr>
            <w:r>
              <w:rPr>
                <w:color w:val="auto"/>
                <w:spacing w:val="-6"/>
                <w:highlight w:val="none"/>
              </w:rPr>
              <w:t>出图日期</w:t>
            </w:r>
          </w:p>
        </w:tc>
        <w:tc>
          <w:tcPr>
            <w:tcW w:w="1447" w:type="dxa"/>
            <w:vAlign w:val="top"/>
          </w:tcPr>
          <w:p w14:paraId="3B089BFC">
            <w:pPr>
              <w:pStyle w:val="27"/>
              <w:spacing w:before="279" w:line="222" w:lineRule="auto"/>
              <w:ind w:left="520"/>
              <w:outlineLvl w:val="9"/>
              <w:rPr>
                <w:color w:val="auto"/>
                <w:highlight w:val="none"/>
              </w:rPr>
            </w:pPr>
            <w:r>
              <w:rPr>
                <w:color w:val="auto"/>
                <w:spacing w:val="-3"/>
                <w:highlight w:val="none"/>
              </w:rPr>
              <w:t>备注</w:t>
            </w:r>
          </w:p>
        </w:tc>
      </w:tr>
      <w:tr w14:paraId="45EAE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14:paraId="2D988E0C">
            <w:pPr>
              <w:outlineLvl w:val="9"/>
              <w:rPr>
                <w:rFonts w:ascii="Arial"/>
                <w:color w:val="auto"/>
                <w:sz w:val="21"/>
                <w:highlight w:val="none"/>
              </w:rPr>
            </w:pPr>
          </w:p>
        </w:tc>
        <w:tc>
          <w:tcPr>
            <w:tcW w:w="1545" w:type="dxa"/>
            <w:vAlign w:val="top"/>
          </w:tcPr>
          <w:p w14:paraId="4E0CF3C2">
            <w:pPr>
              <w:outlineLvl w:val="9"/>
              <w:rPr>
                <w:rFonts w:ascii="Arial"/>
                <w:color w:val="auto"/>
                <w:sz w:val="21"/>
                <w:highlight w:val="none"/>
              </w:rPr>
            </w:pPr>
          </w:p>
        </w:tc>
        <w:tc>
          <w:tcPr>
            <w:tcW w:w="1547" w:type="dxa"/>
            <w:vAlign w:val="top"/>
          </w:tcPr>
          <w:p w14:paraId="464325F7">
            <w:pPr>
              <w:outlineLvl w:val="9"/>
              <w:rPr>
                <w:rFonts w:ascii="Arial"/>
                <w:color w:val="auto"/>
                <w:sz w:val="21"/>
                <w:highlight w:val="none"/>
              </w:rPr>
            </w:pPr>
          </w:p>
        </w:tc>
        <w:tc>
          <w:tcPr>
            <w:tcW w:w="1548" w:type="dxa"/>
            <w:vAlign w:val="top"/>
          </w:tcPr>
          <w:p w14:paraId="1B00CC52">
            <w:pPr>
              <w:outlineLvl w:val="9"/>
              <w:rPr>
                <w:rFonts w:ascii="Arial"/>
                <w:color w:val="auto"/>
                <w:sz w:val="21"/>
                <w:highlight w:val="none"/>
              </w:rPr>
            </w:pPr>
          </w:p>
        </w:tc>
        <w:tc>
          <w:tcPr>
            <w:tcW w:w="1547" w:type="dxa"/>
            <w:vAlign w:val="top"/>
          </w:tcPr>
          <w:p w14:paraId="165D3D68">
            <w:pPr>
              <w:outlineLvl w:val="9"/>
              <w:rPr>
                <w:rFonts w:ascii="Arial"/>
                <w:color w:val="auto"/>
                <w:sz w:val="21"/>
                <w:highlight w:val="none"/>
              </w:rPr>
            </w:pPr>
          </w:p>
        </w:tc>
        <w:tc>
          <w:tcPr>
            <w:tcW w:w="1447" w:type="dxa"/>
            <w:vAlign w:val="top"/>
          </w:tcPr>
          <w:p w14:paraId="24C79FC8">
            <w:pPr>
              <w:outlineLvl w:val="9"/>
              <w:rPr>
                <w:rFonts w:ascii="Arial"/>
                <w:color w:val="auto"/>
                <w:sz w:val="21"/>
                <w:highlight w:val="none"/>
              </w:rPr>
            </w:pPr>
          </w:p>
        </w:tc>
      </w:tr>
      <w:tr w14:paraId="78E09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1ECF4841">
            <w:pPr>
              <w:outlineLvl w:val="9"/>
              <w:rPr>
                <w:rFonts w:ascii="Arial"/>
                <w:color w:val="auto"/>
                <w:sz w:val="21"/>
                <w:highlight w:val="none"/>
              </w:rPr>
            </w:pPr>
          </w:p>
        </w:tc>
        <w:tc>
          <w:tcPr>
            <w:tcW w:w="1545" w:type="dxa"/>
            <w:vAlign w:val="top"/>
          </w:tcPr>
          <w:p w14:paraId="1667A2A4">
            <w:pPr>
              <w:outlineLvl w:val="9"/>
              <w:rPr>
                <w:rFonts w:ascii="Arial"/>
                <w:color w:val="auto"/>
                <w:sz w:val="21"/>
                <w:highlight w:val="none"/>
              </w:rPr>
            </w:pPr>
          </w:p>
        </w:tc>
        <w:tc>
          <w:tcPr>
            <w:tcW w:w="1547" w:type="dxa"/>
            <w:vAlign w:val="top"/>
          </w:tcPr>
          <w:p w14:paraId="7184DE35">
            <w:pPr>
              <w:outlineLvl w:val="9"/>
              <w:rPr>
                <w:rFonts w:ascii="Arial"/>
                <w:color w:val="auto"/>
                <w:sz w:val="21"/>
                <w:highlight w:val="none"/>
              </w:rPr>
            </w:pPr>
          </w:p>
        </w:tc>
        <w:tc>
          <w:tcPr>
            <w:tcW w:w="1548" w:type="dxa"/>
            <w:vAlign w:val="top"/>
          </w:tcPr>
          <w:p w14:paraId="12C80255">
            <w:pPr>
              <w:outlineLvl w:val="9"/>
              <w:rPr>
                <w:rFonts w:ascii="Arial"/>
                <w:color w:val="auto"/>
                <w:sz w:val="21"/>
                <w:highlight w:val="none"/>
              </w:rPr>
            </w:pPr>
          </w:p>
        </w:tc>
        <w:tc>
          <w:tcPr>
            <w:tcW w:w="1547" w:type="dxa"/>
            <w:vAlign w:val="top"/>
          </w:tcPr>
          <w:p w14:paraId="17AAEBB8">
            <w:pPr>
              <w:outlineLvl w:val="9"/>
              <w:rPr>
                <w:rFonts w:ascii="Arial"/>
                <w:color w:val="auto"/>
                <w:sz w:val="21"/>
                <w:highlight w:val="none"/>
              </w:rPr>
            </w:pPr>
          </w:p>
        </w:tc>
        <w:tc>
          <w:tcPr>
            <w:tcW w:w="1447" w:type="dxa"/>
            <w:vAlign w:val="top"/>
          </w:tcPr>
          <w:p w14:paraId="76C2EC8D">
            <w:pPr>
              <w:outlineLvl w:val="9"/>
              <w:rPr>
                <w:rFonts w:ascii="Arial"/>
                <w:color w:val="auto"/>
                <w:sz w:val="21"/>
                <w:highlight w:val="none"/>
              </w:rPr>
            </w:pPr>
          </w:p>
        </w:tc>
      </w:tr>
      <w:tr w14:paraId="57B54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20DCA31F">
            <w:pPr>
              <w:outlineLvl w:val="9"/>
              <w:rPr>
                <w:rFonts w:ascii="Arial"/>
                <w:color w:val="auto"/>
                <w:sz w:val="21"/>
                <w:highlight w:val="none"/>
              </w:rPr>
            </w:pPr>
          </w:p>
        </w:tc>
        <w:tc>
          <w:tcPr>
            <w:tcW w:w="1545" w:type="dxa"/>
            <w:vAlign w:val="top"/>
          </w:tcPr>
          <w:p w14:paraId="1D45A795">
            <w:pPr>
              <w:outlineLvl w:val="9"/>
              <w:rPr>
                <w:rFonts w:ascii="Arial"/>
                <w:color w:val="auto"/>
                <w:sz w:val="21"/>
                <w:highlight w:val="none"/>
              </w:rPr>
            </w:pPr>
          </w:p>
        </w:tc>
        <w:tc>
          <w:tcPr>
            <w:tcW w:w="1547" w:type="dxa"/>
            <w:vAlign w:val="top"/>
          </w:tcPr>
          <w:p w14:paraId="6F269AE0">
            <w:pPr>
              <w:outlineLvl w:val="9"/>
              <w:rPr>
                <w:rFonts w:ascii="Arial"/>
                <w:color w:val="auto"/>
                <w:sz w:val="21"/>
                <w:highlight w:val="none"/>
              </w:rPr>
            </w:pPr>
          </w:p>
        </w:tc>
        <w:tc>
          <w:tcPr>
            <w:tcW w:w="1548" w:type="dxa"/>
            <w:vAlign w:val="top"/>
          </w:tcPr>
          <w:p w14:paraId="10C4777D">
            <w:pPr>
              <w:outlineLvl w:val="9"/>
              <w:rPr>
                <w:rFonts w:ascii="Arial"/>
                <w:color w:val="auto"/>
                <w:sz w:val="21"/>
                <w:highlight w:val="none"/>
              </w:rPr>
            </w:pPr>
          </w:p>
        </w:tc>
        <w:tc>
          <w:tcPr>
            <w:tcW w:w="1547" w:type="dxa"/>
            <w:vAlign w:val="top"/>
          </w:tcPr>
          <w:p w14:paraId="1EC17F9A">
            <w:pPr>
              <w:outlineLvl w:val="9"/>
              <w:rPr>
                <w:rFonts w:ascii="Arial"/>
                <w:color w:val="auto"/>
                <w:sz w:val="21"/>
                <w:highlight w:val="none"/>
              </w:rPr>
            </w:pPr>
          </w:p>
        </w:tc>
        <w:tc>
          <w:tcPr>
            <w:tcW w:w="1447" w:type="dxa"/>
            <w:vAlign w:val="top"/>
          </w:tcPr>
          <w:p w14:paraId="2D64B233">
            <w:pPr>
              <w:outlineLvl w:val="9"/>
              <w:rPr>
                <w:rFonts w:ascii="Arial"/>
                <w:color w:val="auto"/>
                <w:sz w:val="21"/>
                <w:highlight w:val="none"/>
              </w:rPr>
            </w:pPr>
          </w:p>
        </w:tc>
      </w:tr>
      <w:tr w14:paraId="6AE73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429" w:type="dxa"/>
            <w:vAlign w:val="top"/>
          </w:tcPr>
          <w:p w14:paraId="08F395D7">
            <w:pPr>
              <w:outlineLvl w:val="9"/>
              <w:rPr>
                <w:rFonts w:ascii="Arial"/>
                <w:color w:val="auto"/>
                <w:sz w:val="21"/>
                <w:highlight w:val="none"/>
              </w:rPr>
            </w:pPr>
          </w:p>
        </w:tc>
        <w:tc>
          <w:tcPr>
            <w:tcW w:w="1545" w:type="dxa"/>
            <w:vAlign w:val="top"/>
          </w:tcPr>
          <w:p w14:paraId="54DA5092">
            <w:pPr>
              <w:outlineLvl w:val="9"/>
              <w:rPr>
                <w:rFonts w:ascii="Arial"/>
                <w:color w:val="auto"/>
                <w:sz w:val="21"/>
                <w:highlight w:val="none"/>
              </w:rPr>
            </w:pPr>
          </w:p>
        </w:tc>
        <w:tc>
          <w:tcPr>
            <w:tcW w:w="1547" w:type="dxa"/>
            <w:vAlign w:val="top"/>
          </w:tcPr>
          <w:p w14:paraId="519DE5AC">
            <w:pPr>
              <w:outlineLvl w:val="9"/>
              <w:rPr>
                <w:rFonts w:ascii="Arial"/>
                <w:color w:val="auto"/>
                <w:sz w:val="21"/>
                <w:highlight w:val="none"/>
              </w:rPr>
            </w:pPr>
          </w:p>
        </w:tc>
        <w:tc>
          <w:tcPr>
            <w:tcW w:w="1548" w:type="dxa"/>
            <w:vAlign w:val="top"/>
          </w:tcPr>
          <w:p w14:paraId="3080CC9B">
            <w:pPr>
              <w:outlineLvl w:val="9"/>
              <w:rPr>
                <w:rFonts w:ascii="Arial"/>
                <w:color w:val="auto"/>
                <w:sz w:val="21"/>
                <w:highlight w:val="none"/>
              </w:rPr>
            </w:pPr>
          </w:p>
        </w:tc>
        <w:tc>
          <w:tcPr>
            <w:tcW w:w="1547" w:type="dxa"/>
            <w:vAlign w:val="top"/>
          </w:tcPr>
          <w:p w14:paraId="0C0D2B30">
            <w:pPr>
              <w:outlineLvl w:val="9"/>
              <w:rPr>
                <w:rFonts w:ascii="Arial"/>
                <w:color w:val="auto"/>
                <w:sz w:val="21"/>
                <w:highlight w:val="none"/>
              </w:rPr>
            </w:pPr>
          </w:p>
        </w:tc>
        <w:tc>
          <w:tcPr>
            <w:tcW w:w="1447" w:type="dxa"/>
            <w:vAlign w:val="top"/>
          </w:tcPr>
          <w:p w14:paraId="09884F8A">
            <w:pPr>
              <w:outlineLvl w:val="9"/>
              <w:rPr>
                <w:rFonts w:ascii="Arial"/>
                <w:color w:val="auto"/>
                <w:sz w:val="21"/>
                <w:highlight w:val="none"/>
              </w:rPr>
            </w:pPr>
          </w:p>
        </w:tc>
      </w:tr>
      <w:tr w14:paraId="1C4C8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282CD397">
            <w:pPr>
              <w:outlineLvl w:val="9"/>
              <w:rPr>
                <w:rFonts w:ascii="Arial"/>
                <w:color w:val="auto"/>
                <w:sz w:val="21"/>
                <w:highlight w:val="none"/>
              </w:rPr>
            </w:pPr>
          </w:p>
        </w:tc>
        <w:tc>
          <w:tcPr>
            <w:tcW w:w="1545" w:type="dxa"/>
            <w:vAlign w:val="top"/>
          </w:tcPr>
          <w:p w14:paraId="2825B1CE">
            <w:pPr>
              <w:outlineLvl w:val="9"/>
              <w:rPr>
                <w:rFonts w:ascii="Arial"/>
                <w:color w:val="auto"/>
                <w:sz w:val="21"/>
                <w:highlight w:val="none"/>
              </w:rPr>
            </w:pPr>
          </w:p>
        </w:tc>
        <w:tc>
          <w:tcPr>
            <w:tcW w:w="1547" w:type="dxa"/>
            <w:vAlign w:val="top"/>
          </w:tcPr>
          <w:p w14:paraId="01F8545E">
            <w:pPr>
              <w:outlineLvl w:val="9"/>
              <w:rPr>
                <w:rFonts w:ascii="Arial"/>
                <w:color w:val="auto"/>
                <w:sz w:val="21"/>
                <w:highlight w:val="none"/>
              </w:rPr>
            </w:pPr>
          </w:p>
        </w:tc>
        <w:tc>
          <w:tcPr>
            <w:tcW w:w="1548" w:type="dxa"/>
            <w:vAlign w:val="top"/>
          </w:tcPr>
          <w:p w14:paraId="5AB85040">
            <w:pPr>
              <w:outlineLvl w:val="9"/>
              <w:rPr>
                <w:rFonts w:ascii="Arial"/>
                <w:color w:val="auto"/>
                <w:sz w:val="21"/>
                <w:highlight w:val="none"/>
              </w:rPr>
            </w:pPr>
          </w:p>
        </w:tc>
        <w:tc>
          <w:tcPr>
            <w:tcW w:w="1547" w:type="dxa"/>
            <w:vAlign w:val="top"/>
          </w:tcPr>
          <w:p w14:paraId="6C3266CD">
            <w:pPr>
              <w:outlineLvl w:val="9"/>
              <w:rPr>
                <w:rFonts w:ascii="Arial"/>
                <w:color w:val="auto"/>
                <w:sz w:val="21"/>
                <w:highlight w:val="none"/>
              </w:rPr>
            </w:pPr>
          </w:p>
        </w:tc>
        <w:tc>
          <w:tcPr>
            <w:tcW w:w="1447" w:type="dxa"/>
            <w:vAlign w:val="top"/>
          </w:tcPr>
          <w:p w14:paraId="24C7907C">
            <w:pPr>
              <w:outlineLvl w:val="9"/>
              <w:rPr>
                <w:rFonts w:ascii="Arial"/>
                <w:color w:val="auto"/>
                <w:sz w:val="21"/>
                <w:highlight w:val="none"/>
              </w:rPr>
            </w:pPr>
          </w:p>
        </w:tc>
      </w:tr>
      <w:tr w14:paraId="68B15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146EED7D">
            <w:pPr>
              <w:outlineLvl w:val="9"/>
              <w:rPr>
                <w:rFonts w:ascii="Arial"/>
                <w:color w:val="auto"/>
                <w:sz w:val="21"/>
                <w:highlight w:val="none"/>
              </w:rPr>
            </w:pPr>
          </w:p>
        </w:tc>
        <w:tc>
          <w:tcPr>
            <w:tcW w:w="1545" w:type="dxa"/>
            <w:vAlign w:val="top"/>
          </w:tcPr>
          <w:p w14:paraId="177E83B2">
            <w:pPr>
              <w:outlineLvl w:val="9"/>
              <w:rPr>
                <w:rFonts w:ascii="Arial"/>
                <w:color w:val="auto"/>
                <w:sz w:val="21"/>
                <w:highlight w:val="none"/>
              </w:rPr>
            </w:pPr>
          </w:p>
        </w:tc>
        <w:tc>
          <w:tcPr>
            <w:tcW w:w="1547" w:type="dxa"/>
            <w:vAlign w:val="top"/>
          </w:tcPr>
          <w:p w14:paraId="4E5E7CA6">
            <w:pPr>
              <w:outlineLvl w:val="9"/>
              <w:rPr>
                <w:rFonts w:ascii="Arial"/>
                <w:color w:val="auto"/>
                <w:sz w:val="21"/>
                <w:highlight w:val="none"/>
              </w:rPr>
            </w:pPr>
          </w:p>
        </w:tc>
        <w:tc>
          <w:tcPr>
            <w:tcW w:w="1548" w:type="dxa"/>
            <w:vAlign w:val="top"/>
          </w:tcPr>
          <w:p w14:paraId="0DADA727">
            <w:pPr>
              <w:outlineLvl w:val="9"/>
              <w:rPr>
                <w:rFonts w:ascii="Arial"/>
                <w:color w:val="auto"/>
                <w:sz w:val="21"/>
                <w:highlight w:val="none"/>
              </w:rPr>
            </w:pPr>
          </w:p>
        </w:tc>
        <w:tc>
          <w:tcPr>
            <w:tcW w:w="1547" w:type="dxa"/>
            <w:vAlign w:val="top"/>
          </w:tcPr>
          <w:p w14:paraId="0D3C5C7F">
            <w:pPr>
              <w:outlineLvl w:val="9"/>
              <w:rPr>
                <w:rFonts w:ascii="Arial"/>
                <w:color w:val="auto"/>
                <w:sz w:val="21"/>
                <w:highlight w:val="none"/>
              </w:rPr>
            </w:pPr>
          </w:p>
        </w:tc>
        <w:tc>
          <w:tcPr>
            <w:tcW w:w="1447" w:type="dxa"/>
            <w:vAlign w:val="top"/>
          </w:tcPr>
          <w:p w14:paraId="4455F6CD">
            <w:pPr>
              <w:outlineLvl w:val="9"/>
              <w:rPr>
                <w:rFonts w:ascii="Arial"/>
                <w:color w:val="auto"/>
                <w:sz w:val="21"/>
                <w:highlight w:val="none"/>
              </w:rPr>
            </w:pPr>
          </w:p>
        </w:tc>
      </w:tr>
      <w:tr w14:paraId="15606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14:paraId="7BFB1E5F">
            <w:pPr>
              <w:outlineLvl w:val="9"/>
              <w:rPr>
                <w:rFonts w:ascii="Arial"/>
                <w:color w:val="auto"/>
                <w:sz w:val="21"/>
                <w:highlight w:val="none"/>
              </w:rPr>
            </w:pPr>
          </w:p>
        </w:tc>
        <w:tc>
          <w:tcPr>
            <w:tcW w:w="1545" w:type="dxa"/>
            <w:vAlign w:val="top"/>
          </w:tcPr>
          <w:p w14:paraId="58C56F57">
            <w:pPr>
              <w:outlineLvl w:val="9"/>
              <w:rPr>
                <w:rFonts w:ascii="Arial"/>
                <w:color w:val="auto"/>
                <w:sz w:val="21"/>
                <w:highlight w:val="none"/>
              </w:rPr>
            </w:pPr>
          </w:p>
        </w:tc>
        <w:tc>
          <w:tcPr>
            <w:tcW w:w="1547" w:type="dxa"/>
            <w:vAlign w:val="top"/>
          </w:tcPr>
          <w:p w14:paraId="317AF686">
            <w:pPr>
              <w:outlineLvl w:val="9"/>
              <w:rPr>
                <w:rFonts w:ascii="Arial"/>
                <w:color w:val="auto"/>
                <w:sz w:val="21"/>
                <w:highlight w:val="none"/>
              </w:rPr>
            </w:pPr>
          </w:p>
        </w:tc>
        <w:tc>
          <w:tcPr>
            <w:tcW w:w="1548" w:type="dxa"/>
            <w:vAlign w:val="top"/>
          </w:tcPr>
          <w:p w14:paraId="28284EAF">
            <w:pPr>
              <w:outlineLvl w:val="9"/>
              <w:rPr>
                <w:rFonts w:ascii="Arial"/>
                <w:color w:val="auto"/>
                <w:sz w:val="21"/>
                <w:highlight w:val="none"/>
              </w:rPr>
            </w:pPr>
          </w:p>
        </w:tc>
        <w:tc>
          <w:tcPr>
            <w:tcW w:w="1547" w:type="dxa"/>
            <w:vAlign w:val="top"/>
          </w:tcPr>
          <w:p w14:paraId="6BA56D26">
            <w:pPr>
              <w:outlineLvl w:val="9"/>
              <w:rPr>
                <w:rFonts w:ascii="Arial"/>
                <w:color w:val="auto"/>
                <w:sz w:val="21"/>
                <w:highlight w:val="none"/>
              </w:rPr>
            </w:pPr>
          </w:p>
        </w:tc>
        <w:tc>
          <w:tcPr>
            <w:tcW w:w="1447" w:type="dxa"/>
            <w:vAlign w:val="top"/>
          </w:tcPr>
          <w:p w14:paraId="01DB3068">
            <w:pPr>
              <w:outlineLvl w:val="9"/>
              <w:rPr>
                <w:rFonts w:ascii="Arial"/>
                <w:color w:val="auto"/>
                <w:sz w:val="21"/>
                <w:highlight w:val="none"/>
              </w:rPr>
            </w:pPr>
          </w:p>
        </w:tc>
      </w:tr>
      <w:tr w14:paraId="4B59D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0D526434">
            <w:pPr>
              <w:outlineLvl w:val="9"/>
              <w:rPr>
                <w:rFonts w:ascii="Arial"/>
                <w:color w:val="auto"/>
                <w:sz w:val="21"/>
                <w:highlight w:val="none"/>
              </w:rPr>
            </w:pPr>
          </w:p>
        </w:tc>
        <w:tc>
          <w:tcPr>
            <w:tcW w:w="1545" w:type="dxa"/>
            <w:vAlign w:val="top"/>
          </w:tcPr>
          <w:p w14:paraId="64590709">
            <w:pPr>
              <w:outlineLvl w:val="9"/>
              <w:rPr>
                <w:rFonts w:ascii="Arial"/>
                <w:color w:val="auto"/>
                <w:sz w:val="21"/>
                <w:highlight w:val="none"/>
              </w:rPr>
            </w:pPr>
          </w:p>
        </w:tc>
        <w:tc>
          <w:tcPr>
            <w:tcW w:w="1547" w:type="dxa"/>
            <w:vAlign w:val="top"/>
          </w:tcPr>
          <w:p w14:paraId="374EE6C3">
            <w:pPr>
              <w:outlineLvl w:val="9"/>
              <w:rPr>
                <w:rFonts w:ascii="Arial"/>
                <w:color w:val="auto"/>
                <w:sz w:val="21"/>
                <w:highlight w:val="none"/>
              </w:rPr>
            </w:pPr>
          </w:p>
        </w:tc>
        <w:tc>
          <w:tcPr>
            <w:tcW w:w="1548" w:type="dxa"/>
            <w:vAlign w:val="top"/>
          </w:tcPr>
          <w:p w14:paraId="2D5B5FDD">
            <w:pPr>
              <w:outlineLvl w:val="9"/>
              <w:rPr>
                <w:rFonts w:ascii="Arial"/>
                <w:color w:val="auto"/>
                <w:sz w:val="21"/>
                <w:highlight w:val="none"/>
              </w:rPr>
            </w:pPr>
          </w:p>
        </w:tc>
        <w:tc>
          <w:tcPr>
            <w:tcW w:w="1547" w:type="dxa"/>
            <w:vAlign w:val="top"/>
          </w:tcPr>
          <w:p w14:paraId="35B2D9B9">
            <w:pPr>
              <w:outlineLvl w:val="9"/>
              <w:rPr>
                <w:rFonts w:ascii="Arial"/>
                <w:color w:val="auto"/>
                <w:sz w:val="21"/>
                <w:highlight w:val="none"/>
              </w:rPr>
            </w:pPr>
          </w:p>
        </w:tc>
        <w:tc>
          <w:tcPr>
            <w:tcW w:w="1447" w:type="dxa"/>
            <w:vAlign w:val="top"/>
          </w:tcPr>
          <w:p w14:paraId="73B526A2">
            <w:pPr>
              <w:outlineLvl w:val="9"/>
              <w:rPr>
                <w:rFonts w:ascii="Arial"/>
                <w:color w:val="auto"/>
                <w:sz w:val="21"/>
                <w:highlight w:val="none"/>
              </w:rPr>
            </w:pPr>
          </w:p>
        </w:tc>
      </w:tr>
      <w:tr w14:paraId="005C1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5B3C5DA8">
            <w:pPr>
              <w:outlineLvl w:val="9"/>
              <w:rPr>
                <w:rFonts w:ascii="Arial"/>
                <w:color w:val="auto"/>
                <w:sz w:val="21"/>
                <w:highlight w:val="none"/>
              </w:rPr>
            </w:pPr>
          </w:p>
        </w:tc>
        <w:tc>
          <w:tcPr>
            <w:tcW w:w="1545" w:type="dxa"/>
            <w:vAlign w:val="top"/>
          </w:tcPr>
          <w:p w14:paraId="09D19166">
            <w:pPr>
              <w:outlineLvl w:val="9"/>
              <w:rPr>
                <w:rFonts w:ascii="Arial"/>
                <w:color w:val="auto"/>
                <w:sz w:val="21"/>
                <w:highlight w:val="none"/>
              </w:rPr>
            </w:pPr>
          </w:p>
        </w:tc>
        <w:tc>
          <w:tcPr>
            <w:tcW w:w="1547" w:type="dxa"/>
            <w:vAlign w:val="top"/>
          </w:tcPr>
          <w:p w14:paraId="713D8A85">
            <w:pPr>
              <w:outlineLvl w:val="9"/>
              <w:rPr>
                <w:rFonts w:ascii="Arial"/>
                <w:color w:val="auto"/>
                <w:sz w:val="21"/>
                <w:highlight w:val="none"/>
              </w:rPr>
            </w:pPr>
          </w:p>
        </w:tc>
        <w:tc>
          <w:tcPr>
            <w:tcW w:w="1548" w:type="dxa"/>
            <w:vAlign w:val="top"/>
          </w:tcPr>
          <w:p w14:paraId="69F2359D">
            <w:pPr>
              <w:outlineLvl w:val="9"/>
              <w:rPr>
                <w:rFonts w:ascii="Arial"/>
                <w:color w:val="auto"/>
                <w:sz w:val="21"/>
                <w:highlight w:val="none"/>
              </w:rPr>
            </w:pPr>
          </w:p>
        </w:tc>
        <w:tc>
          <w:tcPr>
            <w:tcW w:w="1547" w:type="dxa"/>
            <w:vAlign w:val="top"/>
          </w:tcPr>
          <w:p w14:paraId="43E6D580">
            <w:pPr>
              <w:outlineLvl w:val="9"/>
              <w:rPr>
                <w:rFonts w:ascii="Arial"/>
                <w:color w:val="auto"/>
                <w:sz w:val="21"/>
                <w:highlight w:val="none"/>
              </w:rPr>
            </w:pPr>
          </w:p>
        </w:tc>
        <w:tc>
          <w:tcPr>
            <w:tcW w:w="1447" w:type="dxa"/>
            <w:vAlign w:val="top"/>
          </w:tcPr>
          <w:p w14:paraId="1C2AED98">
            <w:pPr>
              <w:outlineLvl w:val="9"/>
              <w:rPr>
                <w:rFonts w:ascii="Arial"/>
                <w:color w:val="auto"/>
                <w:sz w:val="21"/>
                <w:highlight w:val="none"/>
              </w:rPr>
            </w:pPr>
          </w:p>
        </w:tc>
      </w:tr>
      <w:tr w14:paraId="5F8E4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429" w:type="dxa"/>
            <w:vAlign w:val="top"/>
          </w:tcPr>
          <w:p w14:paraId="0928E458">
            <w:pPr>
              <w:outlineLvl w:val="9"/>
              <w:rPr>
                <w:rFonts w:ascii="Arial"/>
                <w:color w:val="auto"/>
                <w:sz w:val="21"/>
                <w:highlight w:val="none"/>
              </w:rPr>
            </w:pPr>
          </w:p>
        </w:tc>
        <w:tc>
          <w:tcPr>
            <w:tcW w:w="1545" w:type="dxa"/>
            <w:vAlign w:val="top"/>
          </w:tcPr>
          <w:p w14:paraId="2C621264">
            <w:pPr>
              <w:outlineLvl w:val="9"/>
              <w:rPr>
                <w:rFonts w:ascii="Arial"/>
                <w:color w:val="auto"/>
                <w:sz w:val="21"/>
                <w:highlight w:val="none"/>
              </w:rPr>
            </w:pPr>
          </w:p>
        </w:tc>
        <w:tc>
          <w:tcPr>
            <w:tcW w:w="1547" w:type="dxa"/>
            <w:vAlign w:val="top"/>
          </w:tcPr>
          <w:p w14:paraId="036D2C7E">
            <w:pPr>
              <w:outlineLvl w:val="9"/>
              <w:rPr>
                <w:rFonts w:ascii="Arial"/>
                <w:color w:val="auto"/>
                <w:sz w:val="21"/>
                <w:highlight w:val="none"/>
              </w:rPr>
            </w:pPr>
          </w:p>
        </w:tc>
        <w:tc>
          <w:tcPr>
            <w:tcW w:w="1548" w:type="dxa"/>
            <w:vAlign w:val="top"/>
          </w:tcPr>
          <w:p w14:paraId="6F3B3AA0">
            <w:pPr>
              <w:outlineLvl w:val="9"/>
              <w:rPr>
                <w:rFonts w:ascii="Arial"/>
                <w:color w:val="auto"/>
                <w:sz w:val="21"/>
                <w:highlight w:val="none"/>
              </w:rPr>
            </w:pPr>
          </w:p>
        </w:tc>
        <w:tc>
          <w:tcPr>
            <w:tcW w:w="1547" w:type="dxa"/>
            <w:vAlign w:val="top"/>
          </w:tcPr>
          <w:p w14:paraId="243F94D7">
            <w:pPr>
              <w:outlineLvl w:val="9"/>
              <w:rPr>
                <w:rFonts w:ascii="Arial"/>
                <w:color w:val="auto"/>
                <w:sz w:val="21"/>
                <w:highlight w:val="none"/>
              </w:rPr>
            </w:pPr>
          </w:p>
        </w:tc>
        <w:tc>
          <w:tcPr>
            <w:tcW w:w="1447" w:type="dxa"/>
            <w:vAlign w:val="top"/>
          </w:tcPr>
          <w:p w14:paraId="54B4881F">
            <w:pPr>
              <w:outlineLvl w:val="9"/>
              <w:rPr>
                <w:rFonts w:ascii="Arial"/>
                <w:color w:val="auto"/>
                <w:sz w:val="21"/>
                <w:highlight w:val="none"/>
              </w:rPr>
            </w:pPr>
          </w:p>
        </w:tc>
      </w:tr>
      <w:tr w14:paraId="00DA7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4" w:hRule="atLeast"/>
        </w:trPr>
        <w:tc>
          <w:tcPr>
            <w:tcW w:w="1429" w:type="dxa"/>
            <w:vAlign w:val="top"/>
          </w:tcPr>
          <w:p w14:paraId="2DCD0ABD">
            <w:pPr>
              <w:outlineLvl w:val="9"/>
              <w:rPr>
                <w:rFonts w:ascii="Arial"/>
                <w:color w:val="auto"/>
                <w:sz w:val="21"/>
                <w:highlight w:val="none"/>
              </w:rPr>
            </w:pPr>
          </w:p>
        </w:tc>
        <w:tc>
          <w:tcPr>
            <w:tcW w:w="1545" w:type="dxa"/>
            <w:vAlign w:val="top"/>
          </w:tcPr>
          <w:p w14:paraId="4B8FA59C">
            <w:pPr>
              <w:outlineLvl w:val="9"/>
              <w:rPr>
                <w:rFonts w:ascii="Arial"/>
                <w:color w:val="auto"/>
                <w:sz w:val="21"/>
                <w:highlight w:val="none"/>
              </w:rPr>
            </w:pPr>
          </w:p>
        </w:tc>
        <w:tc>
          <w:tcPr>
            <w:tcW w:w="1547" w:type="dxa"/>
            <w:vAlign w:val="top"/>
          </w:tcPr>
          <w:p w14:paraId="43C7D110">
            <w:pPr>
              <w:outlineLvl w:val="9"/>
              <w:rPr>
                <w:rFonts w:ascii="Arial"/>
                <w:color w:val="auto"/>
                <w:sz w:val="21"/>
                <w:highlight w:val="none"/>
              </w:rPr>
            </w:pPr>
          </w:p>
        </w:tc>
        <w:tc>
          <w:tcPr>
            <w:tcW w:w="1548" w:type="dxa"/>
            <w:vAlign w:val="top"/>
          </w:tcPr>
          <w:p w14:paraId="637FD54F">
            <w:pPr>
              <w:outlineLvl w:val="9"/>
              <w:rPr>
                <w:rFonts w:ascii="Arial"/>
                <w:color w:val="auto"/>
                <w:sz w:val="21"/>
                <w:highlight w:val="none"/>
              </w:rPr>
            </w:pPr>
          </w:p>
        </w:tc>
        <w:tc>
          <w:tcPr>
            <w:tcW w:w="1547" w:type="dxa"/>
            <w:vAlign w:val="top"/>
          </w:tcPr>
          <w:p w14:paraId="39A7D621">
            <w:pPr>
              <w:outlineLvl w:val="9"/>
              <w:rPr>
                <w:rFonts w:ascii="Arial"/>
                <w:color w:val="auto"/>
                <w:sz w:val="21"/>
                <w:highlight w:val="none"/>
              </w:rPr>
            </w:pPr>
          </w:p>
        </w:tc>
        <w:tc>
          <w:tcPr>
            <w:tcW w:w="1447" w:type="dxa"/>
            <w:vAlign w:val="top"/>
          </w:tcPr>
          <w:p w14:paraId="6F04257F">
            <w:pPr>
              <w:outlineLvl w:val="9"/>
              <w:rPr>
                <w:rFonts w:ascii="Arial"/>
                <w:color w:val="auto"/>
                <w:sz w:val="21"/>
                <w:highlight w:val="none"/>
              </w:rPr>
            </w:pPr>
          </w:p>
        </w:tc>
      </w:tr>
      <w:tr w14:paraId="1AEA7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1DFF2D56">
            <w:pPr>
              <w:outlineLvl w:val="9"/>
              <w:rPr>
                <w:rFonts w:ascii="Arial"/>
                <w:color w:val="auto"/>
                <w:sz w:val="21"/>
                <w:highlight w:val="none"/>
              </w:rPr>
            </w:pPr>
          </w:p>
        </w:tc>
        <w:tc>
          <w:tcPr>
            <w:tcW w:w="1545" w:type="dxa"/>
            <w:vAlign w:val="top"/>
          </w:tcPr>
          <w:p w14:paraId="0B53F0ED">
            <w:pPr>
              <w:outlineLvl w:val="9"/>
              <w:rPr>
                <w:rFonts w:ascii="Arial"/>
                <w:color w:val="auto"/>
                <w:sz w:val="21"/>
                <w:highlight w:val="none"/>
              </w:rPr>
            </w:pPr>
          </w:p>
        </w:tc>
        <w:tc>
          <w:tcPr>
            <w:tcW w:w="1547" w:type="dxa"/>
            <w:vAlign w:val="top"/>
          </w:tcPr>
          <w:p w14:paraId="6E2EDCDC">
            <w:pPr>
              <w:outlineLvl w:val="9"/>
              <w:rPr>
                <w:rFonts w:ascii="Arial"/>
                <w:color w:val="auto"/>
                <w:sz w:val="21"/>
                <w:highlight w:val="none"/>
              </w:rPr>
            </w:pPr>
          </w:p>
        </w:tc>
        <w:tc>
          <w:tcPr>
            <w:tcW w:w="1548" w:type="dxa"/>
            <w:vAlign w:val="top"/>
          </w:tcPr>
          <w:p w14:paraId="6B5087C0">
            <w:pPr>
              <w:outlineLvl w:val="9"/>
              <w:rPr>
                <w:rFonts w:ascii="Arial"/>
                <w:color w:val="auto"/>
                <w:sz w:val="21"/>
                <w:highlight w:val="none"/>
              </w:rPr>
            </w:pPr>
          </w:p>
        </w:tc>
        <w:tc>
          <w:tcPr>
            <w:tcW w:w="1547" w:type="dxa"/>
            <w:vAlign w:val="top"/>
          </w:tcPr>
          <w:p w14:paraId="22EAC6F5">
            <w:pPr>
              <w:outlineLvl w:val="9"/>
              <w:rPr>
                <w:rFonts w:ascii="Arial"/>
                <w:color w:val="auto"/>
                <w:sz w:val="21"/>
                <w:highlight w:val="none"/>
              </w:rPr>
            </w:pPr>
          </w:p>
        </w:tc>
        <w:tc>
          <w:tcPr>
            <w:tcW w:w="1447" w:type="dxa"/>
            <w:vAlign w:val="top"/>
          </w:tcPr>
          <w:p w14:paraId="3FBDA027">
            <w:pPr>
              <w:outlineLvl w:val="9"/>
              <w:rPr>
                <w:rFonts w:ascii="Arial"/>
                <w:color w:val="auto"/>
                <w:sz w:val="21"/>
                <w:highlight w:val="none"/>
              </w:rPr>
            </w:pPr>
          </w:p>
        </w:tc>
      </w:tr>
      <w:tr w14:paraId="4D2F1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14:paraId="544F1782">
            <w:pPr>
              <w:outlineLvl w:val="9"/>
              <w:rPr>
                <w:rFonts w:ascii="Arial"/>
                <w:color w:val="auto"/>
                <w:sz w:val="21"/>
                <w:highlight w:val="none"/>
              </w:rPr>
            </w:pPr>
          </w:p>
        </w:tc>
        <w:tc>
          <w:tcPr>
            <w:tcW w:w="1545" w:type="dxa"/>
            <w:vAlign w:val="top"/>
          </w:tcPr>
          <w:p w14:paraId="6B2F9796">
            <w:pPr>
              <w:outlineLvl w:val="9"/>
              <w:rPr>
                <w:rFonts w:ascii="Arial"/>
                <w:color w:val="auto"/>
                <w:sz w:val="21"/>
                <w:highlight w:val="none"/>
              </w:rPr>
            </w:pPr>
          </w:p>
        </w:tc>
        <w:tc>
          <w:tcPr>
            <w:tcW w:w="1547" w:type="dxa"/>
            <w:vAlign w:val="top"/>
          </w:tcPr>
          <w:p w14:paraId="57A25704">
            <w:pPr>
              <w:outlineLvl w:val="9"/>
              <w:rPr>
                <w:rFonts w:ascii="Arial"/>
                <w:color w:val="auto"/>
                <w:sz w:val="21"/>
                <w:highlight w:val="none"/>
              </w:rPr>
            </w:pPr>
          </w:p>
        </w:tc>
        <w:tc>
          <w:tcPr>
            <w:tcW w:w="1548" w:type="dxa"/>
            <w:vAlign w:val="top"/>
          </w:tcPr>
          <w:p w14:paraId="3DA3E945">
            <w:pPr>
              <w:outlineLvl w:val="9"/>
              <w:rPr>
                <w:rFonts w:ascii="Arial"/>
                <w:color w:val="auto"/>
                <w:sz w:val="21"/>
                <w:highlight w:val="none"/>
              </w:rPr>
            </w:pPr>
          </w:p>
        </w:tc>
        <w:tc>
          <w:tcPr>
            <w:tcW w:w="1547" w:type="dxa"/>
            <w:vAlign w:val="top"/>
          </w:tcPr>
          <w:p w14:paraId="743E7C58">
            <w:pPr>
              <w:outlineLvl w:val="9"/>
              <w:rPr>
                <w:rFonts w:ascii="Arial"/>
                <w:color w:val="auto"/>
                <w:sz w:val="21"/>
                <w:highlight w:val="none"/>
              </w:rPr>
            </w:pPr>
          </w:p>
        </w:tc>
        <w:tc>
          <w:tcPr>
            <w:tcW w:w="1447" w:type="dxa"/>
            <w:vAlign w:val="top"/>
          </w:tcPr>
          <w:p w14:paraId="716F6698">
            <w:pPr>
              <w:outlineLvl w:val="9"/>
              <w:rPr>
                <w:rFonts w:ascii="Arial"/>
                <w:color w:val="auto"/>
                <w:sz w:val="21"/>
                <w:highlight w:val="none"/>
              </w:rPr>
            </w:pPr>
          </w:p>
        </w:tc>
      </w:tr>
      <w:tr w14:paraId="2B521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14:paraId="0FBF024D">
            <w:pPr>
              <w:outlineLvl w:val="9"/>
              <w:rPr>
                <w:rFonts w:ascii="Arial"/>
                <w:color w:val="auto"/>
                <w:sz w:val="21"/>
                <w:highlight w:val="none"/>
              </w:rPr>
            </w:pPr>
          </w:p>
        </w:tc>
        <w:tc>
          <w:tcPr>
            <w:tcW w:w="1545" w:type="dxa"/>
            <w:vAlign w:val="top"/>
          </w:tcPr>
          <w:p w14:paraId="092EB6AD">
            <w:pPr>
              <w:outlineLvl w:val="9"/>
              <w:rPr>
                <w:rFonts w:ascii="Arial"/>
                <w:color w:val="auto"/>
                <w:sz w:val="21"/>
                <w:highlight w:val="none"/>
              </w:rPr>
            </w:pPr>
          </w:p>
        </w:tc>
        <w:tc>
          <w:tcPr>
            <w:tcW w:w="1547" w:type="dxa"/>
            <w:vAlign w:val="top"/>
          </w:tcPr>
          <w:p w14:paraId="17B9F227">
            <w:pPr>
              <w:outlineLvl w:val="9"/>
              <w:rPr>
                <w:rFonts w:ascii="Arial"/>
                <w:color w:val="auto"/>
                <w:sz w:val="21"/>
                <w:highlight w:val="none"/>
              </w:rPr>
            </w:pPr>
          </w:p>
        </w:tc>
        <w:tc>
          <w:tcPr>
            <w:tcW w:w="1548" w:type="dxa"/>
            <w:vAlign w:val="top"/>
          </w:tcPr>
          <w:p w14:paraId="289DAC6E">
            <w:pPr>
              <w:outlineLvl w:val="9"/>
              <w:rPr>
                <w:rFonts w:ascii="Arial"/>
                <w:color w:val="auto"/>
                <w:sz w:val="21"/>
                <w:highlight w:val="none"/>
              </w:rPr>
            </w:pPr>
          </w:p>
        </w:tc>
        <w:tc>
          <w:tcPr>
            <w:tcW w:w="1547" w:type="dxa"/>
            <w:vAlign w:val="top"/>
          </w:tcPr>
          <w:p w14:paraId="08A207BC">
            <w:pPr>
              <w:outlineLvl w:val="9"/>
              <w:rPr>
                <w:rFonts w:ascii="Arial"/>
                <w:color w:val="auto"/>
                <w:sz w:val="21"/>
                <w:highlight w:val="none"/>
              </w:rPr>
            </w:pPr>
          </w:p>
        </w:tc>
        <w:tc>
          <w:tcPr>
            <w:tcW w:w="1447" w:type="dxa"/>
            <w:vAlign w:val="top"/>
          </w:tcPr>
          <w:p w14:paraId="0FE881F2">
            <w:pPr>
              <w:outlineLvl w:val="9"/>
              <w:rPr>
                <w:rFonts w:ascii="Arial"/>
                <w:color w:val="auto"/>
                <w:sz w:val="21"/>
                <w:highlight w:val="none"/>
              </w:rPr>
            </w:pPr>
          </w:p>
        </w:tc>
      </w:tr>
      <w:tr w14:paraId="26B92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429" w:type="dxa"/>
            <w:vAlign w:val="top"/>
          </w:tcPr>
          <w:p w14:paraId="1989EC5A">
            <w:pPr>
              <w:outlineLvl w:val="9"/>
              <w:rPr>
                <w:rFonts w:ascii="Arial"/>
                <w:color w:val="auto"/>
                <w:sz w:val="21"/>
                <w:highlight w:val="none"/>
              </w:rPr>
            </w:pPr>
          </w:p>
        </w:tc>
        <w:tc>
          <w:tcPr>
            <w:tcW w:w="1545" w:type="dxa"/>
            <w:vAlign w:val="top"/>
          </w:tcPr>
          <w:p w14:paraId="5A79C0E7">
            <w:pPr>
              <w:outlineLvl w:val="9"/>
              <w:rPr>
                <w:rFonts w:ascii="Arial"/>
                <w:color w:val="auto"/>
                <w:sz w:val="21"/>
                <w:highlight w:val="none"/>
              </w:rPr>
            </w:pPr>
          </w:p>
        </w:tc>
        <w:tc>
          <w:tcPr>
            <w:tcW w:w="1547" w:type="dxa"/>
            <w:vAlign w:val="top"/>
          </w:tcPr>
          <w:p w14:paraId="44C1F227">
            <w:pPr>
              <w:outlineLvl w:val="9"/>
              <w:rPr>
                <w:rFonts w:ascii="Arial"/>
                <w:color w:val="auto"/>
                <w:sz w:val="21"/>
                <w:highlight w:val="none"/>
              </w:rPr>
            </w:pPr>
          </w:p>
        </w:tc>
        <w:tc>
          <w:tcPr>
            <w:tcW w:w="1548" w:type="dxa"/>
            <w:vAlign w:val="top"/>
          </w:tcPr>
          <w:p w14:paraId="5783C95B">
            <w:pPr>
              <w:outlineLvl w:val="9"/>
              <w:rPr>
                <w:rFonts w:ascii="Arial"/>
                <w:color w:val="auto"/>
                <w:sz w:val="21"/>
                <w:highlight w:val="none"/>
              </w:rPr>
            </w:pPr>
          </w:p>
        </w:tc>
        <w:tc>
          <w:tcPr>
            <w:tcW w:w="1547" w:type="dxa"/>
            <w:vAlign w:val="top"/>
          </w:tcPr>
          <w:p w14:paraId="55A1F568">
            <w:pPr>
              <w:outlineLvl w:val="9"/>
              <w:rPr>
                <w:rFonts w:ascii="Arial"/>
                <w:color w:val="auto"/>
                <w:sz w:val="21"/>
                <w:highlight w:val="none"/>
              </w:rPr>
            </w:pPr>
          </w:p>
        </w:tc>
        <w:tc>
          <w:tcPr>
            <w:tcW w:w="1447" w:type="dxa"/>
            <w:vAlign w:val="top"/>
          </w:tcPr>
          <w:p w14:paraId="2B835924">
            <w:pPr>
              <w:outlineLvl w:val="9"/>
              <w:rPr>
                <w:rFonts w:ascii="Arial"/>
                <w:color w:val="auto"/>
                <w:sz w:val="21"/>
                <w:highlight w:val="none"/>
              </w:rPr>
            </w:pPr>
          </w:p>
        </w:tc>
      </w:tr>
    </w:tbl>
    <w:p w14:paraId="0FCC37C1">
      <w:pPr>
        <w:outlineLvl w:val="9"/>
        <w:rPr>
          <w:rFonts w:ascii="Arial"/>
          <w:color w:val="auto"/>
          <w:sz w:val="21"/>
          <w:highlight w:val="none"/>
        </w:rPr>
      </w:pPr>
    </w:p>
    <w:p w14:paraId="673EF40C">
      <w:pPr>
        <w:spacing w:line="274" w:lineRule="auto"/>
        <w:outlineLvl w:val="9"/>
        <w:rPr>
          <w:rFonts w:ascii="Arial"/>
          <w:color w:val="auto"/>
          <w:sz w:val="21"/>
          <w:highlight w:val="none"/>
        </w:rPr>
      </w:pPr>
    </w:p>
    <w:p w14:paraId="6B8267D2">
      <w:pPr>
        <w:outlineLvl w:val="9"/>
        <w:rPr>
          <w:color w:val="auto"/>
          <w:highlight w:val="none"/>
        </w:rPr>
      </w:pPr>
    </w:p>
    <w:p w14:paraId="36C5A893">
      <w:pPr>
        <w:spacing w:before="101" w:line="226" w:lineRule="auto"/>
        <w:ind w:left="3943"/>
        <w:outlineLvl w:val="9"/>
        <w:rPr>
          <w:rFonts w:ascii="宋体" w:hAnsi="宋体" w:eastAsia="宋体" w:cs="宋体"/>
          <w:b/>
          <w:bCs/>
          <w:color w:val="auto"/>
          <w:spacing w:val="-8"/>
          <w:sz w:val="31"/>
          <w:szCs w:val="31"/>
          <w:highlight w:val="none"/>
        </w:rPr>
      </w:pPr>
      <w:bookmarkStart w:id="377" w:name="bookmark279"/>
      <w:bookmarkEnd w:id="377"/>
    </w:p>
    <w:p w14:paraId="6691444F">
      <w:pPr>
        <w:spacing w:before="101" w:line="226" w:lineRule="auto"/>
        <w:ind w:left="3943"/>
        <w:outlineLvl w:val="9"/>
        <w:rPr>
          <w:rFonts w:ascii="宋体" w:hAnsi="宋体" w:eastAsia="宋体" w:cs="宋体"/>
          <w:color w:val="auto"/>
          <w:sz w:val="31"/>
          <w:szCs w:val="31"/>
          <w:highlight w:val="none"/>
        </w:rPr>
      </w:pPr>
      <w:r>
        <w:rPr>
          <w:rFonts w:ascii="宋体" w:hAnsi="宋体" w:eastAsia="宋体" w:cs="宋体"/>
          <w:b/>
          <w:bCs/>
          <w:color w:val="auto"/>
          <w:spacing w:val="-8"/>
          <w:sz w:val="31"/>
          <w:szCs w:val="31"/>
          <w:highlight w:val="none"/>
        </w:rPr>
        <w:t>2.</w:t>
      </w:r>
      <w:r>
        <w:rPr>
          <w:rFonts w:ascii="宋体" w:hAnsi="宋体" w:eastAsia="宋体" w:cs="宋体"/>
          <w:color w:val="auto"/>
          <w:spacing w:val="53"/>
          <w:sz w:val="31"/>
          <w:szCs w:val="31"/>
          <w:highlight w:val="none"/>
        </w:rPr>
        <w:t xml:space="preserve"> </w:t>
      </w:r>
      <w:r>
        <w:rPr>
          <w:rFonts w:ascii="宋体" w:hAnsi="宋体" w:eastAsia="宋体" w:cs="宋体"/>
          <w:b/>
          <w:bCs/>
          <w:color w:val="auto"/>
          <w:spacing w:val="-8"/>
          <w:sz w:val="31"/>
          <w:szCs w:val="31"/>
          <w:highlight w:val="none"/>
        </w:rPr>
        <w:t>图纸</w:t>
      </w:r>
    </w:p>
    <w:p w14:paraId="50BFC712">
      <w:pPr>
        <w:spacing w:before="290" w:line="220" w:lineRule="auto"/>
        <w:ind w:left="125"/>
        <w:outlineLvl w:val="9"/>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招标图纸在电子交易系统下载。</w:t>
      </w:r>
    </w:p>
    <w:p w14:paraId="56AB6C7D">
      <w:pPr>
        <w:spacing w:before="281" w:line="223" w:lineRule="auto"/>
        <w:jc w:val="center"/>
        <w:outlineLvl w:val="0"/>
        <w:rPr>
          <w:rFonts w:ascii="宋体" w:hAnsi="宋体" w:eastAsia="宋体" w:cs="宋体"/>
          <w:color w:val="auto"/>
          <w:sz w:val="43"/>
          <w:szCs w:val="43"/>
          <w:highlight w:val="none"/>
        </w:rPr>
      </w:pPr>
      <w:bookmarkStart w:id="378" w:name="bookmark282"/>
      <w:bookmarkEnd w:id="378"/>
      <w:bookmarkStart w:id="379" w:name="bookmark281"/>
      <w:bookmarkEnd w:id="379"/>
      <w:bookmarkStart w:id="380" w:name="bookmark280"/>
      <w:bookmarkEnd w:id="380"/>
      <w:r>
        <w:rPr>
          <w:rFonts w:ascii="宋体" w:hAnsi="宋体" w:eastAsia="宋体" w:cs="宋体"/>
          <w:b/>
          <w:bCs/>
          <w:color w:val="auto"/>
          <w:spacing w:val="4"/>
          <w:sz w:val="43"/>
          <w:szCs w:val="43"/>
          <w:highlight w:val="none"/>
        </w:rPr>
        <w:br w:type="page"/>
      </w:r>
      <w:bookmarkStart w:id="381" w:name="_Toc15978"/>
      <w:r>
        <w:rPr>
          <w:rFonts w:ascii="宋体" w:hAnsi="宋体" w:eastAsia="宋体" w:cs="宋体"/>
          <w:b/>
          <w:bCs/>
          <w:color w:val="auto"/>
          <w:spacing w:val="4"/>
          <w:sz w:val="43"/>
          <w:szCs w:val="43"/>
          <w:highlight w:val="none"/>
        </w:rPr>
        <w:t>第七章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技术标准和要求</w:t>
      </w:r>
      <w:bookmarkEnd w:id="381"/>
    </w:p>
    <w:p w14:paraId="593CAEB4">
      <w:pPr>
        <w:spacing w:line="271" w:lineRule="auto"/>
        <w:outlineLvl w:val="9"/>
        <w:rPr>
          <w:rFonts w:ascii="Arial"/>
          <w:color w:val="auto"/>
          <w:sz w:val="21"/>
          <w:highlight w:val="none"/>
        </w:rPr>
      </w:pPr>
    </w:p>
    <w:p w14:paraId="1AE8ACB9">
      <w:pPr>
        <w:spacing w:line="272" w:lineRule="auto"/>
        <w:outlineLvl w:val="9"/>
        <w:rPr>
          <w:rFonts w:ascii="Arial"/>
          <w:color w:val="auto"/>
          <w:sz w:val="21"/>
          <w:highlight w:val="none"/>
        </w:rPr>
      </w:pPr>
    </w:p>
    <w:p w14:paraId="3BCC4C21">
      <w:pPr>
        <w:spacing w:before="324" w:line="225" w:lineRule="auto"/>
        <w:jc w:val="center"/>
        <w:outlineLvl w:val="9"/>
        <w:rPr>
          <w:rFonts w:ascii="宋体" w:hAnsi="宋体" w:eastAsia="宋体" w:cs="宋体"/>
          <w:color w:val="auto"/>
          <w:sz w:val="31"/>
          <w:szCs w:val="31"/>
          <w:highlight w:val="none"/>
        </w:rPr>
      </w:pPr>
      <w:bookmarkStart w:id="382" w:name="_Toc14149"/>
      <w:bookmarkStart w:id="383" w:name="_Toc1358"/>
      <w:r>
        <w:rPr>
          <w:rFonts w:ascii="宋体" w:hAnsi="宋体" w:eastAsia="宋体" w:cs="宋体"/>
          <w:b/>
          <w:bCs/>
          <w:color w:val="auto"/>
          <w:spacing w:val="3"/>
          <w:sz w:val="31"/>
          <w:szCs w:val="31"/>
          <w:highlight w:val="none"/>
        </w:rPr>
        <w:t>第一节</w:t>
      </w:r>
      <w:r>
        <w:rPr>
          <w:rFonts w:ascii="宋体" w:hAnsi="宋体" w:eastAsia="宋体" w:cs="宋体"/>
          <w:color w:val="auto"/>
          <w:spacing w:val="27"/>
          <w:sz w:val="31"/>
          <w:szCs w:val="31"/>
          <w:highlight w:val="none"/>
        </w:rPr>
        <w:t xml:space="preserve"> </w:t>
      </w:r>
      <w:r>
        <w:rPr>
          <w:rFonts w:ascii="宋体" w:hAnsi="宋体" w:eastAsia="宋体" w:cs="宋体"/>
          <w:b/>
          <w:bCs/>
          <w:color w:val="auto"/>
          <w:spacing w:val="3"/>
          <w:sz w:val="31"/>
          <w:szCs w:val="31"/>
          <w:highlight w:val="none"/>
        </w:rPr>
        <w:t>一般要求</w:t>
      </w:r>
      <w:bookmarkEnd w:id="382"/>
      <w:bookmarkEnd w:id="383"/>
    </w:p>
    <w:p w14:paraId="6765286D">
      <w:pPr>
        <w:spacing w:line="248" w:lineRule="auto"/>
        <w:outlineLvl w:val="9"/>
        <w:rPr>
          <w:rFonts w:ascii="Arial"/>
          <w:color w:val="auto"/>
          <w:sz w:val="21"/>
          <w:highlight w:val="none"/>
        </w:rPr>
      </w:pPr>
    </w:p>
    <w:p w14:paraId="64C26A5F">
      <w:pPr>
        <w:spacing w:line="249" w:lineRule="auto"/>
        <w:outlineLvl w:val="9"/>
        <w:rPr>
          <w:rFonts w:ascii="Arial"/>
          <w:color w:val="auto"/>
          <w:sz w:val="21"/>
          <w:highlight w:val="none"/>
        </w:rPr>
      </w:pPr>
    </w:p>
    <w:p w14:paraId="27343EE8">
      <w:pPr>
        <w:spacing w:before="101" w:line="225" w:lineRule="auto"/>
        <w:ind w:left="38"/>
        <w:outlineLvl w:val="9"/>
        <w:rPr>
          <w:rFonts w:ascii="宋体" w:hAnsi="宋体" w:eastAsia="宋体" w:cs="宋体"/>
          <w:color w:val="auto"/>
          <w:sz w:val="31"/>
          <w:szCs w:val="31"/>
          <w:highlight w:val="none"/>
        </w:rPr>
      </w:pPr>
      <w:bookmarkStart w:id="384" w:name="bookmark286"/>
      <w:bookmarkEnd w:id="384"/>
      <w:bookmarkStart w:id="385" w:name="_Toc4245"/>
      <w:bookmarkStart w:id="386" w:name="_Toc14010"/>
      <w:r>
        <w:rPr>
          <w:rFonts w:ascii="宋体" w:hAnsi="宋体" w:eastAsia="宋体" w:cs="宋体"/>
          <w:b/>
          <w:bCs/>
          <w:color w:val="auto"/>
          <w:sz w:val="31"/>
          <w:szCs w:val="31"/>
          <w:highlight w:val="none"/>
        </w:rPr>
        <w:t>1.工程说明</w:t>
      </w:r>
      <w:bookmarkEnd w:id="385"/>
      <w:bookmarkEnd w:id="386"/>
    </w:p>
    <w:p w14:paraId="020CCDC7">
      <w:pPr>
        <w:spacing w:line="275" w:lineRule="auto"/>
        <w:outlineLvl w:val="9"/>
        <w:rPr>
          <w:rFonts w:ascii="Arial"/>
          <w:color w:val="auto"/>
          <w:sz w:val="21"/>
          <w:highlight w:val="none"/>
        </w:rPr>
      </w:pPr>
    </w:p>
    <w:p w14:paraId="2977B5FC">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bookmarkStart w:id="387" w:name="bookmark283"/>
      <w:bookmarkEnd w:id="387"/>
      <w:bookmarkStart w:id="388" w:name="_Toc28000"/>
      <w:bookmarkStart w:id="389" w:name="_Toc15657"/>
      <w:r>
        <w:rPr>
          <w:rFonts w:hint="eastAsia" w:ascii="宋体" w:hAnsi="宋体" w:eastAsia="宋体" w:cs="宋体"/>
          <w:b/>
          <w:bCs/>
          <w:color w:val="auto"/>
          <w:spacing w:val="5"/>
          <w:sz w:val="24"/>
          <w:szCs w:val="24"/>
          <w:highlight w:val="none"/>
        </w:rPr>
        <w:t>本次实施项目位于肥东县桥头集镇，涉及淝光社区和梅山社区,项目区以村界和道路为边界，分为2个片区。项目所在的桥头集镇淝光社区和梅山社区水网密布，区域范围属于长江水系。淝光社区处于撮镇灌区二级北干渠两侧，区域地势中间高两边低，东高西低的态势分布，梅山社区处于撮镇灌区三级北干渠两侧，区域地势两边高中间低，东南高西北低的态势分布。工程区位于江淮低山区，地处扬子淮地台下扬子台褶沿江，属湖相冲积或洪积平原。本地区地处北亚热带北缘，属亚热带季风湿润区，主要气候特征是四季分明，气候温和，季风明显，雨量适中，光照充足，热量丰富，无霜期长。</w:t>
      </w:r>
    </w:p>
    <w:p w14:paraId="4C528E8C">
      <w:pPr>
        <w:spacing w:before="164" w:line="225" w:lineRule="auto"/>
        <w:ind w:left="18"/>
        <w:outlineLvl w:val="9"/>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2.工程项目及其工作内容</w:t>
      </w:r>
      <w:bookmarkEnd w:id="388"/>
      <w:bookmarkEnd w:id="389"/>
    </w:p>
    <w:p w14:paraId="4C8C6A80">
      <w:pPr>
        <w:spacing w:before="92" w:line="219" w:lineRule="auto"/>
        <w:outlineLvl w:val="9"/>
        <w:rPr>
          <w:rFonts w:ascii="宋体" w:hAnsi="宋体" w:eastAsia="宋体" w:cs="宋体"/>
          <w:b/>
          <w:bCs/>
          <w:color w:val="auto"/>
          <w:spacing w:val="-3"/>
          <w:sz w:val="28"/>
          <w:szCs w:val="28"/>
          <w:highlight w:val="none"/>
        </w:rPr>
      </w:pPr>
    </w:p>
    <w:p w14:paraId="7DCC14ED">
      <w:pPr>
        <w:spacing w:before="92" w:line="219" w:lineRule="auto"/>
        <w:ind w:firstLine="550" w:firstLineChars="200"/>
        <w:outlineLvl w:val="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2.1</w:t>
      </w:r>
      <w:r>
        <w:rPr>
          <w:rFonts w:ascii="宋体" w:hAnsi="宋体" w:eastAsia="宋体" w:cs="宋体"/>
          <w:color w:val="auto"/>
          <w:spacing w:val="-57"/>
          <w:sz w:val="28"/>
          <w:szCs w:val="28"/>
          <w:highlight w:val="none"/>
        </w:rPr>
        <w:t xml:space="preserve"> </w:t>
      </w:r>
      <w:r>
        <w:rPr>
          <w:rFonts w:ascii="宋体" w:hAnsi="宋体" w:eastAsia="宋体" w:cs="宋体"/>
          <w:b/>
          <w:bCs/>
          <w:color w:val="auto"/>
          <w:spacing w:val="-3"/>
          <w:sz w:val="28"/>
          <w:szCs w:val="28"/>
          <w:highlight w:val="none"/>
        </w:rPr>
        <w:t>本合同承包人承担的工程项目及其工</w:t>
      </w:r>
      <w:r>
        <w:rPr>
          <w:rFonts w:ascii="宋体" w:hAnsi="宋体" w:eastAsia="宋体" w:cs="宋体"/>
          <w:b/>
          <w:bCs/>
          <w:color w:val="auto"/>
          <w:spacing w:val="-4"/>
          <w:sz w:val="28"/>
          <w:szCs w:val="28"/>
          <w:highlight w:val="none"/>
        </w:rPr>
        <w:t>作内容</w:t>
      </w:r>
    </w:p>
    <w:p w14:paraId="754FAE9C">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bookmarkStart w:id="390" w:name="bookmark284"/>
      <w:bookmarkEnd w:id="390"/>
      <w:bookmarkStart w:id="391" w:name="_Toc16739"/>
      <w:bookmarkStart w:id="392" w:name="_Toc21876"/>
      <w:r>
        <w:rPr>
          <w:rFonts w:hint="eastAsia" w:ascii="宋体" w:hAnsi="宋体" w:eastAsia="宋体" w:cs="宋体"/>
          <w:b/>
          <w:bCs/>
          <w:color w:val="auto"/>
          <w:spacing w:val="5"/>
          <w:sz w:val="24"/>
          <w:szCs w:val="24"/>
          <w:highlight w:val="none"/>
        </w:rPr>
        <w:t>本项目建设内容包括农田基础设施建设、农田地力提升工程，其中农田基础设施建设主要包括田块整治工程、灌溉排水工程、田间道路工程等。农田地力提升工程主要为土壤培肥工程和障碍土层消除工程。</w:t>
      </w:r>
    </w:p>
    <w:p w14:paraId="3A50DAE4">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1、农田基础设施建设工程</w:t>
      </w:r>
    </w:p>
    <w:p w14:paraId="6A79D893">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（1）田块整治工程：田块整治2500亩（其中水田2401亩，旱地99亩），共平整土方24.85万m³，表土剥离与回覆6.41万m³，田埂修筑2.28万m³。</w:t>
      </w:r>
    </w:p>
    <w:p w14:paraId="47242FAE">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（2）灌溉与排水工程：塘坝清淤16座；衬砌明渠5.464km；疏浚沟渠18.242km；配套渠系建筑物221座（其中包含水闸15座、涵洞96座、农桥3座、跌水9座、渠道放水口96座）；项目区公示牌1座。</w:t>
      </w:r>
    </w:p>
    <w:p w14:paraId="553B5EC1">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（3）田间道路工程：</w:t>
      </w:r>
    </w:p>
    <w:p w14:paraId="7439BB70">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3.0m宽砂石路2.339km；3.0m宽土路8.393km。</w:t>
      </w:r>
    </w:p>
    <w:p w14:paraId="16FB6550">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（4）农田防护与生态环境保护工程</w:t>
      </w:r>
    </w:p>
    <w:p w14:paraId="71046DEC">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新建岸坡防护渠918m。</w:t>
      </w:r>
    </w:p>
    <w:p w14:paraId="42E4EC86">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（5）农田输变电工程</w:t>
      </w:r>
    </w:p>
    <w:p w14:paraId="17F28128">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塘坝配套输电线路1950m，并配套低压户外防雨型配电箱6个。</w:t>
      </w:r>
    </w:p>
    <w:p w14:paraId="7029B556">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2、农田地力提升工程：</w:t>
      </w:r>
    </w:p>
    <w:p w14:paraId="5C9464EA">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（1）土壤培肥工程：</w:t>
      </w:r>
    </w:p>
    <w:p w14:paraId="12E1B62B">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播撒商品有机肥250吨，覆盖面积2500亩。</w:t>
      </w:r>
    </w:p>
    <w:p w14:paraId="5EB3F812">
      <w:pPr>
        <w:spacing w:before="164" w:line="225" w:lineRule="auto"/>
        <w:ind w:left="18"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（2）障碍土层消除工程：</w:t>
      </w:r>
    </w:p>
    <w:p w14:paraId="1EDD8AC6">
      <w:pPr>
        <w:spacing w:before="164" w:line="225" w:lineRule="auto"/>
        <w:ind w:left="18" w:firstLine="502" w:firstLineChars="200"/>
        <w:outlineLvl w:val="9"/>
        <w:rPr>
          <w:rFonts w:hint="eastAsia" w:ascii="宋体" w:hAnsi="宋体" w:eastAsia="宋体" w:cs="宋体"/>
          <w:b/>
          <w:bCs/>
          <w:color w:val="auto"/>
          <w:spacing w:val="4"/>
          <w:sz w:val="31"/>
          <w:szCs w:val="31"/>
          <w:highlight w:val="none"/>
        </w:rPr>
      </w:pPr>
      <w:r>
        <w:rPr>
          <w:rFonts w:hint="eastAsia" w:ascii="宋体" w:hAnsi="宋体" w:eastAsia="宋体" w:cs="宋体"/>
          <w:b/>
          <w:bCs/>
          <w:color w:val="auto"/>
          <w:spacing w:val="5"/>
          <w:sz w:val="24"/>
          <w:szCs w:val="24"/>
          <w:highlight w:val="none"/>
        </w:rPr>
        <w:t>土地旋耕、深翻（厚度25cm）面积2500亩</w:t>
      </w:r>
      <w:r>
        <w:rPr>
          <w:rFonts w:hint="eastAsia" w:ascii="宋体" w:hAnsi="宋体" w:eastAsia="宋体" w:cs="宋体"/>
          <w:b/>
          <w:bCs/>
          <w:color w:val="auto"/>
          <w:spacing w:val="4"/>
          <w:sz w:val="31"/>
          <w:szCs w:val="31"/>
          <w:highlight w:val="none"/>
        </w:rPr>
        <w:t>。</w:t>
      </w:r>
    </w:p>
    <w:p w14:paraId="049E0B21">
      <w:pPr>
        <w:spacing w:before="164" w:line="225" w:lineRule="auto"/>
        <w:ind w:left="18" w:firstLine="638" w:firstLineChars="200"/>
        <w:outlineLvl w:val="9"/>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3.发包人其他要求</w:t>
      </w:r>
      <w:bookmarkEnd w:id="391"/>
      <w:bookmarkEnd w:id="392"/>
    </w:p>
    <w:p w14:paraId="6031ADFC">
      <w:pPr>
        <w:spacing w:before="295" w:line="226" w:lineRule="auto"/>
        <w:ind w:firstLine="502" w:firstLineChars="200"/>
        <w:outlineLvl w:val="9"/>
        <w:rPr>
          <w:rFonts w:hint="eastAsia" w:ascii="宋体" w:hAnsi="宋体" w:eastAsia="宋体" w:cs="宋体"/>
          <w:b/>
          <w:bCs/>
          <w:color w:val="auto"/>
          <w:spacing w:val="5"/>
          <w:sz w:val="24"/>
          <w:szCs w:val="24"/>
          <w:highlight w:val="none"/>
        </w:rPr>
      </w:pPr>
      <w:bookmarkStart w:id="393" w:name="bookmark285"/>
      <w:bookmarkEnd w:id="393"/>
      <w:bookmarkStart w:id="394" w:name="_Toc21931"/>
      <w:r>
        <w:rPr>
          <w:rFonts w:hint="eastAsia" w:ascii="宋体" w:hAnsi="宋体" w:eastAsia="宋体" w:cs="宋体"/>
          <w:b/>
          <w:bCs/>
          <w:color w:val="auto"/>
          <w:spacing w:val="5"/>
          <w:sz w:val="24"/>
          <w:szCs w:val="24"/>
          <w:highlight w:val="none"/>
        </w:rPr>
        <w:t>有机肥要求：肥料标准需满足有机肥的产品标准：NY/T525—2021（农业部颁布的有机肥料的行业标准号）。</w:t>
      </w:r>
    </w:p>
    <w:p w14:paraId="4997BCD9">
      <w:pPr>
        <w:spacing w:before="295" w:line="226" w:lineRule="auto"/>
        <w:ind w:firstLine="502" w:firstLineChars="200"/>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主要指标要求：有机质的质量分数（以烘干基计）≥30%；总养分（N+P2O5+K2O）的质量分数（以烘干基计）≥4％，水分（鲜样）的质量分数≤30%；酸碱度（PH）5.5-8.5；总砷（As）（以烘干基计mg/kg）≤15；总汞（Hg）（以烘干基计mg/kg）≤2；总铅（Pb）（以烘干基计mg/kg）≤50；总铬（Cr）（以烘干基计mg/kg）≤150；总镉（Cd）（以烘干基计mg/kg）≤3。</w:t>
      </w:r>
    </w:p>
    <w:p w14:paraId="72B24260">
      <w:pPr>
        <w:spacing w:before="295" w:line="226" w:lineRule="auto"/>
        <w:jc w:val="center"/>
        <w:outlineLvl w:val="9"/>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第二节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技术条款</w:t>
      </w:r>
      <w:bookmarkEnd w:id="394"/>
    </w:p>
    <w:p w14:paraId="1B0FDDAC">
      <w:pPr>
        <w:outlineLvl w:val="9"/>
        <w:rPr>
          <w:color w:val="auto"/>
          <w:highlight w:val="none"/>
        </w:rPr>
      </w:pPr>
    </w:p>
    <w:p w14:paraId="7AF7D4BB">
      <w:pPr>
        <w:spacing w:before="295" w:line="226" w:lineRule="auto"/>
        <w:ind w:firstLine="420" w:firstLineChars="200"/>
        <w:outlineLvl w:val="9"/>
        <w:rPr>
          <w:rFonts w:hint="default" w:ascii="宋体" w:hAnsi="宋体" w:eastAsia="宋体" w:cs="宋体"/>
          <w:b/>
          <w:bCs/>
          <w:color w:val="auto"/>
          <w:spacing w:val="5"/>
          <w:sz w:val="24"/>
          <w:szCs w:val="24"/>
          <w:highlight w:val="none"/>
          <w:lang w:val="en-US" w:eastAsia="zh-CN"/>
        </w:rPr>
      </w:pPr>
      <w:r>
        <w:rPr>
          <w:rFonts w:hint="eastAsia" w:eastAsia="宋体"/>
          <w:color w:val="auto"/>
          <w:sz w:val="21"/>
          <w:highlight w:val="none"/>
          <w:lang w:val="en-US" w:eastAsia="zh-CN"/>
        </w:rPr>
        <w:t xml:space="preserve"> </w:t>
      </w:r>
      <w:r>
        <w:rPr>
          <w:rFonts w:hint="default" w:ascii="宋体" w:hAnsi="宋体" w:eastAsia="宋体" w:cs="宋体"/>
          <w:b/>
          <w:bCs/>
          <w:color w:val="auto"/>
          <w:spacing w:val="5"/>
          <w:sz w:val="24"/>
          <w:szCs w:val="24"/>
          <w:highlight w:val="none"/>
          <w:lang w:val="en-US" w:eastAsia="zh-CN"/>
        </w:rPr>
        <w:t>投标文件承诺的项目部主要管理人员在主体工程施工期间原则上不得更换，如因重大自然灾害、人员特殊原因（包括重大疾病、死亡、调离所在单位、辞职、犯罪、移民等）确须变更的，应当办理书面手续后方能变更。除上述情况外，项目部更换项目经理或技术负责人的每人次支付违约金10万元，更换项目部其他组成人员（质检员、安全员、施工员、材料员、造价员等，以承包人项目部组织架构文件为准）的每人次支付违约金0.5万元。</w:t>
      </w:r>
    </w:p>
    <w:p w14:paraId="0629991C">
      <w:pPr>
        <w:spacing w:before="295" w:line="226" w:lineRule="auto"/>
        <w:ind w:firstLine="502" w:firstLineChars="200"/>
        <w:outlineLvl w:val="9"/>
        <w:rPr>
          <w:rFonts w:hint="default" w:ascii="宋体" w:hAnsi="宋体" w:eastAsia="宋体" w:cs="宋体"/>
          <w:b/>
          <w:bCs/>
          <w:color w:val="auto"/>
          <w:spacing w:val="5"/>
          <w:sz w:val="24"/>
          <w:szCs w:val="24"/>
          <w:highlight w:val="none"/>
          <w:lang w:val="en-US" w:eastAsia="zh-CN"/>
        </w:rPr>
      </w:pPr>
      <w:r>
        <w:rPr>
          <w:rFonts w:hint="default" w:ascii="宋体" w:hAnsi="宋体" w:eastAsia="宋体" w:cs="宋体"/>
          <w:b/>
          <w:bCs/>
          <w:color w:val="auto"/>
          <w:spacing w:val="5"/>
          <w:sz w:val="24"/>
          <w:szCs w:val="24"/>
          <w:highlight w:val="none"/>
          <w:lang w:val="en-US" w:eastAsia="zh-CN"/>
        </w:rPr>
        <w:t>承包人项目经理、技术负责人每月驻工地天数不得少于22天，且根据国家法律法规规定以及发包人书面形式确认的重点时段和关键环节必须在工地，否则每缺勤一天向发包人支付违约金1000元。</w:t>
      </w:r>
    </w:p>
    <w:p w14:paraId="0D9955F4">
      <w:pPr>
        <w:spacing w:before="295" w:line="226" w:lineRule="auto"/>
        <w:ind w:firstLine="502" w:firstLineChars="200"/>
        <w:outlineLvl w:val="9"/>
        <w:rPr>
          <w:rFonts w:hint="default" w:ascii="宋体" w:hAnsi="宋体" w:eastAsia="宋体" w:cs="宋体"/>
          <w:b/>
          <w:bCs/>
          <w:color w:val="auto"/>
          <w:spacing w:val="5"/>
          <w:sz w:val="24"/>
          <w:szCs w:val="24"/>
          <w:highlight w:val="none"/>
          <w:lang w:val="en-US" w:eastAsia="zh-CN"/>
        </w:rPr>
      </w:pPr>
      <w:r>
        <w:rPr>
          <w:rFonts w:hint="default" w:ascii="宋体" w:hAnsi="宋体" w:eastAsia="宋体" w:cs="宋体"/>
          <w:b/>
          <w:bCs/>
          <w:color w:val="auto"/>
          <w:spacing w:val="5"/>
          <w:sz w:val="24"/>
          <w:szCs w:val="24"/>
          <w:highlight w:val="none"/>
          <w:lang w:val="en-US" w:eastAsia="zh-CN"/>
        </w:rPr>
        <w:t>因承包方原因，造成工期延误的，承包人按1000元／天支付违约金。</w:t>
      </w:r>
    </w:p>
    <w:p w14:paraId="09261921">
      <w:pPr>
        <w:spacing w:before="295" w:line="226" w:lineRule="auto"/>
        <w:ind w:firstLine="502" w:firstLineChars="200"/>
        <w:outlineLvl w:val="9"/>
        <w:rPr>
          <w:rFonts w:hint="default" w:ascii="宋体" w:hAnsi="宋体" w:eastAsia="宋体" w:cs="宋体"/>
          <w:b/>
          <w:bCs/>
          <w:color w:val="auto"/>
          <w:spacing w:val="5"/>
          <w:sz w:val="24"/>
          <w:szCs w:val="24"/>
          <w:highlight w:val="none"/>
          <w:lang w:val="en-US" w:eastAsia="zh-CN"/>
        </w:rPr>
      </w:pPr>
      <w:r>
        <w:rPr>
          <w:rFonts w:hint="default" w:ascii="宋体" w:hAnsi="宋体" w:eastAsia="宋体" w:cs="宋体"/>
          <w:b/>
          <w:bCs/>
          <w:color w:val="auto"/>
          <w:spacing w:val="5"/>
          <w:sz w:val="24"/>
          <w:szCs w:val="24"/>
          <w:highlight w:val="none"/>
          <w:lang w:val="en-US" w:eastAsia="zh-CN"/>
        </w:rPr>
        <w:t>承包人按照发包人提供的资料目录清单，及时、准确地完成档案材料制作、整理、归档，在项目合同签订后14日内，完成开工资料的编制并报监理单位审核；工程完工后、验收前，完成所有工程评定、质检、报告、结算等档案，并报监理单位审核；工程验收后，对照验收意见，修改完善所有工程档案，并统一封面、胶装，分册入盒，制作好档案盒标签，资料一式三份，原件1份，复印件2份。所有节点资料提供时间每逾期一天，扣除违约金500元。</w:t>
      </w:r>
    </w:p>
    <w:p w14:paraId="00158DA5">
      <w:pPr>
        <w:spacing w:before="295" w:line="226" w:lineRule="auto"/>
        <w:ind w:firstLine="502" w:firstLineChars="200"/>
        <w:outlineLvl w:val="9"/>
        <w:rPr>
          <w:rFonts w:hint="default" w:ascii="宋体" w:hAnsi="宋体" w:eastAsia="宋体" w:cs="宋体"/>
          <w:b/>
          <w:bCs/>
          <w:color w:val="auto"/>
          <w:spacing w:val="5"/>
          <w:sz w:val="24"/>
          <w:szCs w:val="24"/>
          <w:highlight w:val="none"/>
          <w:lang w:val="en-US" w:eastAsia="zh-CN"/>
        </w:rPr>
      </w:pPr>
      <w:r>
        <w:rPr>
          <w:rFonts w:hint="default" w:ascii="宋体" w:hAnsi="宋体" w:eastAsia="宋体" w:cs="宋体"/>
          <w:b/>
          <w:bCs/>
          <w:color w:val="auto"/>
          <w:spacing w:val="5"/>
          <w:sz w:val="24"/>
          <w:szCs w:val="24"/>
          <w:highlight w:val="none"/>
          <w:lang w:val="en-US" w:eastAsia="zh-CN"/>
        </w:rPr>
        <w:t>对因转包、违法分包造成的欠薪，及其造成的不利社会影响和损失等责任均由承包人全面承担，承包人应在规定时间内全面完成欠薪清偿工作，未及时完成的，发包人将工程款先行支付农民工工资。</w:t>
      </w:r>
    </w:p>
    <w:p w14:paraId="0CBA434B">
      <w:pPr>
        <w:spacing w:line="244" w:lineRule="auto"/>
        <w:outlineLvl w:val="9"/>
        <w:rPr>
          <w:rFonts w:hint="default" w:ascii="Arial" w:eastAsia="宋体"/>
          <w:color w:val="auto"/>
          <w:sz w:val="21"/>
          <w:highlight w:val="none"/>
          <w:lang w:val="en-US" w:eastAsia="zh-CN"/>
        </w:rPr>
      </w:pPr>
    </w:p>
    <w:p w14:paraId="295493ED">
      <w:pPr>
        <w:spacing w:before="139" w:line="223" w:lineRule="auto"/>
        <w:ind w:left="2085"/>
        <w:outlineLvl w:val="0"/>
        <w:rPr>
          <w:rFonts w:ascii="宋体" w:hAnsi="宋体" w:eastAsia="宋体" w:cs="宋体"/>
          <w:color w:val="auto"/>
          <w:sz w:val="43"/>
          <w:szCs w:val="43"/>
          <w:highlight w:val="none"/>
        </w:rPr>
      </w:pPr>
      <w:r>
        <w:rPr>
          <w:rFonts w:ascii="宋体" w:hAnsi="宋体" w:eastAsia="宋体" w:cs="宋体"/>
          <w:b/>
          <w:bCs/>
          <w:color w:val="auto"/>
          <w:spacing w:val="4"/>
          <w:sz w:val="43"/>
          <w:szCs w:val="43"/>
          <w:highlight w:val="none"/>
        </w:rPr>
        <w:br w:type="page"/>
      </w:r>
      <w:bookmarkStart w:id="395" w:name="_Toc13024"/>
      <w:r>
        <w:rPr>
          <w:rFonts w:ascii="宋体" w:hAnsi="宋体" w:eastAsia="宋体" w:cs="宋体"/>
          <w:b/>
          <w:bCs/>
          <w:color w:val="auto"/>
          <w:spacing w:val="4"/>
          <w:sz w:val="43"/>
          <w:szCs w:val="43"/>
          <w:highlight w:val="none"/>
        </w:rPr>
        <w:t>第八章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投标文件格式</w:t>
      </w:r>
      <w:bookmarkEnd w:id="395"/>
    </w:p>
    <w:p w14:paraId="31EF61F5">
      <w:pPr>
        <w:spacing w:line="275" w:lineRule="auto"/>
        <w:outlineLvl w:val="9"/>
        <w:rPr>
          <w:rFonts w:hint="eastAsia" w:ascii="Arial" w:eastAsia="宋体"/>
          <w:color w:val="auto"/>
          <w:sz w:val="21"/>
          <w:highlight w:val="none"/>
          <w:lang w:eastAsia="zh-CN"/>
        </w:rPr>
      </w:pPr>
    </w:p>
    <w:p w14:paraId="52932292">
      <w:pPr>
        <w:spacing w:line="276" w:lineRule="auto"/>
        <w:outlineLvl w:val="9"/>
        <w:rPr>
          <w:rFonts w:ascii="Arial"/>
          <w:color w:val="auto"/>
          <w:sz w:val="21"/>
          <w:highlight w:val="none"/>
        </w:rPr>
      </w:pPr>
    </w:p>
    <w:p w14:paraId="7EF5CCB7">
      <w:pPr>
        <w:tabs>
          <w:tab w:val="left" w:pos="2188"/>
        </w:tabs>
        <w:spacing w:before="91" w:line="221" w:lineRule="auto"/>
        <w:ind w:left="924"/>
        <w:outlineLvl w:val="9"/>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bookmarkStart w:id="396" w:name="_Toc836"/>
      <w:r>
        <w:rPr>
          <w:rFonts w:ascii="宋体" w:hAnsi="宋体" w:eastAsia="宋体" w:cs="宋体"/>
          <w:b/>
          <w:bCs/>
          <w:color w:val="auto"/>
          <w:spacing w:val="15"/>
          <w:sz w:val="28"/>
          <w:szCs w:val="28"/>
          <w:highlight w:val="none"/>
        </w:rPr>
        <w:t>（项</w:t>
      </w:r>
      <w:r>
        <w:rPr>
          <w:rFonts w:ascii="宋体" w:hAnsi="宋体" w:eastAsia="宋体" w:cs="宋体"/>
          <w:color w:val="auto"/>
          <w:spacing w:val="-35"/>
          <w:sz w:val="28"/>
          <w:szCs w:val="28"/>
          <w:highlight w:val="none"/>
        </w:rPr>
        <w:t xml:space="preserve"> </w:t>
      </w:r>
      <w:r>
        <w:rPr>
          <w:rFonts w:ascii="宋体" w:hAnsi="宋体" w:eastAsia="宋体" w:cs="宋体"/>
          <w:b/>
          <w:bCs/>
          <w:color w:val="auto"/>
          <w:spacing w:val="15"/>
          <w:sz w:val="28"/>
          <w:szCs w:val="28"/>
          <w:highlight w:val="none"/>
        </w:rPr>
        <w:t>目名称</w:t>
      </w:r>
      <w:r>
        <w:rPr>
          <w:rFonts w:ascii="宋体" w:hAnsi="宋体" w:eastAsia="宋体" w:cs="宋体"/>
          <w:color w:val="auto"/>
          <w:spacing w:val="-59"/>
          <w:sz w:val="28"/>
          <w:szCs w:val="28"/>
          <w:highlight w:val="none"/>
        </w:rPr>
        <w:t xml:space="preserve"> </w:t>
      </w:r>
      <w:r>
        <w:rPr>
          <w:rFonts w:ascii="宋体" w:hAnsi="宋体" w:eastAsia="宋体" w:cs="宋体"/>
          <w:b/>
          <w:bCs/>
          <w:color w:val="auto"/>
          <w:spacing w:val="15"/>
          <w:sz w:val="28"/>
          <w:szCs w:val="28"/>
          <w:highlight w:val="none"/>
        </w:rPr>
        <w:t>）</w:t>
      </w:r>
      <w:r>
        <w:rPr>
          <w:rFonts w:ascii="宋体" w:hAnsi="宋体" w:eastAsia="宋体" w:cs="宋体"/>
          <w:color w:val="auto"/>
          <w:spacing w:val="-97"/>
          <w:sz w:val="28"/>
          <w:szCs w:val="28"/>
          <w:highlight w:val="none"/>
        </w:rPr>
        <w:t xml:space="preserve"> </w:t>
      </w:r>
      <w:r>
        <w:rPr>
          <w:rFonts w:ascii="宋体" w:hAnsi="宋体" w:eastAsia="宋体" w:cs="宋体"/>
          <w:color w:val="auto"/>
          <w:spacing w:val="4"/>
          <w:sz w:val="28"/>
          <w:szCs w:val="28"/>
          <w:highlight w:val="none"/>
          <w:u w:val="single" w:color="auto"/>
        </w:rPr>
        <w:t xml:space="preserve">     </w:t>
      </w:r>
      <w:r>
        <w:rPr>
          <w:rFonts w:ascii="宋体" w:hAnsi="宋体" w:eastAsia="宋体" w:cs="宋体"/>
          <w:color w:val="auto"/>
          <w:spacing w:val="-125"/>
          <w:sz w:val="28"/>
          <w:szCs w:val="28"/>
          <w:highlight w:val="none"/>
        </w:rPr>
        <w:t xml:space="preserve"> </w:t>
      </w:r>
      <w:r>
        <w:rPr>
          <w:rFonts w:ascii="宋体" w:hAnsi="宋体" w:eastAsia="宋体" w:cs="宋体"/>
          <w:b/>
          <w:bCs/>
          <w:color w:val="auto"/>
          <w:spacing w:val="15"/>
          <w:sz w:val="28"/>
          <w:szCs w:val="28"/>
          <w:highlight w:val="none"/>
        </w:rPr>
        <w:t>标段施工招标项</w:t>
      </w:r>
      <w:r>
        <w:rPr>
          <w:rFonts w:ascii="宋体" w:hAnsi="宋体" w:eastAsia="宋体" w:cs="宋体"/>
          <w:color w:val="auto"/>
          <w:spacing w:val="-35"/>
          <w:sz w:val="28"/>
          <w:szCs w:val="28"/>
          <w:highlight w:val="none"/>
        </w:rPr>
        <w:t xml:space="preserve"> </w:t>
      </w:r>
      <w:r>
        <w:rPr>
          <w:rFonts w:ascii="宋体" w:hAnsi="宋体" w:eastAsia="宋体" w:cs="宋体"/>
          <w:b/>
          <w:bCs/>
          <w:color w:val="auto"/>
          <w:spacing w:val="15"/>
          <w:sz w:val="28"/>
          <w:szCs w:val="28"/>
          <w:highlight w:val="none"/>
        </w:rPr>
        <w:t>目</w:t>
      </w:r>
      <w:bookmarkEnd w:id="396"/>
    </w:p>
    <w:p w14:paraId="2D5B5132">
      <w:pPr>
        <w:spacing w:line="251" w:lineRule="auto"/>
        <w:outlineLvl w:val="9"/>
        <w:rPr>
          <w:rFonts w:ascii="Arial"/>
          <w:color w:val="auto"/>
          <w:sz w:val="21"/>
          <w:highlight w:val="none"/>
        </w:rPr>
      </w:pPr>
    </w:p>
    <w:p w14:paraId="26FD8134">
      <w:pPr>
        <w:spacing w:line="251" w:lineRule="auto"/>
        <w:outlineLvl w:val="9"/>
        <w:rPr>
          <w:rFonts w:ascii="Arial"/>
          <w:color w:val="auto"/>
          <w:sz w:val="21"/>
          <w:highlight w:val="none"/>
        </w:rPr>
      </w:pPr>
    </w:p>
    <w:p w14:paraId="579A80A6">
      <w:pPr>
        <w:spacing w:line="251" w:lineRule="auto"/>
        <w:outlineLvl w:val="9"/>
        <w:rPr>
          <w:rFonts w:ascii="Arial"/>
          <w:color w:val="auto"/>
          <w:sz w:val="21"/>
          <w:highlight w:val="none"/>
        </w:rPr>
      </w:pPr>
    </w:p>
    <w:p w14:paraId="572DD0E1">
      <w:pPr>
        <w:spacing w:line="252" w:lineRule="auto"/>
        <w:outlineLvl w:val="9"/>
        <w:rPr>
          <w:rFonts w:ascii="Arial"/>
          <w:color w:val="auto"/>
          <w:sz w:val="21"/>
          <w:highlight w:val="none"/>
        </w:rPr>
      </w:pPr>
    </w:p>
    <w:p w14:paraId="2842042E">
      <w:pPr>
        <w:spacing w:before="139" w:line="486" w:lineRule="auto"/>
        <w:ind w:right="2792"/>
        <w:jc w:val="center"/>
        <w:outlineLvl w:val="9"/>
        <w:rPr>
          <w:rFonts w:ascii="宋体" w:hAnsi="宋体" w:eastAsia="宋体" w:cs="宋体"/>
          <w:color w:val="auto"/>
          <w:sz w:val="43"/>
          <w:szCs w:val="43"/>
          <w:highlight w:val="none"/>
        </w:rPr>
      </w:pPr>
      <w:r>
        <w:rPr>
          <w:rFonts w:hint="eastAsia" w:ascii="宋体" w:hAnsi="宋体" w:eastAsia="宋体" w:cs="宋体"/>
          <w:b/>
          <w:bCs/>
          <w:color w:val="auto"/>
          <w:spacing w:val="-15"/>
          <w:sz w:val="43"/>
          <w:szCs w:val="43"/>
          <w:highlight w:val="none"/>
          <w:lang w:val="en-US" w:eastAsia="zh-CN"/>
        </w:rPr>
        <w:t xml:space="preserve">             </w:t>
      </w:r>
      <w:r>
        <w:rPr>
          <w:rFonts w:ascii="宋体" w:hAnsi="宋体" w:eastAsia="宋体" w:cs="宋体"/>
          <w:b/>
          <w:bCs/>
          <w:color w:val="auto"/>
          <w:spacing w:val="-15"/>
          <w:sz w:val="43"/>
          <w:szCs w:val="43"/>
          <w:highlight w:val="none"/>
        </w:rPr>
        <w:t>投</w:t>
      </w:r>
      <w:r>
        <w:rPr>
          <w:rFonts w:ascii="宋体" w:hAnsi="宋体" w:eastAsia="宋体" w:cs="宋体"/>
          <w:color w:val="auto"/>
          <w:spacing w:val="130"/>
          <w:sz w:val="43"/>
          <w:szCs w:val="43"/>
          <w:highlight w:val="none"/>
        </w:rPr>
        <w:t xml:space="preserve"> </w:t>
      </w:r>
      <w:r>
        <w:rPr>
          <w:rFonts w:ascii="宋体" w:hAnsi="宋体" w:eastAsia="宋体" w:cs="宋体"/>
          <w:b/>
          <w:bCs/>
          <w:color w:val="auto"/>
          <w:spacing w:val="-15"/>
          <w:sz w:val="43"/>
          <w:szCs w:val="43"/>
          <w:highlight w:val="none"/>
        </w:rPr>
        <w:t>标</w:t>
      </w:r>
      <w:r>
        <w:rPr>
          <w:rFonts w:ascii="宋体" w:hAnsi="宋体" w:eastAsia="宋体" w:cs="宋体"/>
          <w:color w:val="auto"/>
          <w:spacing w:val="130"/>
          <w:sz w:val="43"/>
          <w:szCs w:val="43"/>
          <w:highlight w:val="none"/>
        </w:rPr>
        <w:t xml:space="preserve"> </w:t>
      </w:r>
      <w:r>
        <w:rPr>
          <w:rFonts w:ascii="宋体" w:hAnsi="宋体" w:eastAsia="宋体" w:cs="宋体"/>
          <w:b/>
          <w:bCs/>
          <w:color w:val="auto"/>
          <w:spacing w:val="-15"/>
          <w:sz w:val="43"/>
          <w:szCs w:val="43"/>
          <w:highlight w:val="none"/>
        </w:rPr>
        <w:t>文</w:t>
      </w:r>
      <w:r>
        <w:rPr>
          <w:rFonts w:ascii="宋体" w:hAnsi="宋体" w:eastAsia="宋体" w:cs="宋体"/>
          <w:color w:val="auto"/>
          <w:spacing w:val="122"/>
          <w:sz w:val="43"/>
          <w:szCs w:val="43"/>
          <w:highlight w:val="none"/>
        </w:rPr>
        <w:t xml:space="preserve"> </w:t>
      </w:r>
      <w:r>
        <w:rPr>
          <w:rFonts w:ascii="宋体" w:hAnsi="宋体" w:eastAsia="宋体" w:cs="宋体"/>
          <w:b/>
          <w:bCs/>
          <w:color w:val="auto"/>
          <w:spacing w:val="-15"/>
          <w:sz w:val="43"/>
          <w:szCs w:val="43"/>
          <w:highlight w:val="none"/>
        </w:rPr>
        <w:t>件</w:t>
      </w:r>
    </w:p>
    <w:p w14:paraId="46C95DA6">
      <w:pPr>
        <w:spacing w:before="139" w:line="486" w:lineRule="auto"/>
        <w:ind w:right="2792"/>
        <w:jc w:val="center"/>
        <w:outlineLvl w:val="9"/>
        <w:rPr>
          <w:rFonts w:ascii="宋体" w:hAnsi="宋体" w:eastAsia="宋体" w:cs="宋体"/>
          <w:color w:val="auto"/>
          <w:sz w:val="31"/>
          <w:szCs w:val="31"/>
          <w:highlight w:val="none"/>
        </w:rPr>
      </w:pPr>
      <w:r>
        <w:rPr>
          <w:rFonts w:hint="eastAsia" w:ascii="宋体" w:hAnsi="宋体" w:eastAsia="宋体" w:cs="宋体"/>
          <w:b/>
          <w:bCs/>
          <w:color w:val="auto"/>
          <w:spacing w:val="22"/>
          <w:sz w:val="31"/>
          <w:szCs w:val="31"/>
          <w:highlight w:val="none"/>
          <w:lang w:val="en-US" w:eastAsia="zh-CN"/>
        </w:rPr>
        <w:t xml:space="preserve">             </w:t>
      </w:r>
      <w:r>
        <w:rPr>
          <w:rFonts w:ascii="宋体" w:hAnsi="宋体" w:eastAsia="宋体" w:cs="宋体"/>
          <w:b/>
          <w:bCs/>
          <w:color w:val="auto"/>
          <w:spacing w:val="22"/>
          <w:sz w:val="31"/>
          <w:szCs w:val="31"/>
          <w:highlight w:val="none"/>
        </w:rPr>
        <w:t>招标项目编号：</w:t>
      </w:r>
    </w:p>
    <w:p w14:paraId="0873B1C6">
      <w:pPr>
        <w:spacing w:line="244" w:lineRule="auto"/>
        <w:outlineLvl w:val="9"/>
        <w:rPr>
          <w:rFonts w:ascii="Arial"/>
          <w:color w:val="auto"/>
          <w:sz w:val="21"/>
          <w:highlight w:val="none"/>
        </w:rPr>
      </w:pPr>
    </w:p>
    <w:p w14:paraId="796E87A7">
      <w:pPr>
        <w:spacing w:line="244" w:lineRule="auto"/>
        <w:outlineLvl w:val="9"/>
        <w:rPr>
          <w:rFonts w:ascii="Arial"/>
          <w:color w:val="auto"/>
          <w:sz w:val="21"/>
          <w:highlight w:val="none"/>
        </w:rPr>
      </w:pPr>
    </w:p>
    <w:p w14:paraId="2DC2F94A">
      <w:pPr>
        <w:spacing w:line="244" w:lineRule="auto"/>
        <w:outlineLvl w:val="9"/>
        <w:rPr>
          <w:rFonts w:ascii="Arial"/>
          <w:color w:val="auto"/>
          <w:sz w:val="21"/>
          <w:highlight w:val="none"/>
        </w:rPr>
      </w:pPr>
    </w:p>
    <w:p w14:paraId="2F89F20A">
      <w:pPr>
        <w:spacing w:line="244" w:lineRule="auto"/>
        <w:outlineLvl w:val="9"/>
        <w:rPr>
          <w:rFonts w:ascii="Arial"/>
          <w:color w:val="auto"/>
          <w:sz w:val="21"/>
          <w:highlight w:val="none"/>
        </w:rPr>
      </w:pPr>
    </w:p>
    <w:p w14:paraId="208CE024">
      <w:pPr>
        <w:spacing w:line="245" w:lineRule="auto"/>
        <w:outlineLvl w:val="9"/>
        <w:rPr>
          <w:rFonts w:ascii="Arial"/>
          <w:color w:val="auto"/>
          <w:sz w:val="21"/>
          <w:highlight w:val="none"/>
        </w:rPr>
      </w:pPr>
    </w:p>
    <w:p w14:paraId="601EB112">
      <w:pPr>
        <w:spacing w:line="245" w:lineRule="auto"/>
        <w:outlineLvl w:val="9"/>
        <w:rPr>
          <w:rFonts w:ascii="Arial"/>
          <w:color w:val="auto"/>
          <w:sz w:val="21"/>
          <w:highlight w:val="none"/>
        </w:rPr>
      </w:pPr>
    </w:p>
    <w:p w14:paraId="4075322E">
      <w:pPr>
        <w:spacing w:line="245" w:lineRule="auto"/>
        <w:outlineLvl w:val="9"/>
        <w:rPr>
          <w:rFonts w:ascii="Arial"/>
          <w:color w:val="auto"/>
          <w:sz w:val="21"/>
          <w:highlight w:val="none"/>
        </w:rPr>
      </w:pPr>
    </w:p>
    <w:p w14:paraId="4E5446C3">
      <w:pPr>
        <w:spacing w:line="245" w:lineRule="auto"/>
        <w:outlineLvl w:val="9"/>
        <w:rPr>
          <w:rFonts w:ascii="Arial"/>
          <w:color w:val="auto"/>
          <w:sz w:val="21"/>
          <w:highlight w:val="none"/>
        </w:rPr>
      </w:pPr>
    </w:p>
    <w:p w14:paraId="23DC8318">
      <w:pPr>
        <w:spacing w:line="245" w:lineRule="auto"/>
        <w:outlineLvl w:val="9"/>
        <w:rPr>
          <w:rFonts w:ascii="Arial"/>
          <w:color w:val="auto"/>
          <w:sz w:val="21"/>
          <w:highlight w:val="none"/>
        </w:rPr>
      </w:pPr>
    </w:p>
    <w:p w14:paraId="677C0EB9">
      <w:pPr>
        <w:spacing w:line="245" w:lineRule="auto"/>
        <w:outlineLvl w:val="9"/>
        <w:rPr>
          <w:rFonts w:ascii="Arial"/>
          <w:color w:val="auto"/>
          <w:sz w:val="21"/>
          <w:highlight w:val="none"/>
        </w:rPr>
      </w:pPr>
    </w:p>
    <w:p w14:paraId="63627A48">
      <w:pPr>
        <w:spacing w:line="245" w:lineRule="auto"/>
        <w:outlineLvl w:val="9"/>
        <w:rPr>
          <w:rFonts w:ascii="Arial"/>
          <w:color w:val="auto"/>
          <w:sz w:val="21"/>
          <w:highlight w:val="none"/>
        </w:rPr>
      </w:pPr>
    </w:p>
    <w:p w14:paraId="5D1F2C18">
      <w:pPr>
        <w:spacing w:line="245" w:lineRule="auto"/>
        <w:outlineLvl w:val="9"/>
        <w:rPr>
          <w:rFonts w:ascii="Arial"/>
          <w:color w:val="auto"/>
          <w:sz w:val="21"/>
          <w:highlight w:val="none"/>
        </w:rPr>
      </w:pPr>
    </w:p>
    <w:p w14:paraId="175C0CF2">
      <w:pPr>
        <w:spacing w:line="245" w:lineRule="auto"/>
        <w:outlineLvl w:val="9"/>
        <w:rPr>
          <w:rFonts w:ascii="Arial"/>
          <w:color w:val="auto"/>
          <w:sz w:val="21"/>
          <w:highlight w:val="none"/>
        </w:rPr>
      </w:pPr>
    </w:p>
    <w:p w14:paraId="5F63136E">
      <w:pPr>
        <w:spacing w:line="245" w:lineRule="auto"/>
        <w:outlineLvl w:val="9"/>
        <w:rPr>
          <w:rFonts w:ascii="Arial"/>
          <w:color w:val="auto"/>
          <w:sz w:val="21"/>
          <w:highlight w:val="none"/>
        </w:rPr>
      </w:pPr>
    </w:p>
    <w:p w14:paraId="2B2CF07C">
      <w:pPr>
        <w:spacing w:line="245" w:lineRule="auto"/>
        <w:outlineLvl w:val="9"/>
        <w:rPr>
          <w:rFonts w:ascii="Arial"/>
          <w:color w:val="auto"/>
          <w:sz w:val="21"/>
          <w:highlight w:val="none"/>
        </w:rPr>
      </w:pPr>
    </w:p>
    <w:p w14:paraId="4ABF3CFC">
      <w:pPr>
        <w:spacing w:line="245" w:lineRule="auto"/>
        <w:outlineLvl w:val="9"/>
        <w:rPr>
          <w:rFonts w:ascii="Arial"/>
          <w:color w:val="auto"/>
          <w:sz w:val="21"/>
          <w:highlight w:val="none"/>
        </w:rPr>
      </w:pPr>
    </w:p>
    <w:p w14:paraId="58C5730B">
      <w:pPr>
        <w:spacing w:line="245" w:lineRule="auto"/>
        <w:outlineLvl w:val="9"/>
        <w:rPr>
          <w:rFonts w:ascii="Arial"/>
          <w:color w:val="auto"/>
          <w:sz w:val="21"/>
          <w:highlight w:val="none"/>
        </w:rPr>
      </w:pPr>
    </w:p>
    <w:p w14:paraId="79978677">
      <w:pPr>
        <w:spacing w:line="245" w:lineRule="auto"/>
        <w:outlineLvl w:val="9"/>
        <w:rPr>
          <w:rFonts w:ascii="Arial"/>
          <w:color w:val="auto"/>
          <w:sz w:val="21"/>
          <w:highlight w:val="none"/>
        </w:rPr>
      </w:pPr>
    </w:p>
    <w:p w14:paraId="3334F965">
      <w:pPr>
        <w:spacing w:line="245" w:lineRule="auto"/>
        <w:outlineLvl w:val="9"/>
        <w:rPr>
          <w:rFonts w:ascii="Arial"/>
          <w:color w:val="auto"/>
          <w:sz w:val="21"/>
          <w:highlight w:val="none"/>
        </w:rPr>
      </w:pPr>
    </w:p>
    <w:p w14:paraId="24BC5EAA">
      <w:pPr>
        <w:spacing w:line="245" w:lineRule="auto"/>
        <w:outlineLvl w:val="9"/>
        <w:rPr>
          <w:rFonts w:ascii="Arial"/>
          <w:color w:val="auto"/>
          <w:sz w:val="21"/>
          <w:highlight w:val="none"/>
        </w:rPr>
      </w:pPr>
    </w:p>
    <w:p w14:paraId="3EE54DB9">
      <w:pPr>
        <w:spacing w:line="245" w:lineRule="auto"/>
        <w:outlineLvl w:val="9"/>
        <w:rPr>
          <w:rFonts w:ascii="Arial"/>
          <w:color w:val="auto"/>
          <w:sz w:val="21"/>
          <w:highlight w:val="none"/>
        </w:rPr>
      </w:pPr>
    </w:p>
    <w:p w14:paraId="6583C9C1">
      <w:pPr>
        <w:spacing w:line="245" w:lineRule="auto"/>
        <w:outlineLvl w:val="9"/>
        <w:rPr>
          <w:rFonts w:ascii="Arial"/>
          <w:color w:val="auto"/>
          <w:sz w:val="21"/>
          <w:highlight w:val="none"/>
        </w:rPr>
      </w:pPr>
    </w:p>
    <w:p w14:paraId="14A38723">
      <w:pPr>
        <w:spacing w:line="245" w:lineRule="auto"/>
        <w:outlineLvl w:val="9"/>
        <w:rPr>
          <w:rFonts w:ascii="Arial"/>
          <w:color w:val="auto"/>
          <w:sz w:val="21"/>
          <w:highlight w:val="none"/>
        </w:rPr>
      </w:pPr>
    </w:p>
    <w:p w14:paraId="49A15960">
      <w:pPr>
        <w:spacing w:line="245" w:lineRule="auto"/>
        <w:outlineLvl w:val="9"/>
        <w:rPr>
          <w:rFonts w:ascii="Arial"/>
          <w:color w:val="auto"/>
          <w:sz w:val="21"/>
          <w:highlight w:val="none"/>
        </w:rPr>
      </w:pPr>
    </w:p>
    <w:p w14:paraId="01D593BD">
      <w:pPr>
        <w:spacing w:line="245" w:lineRule="auto"/>
        <w:outlineLvl w:val="9"/>
        <w:rPr>
          <w:rFonts w:ascii="Arial"/>
          <w:color w:val="auto"/>
          <w:sz w:val="28"/>
          <w:szCs w:val="28"/>
          <w:highlight w:val="none"/>
        </w:rPr>
      </w:pPr>
    </w:p>
    <w:p w14:paraId="2A7781A4">
      <w:pPr>
        <w:spacing w:before="101" w:line="356" w:lineRule="auto"/>
        <w:ind w:left="553" w:firstLine="2"/>
        <w:outlineLvl w:val="9"/>
        <w:rPr>
          <w:rFonts w:ascii="宋体" w:hAnsi="宋体" w:eastAsia="宋体" w:cs="宋体"/>
          <w:color w:val="auto"/>
          <w:spacing w:val="1"/>
          <w:sz w:val="28"/>
          <w:szCs w:val="28"/>
          <w:highlight w:val="none"/>
        </w:rPr>
      </w:pPr>
      <w:r>
        <w:rPr>
          <w:rFonts w:ascii="宋体" w:hAnsi="宋体" w:eastAsia="宋体" w:cs="宋体"/>
          <w:b/>
          <w:bCs/>
          <w:color w:val="auto"/>
          <w:spacing w:val="4"/>
          <w:sz w:val="28"/>
          <w:szCs w:val="28"/>
          <w:highlight w:val="none"/>
        </w:rPr>
        <w:t>投</w:t>
      </w:r>
      <w:r>
        <w:rPr>
          <w:rFonts w:ascii="宋体" w:hAnsi="宋体" w:eastAsia="宋体" w:cs="宋体"/>
          <w:color w:val="auto"/>
          <w:spacing w:val="102"/>
          <w:sz w:val="28"/>
          <w:szCs w:val="28"/>
          <w:highlight w:val="none"/>
        </w:rPr>
        <w:t xml:space="preserve"> </w:t>
      </w:r>
      <w:r>
        <w:rPr>
          <w:rFonts w:ascii="宋体" w:hAnsi="宋体" w:eastAsia="宋体" w:cs="宋体"/>
          <w:b/>
          <w:bCs/>
          <w:color w:val="auto"/>
          <w:spacing w:val="4"/>
          <w:sz w:val="28"/>
          <w:szCs w:val="28"/>
          <w:highlight w:val="none"/>
        </w:rPr>
        <w:t>标</w:t>
      </w:r>
      <w:r>
        <w:rPr>
          <w:rFonts w:ascii="宋体" w:hAnsi="宋体" w:eastAsia="宋体" w:cs="宋体"/>
          <w:color w:val="auto"/>
          <w:spacing w:val="102"/>
          <w:sz w:val="28"/>
          <w:szCs w:val="28"/>
          <w:highlight w:val="none"/>
        </w:rPr>
        <w:t xml:space="preserve"> </w:t>
      </w:r>
      <w:r>
        <w:rPr>
          <w:rFonts w:ascii="宋体" w:hAnsi="宋体" w:eastAsia="宋体" w:cs="宋体"/>
          <w:b/>
          <w:bCs/>
          <w:color w:val="auto"/>
          <w:spacing w:val="4"/>
          <w:sz w:val="28"/>
          <w:szCs w:val="28"/>
          <w:highlight w:val="none"/>
        </w:rPr>
        <w:t>人</w:t>
      </w:r>
      <w:r>
        <w:rPr>
          <w:rFonts w:ascii="宋体" w:hAnsi="宋体" w:eastAsia="宋体" w:cs="宋体"/>
          <w:b/>
          <w:bCs/>
          <w:color w:val="auto"/>
          <w:spacing w:val="-20"/>
          <w:sz w:val="28"/>
          <w:szCs w:val="28"/>
          <w:highlight w:val="none"/>
        </w:rPr>
        <w:t>：</w:t>
      </w:r>
      <w:r>
        <w:rPr>
          <w:rFonts w:ascii="宋体" w:hAnsi="宋体" w:eastAsia="宋体" w:cs="宋体"/>
          <w:color w:val="auto"/>
          <w:spacing w:val="-69"/>
          <w:sz w:val="28"/>
          <w:szCs w:val="28"/>
          <w:highlight w:val="none"/>
        </w:rPr>
        <w:t xml:space="preserve"> </w:t>
      </w:r>
      <w:r>
        <w:rPr>
          <w:rFonts w:ascii="宋体" w:hAnsi="宋体" w:eastAsia="宋体" w:cs="宋体"/>
          <w:color w:val="auto"/>
          <w:spacing w:val="6"/>
          <w:sz w:val="28"/>
          <w:szCs w:val="28"/>
          <w:highlight w:val="none"/>
          <w:u w:val="single" w:color="auto"/>
        </w:rPr>
        <w:t xml:space="preserve">                  </w:t>
      </w:r>
      <w:r>
        <w:rPr>
          <w:rFonts w:ascii="宋体" w:hAnsi="宋体" w:eastAsia="宋体" w:cs="宋体"/>
          <w:color w:val="auto"/>
          <w:spacing w:val="5"/>
          <w:sz w:val="28"/>
          <w:szCs w:val="28"/>
          <w:highlight w:val="none"/>
          <w:u w:val="single" w:color="auto"/>
        </w:rPr>
        <w:t xml:space="preserve">      </w:t>
      </w:r>
      <w:r>
        <w:rPr>
          <w:rFonts w:ascii="宋体" w:hAnsi="宋体" w:eastAsia="宋体" w:cs="宋体"/>
          <w:b/>
          <w:bCs/>
          <w:color w:val="auto"/>
          <w:spacing w:val="-20"/>
          <w:sz w:val="28"/>
          <w:szCs w:val="28"/>
          <w:highlight w:val="none"/>
        </w:rPr>
        <w:t>（</w:t>
      </w:r>
      <w:r>
        <w:rPr>
          <w:rFonts w:ascii="宋体" w:hAnsi="宋体" w:eastAsia="宋体" w:cs="宋体"/>
          <w:b/>
          <w:bCs/>
          <w:color w:val="auto"/>
          <w:spacing w:val="4"/>
          <w:sz w:val="28"/>
          <w:szCs w:val="28"/>
          <w:highlight w:val="none"/>
        </w:rPr>
        <w:t>盖单位章）</w:t>
      </w:r>
      <w:r>
        <w:rPr>
          <w:rFonts w:ascii="宋体" w:hAnsi="宋体" w:eastAsia="宋体" w:cs="宋体"/>
          <w:color w:val="auto"/>
          <w:spacing w:val="1"/>
          <w:sz w:val="28"/>
          <w:szCs w:val="28"/>
          <w:highlight w:val="none"/>
        </w:rPr>
        <w:t xml:space="preserve"> </w:t>
      </w:r>
    </w:p>
    <w:p w14:paraId="3BDD02B1">
      <w:pPr>
        <w:spacing w:before="101" w:line="356" w:lineRule="auto"/>
        <w:ind w:left="553" w:firstLine="2"/>
        <w:outlineLvl w:val="9"/>
        <w:rPr>
          <w:rFonts w:ascii="宋体" w:hAnsi="宋体" w:eastAsia="宋体" w:cs="宋体"/>
          <w:color w:val="auto"/>
          <w:sz w:val="28"/>
          <w:szCs w:val="28"/>
          <w:highlight w:val="none"/>
        </w:rPr>
      </w:pPr>
      <w:r>
        <w:rPr>
          <w:rFonts w:ascii="宋体" w:hAnsi="宋体" w:eastAsia="宋体" w:cs="宋体"/>
          <w:b/>
          <w:bCs/>
          <w:color w:val="auto"/>
          <w:spacing w:val="33"/>
          <w:sz w:val="28"/>
          <w:szCs w:val="28"/>
          <w:highlight w:val="none"/>
        </w:rPr>
        <w:t>法定代表人或其委托代理人</w:t>
      </w:r>
      <w:r>
        <w:rPr>
          <w:rFonts w:ascii="宋体" w:hAnsi="宋体" w:eastAsia="宋体" w:cs="宋体"/>
          <w:color w:val="auto"/>
          <w:spacing w:val="-72"/>
          <w:sz w:val="28"/>
          <w:szCs w:val="28"/>
          <w:highlight w:val="none"/>
        </w:rPr>
        <w:t xml:space="preserve"> </w:t>
      </w:r>
      <w:r>
        <w:rPr>
          <w:rFonts w:ascii="宋体" w:hAnsi="宋体" w:eastAsia="宋体" w:cs="宋体"/>
          <w:b/>
          <w:bCs/>
          <w:color w:val="auto"/>
          <w:spacing w:val="-40"/>
          <w:sz w:val="28"/>
          <w:szCs w:val="28"/>
          <w:highlight w:val="none"/>
        </w:rPr>
        <w:t>：</w:t>
      </w:r>
      <w:r>
        <w:rPr>
          <w:rFonts w:ascii="宋体" w:hAnsi="宋体" w:eastAsia="宋体" w:cs="宋体"/>
          <w:color w:val="auto"/>
          <w:spacing w:val="-103"/>
          <w:sz w:val="28"/>
          <w:szCs w:val="28"/>
          <w:highlight w:val="none"/>
        </w:rPr>
        <w:t xml:space="preserve"> </w:t>
      </w:r>
      <w:r>
        <w:rPr>
          <w:rFonts w:ascii="宋体" w:hAnsi="宋体" w:eastAsia="宋体" w:cs="宋体"/>
          <w:color w:val="auto"/>
          <w:spacing w:val="6"/>
          <w:sz w:val="28"/>
          <w:szCs w:val="28"/>
          <w:highlight w:val="none"/>
          <w:u w:val="single" w:color="auto"/>
        </w:rPr>
        <w:t xml:space="preserve">  </w:t>
      </w:r>
      <w:r>
        <w:rPr>
          <w:rFonts w:hint="eastAsia" w:ascii="宋体" w:hAnsi="宋体" w:eastAsia="宋体" w:cs="宋体"/>
          <w:color w:val="auto"/>
          <w:spacing w:val="6"/>
          <w:sz w:val="28"/>
          <w:szCs w:val="28"/>
          <w:highlight w:val="none"/>
          <w:u w:val="single" w:color="auto"/>
          <w:lang w:val="en-US" w:eastAsia="zh-CN"/>
        </w:rPr>
        <w:t xml:space="preserve">    </w:t>
      </w:r>
      <w:r>
        <w:rPr>
          <w:rFonts w:ascii="宋体" w:hAnsi="宋体" w:eastAsia="宋体" w:cs="宋体"/>
          <w:color w:val="auto"/>
          <w:spacing w:val="6"/>
          <w:sz w:val="28"/>
          <w:szCs w:val="28"/>
          <w:highlight w:val="none"/>
          <w:u w:val="single" w:color="auto"/>
        </w:rPr>
        <w:t xml:space="preserve"> </w:t>
      </w:r>
      <w:r>
        <w:rPr>
          <w:rFonts w:ascii="宋体" w:hAnsi="宋体" w:eastAsia="宋体" w:cs="宋体"/>
          <w:b/>
          <w:bCs/>
          <w:color w:val="auto"/>
          <w:spacing w:val="-40"/>
          <w:sz w:val="28"/>
          <w:szCs w:val="28"/>
          <w:highlight w:val="none"/>
        </w:rPr>
        <w:t>（</w:t>
      </w:r>
      <w:r>
        <w:rPr>
          <w:rFonts w:ascii="宋体" w:hAnsi="宋体" w:eastAsia="宋体" w:cs="宋体"/>
          <w:b/>
          <w:bCs/>
          <w:color w:val="auto"/>
          <w:spacing w:val="33"/>
          <w:sz w:val="28"/>
          <w:szCs w:val="28"/>
          <w:highlight w:val="none"/>
        </w:rPr>
        <w:t>签字或盖章）</w:t>
      </w:r>
    </w:p>
    <w:p w14:paraId="30B0CEA0">
      <w:pPr>
        <w:spacing w:line="358" w:lineRule="auto"/>
        <w:outlineLvl w:val="9"/>
        <w:rPr>
          <w:rFonts w:ascii="Arial"/>
          <w:color w:val="auto"/>
          <w:sz w:val="28"/>
          <w:szCs w:val="28"/>
          <w:highlight w:val="none"/>
        </w:rPr>
      </w:pPr>
    </w:p>
    <w:p w14:paraId="44FEF5DD">
      <w:pPr>
        <w:tabs>
          <w:tab w:val="left" w:pos="3587"/>
        </w:tabs>
        <w:spacing w:before="100" w:line="225" w:lineRule="auto"/>
        <w:ind w:left="2583"/>
        <w:outlineLvl w:val="9"/>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140"/>
          <w:sz w:val="28"/>
          <w:szCs w:val="28"/>
          <w:highlight w:val="none"/>
        </w:rPr>
        <w:t xml:space="preserve"> </w:t>
      </w:r>
      <w:r>
        <w:rPr>
          <w:rFonts w:ascii="宋体" w:hAnsi="宋体" w:eastAsia="宋体" w:cs="宋体"/>
          <w:b/>
          <w:bCs/>
          <w:color w:val="auto"/>
          <w:spacing w:val="-9"/>
          <w:sz w:val="28"/>
          <w:szCs w:val="28"/>
          <w:highlight w:val="none"/>
        </w:rPr>
        <w:t>年</w:t>
      </w:r>
      <w:r>
        <w:rPr>
          <w:rFonts w:ascii="宋体" w:hAnsi="宋体" w:eastAsia="宋体" w:cs="宋体"/>
          <w:color w:val="auto"/>
          <w:spacing w:val="-115"/>
          <w:sz w:val="28"/>
          <w:szCs w:val="28"/>
          <w:highlight w:val="none"/>
        </w:rPr>
        <w:t xml:space="preserve"> </w:t>
      </w:r>
      <w:r>
        <w:rPr>
          <w:rFonts w:ascii="宋体" w:hAnsi="宋体" w:eastAsia="宋体" w:cs="宋体"/>
          <w:color w:val="auto"/>
          <w:spacing w:val="12"/>
          <w:sz w:val="28"/>
          <w:szCs w:val="28"/>
          <w:highlight w:val="none"/>
          <w:u w:val="single" w:color="auto"/>
        </w:rPr>
        <w:t xml:space="preserve">      </w:t>
      </w:r>
      <w:r>
        <w:rPr>
          <w:rFonts w:ascii="宋体" w:hAnsi="宋体" w:eastAsia="宋体" w:cs="宋体"/>
          <w:color w:val="auto"/>
          <w:spacing w:val="-133"/>
          <w:sz w:val="28"/>
          <w:szCs w:val="28"/>
          <w:highlight w:val="none"/>
        </w:rPr>
        <w:t xml:space="preserve"> </w:t>
      </w:r>
      <w:r>
        <w:rPr>
          <w:rFonts w:ascii="宋体" w:hAnsi="宋体" w:eastAsia="宋体" w:cs="宋体"/>
          <w:b/>
          <w:bCs/>
          <w:color w:val="auto"/>
          <w:spacing w:val="-9"/>
          <w:sz w:val="28"/>
          <w:szCs w:val="28"/>
          <w:highlight w:val="none"/>
        </w:rPr>
        <w:t>月</w:t>
      </w:r>
      <w:r>
        <w:rPr>
          <w:rFonts w:ascii="宋体" w:hAnsi="宋体" w:eastAsia="宋体" w:cs="宋体"/>
          <w:color w:val="auto"/>
          <w:spacing w:val="-114"/>
          <w:sz w:val="28"/>
          <w:szCs w:val="28"/>
          <w:highlight w:val="none"/>
        </w:rPr>
        <w:t xml:space="preserve"> </w:t>
      </w:r>
      <w:r>
        <w:rPr>
          <w:rFonts w:ascii="宋体" w:hAnsi="宋体" w:eastAsia="宋体" w:cs="宋体"/>
          <w:color w:val="auto"/>
          <w:spacing w:val="6"/>
          <w:sz w:val="28"/>
          <w:szCs w:val="28"/>
          <w:highlight w:val="none"/>
          <w:u w:val="single" w:color="auto"/>
        </w:rPr>
        <w:t xml:space="preserve">     </w:t>
      </w:r>
      <w:r>
        <w:rPr>
          <w:rFonts w:ascii="宋体" w:hAnsi="宋体" w:eastAsia="宋体" w:cs="宋体"/>
          <w:color w:val="auto"/>
          <w:spacing w:val="-86"/>
          <w:sz w:val="28"/>
          <w:szCs w:val="28"/>
          <w:highlight w:val="none"/>
        </w:rPr>
        <w:t xml:space="preserve"> </w:t>
      </w:r>
      <w:r>
        <w:rPr>
          <w:rFonts w:ascii="宋体" w:hAnsi="宋体" w:eastAsia="宋体" w:cs="宋体"/>
          <w:b/>
          <w:bCs/>
          <w:color w:val="auto"/>
          <w:spacing w:val="-9"/>
          <w:sz w:val="28"/>
          <w:szCs w:val="28"/>
          <w:highlight w:val="none"/>
        </w:rPr>
        <w:t>日</w:t>
      </w:r>
    </w:p>
    <w:p w14:paraId="372D1423">
      <w:pPr>
        <w:spacing w:before="155" w:line="227" w:lineRule="auto"/>
        <w:ind w:left="4199"/>
        <w:outlineLvl w:val="9"/>
        <w:rPr>
          <w:rFonts w:ascii="宋体" w:hAnsi="宋体" w:eastAsia="宋体" w:cs="宋体"/>
          <w:color w:val="auto"/>
          <w:sz w:val="31"/>
          <w:szCs w:val="31"/>
          <w:highlight w:val="none"/>
        </w:rPr>
      </w:pPr>
      <w:bookmarkStart w:id="397" w:name="bookmark287"/>
      <w:bookmarkEnd w:id="397"/>
      <w:r>
        <w:rPr>
          <w:rFonts w:ascii="宋体" w:hAnsi="宋体" w:eastAsia="宋体" w:cs="宋体"/>
          <w:b/>
          <w:bCs/>
          <w:color w:val="auto"/>
          <w:spacing w:val="-17"/>
          <w:sz w:val="31"/>
          <w:szCs w:val="31"/>
          <w:highlight w:val="none"/>
        </w:rPr>
        <w:t>目录</w:t>
      </w:r>
    </w:p>
    <w:p w14:paraId="5D4CE006">
      <w:pPr>
        <w:spacing w:line="327" w:lineRule="auto"/>
        <w:outlineLvl w:val="9"/>
        <w:rPr>
          <w:rFonts w:ascii="Arial"/>
          <w:color w:val="auto"/>
          <w:sz w:val="21"/>
          <w:highlight w:val="none"/>
        </w:rPr>
      </w:pPr>
    </w:p>
    <w:p w14:paraId="0E2C1B4E">
      <w:pPr>
        <w:spacing w:line="327" w:lineRule="auto"/>
        <w:outlineLvl w:val="9"/>
        <w:rPr>
          <w:rFonts w:ascii="Arial"/>
          <w:color w:val="auto"/>
          <w:sz w:val="21"/>
          <w:highlight w:val="none"/>
        </w:rPr>
      </w:pPr>
    </w:p>
    <w:p w14:paraId="55EFC0A3">
      <w:pPr>
        <w:spacing w:before="68" w:line="220"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一、投标函及投标函附录</w:t>
      </w:r>
    </w:p>
    <w:p w14:paraId="71390621">
      <w:pPr>
        <w:spacing w:before="188" w:line="221"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二、法定代表人身份证明（适用于无委托代理人的情况）</w:t>
      </w:r>
    </w:p>
    <w:p w14:paraId="5AC8F8B5">
      <w:pPr>
        <w:spacing w:before="188" w:line="220"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二、授权委托书（适用于有委托代理人的情况）</w:t>
      </w:r>
    </w:p>
    <w:p w14:paraId="29E23755">
      <w:pPr>
        <w:spacing w:before="191" w:line="220" w:lineRule="auto"/>
        <w:ind w:left="61"/>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三、联合体协议书</w:t>
      </w:r>
    </w:p>
    <w:p w14:paraId="1E298AAC">
      <w:pPr>
        <w:spacing w:before="189" w:line="221" w:lineRule="auto"/>
        <w:ind w:left="81"/>
        <w:outlineLvl w:val="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四、投标保证金</w:t>
      </w:r>
    </w:p>
    <w:p w14:paraId="3EC68B7D">
      <w:pPr>
        <w:spacing w:before="187" w:line="219"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五、已标价工程量清单</w:t>
      </w:r>
    </w:p>
    <w:p w14:paraId="786A2FB4">
      <w:pPr>
        <w:spacing w:before="193" w:line="222" w:lineRule="auto"/>
        <w:ind w:left="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六、施工组织设计</w:t>
      </w:r>
    </w:p>
    <w:p w14:paraId="1D9981B9">
      <w:pPr>
        <w:spacing w:before="187" w:line="220" w:lineRule="auto"/>
        <w:ind w:left="6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七、项目管理机构</w:t>
      </w:r>
    </w:p>
    <w:p w14:paraId="5EB5956E">
      <w:pPr>
        <w:spacing w:before="189" w:line="220" w:lineRule="auto"/>
        <w:ind w:left="6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八、拟分包项目情况表</w:t>
      </w:r>
    </w:p>
    <w:p w14:paraId="4F187288">
      <w:pPr>
        <w:spacing w:before="191" w:line="221" w:lineRule="auto"/>
        <w:ind w:left="66"/>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九、资格审查资料</w:t>
      </w:r>
    </w:p>
    <w:p w14:paraId="481E6B8B">
      <w:pPr>
        <w:spacing w:before="187" w:line="221" w:lineRule="auto"/>
        <w:ind w:left="6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十、农民工工资支付保障承诺</w:t>
      </w:r>
    </w:p>
    <w:p w14:paraId="4B89FD82">
      <w:pPr>
        <w:spacing w:before="189" w:line="220" w:lineRule="auto"/>
        <w:ind w:left="62"/>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十、其他材料</w:t>
      </w:r>
    </w:p>
    <w:p w14:paraId="362ABBC8">
      <w:pPr>
        <w:outlineLvl w:val="9"/>
        <w:rPr>
          <w:rFonts w:ascii="宋体" w:hAnsi="宋体" w:eastAsia="宋体" w:cs="宋体"/>
          <w:color w:val="auto"/>
          <w:spacing w:val="-1"/>
          <w:sz w:val="21"/>
          <w:szCs w:val="21"/>
          <w:highlight w:val="none"/>
        </w:rPr>
      </w:pPr>
    </w:p>
    <w:p w14:paraId="2A7AE987">
      <w:pPr>
        <w:outlineLvl w:val="9"/>
        <w:rPr>
          <w:rFonts w:ascii="宋体" w:hAnsi="宋体" w:eastAsia="宋体" w:cs="宋体"/>
          <w:color w:val="auto"/>
          <w:spacing w:val="-1"/>
          <w:sz w:val="21"/>
          <w:szCs w:val="21"/>
          <w:highlight w:val="none"/>
        </w:rPr>
      </w:pPr>
    </w:p>
    <w:p w14:paraId="5EF74EB0">
      <w:pPr>
        <w:outlineLvl w:val="9"/>
        <w:rPr>
          <w:rFonts w:ascii="宋体" w:hAnsi="宋体" w:eastAsia="宋体" w:cs="宋体"/>
          <w:color w:val="auto"/>
          <w:spacing w:val="-1"/>
          <w:sz w:val="21"/>
          <w:szCs w:val="21"/>
          <w:highlight w:val="none"/>
        </w:rPr>
      </w:pPr>
    </w:p>
    <w:p w14:paraId="683E24D5">
      <w:pPr>
        <w:outlineLvl w:val="9"/>
        <w:rPr>
          <w:rFonts w:ascii="宋体" w:hAnsi="宋体" w:eastAsia="宋体" w:cs="宋体"/>
          <w:color w:val="auto"/>
          <w:spacing w:val="-1"/>
          <w:sz w:val="21"/>
          <w:szCs w:val="21"/>
          <w:highlight w:val="none"/>
        </w:rPr>
      </w:pPr>
    </w:p>
    <w:p w14:paraId="6B9BD2DE">
      <w:pPr>
        <w:outlineLvl w:val="9"/>
        <w:rPr>
          <w:rFonts w:ascii="宋体" w:hAnsi="宋体" w:eastAsia="宋体" w:cs="宋体"/>
          <w:color w:val="auto"/>
          <w:spacing w:val="-1"/>
          <w:sz w:val="21"/>
          <w:szCs w:val="21"/>
          <w:highlight w:val="none"/>
        </w:rPr>
      </w:pPr>
    </w:p>
    <w:p w14:paraId="728EF017">
      <w:pPr>
        <w:outlineLvl w:val="9"/>
        <w:rPr>
          <w:rFonts w:ascii="宋体" w:hAnsi="宋体" w:eastAsia="宋体" w:cs="宋体"/>
          <w:color w:val="auto"/>
          <w:spacing w:val="-1"/>
          <w:sz w:val="21"/>
          <w:szCs w:val="21"/>
          <w:highlight w:val="none"/>
        </w:rPr>
      </w:pPr>
    </w:p>
    <w:p w14:paraId="1E0397F7">
      <w:pPr>
        <w:outlineLvl w:val="9"/>
        <w:rPr>
          <w:rFonts w:ascii="宋体" w:hAnsi="宋体" w:eastAsia="宋体" w:cs="宋体"/>
          <w:color w:val="auto"/>
          <w:spacing w:val="-1"/>
          <w:sz w:val="21"/>
          <w:szCs w:val="21"/>
          <w:highlight w:val="none"/>
        </w:rPr>
      </w:pPr>
    </w:p>
    <w:p w14:paraId="0782A991">
      <w:pPr>
        <w:outlineLvl w:val="9"/>
        <w:rPr>
          <w:rFonts w:ascii="宋体" w:hAnsi="宋体" w:eastAsia="宋体" w:cs="宋体"/>
          <w:color w:val="auto"/>
          <w:spacing w:val="-1"/>
          <w:sz w:val="21"/>
          <w:szCs w:val="21"/>
          <w:highlight w:val="none"/>
        </w:rPr>
      </w:pPr>
    </w:p>
    <w:p w14:paraId="110F744B">
      <w:pPr>
        <w:outlineLvl w:val="9"/>
        <w:rPr>
          <w:rFonts w:ascii="宋体" w:hAnsi="宋体" w:eastAsia="宋体" w:cs="宋体"/>
          <w:color w:val="auto"/>
          <w:spacing w:val="-1"/>
          <w:sz w:val="21"/>
          <w:szCs w:val="21"/>
          <w:highlight w:val="none"/>
        </w:rPr>
      </w:pPr>
    </w:p>
    <w:p w14:paraId="7ECEB18E">
      <w:pPr>
        <w:outlineLvl w:val="9"/>
        <w:rPr>
          <w:rFonts w:ascii="宋体" w:hAnsi="宋体" w:eastAsia="宋体" w:cs="宋体"/>
          <w:color w:val="auto"/>
          <w:spacing w:val="-1"/>
          <w:sz w:val="21"/>
          <w:szCs w:val="21"/>
          <w:highlight w:val="none"/>
        </w:rPr>
      </w:pPr>
    </w:p>
    <w:p w14:paraId="2D477EEF">
      <w:pPr>
        <w:outlineLvl w:val="9"/>
        <w:rPr>
          <w:rFonts w:ascii="宋体" w:hAnsi="宋体" w:eastAsia="宋体" w:cs="宋体"/>
          <w:color w:val="auto"/>
          <w:spacing w:val="-1"/>
          <w:sz w:val="21"/>
          <w:szCs w:val="21"/>
          <w:highlight w:val="none"/>
        </w:rPr>
      </w:pPr>
    </w:p>
    <w:p w14:paraId="1FE1651E">
      <w:pPr>
        <w:spacing w:before="294" w:line="224" w:lineRule="auto"/>
        <w:outlineLvl w:val="9"/>
        <w:rPr>
          <w:rFonts w:ascii="宋体" w:hAnsi="宋体" w:eastAsia="宋体" w:cs="宋体"/>
          <w:b/>
          <w:bCs/>
          <w:color w:val="auto"/>
          <w:spacing w:val="5"/>
          <w:sz w:val="31"/>
          <w:szCs w:val="31"/>
          <w:highlight w:val="none"/>
        </w:rPr>
      </w:pPr>
      <w:bookmarkStart w:id="398" w:name="bookmark288"/>
      <w:bookmarkEnd w:id="398"/>
      <w:r>
        <w:rPr>
          <w:rFonts w:ascii="宋体" w:hAnsi="宋体" w:eastAsia="宋体" w:cs="宋体"/>
          <w:b/>
          <w:bCs/>
          <w:color w:val="auto"/>
          <w:spacing w:val="5"/>
          <w:sz w:val="31"/>
          <w:szCs w:val="31"/>
          <w:highlight w:val="none"/>
        </w:rPr>
        <w:br w:type="page"/>
      </w:r>
    </w:p>
    <w:p w14:paraId="4FE9AECB">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jc w:val="center"/>
        <w:textAlignment w:val="baseline"/>
        <w:outlineLvl w:val="9"/>
        <w:rPr>
          <w:rFonts w:ascii="宋体" w:hAnsi="宋体" w:eastAsia="宋体" w:cs="宋体"/>
          <w:b/>
          <w:bCs/>
          <w:color w:val="auto"/>
          <w:spacing w:val="6"/>
          <w:sz w:val="31"/>
          <w:szCs w:val="31"/>
          <w:highlight w:val="none"/>
        </w:rPr>
      </w:pPr>
      <w:bookmarkStart w:id="399" w:name="_Toc16364"/>
      <w:r>
        <w:rPr>
          <w:rFonts w:ascii="宋体" w:hAnsi="宋体" w:eastAsia="宋体" w:cs="宋体"/>
          <w:b/>
          <w:bCs/>
          <w:color w:val="auto"/>
          <w:spacing w:val="6"/>
          <w:sz w:val="31"/>
          <w:szCs w:val="31"/>
          <w:highlight w:val="none"/>
        </w:rPr>
        <w:t>一、投标函及投标函附录</w:t>
      </w:r>
      <w:bookmarkEnd w:id="399"/>
    </w:p>
    <w:p w14:paraId="229A805E">
      <w:pPr>
        <w:spacing w:line="247" w:lineRule="auto"/>
        <w:outlineLvl w:val="9"/>
        <w:rPr>
          <w:rFonts w:ascii="Arial"/>
          <w:color w:val="auto"/>
          <w:sz w:val="21"/>
          <w:highlight w:val="none"/>
        </w:rPr>
      </w:pPr>
    </w:p>
    <w:p w14:paraId="77FA196D">
      <w:pPr>
        <w:spacing w:line="248" w:lineRule="auto"/>
        <w:outlineLvl w:val="9"/>
        <w:rPr>
          <w:rFonts w:ascii="Arial"/>
          <w:color w:val="auto"/>
          <w:sz w:val="21"/>
          <w:highlight w:val="none"/>
        </w:rPr>
      </w:pPr>
    </w:p>
    <w:p w14:paraId="35875A8A">
      <w:pPr>
        <w:spacing w:before="91" w:line="221" w:lineRule="auto"/>
        <w:ind w:left="155"/>
        <w:jc w:val="center"/>
        <w:outlineLvl w:val="9"/>
        <w:rPr>
          <w:rFonts w:ascii="宋体" w:hAnsi="宋体" w:eastAsia="宋体" w:cs="宋体"/>
          <w:color w:val="auto"/>
          <w:sz w:val="28"/>
          <w:szCs w:val="28"/>
          <w:highlight w:val="none"/>
        </w:rPr>
      </w:pPr>
      <w:bookmarkStart w:id="400" w:name="_Toc7093"/>
      <w:r>
        <w:rPr>
          <w:rFonts w:ascii="宋体" w:hAnsi="宋体" w:eastAsia="宋体" w:cs="宋体"/>
          <w:b/>
          <w:bCs/>
          <w:color w:val="auto"/>
          <w:spacing w:val="-8"/>
          <w:sz w:val="28"/>
          <w:szCs w:val="28"/>
          <w:highlight w:val="none"/>
        </w:rPr>
        <w:t>（一）投标函</w:t>
      </w:r>
      <w:bookmarkEnd w:id="400"/>
    </w:p>
    <w:p w14:paraId="6AADB08C">
      <w:pPr>
        <w:spacing w:line="465" w:lineRule="auto"/>
        <w:outlineLvl w:val="9"/>
        <w:rPr>
          <w:rFonts w:ascii="Arial"/>
          <w:color w:val="auto"/>
          <w:sz w:val="21"/>
          <w:highlight w:val="none"/>
        </w:rPr>
      </w:pPr>
    </w:p>
    <w:p w14:paraId="1BEA390D">
      <w:pPr>
        <w:keepNext w:val="0"/>
        <w:keepLines w:val="0"/>
        <w:pageBreakBefore w:val="0"/>
        <w:widowControl/>
        <w:tabs>
          <w:tab w:val="left" w:pos="2520"/>
        </w:tabs>
        <w:kinsoku w:val="0"/>
        <w:wordWrap/>
        <w:overflowPunct/>
        <w:topLinePunct w:val="0"/>
        <w:autoSpaceDE w:val="0"/>
        <w:autoSpaceDN w:val="0"/>
        <w:bidi w:val="0"/>
        <w:adjustRightInd w:val="0"/>
        <w:snapToGrid w:val="0"/>
        <w:spacing w:before="68" w:line="360" w:lineRule="auto"/>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3"/>
          <w:sz w:val="21"/>
          <w:szCs w:val="21"/>
          <w:highlight w:val="none"/>
        </w:rPr>
        <w:t>（招标人名称</w:t>
      </w:r>
      <w:r>
        <w:rPr>
          <w:rFonts w:ascii="宋体" w:hAnsi="宋体" w:eastAsia="宋体" w:cs="宋体"/>
          <w:color w:val="auto"/>
          <w:spacing w:val="-20"/>
          <w:sz w:val="21"/>
          <w:szCs w:val="21"/>
          <w:highlight w:val="none"/>
        </w:rPr>
        <w:t>）：</w:t>
      </w:r>
    </w:p>
    <w:p w14:paraId="43D1A0E9">
      <w:pPr>
        <w:keepNext w:val="0"/>
        <w:keepLines w:val="0"/>
        <w:pageBreakBefore w:val="0"/>
        <w:widowControl/>
        <w:kinsoku w:val="0"/>
        <w:wordWrap/>
        <w:overflowPunct/>
        <w:topLinePunct w:val="0"/>
        <w:autoSpaceDE w:val="0"/>
        <w:autoSpaceDN w:val="0"/>
        <w:bidi w:val="0"/>
        <w:adjustRightInd w:val="0"/>
        <w:snapToGrid w:val="0"/>
        <w:spacing w:before="160" w:line="360" w:lineRule="auto"/>
        <w:ind w:left="8" w:right="2" w:firstLine="43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1．我方已仔细研究了</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（项目名称）</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0"/>
          <w:sz w:val="21"/>
          <w:szCs w:val="21"/>
          <w:highlight w:val="none"/>
        </w:rPr>
        <w:t xml:space="preserve"> </w:t>
      </w:r>
      <w:r>
        <w:rPr>
          <w:rFonts w:ascii="宋体" w:hAnsi="宋体" w:eastAsia="宋体" w:cs="宋体"/>
          <w:color w:val="auto"/>
          <w:spacing w:val="-2"/>
          <w:sz w:val="21"/>
          <w:szCs w:val="21"/>
          <w:highlight w:val="none"/>
        </w:rPr>
        <w:t>标段施工招标文件的全部内容，愿意以</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人民币（大写）</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8"/>
          <w:sz w:val="21"/>
          <w:szCs w:val="21"/>
          <w:highlight w:val="none"/>
        </w:rPr>
        <w:t xml:space="preserve"> </w:t>
      </w:r>
      <w:r>
        <w:rPr>
          <w:rFonts w:ascii="宋体" w:hAnsi="宋体" w:eastAsia="宋体" w:cs="宋体"/>
          <w:color w:val="auto"/>
          <w:spacing w:val="5"/>
          <w:sz w:val="21"/>
          <w:szCs w:val="21"/>
          <w:highlight w:val="none"/>
        </w:rPr>
        <w:t>元(¥</w:t>
      </w:r>
      <w:r>
        <w:rPr>
          <w:rFonts w:ascii="宋体" w:hAnsi="宋体" w:eastAsia="宋体" w:cs="宋体"/>
          <w:color w:val="auto"/>
          <w:spacing w:val="-105"/>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8"/>
          <w:sz w:val="21"/>
          <w:szCs w:val="21"/>
          <w:highlight w:val="none"/>
        </w:rPr>
        <w:t xml:space="preserve"> </w:t>
      </w:r>
      <w:r>
        <w:rPr>
          <w:rFonts w:ascii="宋体" w:hAnsi="宋体" w:eastAsia="宋体" w:cs="宋体"/>
          <w:color w:val="auto"/>
          <w:spacing w:val="5"/>
          <w:sz w:val="21"/>
          <w:szCs w:val="21"/>
          <w:highlight w:val="none"/>
        </w:rPr>
        <w:t>)的投标总报价，工期</w:t>
      </w:r>
      <w:r>
        <w:rPr>
          <w:rFonts w:ascii="宋体" w:hAnsi="宋体" w:eastAsia="宋体" w:cs="宋体"/>
          <w:color w:val="auto"/>
          <w:spacing w:val="-105"/>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49"/>
          <w:sz w:val="21"/>
          <w:szCs w:val="21"/>
          <w:highlight w:val="none"/>
        </w:rPr>
        <w:t xml:space="preserve"> </w:t>
      </w:r>
      <w:r>
        <w:rPr>
          <w:rFonts w:ascii="宋体" w:hAnsi="宋体" w:eastAsia="宋体" w:cs="宋体"/>
          <w:color w:val="auto"/>
          <w:spacing w:val="5"/>
          <w:sz w:val="21"/>
          <w:szCs w:val="21"/>
          <w:highlight w:val="none"/>
        </w:rPr>
        <w:t>日历天，按合同约</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定实施和完成承包工程，修补工程中的任何缺陷，工程质量达到</w:t>
      </w:r>
      <w:r>
        <w:rPr>
          <w:rFonts w:ascii="宋体" w:hAnsi="宋体" w:eastAsia="宋体" w:cs="宋体"/>
          <w:color w:val="auto"/>
          <w:spacing w:val="-105"/>
          <w:sz w:val="21"/>
          <w:szCs w:val="21"/>
          <w:highlight w:val="none"/>
        </w:rPr>
        <w:t xml:space="preserve"> </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，安全目标</w:t>
      </w:r>
      <w:r>
        <w:rPr>
          <w:rFonts w:ascii="宋体" w:hAnsi="宋体" w:eastAsia="宋体" w:cs="宋体"/>
          <w:color w:val="auto"/>
          <w:spacing w:val="-5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1"/>
          <w:sz w:val="21"/>
          <w:szCs w:val="21"/>
          <w:highlight w:val="none"/>
        </w:rPr>
        <w:t xml:space="preserve"> </w:t>
      </w:r>
      <w:r>
        <w:rPr>
          <w:rFonts w:ascii="宋体" w:hAnsi="宋体" w:eastAsia="宋体" w:cs="宋体"/>
          <w:color w:val="auto"/>
          <w:spacing w:val="-51"/>
          <w:sz w:val="21"/>
          <w:szCs w:val="21"/>
          <w:highlight w:val="none"/>
        </w:rPr>
        <w:t>，</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环保目标：</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 xml:space="preserve"> 。</w:t>
      </w:r>
    </w:p>
    <w:p w14:paraId="1773877E">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0"/>
        <w:textAlignment w:val="baseline"/>
        <w:outlineLvl w:val="9"/>
        <w:rPr>
          <w:rFonts w:ascii="宋体" w:hAnsi="宋体" w:eastAsia="宋体" w:cs="宋体"/>
          <w:color w:val="auto"/>
          <w:sz w:val="21"/>
          <w:szCs w:val="21"/>
          <w:highlight w:val="none"/>
        </w:rPr>
      </w:pPr>
      <w:bookmarkStart w:id="401" w:name="_Toc4033"/>
      <w:r>
        <w:rPr>
          <w:rFonts w:ascii="宋体" w:hAnsi="宋体" w:eastAsia="宋体" w:cs="宋体"/>
          <w:color w:val="auto"/>
          <w:spacing w:val="-1"/>
          <w:sz w:val="21"/>
          <w:szCs w:val="21"/>
          <w:highlight w:val="none"/>
        </w:rPr>
        <w:t>2. 我方的投标文件包括下列内容：</w:t>
      </w:r>
      <w:bookmarkEnd w:id="401"/>
    </w:p>
    <w:p w14:paraId="76565319">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（l）投标函及投标函附录；</w:t>
      </w:r>
    </w:p>
    <w:p w14:paraId="0E041664">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（2）法定代表人身份证明或授权委托书；</w:t>
      </w:r>
    </w:p>
    <w:p w14:paraId="1B6FFBC0">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（3）联合体协议书；</w:t>
      </w:r>
    </w:p>
    <w:p w14:paraId="7946650B">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（4）投标保证金；</w:t>
      </w:r>
    </w:p>
    <w:p w14:paraId="093CBDDA">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（5）已标价的工程量清单；</w:t>
      </w:r>
    </w:p>
    <w:p w14:paraId="4C3AAA26">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（6）施工组织设计；</w:t>
      </w:r>
    </w:p>
    <w:p w14:paraId="73DC6A84">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（7）项目管理机构；</w:t>
      </w:r>
    </w:p>
    <w:p w14:paraId="052EADBD">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（8）拟分包项目情况表；</w:t>
      </w:r>
    </w:p>
    <w:p w14:paraId="1A82C596">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（9）资格审查资料；</w:t>
      </w:r>
    </w:p>
    <w:p w14:paraId="65B28675">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（10）其他资料；</w:t>
      </w:r>
    </w:p>
    <w:p w14:paraId="55923B1E">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16"/>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投标文件的上述组成部分如存在内容不一致的，以投</w:t>
      </w:r>
      <w:r>
        <w:rPr>
          <w:rFonts w:ascii="宋体" w:hAnsi="宋体" w:eastAsia="宋体" w:cs="宋体"/>
          <w:color w:val="auto"/>
          <w:spacing w:val="-1"/>
          <w:sz w:val="21"/>
          <w:szCs w:val="21"/>
          <w:highlight w:val="none"/>
        </w:rPr>
        <w:t>标函为准。</w:t>
      </w:r>
    </w:p>
    <w:p w14:paraId="4B6F2334">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2"/>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3．我方承诺在投标有效期内不修改、撤销投标文件。</w:t>
      </w:r>
    </w:p>
    <w:p w14:paraId="494C1FD8">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27"/>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4．如我方中标，我方承诺：</w:t>
      </w:r>
    </w:p>
    <w:p w14:paraId="5259C15F">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（1）在收到中标通知书后，在中标通知书规定的</w:t>
      </w:r>
      <w:r>
        <w:rPr>
          <w:rFonts w:ascii="宋体" w:hAnsi="宋体" w:eastAsia="宋体" w:cs="宋体"/>
          <w:color w:val="auto"/>
          <w:spacing w:val="-1"/>
          <w:sz w:val="21"/>
          <w:szCs w:val="21"/>
          <w:highlight w:val="none"/>
        </w:rPr>
        <w:t>期限内与你方签订合同；</w:t>
      </w:r>
    </w:p>
    <w:p w14:paraId="79E22CB9">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（2）在签订合同时不向你方提出附加条件；</w:t>
      </w:r>
    </w:p>
    <w:p w14:paraId="5FA5B057">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（3）按照招标文件要求提交履约保证金；</w:t>
      </w:r>
    </w:p>
    <w:p w14:paraId="262A76BA">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4"/>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（4）在合同约定的期限内完成合同规定的全部义务。</w:t>
      </w:r>
    </w:p>
    <w:p w14:paraId="3C5C60A8">
      <w:pPr>
        <w:keepNext w:val="0"/>
        <w:keepLines w:val="0"/>
        <w:pageBreakBefore w:val="0"/>
        <w:widowControl/>
        <w:kinsoku w:val="0"/>
        <w:wordWrap/>
        <w:overflowPunct/>
        <w:topLinePunct w:val="0"/>
        <w:autoSpaceDE w:val="0"/>
        <w:autoSpaceDN w:val="0"/>
        <w:bidi w:val="0"/>
        <w:adjustRightInd w:val="0"/>
        <w:snapToGrid w:val="0"/>
        <w:spacing w:before="159" w:line="360" w:lineRule="auto"/>
        <w:ind w:left="9" w:firstLine="423"/>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5．我方在此声明，所递交的投标文件及有关资料内容完整、真实和准确，且不存在第二章“投</w:t>
      </w:r>
      <w:r>
        <w:rPr>
          <w:rFonts w:ascii="宋体" w:hAnsi="宋体" w:eastAsia="宋体" w:cs="宋体"/>
          <w:color w:val="auto"/>
          <w:spacing w:val="11"/>
          <w:sz w:val="21"/>
          <w:szCs w:val="21"/>
          <w:highlight w:val="none"/>
        </w:rPr>
        <w:t xml:space="preserve"> </w:t>
      </w:r>
      <w:r>
        <w:rPr>
          <w:rFonts w:ascii="宋体" w:hAnsi="宋体" w:eastAsia="宋体" w:cs="宋体"/>
          <w:color w:val="auto"/>
          <w:spacing w:val="-2"/>
          <w:sz w:val="21"/>
          <w:szCs w:val="21"/>
          <w:highlight w:val="none"/>
        </w:rPr>
        <w:t>标人须知”第</w:t>
      </w:r>
      <w:r>
        <w:rPr>
          <w:rFonts w:ascii="宋体" w:hAnsi="宋体" w:eastAsia="宋体" w:cs="宋体"/>
          <w:color w:val="auto"/>
          <w:spacing w:val="-19"/>
          <w:sz w:val="21"/>
          <w:szCs w:val="21"/>
          <w:highlight w:val="none"/>
        </w:rPr>
        <w:t xml:space="preserve"> </w:t>
      </w:r>
      <w:r>
        <w:rPr>
          <w:rFonts w:ascii="宋体" w:hAnsi="宋体" w:eastAsia="宋体" w:cs="宋体"/>
          <w:color w:val="auto"/>
          <w:spacing w:val="-2"/>
          <w:sz w:val="21"/>
          <w:szCs w:val="21"/>
          <w:highlight w:val="none"/>
        </w:rPr>
        <w:t>1.4.3</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项规定和投标人诚信承诺书的任何一种情形。</w:t>
      </w:r>
    </w:p>
    <w:p w14:paraId="394EF5B4">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6．</w:t>
      </w:r>
      <w:r>
        <w:rPr>
          <w:rFonts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 xml:space="preserve">          </w:t>
      </w:r>
      <w:r>
        <w:rPr>
          <w:rFonts w:ascii="宋体" w:hAnsi="宋体" w:eastAsia="宋体" w:cs="宋体"/>
          <w:color w:val="auto"/>
          <w:spacing w:val="-2"/>
          <w:sz w:val="21"/>
          <w:szCs w:val="21"/>
          <w:highlight w:val="none"/>
          <w:u w:val="single"/>
        </w:rPr>
        <w:t xml:space="preserve">    </w:t>
      </w:r>
      <w:r>
        <w:rPr>
          <w:rFonts w:ascii="宋体" w:hAnsi="宋体" w:eastAsia="宋体" w:cs="宋体"/>
          <w:color w:val="auto"/>
          <w:spacing w:val="-2"/>
          <w:sz w:val="21"/>
          <w:szCs w:val="21"/>
          <w:highlight w:val="none"/>
        </w:rPr>
        <w:t>（其他</w:t>
      </w:r>
      <w:r>
        <w:rPr>
          <w:rFonts w:hint="eastAsia" w:ascii="宋体" w:hAnsi="宋体" w:eastAsia="宋体" w:cs="宋体"/>
          <w:color w:val="auto"/>
          <w:spacing w:val="-2"/>
          <w:sz w:val="21"/>
          <w:szCs w:val="21"/>
          <w:highlight w:val="none"/>
          <w:lang w:val="en-US" w:eastAsia="zh-CN"/>
        </w:rPr>
        <w:t>补</w:t>
      </w:r>
      <w:r>
        <w:rPr>
          <w:rFonts w:ascii="宋体" w:hAnsi="宋体" w:eastAsia="宋体" w:cs="宋体"/>
          <w:color w:val="auto"/>
          <w:spacing w:val="-2"/>
          <w:sz w:val="21"/>
          <w:szCs w:val="21"/>
          <w:highlight w:val="none"/>
        </w:rPr>
        <w:t xml:space="preserve">充说明）。 </w:t>
      </w:r>
    </w:p>
    <w:p w14:paraId="4C562EEA">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color w:val="auto"/>
          <w:spacing w:val="-2"/>
          <w:sz w:val="21"/>
          <w:szCs w:val="21"/>
          <w:highlight w:val="none"/>
        </w:rPr>
      </w:pPr>
      <w:bookmarkStart w:id="402" w:name="_Toc10099"/>
      <w:r>
        <w:rPr>
          <w:rFonts w:ascii="宋体" w:hAnsi="宋体" w:eastAsia="宋体" w:cs="宋体"/>
          <w:color w:val="auto"/>
          <w:spacing w:val="-2"/>
          <w:sz w:val="21"/>
          <w:szCs w:val="21"/>
          <w:highlight w:val="none"/>
        </w:rPr>
        <w:t>附件：投标人诚信承诺书</w:t>
      </w:r>
      <w:bookmarkEnd w:id="402"/>
    </w:p>
    <w:p w14:paraId="1E63E735">
      <w:pPr>
        <w:spacing w:before="158" w:line="289" w:lineRule="auto"/>
        <w:ind w:left="443" w:right="2488" w:hanging="14"/>
        <w:outlineLvl w:val="9"/>
        <w:rPr>
          <w:color w:val="auto"/>
          <w:highlight w:val="none"/>
        </w:rPr>
      </w:pPr>
    </w:p>
    <w:p w14:paraId="4EB1200D">
      <w:pPr>
        <w:spacing w:before="158" w:line="383" w:lineRule="auto"/>
        <w:ind w:left="2159" w:right="669" w:firstLine="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 标</w:t>
      </w:r>
      <w:r>
        <w:rPr>
          <w:rFonts w:ascii="宋体" w:hAnsi="宋体" w:eastAsia="宋体" w:cs="宋体"/>
          <w:color w:val="auto"/>
          <w:spacing w:val="8"/>
          <w:sz w:val="21"/>
          <w:szCs w:val="21"/>
          <w:highlight w:val="none"/>
        </w:rPr>
        <w:t xml:space="preserve"> </w:t>
      </w:r>
      <w:r>
        <w:rPr>
          <w:rFonts w:ascii="宋体" w:hAnsi="宋体" w:eastAsia="宋体" w:cs="宋体"/>
          <w:color w:val="auto"/>
          <w:spacing w:val="-3"/>
          <w:sz w:val="21"/>
          <w:szCs w:val="21"/>
          <w:highlight w:val="none"/>
        </w:rPr>
        <w:t>人</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rPr>
        <w:t>盖单位章）</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法定代表人或其委托代理人</w:t>
      </w:r>
      <w:r>
        <w:rPr>
          <w:rFonts w:ascii="宋体" w:hAnsi="宋体" w:eastAsia="宋体" w:cs="宋体"/>
          <w:color w:val="auto"/>
          <w:spacing w:val="-10"/>
          <w:sz w:val="21"/>
          <w:szCs w:val="21"/>
          <w:highlight w:val="none"/>
        </w:rPr>
        <w:t>：</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 xml:space="preserve">签字） </w:t>
      </w:r>
      <w:r>
        <w:rPr>
          <w:rFonts w:ascii="宋体" w:hAnsi="宋体" w:eastAsia="宋体" w:cs="宋体"/>
          <w:color w:val="auto"/>
          <w:spacing w:val="-2"/>
          <w:sz w:val="21"/>
          <w:szCs w:val="21"/>
          <w:highlight w:val="none"/>
        </w:rPr>
        <w:t>地</w:t>
      </w:r>
      <w:r>
        <w:rPr>
          <w:rFonts w:ascii="宋体" w:hAnsi="宋体" w:eastAsia="宋体" w:cs="宋体"/>
          <w:color w:val="auto"/>
          <w:spacing w:val="2"/>
          <w:sz w:val="21"/>
          <w:szCs w:val="21"/>
          <w:highlight w:val="none"/>
        </w:rPr>
        <w:t xml:space="preserve">    </w:t>
      </w:r>
      <w:r>
        <w:rPr>
          <w:rFonts w:ascii="宋体" w:hAnsi="宋体" w:eastAsia="宋体" w:cs="宋体"/>
          <w:color w:val="auto"/>
          <w:spacing w:val="-2"/>
          <w:sz w:val="21"/>
          <w:szCs w:val="21"/>
          <w:highlight w:val="none"/>
        </w:rPr>
        <w:t>址：</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2"/>
          <w:sz w:val="21"/>
          <w:szCs w:val="21"/>
          <w:highlight w:val="none"/>
        </w:rPr>
        <w:t>网</w:t>
      </w:r>
      <w:r>
        <w:rPr>
          <w:rFonts w:ascii="宋体" w:hAnsi="宋体" w:eastAsia="宋体" w:cs="宋体"/>
          <w:color w:val="auto"/>
          <w:spacing w:val="2"/>
          <w:sz w:val="21"/>
          <w:szCs w:val="21"/>
          <w:highlight w:val="none"/>
        </w:rPr>
        <w:t xml:space="preserve">    </w:t>
      </w:r>
      <w:r>
        <w:rPr>
          <w:rFonts w:ascii="宋体" w:hAnsi="宋体" w:eastAsia="宋体" w:cs="宋体"/>
          <w:color w:val="auto"/>
          <w:spacing w:val="-2"/>
          <w:sz w:val="21"/>
          <w:szCs w:val="21"/>
          <w:highlight w:val="none"/>
        </w:rPr>
        <w:t>址：</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2"/>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pacing w:val="-2"/>
          <w:sz w:val="21"/>
          <w:szCs w:val="21"/>
          <w:highlight w:val="none"/>
        </w:rPr>
        <w:t>话：</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传</w:t>
      </w:r>
      <w:r>
        <w:rPr>
          <w:rFonts w:ascii="宋体" w:hAnsi="宋体" w:eastAsia="宋体" w:cs="宋体"/>
          <w:color w:val="auto"/>
          <w:spacing w:val="2"/>
          <w:sz w:val="21"/>
          <w:szCs w:val="21"/>
          <w:highlight w:val="none"/>
        </w:rPr>
        <w:t xml:space="preserve">    </w:t>
      </w:r>
      <w:r>
        <w:rPr>
          <w:rFonts w:ascii="宋体" w:hAnsi="宋体" w:eastAsia="宋体" w:cs="宋体"/>
          <w:color w:val="auto"/>
          <w:spacing w:val="-2"/>
          <w:sz w:val="21"/>
          <w:szCs w:val="21"/>
          <w:highlight w:val="none"/>
        </w:rPr>
        <w:t>真：</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 xml:space="preserve"> </w:t>
      </w:r>
      <w:r>
        <w:rPr>
          <w:rFonts w:ascii="宋体" w:hAnsi="宋体" w:eastAsia="宋体" w:cs="宋体"/>
          <w:color w:val="auto"/>
          <w:spacing w:val="-2"/>
          <w:sz w:val="21"/>
          <w:szCs w:val="21"/>
          <w:highlight w:val="none"/>
        </w:rPr>
        <w:t>邮政编码：</w:t>
      </w:r>
      <w:r>
        <w:rPr>
          <w:rFonts w:ascii="宋体" w:hAnsi="宋体" w:eastAsia="宋体" w:cs="宋体"/>
          <w:color w:val="auto"/>
          <w:sz w:val="21"/>
          <w:szCs w:val="21"/>
          <w:highlight w:val="none"/>
          <w:u w:val="single" w:color="auto"/>
        </w:rPr>
        <w:t xml:space="preserve">                                              </w:t>
      </w:r>
    </w:p>
    <w:p w14:paraId="6F420498">
      <w:pPr>
        <w:spacing w:line="257" w:lineRule="auto"/>
        <w:outlineLvl w:val="9"/>
        <w:rPr>
          <w:rFonts w:ascii="Arial"/>
          <w:color w:val="auto"/>
          <w:sz w:val="21"/>
          <w:highlight w:val="none"/>
        </w:rPr>
      </w:pPr>
    </w:p>
    <w:p w14:paraId="75374553">
      <w:pPr>
        <w:tabs>
          <w:tab w:val="left" w:pos="6812"/>
        </w:tabs>
        <w:spacing w:before="68" w:line="221" w:lineRule="auto"/>
        <w:ind w:left="618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5"/>
          <w:sz w:val="21"/>
          <w:szCs w:val="21"/>
          <w:highlight w:val="none"/>
        </w:rPr>
        <w:t xml:space="preserve"> </w:t>
      </w:r>
      <w:r>
        <w:rPr>
          <w:rFonts w:ascii="宋体" w:hAnsi="宋体" w:eastAsia="宋体" w:cs="宋体"/>
          <w:color w:val="auto"/>
          <w:spacing w:val="-22"/>
          <w:sz w:val="21"/>
          <w:szCs w:val="21"/>
          <w:highlight w:val="none"/>
        </w:rPr>
        <w:t>年</w:t>
      </w:r>
      <w:r>
        <w:rPr>
          <w:rFonts w:ascii="宋体" w:hAnsi="宋体" w:eastAsia="宋体" w:cs="宋体"/>
          <w:color w:val="auto"/>
          <w:spacing w:val="2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2"/>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22"/>
          <w:sz w:val="21"/>
          <w:szCs w:val="21"/>
          <w:highlight w:val="none"/>
        </w:rPr>
        <w:t>日</w:t>
      </w:r>
    </w:p>
    <w:p w14:paraId="5502ADE1">
      <w:pPr>
        <w:spacing w:before="56" w:line="219" w:lineRule="auto"/>
        <w:ind w:left="107"/>
        <w:outlineLvl w:val="9"/>
        <w:rPr>
          <w:rFonts w:ascii="宋体" w:hAnsi="宋体" w:eastAsia="宋体" w:cs="宋体"/>
          <w:b/>
          <w:bCs/>
          <w:color w:val="auto"/>
          <w:spacing w:val="-6"/>
          <w:sz w:val="28"/>
          <w:szCs w:val="28"/>
          <w:highlight w:val="none"/>
        </w:rPr>
      </w:pPr>
    </w:p>
    <w:p w14:paraId="2A0E7747">
      <w:pPr>
        <w:spacing w:before="56" w:line="219" w:lineRule="auto"/>
        <w:ind w:left="107"/>
        <w:outlineLvl w:val="9"/>
        <w:rPr>
          <w:rFonts w:ascii="宋体" w:hAnsi="宋体" w:eastAsia="宋体" w:cs="宋体"/>
          <w:b/>
          <w:bCs/>
          <w:color w:val="auto"/>
          <w:spacing w:val="-6"/>
          <w:sz w:val="28"/>
          <w:szCs w:val="28"/>
          <w:highlight w:val="none"/>
        </w:rPr>
      </w:pPr>
    </w:p>
    <w:p w14:paraId="6F35C512">
      <w:pPr>
        <w:spacing w:before="56" w:line="219" w:lineRule="auto"/>
        <w:ind w:left="107"/>
        <w:outlineLvl w:val="9"/>
        <w:rPr>
          <w:rFonts w:ascii="宋体" w:hAnsi="宋体" w:eastAsia="宋体" w:cs="宋体"/>
          <w:b/>
          <w:bCs/>
          <w:color w:val="auto"/>
          <w:spacing w:val="-6"/>
          <w:sz w:val="28"/>
          <w:szCs w:val="28"/>
          <w:highlight w:val="none"/>
        </w:rPr>
      </w:pPr>
    </w:p>
    <w:p w14:paraId="1A662389">
      <w:pPr>
        <w:spacing w:before="56" w:line="219" w:lineRule="auto"/>
        <w:ind w:left="107"/>
        <w:outlineLvl w:val="9"/>
        <w:rPr>
          <w:rFonts w:ascii="宋体" w:hAnsi="宋体" w:eastAsia="宋体" w:cs="宋体"/>
          <w:b/>
          <w:bCs/>
          <w:color w:val="auto"/>
          <w:spacing w:val="-6"/>
          <w:sz w:val="28"/>
          <w:szCs w:val="28"/>
          <w:highlight w:val="none"/>
        </w:rPr>
      </w:pPr>
    </w:p>
    <w:p w14:paraId="6F4D9663">
      <w:pPr>
        <w:spacing w:before="56" w:line="219" w:lineRule="auto"/>
        <w:ind w:left="107"/>
        <w:outlineLvl w:val="9"/>
        <w:rPr>
          <w:rFonts w:ascii="宋体" w:hAnsi="宋体" w:eastAsia="宋体" w:cs="宋体"/>
          <w:b/>
          <w:bCs/>
          <w:color w:val="auto"/>
          <w:spacing w:val="-6"/>
          <w:sz w:val="28"/>
          <w:szCs w:val="28"/>
          <w:highlight w:val="none"/>
        </w:rPr>
      </w:pPr>
    </w:p>
    <w:p w14:paraId="2AFCD012">
      <w:pPr>
        <w:spacing w:before="56" w:line="219" w:lineRule="auto"/>
        <w:ind w:left="107"/>
        <w:outlineLvl w:val="9"/>
        <w:rPr>
          <w:rFonts w:ascii="宋体" w:hAnsi="宋体" w:eastAsia="宋体" w:cs="宋体"/>
          <w:b/>
          <w:bCs/>
          <w:color w:val="auto"/>
          <w:spacing w:val="-6"/>
          <w:sz w:val="28"/>
          <w:szCs w:val="28"/>
          <w:highlight w:val="none"/>
        </w:rPr>
      </w:pPr>
    </w:p>
    <w:p w14:paraId="781147E7">
      <w:pPr>
        <w:spacing w:before="56" w:line="219" w:lineRule="auto"/>
        <w:ind w:left="107"/>
        <w:outlineLvl w:val="9"/>
        <w:rPr>
          <w:rFonts w:ascii="宋体" w:hAnsi="宋体" w:eastAsia="宋体" w:cs="宋体"/>
          <w:b/>
          <w:bCs/>
          <w:color w:val="auto"/>
          <w:spacing w:val="-6"/>
          <w:sz w:val="28"/>
          <w:szCs w:val="28"/>
          <w:highlight w:val="none"/>
        </w:rPr>
      </w:pPr>
    </w:p>
    <w:p w14:paraId="16324936">
      <w:pPr>
        <w:outlineLvl w:val="9"/>
        <w:rPr>
          <w:rFonts w:ascii="宋体" w:hAnsi="宋体" w:eastAsia="宋体" w:cs="宋体"/>
          <w:b/>
          <w:bCs/>
          <w:color w:val="auto"/>
          <w:spacing w:val="-6"/>
          <w:sz w:val="28"/>
          <w:szCs w:val="28"/>
          <w:highlight w:val="none"/>
        </w:rPr>
      </w:pPr>
    </w:p>
    <w:p w14:paraId="7BD5877D">
      <w:pPr>
        <w:outlineLvl w:val="9"/>
        <w:rPr>
          <w:rFonts w:ascii="宋体" w:hAnsi="宋体" w:eastAsia="宋体" w:cs="宋体"/>
          <w:b/>
          <w:bCs/>
          <w:color w:val="auto"/>
          <w:spacing w:val="-6"/>
          <w:sz w:val="28"/>
          <w:szCs w:val="28"/>
          <w:highlight w:val="none"/>
        </w:rPr>
      </w:pPr>
    </w:p>
    <w:p w14:paraId="45281E7E">
      <w:pPr>
        <w:outlineLvl w:val="9"/>
        <w:rPr>
          <w:rFonts w:ascii="宋体" w:hAnsi="宋体" w:eastAsia="宋体" w:cs="宋体"/>
          <w:b/>
          <w:bCs/>
          <w:color w:val="auto"/>
          <w:spacing w:val="-6"/>
          <w:sz w:val="28"/>
          <w:szCs w:val="28"/>
          <w:highlight w:val="none"/>
        </w:rPr>
      </w:pPr>
    </w:p>
    <w:p w14:paraId="211DD1D8">
      <w:pPr>
        <w:outlineLvl w:val="9"/>
        <w:rPr>
          <w:rFonts w:ascii="宋体" w:hAnsi="宋体" w:eastAsia="宋体" w:cs="宋体"/>
          <w:b/>
          <w:bCs/>
          <w:color w:val="auto"/>
          <w:spacing w:val="-6"/>
          <w:sz w:val="28"/>
          <w:szCs w:val="28"/>
          <w:highlight w:val="none"/>
        </w:rPr>
      </w:pPr>
    </w:p>
    <w:p w14:paraId="72BBFACE">
      <w:pPr>
        <w:outlineLvl w:val="9"/>
        <w:rPr>
          <w:rFonts w:ascii="宋体" w:hAnsi="宋体" w:eastAsia="宋体" w:cs="宋体"/>
          <w:b/>
          <w:bCs/>
          <w:color w:val="auto"/>
          <w:spacing w:val="-6"/>
          <w:sz w:val="28"/>
          <w:szCs w:val="28"/>
          <w:highlight w:val="none"/>
        </w:rPr>
      </w:pPr>
      <w:r>
        <w:rPr>
          <w:rFonts w:ascii="宋体" w:hAnsi="宋体" w:eastAsia="宋体" w:cs="宋体"/>
          <w:b/>
          <w:bCs/>
          <w:color w:val="auto"/>
          <w:spacing w:val="-6"/>
          <w:sz w:val="28"/>
          <w:szCs w:val="28"/>
          <w:highlight w:val="none"/>
        </w:rPr>
        <w:br w:type="page"/>
      </w:r>
    </w:p>
    <w:p w14:paraId="0835CBBA">
      <w:pPr>
        <w:outlineLvl w:val="9"/>
        <w:rPr>
          <w:color w:val="auto"/>
          <w:highlight w:val="none"/>
        </w:rPr>
      </w:pPr>
    </w:p>
    <w:p w14:paraId="781ECB9A">
      <w:pPr>
        <w:spacing w:before="56" w:line="219" w:lineRule="auto"/>
        <w:ind w:left="107"/>
        <w:jc w:val="center"/>
        <w:outlineLvl w:val="9"/>
        <w:rPr>
          <w:rFonts w:ascii="宋体" w:hAnsi="宋体" w:eastAsia="宋体" w:cs="宋体"/>
          <w:color w:val="auto"/>
          <w:sz w:val="28"/>
          <w:szCs w:val="28"/>
          <w:highlight w:val="none"/>
        </w:rPr>
      </w:pPr>
      <w:bookmarkStart w:id="403" w:name="_Toc11723"/>
      <w:r>
        <w:rPr>
          <w:rFonts w:ascii="宋体" w:hAnsi="宋体" w:eastAsia="宋体" w:cs="宋体"/>
          <w:b/>
          <w:bCs/>
          <w:color w:val="auto"/>
          <w:spacing w:val="-6"/>
          <w:sz w:val="28"/>
          <w:szCs w:val="28"/>
          <w:highlight w:val="none"/>
        </w:rPr>
        <w:t>（二）投标函附录</w:t>
      </w:r>
      <w:bookmarkEnd w:id="403"/>
    </w:p>
    <w:p w14:paraId="7DC86ADB">
      <w:pPr>
        <w:spacing w:before="14"/>
        <w:outlineLvl w:val="9"/>
        <w:rPr>
          <w:color w:val="auto"/>
          <w:highlight w:val="none"/>
        </w:rPr>
      </w:pPr>
    </w:p>
    <w:p w14:paraId="69232C3C">
      <w:pPr>
        <w:spacing w:before="14"/>
        <w:outlineLvl w:val="9"/>
        <w:rPr>
          <w:color w:val="auto"/>
          <w:highlight w:val="none"/>
        </w:rPr>
      </w:pPr>
    </w:p>
    <w:tbl>
      <w:tblPr>
        <w:tblStyle w:val="26"/>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2339"/>
        <w:gridCol w:w="1706"/>
        <w:gridCol w:w="2072"/>
        <w:gridCol w:w="1711"/>
      </w:tblGrid>
      <w:tr w14:paraId="425B3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44" w:type="dxa"/>
            <w:vAlign w:val="top"/>
          </w:tcPr>
          <w:p w14:paraId="10612950">
            <w:pPr>
              <w:pStyle w:val="27"/>
              <w:spacing w:before="120" w:line="222" w:lineRule="auto"/>
              <w:ind w:left="364"/>
              <w:outlineLvl w:val="9"/>
              <w:rPr>
                <w:color w:val="auto"/>
                <w:highlight w:val="none"/>
              </w:rPr>
            </w:pPr>
            <w:r>
              <w:rPr>
                <w:color w:val="auto"/>
                <w:spacing w:val="-2"/>
                <w:highlight w:val="none"/>
              </w:rPr>
              <w:t>序号</w:t>
            </w:r>
          </w:p>
        </w:tc>
        <w:tc>
          <w:tcPr>
            <w:tcW w:w="2339" w:type="dxa"/>
            <w:vAlign w:val="top"/>
          </w:tcPr>
          <w:p w14:paraId="040236C0">
            <w:pPr>
              <w:pStyle w:val="27"/>
              <w:spacing w:before="120" w:line="221" w:lineRule="auto"/>
              <w:ind w:left="752"/>
              <w:outlineLvl w:val="9"/>
              <w:rPr>
                <w:color w:val="auto"/>
                <w:highlight w:val="none"/>
              </w:rPr>
            </w:pPr>
            <w:r>
              <w:rPr>
                <w:color w:val="auto"/>
                <w:spacing w:val="-2"/>
                <w:highlight w:val="none"/>
              </w:rPr>
              <w:t>条款名称</w:t>
            </w:r>
          </w:p>
        </w:tc>
        <w:tc>
          <w:tcPr>
            <w:tcW w:w="1706" w:type="dxa"/>
            <w:vAlign w:val="top"/>
          </w:tcPr>
          <w:p w14:paraId="68C0DF1E">
            <w:pPr>
              <w:pStyle w:val="27"/>
              <w:spacing w:before="120" w:line="221" w:lineRule="auto"/>
              <w:ind w:left="330"/>
              <w:outlineLvl w:val="9"/>
              <w:rPr>
                <w:color w:val="auto"/>
                <w:highlight w:val="none"/>
              </w:rPr>
            </w:pPr>
            <w:r>
              <w:rPr>
                <w:color w:val="auto"/>
                <w:spacing w:val="-2"/>
                <w:highlight w:val="none"/>
              </w:rPr>
              <w:t>合同条款号</w:t>
            </w:r>
          </w:p>
        </w:tc>
        <w:tc>
          <w:tcPr>
            <w:tcW w:w="2072" w:type="dxa"/>
            <w:vAlign w:val="top"/>
          </w:tcPr>
          <w:p w14:paraId="2B8B11B5">
            <w:pPr>
              <w:pStyle w:val="27"/>
              <w:spacing w:before="120" w:line="221" w:lineRule="auto"/>
              <w:ind w:left="625"/>
              <w:outlineLvl w:val="9"/>
              <w:rPr>
                <w:color w:val="auto"/>
                <w:highlight w:val="none"/>
              </w:rPr>
            </w:pPr>
            <w:r>
              <w:rPr>
                <w:color w:val="auto"/>
                <w:spacing w:val="-3"/>
                <w:highlight w:val="none"/>
              </w:rPr>
              <w:t>约定内容</w:t>
            </w:r>
          </w:p>
        </w:tc>
        <w:tc>
          <w:tcPr>
            <w:tcW w:w="1711" w:type="dxa"/>
            <w:vAlign w:val="top"/>
          </w:tcPr>
          <w:p w14:paraId="4CBC94E2">
            <w:pPr>
              <w:pStyle w:val="27"/>
              <w:spacing w:before="120" w:line="222" w:lineRule="auto"/>
              <w:ind w:left="651"/>
              <w:outlineLvl w:val="9"/>
              <w:rPr>
                <w:color w:val="auto"/>
                <w:highlight w:val="none"/>
              </w:rPr>
            </w:pPr>
            <w:r>
              <w:rPr>
                <w:color w:val="auto"/>
                <w:spacing w:val="-3"/>
                <w:highlight w:val="none"/>
              </w:rPr>
              <w:t>备注</w:t>
            </w:r>
          </w:p>
        </w:tc>
      </w:tr>
      <w:tr w14:paraId="53553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2588CFDB">
            <w:pPr>
              <w:pStyle w:val="27"/>
              <w:spacing w:before="150" w:line="183" w:lineRule="auto"/>
              <w:ind w:left="537"/>
              <w:outlineLvl w:val="9"/>
              <w:rPr>
                <w:color w:val="auto"/>
                <w:highlight w:val="none"/>
              </w:rPr>
            </w:pPr>
            <w:r>
              <w:rPr>
                <w:color w:val="auto"/>
                <w:highlight w:val="none"/>
              </w:rPr>
              <w:t>1</w:t>
            </w:r>
          </w:p>
        </w:tc>
        <w:tc>
          <w:tcPr>
            <w:tcW w:w="2339" w:type="dxa"/>
            <w:vAlign w:val="top"/>
          </w:tcPr>
          <w:p w14:paraId="1E97060D">
            <w:pPr>
              <w:pStyle w:val="27"/>
              <w:spacing w:before="116" w:line="221" w:lineRule="auto"/>
              <w:ind w:left="753"/>
              <w:outlineLvl w:val="9"/>
              <w:rPr>
                <w:color w:val="auto"/>
                <w:highlight w:val="none"/>
              </w:rPr>
            </w:pPr>
            <w:r>
              <w:rPr>
                <w:color w:val="auto"/>
                <w:spacing w:val="-3"/>
                <w:highlight w:val="none"/>
              </w:rPr>
              <w:t>项目经理</w:t>
            </w:r>
          </w:p>
        </w:tc>
        <w:tc>
          <w:tcPr>
            <w:tcW w:w="1706" w:type="dxa"/>
            <w:vAlign w:val="top"/>
          </w:tcPr>
          <w:p w14:paraId="473F2BE5">
            <w:pPr>
              <w:pStyle w:val="27"/>
              <w:spacing w:before="150" w:line="183" w:lineRule="auto"/>
              <w:ind w:left="503"/>
              <w:outlineLvl w:val="9"/>
              <w:rPr>
                <w:color w:val="auto"/>
                <w:highlight w:val="none"/>
              </w:rPr>
            </w:pPr>
            <w:r>
              <w:rPr>
                <w:color w:val="auto"/>
                <w:highlight w:val="none"/>
              </w:rPr>
              <w:fldChar w:fldCharType="begin"/>
            </w:r>
            <w:r>
              <w:rPr>
                <w:color w:val="auto"/>
                <w:highlight w:val="none"/>
              </w:rPr>
              <w:instrText xml:space="preserve"> HYPERLINK "1.1.2.4" </w:instrText>
            </w:r>
            <w:r>
              <w:rPr>
                <w:color w:val="auto"/>
                <w:highlight w:val="none"/>
              </w:rPr>
              <w:fldChar w:fldCharType="separate"/>
            </w:r>
            <w:r>
              <w:rPr>
                <w:color w:val="auto"/>
                <w:spacing w:val="-3"/>
                <w:highlight w:val="none"/>
              </w:rPr>
              <w:t>1.1.2.4</w:t>
            </w:r>
            <w:r>
              <w:rPr>
                <w:color w:val="auto"/>
                <w:spacing w:val="-3"/>
                <w:highlight w:val="none"/>
              </w:rPr>
              <w:fldChar w:fldCharType="end"/>
            </w:r>
          </w:p>
        </w:tc>
        <w:tc>
          <w:tcPr>
            <w:tcW w:w="2072" w:type="dxa"/>
            <w:vAlign w:val="top"/>
          </w:tcPr>
          <w:p w14:paraId="2B55CC61">
            <w:pPr>
              <w:pStyle w:val="27"/>
              <w:spacing w:before="115" w:line="221" w:lineRule="auto"/>
              <w:ind w:left="111"/>
              <w:outlineLvl w:val="9"/>
              <w:rPr>
                <w:color w:val="auto"/>
                <w:highlight w:val="none"/>
              </w:rPr>
            </w:pPr>
            <w:r>
              <w:rPr>
                <w:color w:val="auto"/>
                <w:spacing w:val="-3"/>
                <w:highlight w:val="none"/>
              </w:rPr>
              <w:t>姓名：</w:t>
            </w:r>
            <w:r>
              <w:rPr>
                <w:color w:val="auto"/>
                <w:highlight w:val="none"/>
                <w:u w:val="single" w:color="auto"/>
              </w:rPr>
              <w:t xml:space="preserve">      </w:t>
            </w:r>
          </w:p>
        </w:tc>
        <w:tc>
          <w:tcPr>
            <w:tcW w:w="1711" w:type="dxa"/>
            <w:vAlign w:val="top"/>
          </w:tcPr>
          <w:p w14:paraId="0594B48D">
            <w:pPr>
              <w:outlineLvl w:val="9"/>
              <w:rPr>
                <w:rFonts w:ascii="Arial"/>
                <w:color w:val="auto"/>
                <w:sz w:val="21"/>
                <w:highlight w:val="none"/>
              </w:rPr>
            </w:pPr>
          </w:p>
        </w:tc>
      </w:tr>
      <w:tr w14:paraId="6E29B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44" w:type="dxa"/>
            <w:vAlign w:val="top"/>
          </w:tcPr>
          <w:p w14:paraId="3AAABB1B">
            <w:pPr>
              <w:pStyle w:val="27"/>
              <w:spacing w:before="151" w:line="182" w:lineRule="auto"/>
              <w:ind w:left="524"/>
              <w:outlineLvl w:val="9"/>
              <w:rPr>
                <w:color w:val="auto"/>
                <w:highlight w:val="none"/>
              </w:rPr>
            </w:pPr>
            <w:r>
              <w:rPr>
                <w:color w:val="auto"/>
                <w:highlight w:val="none"/>
              </w:rPr>
              <w:t>2</w:t>
            </w:r>
          </w:p>
        </w:tc>
        <w:tc>
          <w:tcPr>
            <w:tcW w:w="2339" w:type="dxa"/>
            <w:vAlign w:val="top"/>
          </w:tcPr>
          <w:p w14:paraId="3404D600">
            <w:pPr>
              <w:pStyle w:val="27"/>
              <w:spacing w:before="116" w:line="221" w:lineRule="auto"/>
              <w:ind w:left="964"/>
              <w:outlineLvl w:val="9"/>
              <w:rPr>
                <w:color w:val="auto"/>
                <w:highlight w:val="none"/>
              </w:rPr>
            </w:pPr>
            <w:r>
              <w:rPr>
                <w:color w:val="auto"/>
                <w:spacing w:val="-3"/>
                <w:highlight w:val="none"/>
              </w:rPr>
              <w:t>工期</w:t>
            </w:r>
          </w:p>
        </w:tc>
        <w:tc>
          <w:tcPr>
            <w:tcW w:w="1706" w:type="dxa"/>
            <w:vAlign w:val="top"/>
          </w:tcPr>
          <w:p w14:paraId="4883FB3C">
            <w:pPr>
              <w:pStyle w:val="27"/>
              <w:spacing w:before="150" w:line="183" w:lineRule="auto"/>
              <w:ind w:left="503"/>
              <w:outlineLvl w:val="9"/>
              <w:rPr>
                <w:color w:val="auto"/>
                <w:highlight w:val="none"/>
              </w:rPr>
            </w:pPr>
            <w:r>
              <w:rPr>
                <w:color w:val="auto"/>
                <w:highlight w:val="none"/>
              </w:rPr>
              <w:fldChar w:fldCharType="begin"/>
            </w:r>
            <w:r>
              <w:rPr>
                <w:color w:val="auto"/>
                <w:highlight w:val="none"/>
              </w:rPr>
              <w:instrText xml:space="preserve"> HYPERLINK "1.1.4.3" </w:instrText>
            </w:r>
            <w:r>
              <w:rPr>
                <w:color w:val="auto"/>
                <w:highlight w:val="none"/>
              </w:rPr>
              <w:fldChar w:fldCharType="separate"/>
            </w:r>
            <w:r>
              <w:rPr>
                <w:color w:val="auto"/>
                <w:spacing w:val="-3"/>
                <w:highlight w:val="none"/>
              </w:rPr>
              <w:t>1.1.4.3</w:t>
            </w:r>
            <w:r>
              <w:rPr>
                <w:color w:val="auto"/>
                <w:spacing w:val="-3"/>
                <w:highlight w:val="none"/>
              </w:rPr>
              <w:fldChar w:fldCharType="end"/>
            </w:r>
          </w:p>
        </w:tc>
        <w:tc>
          <w:tcPr>
            <w:tcW w:w="2072" w:type="dxa"/>
            <w:vAlign w:val="top"/>
          </w:tcPr>
          <w:p w14:paraId="12075A79">
            <w:pPr>
              <w:outlineLvl w:val="9"/>
              <w:rPr>
                <w:rFonts w:ascii="Arial"/>
                <w:color w:val="auto"/>
                <w:sz w:val="21"/>
                <w:highlight w:val="none"/>
              </w:rPr>
            </w:pPr>
            <w:r>
              <w:rPr>
                <w:color w:val="auto"/>
                <w:highlight w:val="none"/>
              </w:rPr>
              <w:pict>
                <v:shape id="_x0000_s1041" o:spid="_x0000_s1041" style="position:absolute;left:0pt;margin-left:36.9pt;margin-top:16.55pt;height:0.6pt;width:31.6pt;mso-position-horizontal-relative:page;mso-position-vertical-relative:page;z-index:251662336;mso-width-relative:page;mso-height-relative:page;" fillcolor="#000000" filled="t" stroked="f" coordsize="632,12" path="m0,11l631,11,631,0,0,0,0,11xe">
                  <v:path/>
                  <v:fill on="t" focussize="0,0"/>
                  <v:stroke on="f"/>
                  <v:imagedata o:title=""/>
                  <o:lock v:ext="edit"/>
                </v:shape>
              </w:pict>
            </w:r>
          </w:p>
        </w:tc>
        <w:tc>
          <w:tcPr>
            <w:tcW w:w="1711" w:type="dxa"/>
            <w:vAlign w:val="top"/>
          </w:tcPr>
          <w:p w14:paraId="0A24C1D3">
            <w:pPr>
              <w:outlineLvl w:val="9"/>
              <w:rPr>
                <w:rFonts w:ascii="Arial"/>
                <w:color w:val="auto"/>
                <w:sz w:val="21"/>
                <w:highlight w:val="none"/>
              </w:rPr>
            </w:pPr>
          </w:p>
        </w:tc>
      </w:tr>
      <w:tr w14:paraId="16EDC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44" w:type="dxa"/>
            <w:vAlign w:val="top"/>
          </w:tcPr>
          <w:p w14:paraId="6AABFEF3">
            <w:pPr>
              <w:pStyle w:val="27"/>
              <w:spacing w:before="229" w:line="182" w:lineRule="auto"/>
              <w:ind w:left="525"/>
              <w:outlineLvl w:val="9"/>
              <w:rPr>
                <w:color w:val="auto"/>
                <w:highlight w:val="none"/>
              </w:rPr>
            </w:pPr>
            <w:r>
              <w:rPr>
                <w:color w:val="auto"/>
                <w:highlight w:val="none"/>
              </w:rPr>
              <w:t>3</w:t>
            </w:r>
          </w:p>
        </w:tc>
        <w:tc>
          <w:tcPr>
            <w:tcW w:w="2339" w:type="dxa"/>
            <w:vAlign w:val="top"/>
          </w:tcPr>
          <w:p w14:paraId="48D51695">
            <w:pPr>
              <w:pStyle w:val="27"/>
              <w:spacing w:before="193" w:line="221" w:lineRule="auto"/>
              <w:ind w:left="644"/>
              <w:outlineLvl w:val="9"/>
              <w:rPr>
                <w:color w:val="auto"/>
                <w:highlight w:val="none"/>
              </w:rPr>
            </w:pPr>
            <w:r>
              <w:rPr>
                <w:color w:val="auto"/>
                <w:spacing w:val="-1"/>
                <w:highlight w:val="none"/>
              </w:rPr>
              <w:t>缺陷责任期</w:t>
            </w:r>
          </w:p>
        </w:tc>
        <w:tc>
          <w:tcPr>
            <w:tcW w:w="1706" w:type="dxa"/>
            <w:vAlign w:val="top"/>
          </w:tcPr>
          <w:p w14:paraId="5110C6F8">
            <w:pPr>
              <w:pStyle w:val="27"/>
              <w:spacing w:before="228" w:line="183" w:lineRule="auto"/>
              <w:ind w:left="503"/>
              <w:outlineLvl w:val="9"/>
              <w:rPr>
                <w:color w:val="auto"/>
                <w:highlight w:val="none"/>
              </w:rPr>
            </w:pPr>
            <w:r>
              <w:rPr>
                <w:color w:val="auto"/>
                <w:highlight w:val="none"/>
              </w:rPr>
              <w:fldChar w:fldCharType="begin"/>
            </w:r>
            <w:r>
              <w:rPr>
                <w:color w:val="auto"/>
                <w:highlight w:val="none"/>
              </w:rPr>
              <w:instrText xml:space="preserve"> HYPERLINK "1.1.4.5" </w:instrText>
            </w:r>
            <w:r>
              <w:rPr>
                <w:color w:val="auto"/>
                <w:highlight w:val="none"/>
              </w:rPr>
              <w:fldChar w:fldCharType="separate"/>
            </w:r>
            <w:r>
              <w:rPr>
                <w:color w:val="auto"/>
                <w:spacing w:val="-3"/>
                <w:highlight w:val="none"/>
              </w:rPr>
              <w:t>1.1.4.5</w:t>
            </w:r>
            <w:r>
              <w:rPr>
                <w:color w:val="auto"/>
                <w:spacing w:val="-3"/>
                <w:highlight w:val="none"/>
              </w:rPr>
              <w:fldChar w:fldCharType="end"/>
            </w:r>
          </w:p>
        </w:tc>
        <w:tc>
          <w:tcPr>
            <w:tcW w:w="2072" w:type="dxa"/>
            <w:vAlign w:val="top"/>
          </w:tcPr>
          <w:p w14:paraId="4A025EED">
            <w:pPr>
              <w:outlineLvl w:val="9"/>
              <w:rPr>
                <w:rFonts w:ascii="Arial"/>
                <w:color w:val="auto"/>
                <w:sz w:val="21"/>
                <w:highlight w:val="none"/>
              </w:rPr>
            </w:pPr>
            <w:r>
              <w:rPr>
                <w:color w:val="auto"/>
                <w:highlight w:val="none"/>
              </w:rPr>
              <w:pict>
                <v:shape id="_x0000_s1042" o:spid="_x0000_s1042" style="position:absolute;left:0pt;margin-left:35.7pt;margin-top:20.45pt;height:0.6pt;width:31.6pt;mso-position-horizontal-relative:page;mso-position-vertical-relative:page;z-index:251660288;mso-width-relative:page;mso-height-relative:page;" fillcolor="#000000" filled="t" stroked="f" coordsize="632,12" path="m0,11l631,11,631,0,0,0,0,11xe">
                  <v:path/>
                  <v:fill on="t" focussize="0,0"/>
                  <v:stroke on="f"/>
                  <v:imagedata o:title=""/>
                  <o:lock v:ext="edit"/>
                </v:shape>
              </w:pict>
            </w:r>
          </w:p>
        </w:tc>
        <w:tc>
          <w:tcPr>
            <w:tcW w:w="1711" w:type="dxa"/>
            <w:vAlign w:val="top"/>
          </w:tcPr>
          <w:p w14:paraId="0AE2380B">
            <w:pPr>
              <w:outlineLvl w:val="9"/>
              <w:rPr>
                <w:rFonts w:ascii="Arial"/>
                <w:color w:val="auto"/>
                <w:sz w:val="21"/>
                <w:highlight w:val="none"/>
              </w:rPr>
            </w:pPr>
          </w:p>
        </w:tc>
      </w:tr>
      <w:tr w14:paraId="4ED8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04C8C3F0">
            <w:pPr>
              <w:pStyle w:val="27"/>
              <w:spacing w:before="153" w:line="182" w:lineRule="auto"/>
              <w:ind w:left="520"/>
              <w:outlineLvl w:val="9"/>
              <w:rPr>
                <w:color w:val="auto"/>
                <w:highlight w:val="none"/>
              </w:rPr>
            </w:pPr>
            <w:r>
              <w:rPr>
                <w:color w:val="auto"/>
                <w:highlight w:val="none"/>
              </w:rPr>
              <w:t>4</w:t>
            </w:r>
          </w:p>
        </w:tc>
        <w:tc>
          <w:tcPr>
            <w:tcW w:w="2339" w:type="dxa"/>
            <w:vAlign w:val="top"/>
          </w:tcPr>
          <w:p w14:paraId="385495F6">
            <w:pPr>
              <w:pStyle w:val="27"/>
              <w:spacing w:before="118" w:line="221" w:lineRule="auto"/>
              <w:ind w:left="964"/>
              <w:outlineLvl w:val="9"/>
              <w:rPr>
                <w:color w:val="auto"/>
                <w:highlight w:val="none"/>
              </w:rPr>
            </w:pPr>
            <w:r>
              <w:rPr>
                <w:color w:val="auto"/>
                <w:spacing w:val="-3"/>
                <w:highlight w:val="none"/>
              </w:rPr>
              <w:t>分包</w:t>
            </w:r>
          </w:p>
        </w:tc>
        <w:tc>
          <w:tcPr>
            <w:tcW w:w="1706" w:type="dxa"/>
            <w:vAlign w:val="top"/>
          </w:tcPr>
          <w:p w14:paraId="2A8866AB">
            <w:pPr>
              <w:pStyle w:val="27"/>
              <w:spacing w:before="153" w:line="182" w:lineRule="auto"/>
              <w:ind w:left="698"/>
              <w:outlineLvl w:val="9"/>
              <w:rPr>
                <w:color w:val="auto"/>
                <w:highlight w:val="none"/>
              </w:rPr>
            </w:pPr>
            <w:r>
              <w:rPr>
                <w:color w:val="auto"/>
                <w:spacing w:val="-2"/>
                <w:highlight w:val="none"/>
              </w:rPr>
              <w:t>4.3</w:t>
            </w:r>
          </w:p>
        </w:tc>
        <w:tc>
          <w:tcPr>
            <w:tcW w:w="2072" w:type="dxa"/>
            <w:vAlign w:val="top"/>
          </w:tcPr>
          <w:p w14:paraId="17439E55">
            <w:pPr>
              <w:outlineLvl w:val="9"/>
              <w:rPr>
                <w:rFonts w:ascii="Arial"/>
                <w:color w:val="auto"/>
                <w:sz w:val="21"/>
                <w:highlight w:val="none"/>
              </w:rPr>
            </w:pPr>
            <w:r>
              <w:rPr>
                <w:color w:val="auto"/>
                <w:highlight w:val="none"/>
              </w:rPr>
              <w:pict>
                <v:shape id="_x0000_s1043" o:spid="_x0000_s1043" style="position:absolute;left:0pt;margin-left:35.7pt;margin-top:16.65pt;height:0.6pt;width:31.6pt;mso-position-horizontal-relative:page;mso-position-vertical-relative:page;z-index:251661312;mso-width-relative:page;mso-height-relative:page;" fillcolor="#000000" filled="t" stroked="f" coordsize="632,12" path="m0,11l631,11,631,0,0,0,0,11xe">
                  <v:path/>
                  <v:fill on="t" focussize="0,0"/>
                  <v:stroke on="f"/>
                  <v:imagedata o:title=""/>
                  <o:lock v:ext="edit"/>
                </v:shape>
              </w:pict>
            </w:r>
          </w:p>
        </w:tc>
        <w:tc>
          <w:tcPr>
            <w:tcW w:w="1711" w:type="dxa"/>
            <w:vAlign w:val="top"/>
          </w:tcPr>
          <w:p w14:paraId="085AFBBF">
            <w:pPr>
              <w:outlineLvl w:val="9"/>
              <w:rPr>
                <w:rFonts w:ascii="Arial"/>
                <w:color w:val="auto"/>
                <w:sz w:val="21"/>
                <w:highlight w:val="none"/>
              </w:rPr>
            </w:pPr>
          </w:p>
        </w:tc>
      </w:tr>
      <w:tr w14:paraId="51155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44" w:type="dxa"/>
            <w:vAlign w:val="top"/>
          </w:tcPr>
          <w:p w14:paraId="7A82CF2A">
            <w:pPr>
              <w:pStyle w:val="27"/>
              <w:spacing w:before="119" w:line="332" w:lineRule="exact"/>
              <w:ind w:left="378"/>
              <w:outlineLvl w:val="9"/>
              <w:rPr>
                <w:color w:val="auto"/>
                <w:highlight w:val="none"/>
              </w:rPr>
            </w:pPr>
            <w:r>
              <w:rPr>
                <w:color w:val="auto"/>
                <w:spacing w:val="-5"/>
                <w:position w:val="2"/>
                <w:highlight w:val="none"/>
              </w:rPr>
              <w:t>……</w:t>
            </w:r>
          </w:p>
        </w:tc>
        <w:tc>
          <w:tcPr>
            <w:tcW w:w="2339" w:type="dxa"/>
            <w:vAlign w:val="top"/>
          </w:tcPr>
          <w:p w14:paraId="0DD0506F">
            <w:pPr>
              <w:pStyle w:val="27"/>
              <w:spacing w:before="119" w:line="332" w:lineRule="exact"/>
              <w:ind w:left="974"/>
              <w:outlineLvl w:val="9"/>
              <w:rPr>
                <w:color w:val="auto"/>
                <w:highlight w:val="none"/>
              </w:rPr>
            </w:pPr>
            <w:r>
              <w:rPr>
                <w:color w:val="auto"/>
                <w:spacing w:val="-5"/>
                <w:position w:val="2"/>
                <w:highlight w:val="none"/>
              </w:rPr>
              <w:t>……</w:t>
            </w:r>
          </w:p>
        </w:tc>
        <w:tc>
          <w:tcPr>
            <w:tcW w:w="1706" w:type="dxa"/>
            <w:vAlign w:val="top"/>
          </w:tcPr>
          <w:p w14:paraId="113EBA83">
            <w:pPr>
              <w:pStyle w:val="27"/>
              <w:spacing w:before="119" w:line="332" w:lineRule="exact"/>
              <w:ind w:left="659"/>
              <w:outlineLvl w:val="9"/>
              <w:rPr>
                <w:color w:val="auto"/>
                <w:highlight w:val="none"/>
              </w:rPr>
            </w:pPr>
            <w:r>
              <w:rPr>
                <w:color w:val="auto"/>
                <w:spacing w:val="-5"/>
                <w:position w:val="2"/>
                <w:highlight w:val="none"/>
              </w:rPr>
              <w:t>……</w:t>
            </w:r>
          </w:p>
        </w:tc>
        <w:tc>
          <w:tcPr>
            <w:tcW w:w="2072" w:type="dxa"/>
            <w:vAlign w:val="top"/>
          </w:tcPr>
          <w:p w14:paraId="452C2CD6">
            <w:pPr>
              <w:pStyle w:val="27"/>
              <w:spacing w:before="119" w:line="332" w:lineRule="exact"/>
              <w:ind w:left="842"/>
              <w:outlineLvl w:val="9"/>
              <w:rPr>
                <w:color w:val="auto"/>
                <w:highlight w:val="none"/>
              </w:rPr>
            </w:pPr>
            <w:r>
              <w:rPr>
                <w:color w:val="auto"/>
                <w:spacing w:val="-5"/>
                <w:position w:val="2"/>
                <w:highlight w:val="none"/>
              </w:rPr>
              <w:t>……</w:t>
            </w:r>
          </w:p>
        </w:tc>
        <w:tc>
          <w:tcPr>
            <w:tcW w:w="1711" w:type="dxa"/>
            <w:vAlign w:val="top"/>
          </w:tcPr>
          <w:p w14:paraId="0FD396C4">
            <w:pPr>
              <w:outlineLvl w:val="9"/>
              <w:rPr>
                <w:rFonts w:ascii="Arial"/>
                <w:color w:val="auto"/>
                <w:sz w:val="21"/>
                <w:highlight w:val="none"/>
              </w:rPr>
            </w:pPr>
          </w:p>
        </w:tc>
      </w:tr>
      <w:tr w14:paraId="1B6FB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24784B35">
            <w:pPr>
              <w:outlineLvl w:val="9"/>
              <w:rPr>
                <w:rFonts w:ascii="Arial"/>
                <w:color w:val="auto"/>
                <w:sz w:val="21"/>
                <w:highlight w:val="none"/>
              </w:rPr>
            </w:pPr>
          </w:p>
        </w:tc>
        <w:tc>
          <w:tcPr>
            <w:tcW w:w="2339" w:type="dxa"/>
            <w:vAlign w:val="top"/>
          </w:tcPr>
          <w:p w14:paraId="3ED0434E">
            <w:pPr>
              <w:outlineLvl w:val="9"/>
              <w:rPr>
                <w:rFonts w:ascii="Arial"/>
                <w:color w:val="auto"/>
                <w:sz w:val="21"/>
                <w:highlight w:val="none"/>
              </w:rPr>
            </w:pPr>
          </w:p>
        </w:tc>
        <w:tc>
          <w:tcPr>
            <w:tcW w:w="1706" w:type="dxa"/>
            <w:vAlign w:val="top"/>
          </w:tcPr>
          <w:p w14:paraId="5FC34495">
            <w:pPr>
              <w:outlineLvl w:val="9"/>
              <w:rPr>
                <w:rFonts w:ascii="Arial"/>
                <w:color w:val="auto"/>
                <w:sz w:val="21"/>
                <w:highlight w:val="none"/>
              </w:rPr>
            </w:pPr>
          </w:p>
        </w:tc>
        <w:tc>
          <w:tcPr>
            <w:tcW w:w="2072" w:type="dxa"/>
            <w:vAlign w:val="top"/>
          </w:tcPr>
          <w:p w14:paraId="422A5D2F">
            <w:pPr>
              <w:outlineLvl w:val="9"/>
              <w:rPr>
                <w:rFonts w:ascii="Arial"/>
                <w:color w:val="auto"/>
                <w:sz w:val="21"/>
                <w:highlight w:val="none"/>
              </w:rPr>
            </w:pPr>
          </w:p>
        </w:tc>
        <w:tc>
          <w:tcPr>
            <w:tcW w:w="1711" w:type="dxa"/>
            <w:vAlign w:val="top"/>
          </w:tcPr>
          <w:p w14:paraId="2D402938">
            <w:pPr>
              <w:outlineLvl w:val="9"/>
              <w:rPr>
                <w:rFonts w:ascii="Arial"/>
                <w:color w:val="auto"/>
                <w:sz w:val="21"/>
                <w:highlight w:val="none"/>
              </w:rPr>
            </w:pPr>
          </w:p>
        </w:tc>
      </w:tr>
      <w:tr w14:paraId="467B4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44" w:type="dxa"/>
            <w:vAlign w:val="top"/>
          </w:tcPr>
          <w:p w14:paraId="54715529">
            <w:pPr>
              <w:outlineLvl w:val="9"/>
              <w:rPr>
                <w:rFonts w:ascii="Arial"/>
                <w:color w:val="auto"/>
                <w:sz w:val="21"/>
                <w:highlight w:val="none"/>
              </w:rPr>
            </w:pPr>
          </w:p>
        </w:tc>
        <w:tc>
          <w:tcPr>
            <w:tcW w:w="2339" w:type="dxa"/>
            <w:vAlign w:val="top"/>
          </w:tcPr>
          <w:p w14:paraId="10F8F44A">
            <w:pPr>
              <w:outlineLvl w:val="9"/>
              <w:rPr>
                <w:rFonts w:ascii="Arial"/>
                <w:color w:val="auto"/>
                <w:sz w:val="21"/>
                <w:highlight w:val="none"/>
              </w:rPr>
            </w:pPr>
          </w:p>
        </w:tc>
        <w:tc>
          <w:tcPr>
            <w:tcW w:w="1706" w:type="dxa"/>
            <w:vAlign w:val="top"/>
          </w:tcPr>
          <w:p w14:paraId="3FFDA1C2">
            <w:pPr>
              <w:outlineLvl w:val="9"/>
              <w:rPr>
                <w:rFonts w:ascii="Arial"/>
                <w:color w:val="auto"/>
                <w:sz w:val="21"/>
                <w:highlight w:val="none"/>
              </w:rPr>
            </w:pPr>
          </w:p>
        </w:tc>
        <w:tc>
          <w:tcPr>
            <w:tcW w:w="2072" w:type="dxa"/>
            <w:vAlign w:val="top"/>
          </w:tcPr>
          <w:p w14:paraId="43248D07">
            <w:pPr>
              <w:outlineLvl w:val="9"/>
              <w:rPr>
                <w:rFonts w:ascii="Arial"/>
                <w:color w:val="auto"/>
                <w:sz w:val="21"/>
                <w:highlight w:val="none"/>
              </w:rPr>
            </w:pPr>
          </w:p>
        </w:tc>
        <w:tc>
          <w:tcPr>
            <w:tcW w:w="1711" w:type="dxa"/>
            <w:vAlign w:val="top"/>
          </w:tcPr>
          <w:p w14:paraId="3D5C610C">
            <w:pPr>
              <w:outlineLvl w:val="9"/>
              <w:rPr>
                <w:rFonts w:ascii="Arial"/>
                <w:color w:val="auto"/>
                <w:sz w:val="21"/>
                <w:highlight w:val="none"/>
              </w:rPr>
            </w:pPr>
          </w:p>
        </w:tc>
      </w:tr>
      <w:tr w14:paraId="165D1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7D2CF829">
            <w:pPr>
              <w:outlineLvl w:val="9"/>
              <w:rPr>
                <w:rFonts w:ascii="Arial"/>
                <w:color w:val="auto"/>
                <w:sz w:val="21"/>
                <w:highlight w:val="none"/>
              </w:rPr>
            </w:pPr>
          </w:p>
        </w:tc>
        <w:tc>
          <w:tcPr>
            <w:tcW w:w="2339" w:type="dxa"/>
            <w:vAlign w:val="top"/>
          </w:tcPr>
          <w:p w14:paraId="56BB7D8E">
            <w:pPr>
              <w:outlineLvl w:val="9"/>
              <w:rPr>
                <w:rFonts w:ascii="Arial"/>
                <w:color w:val="auto"/>
                <w:sz w:val="21"/>
                <w:highlight w:val="none"/>
              </w:rPr>
            </w:pPr>
          </w:p>
        </w:tc>
        <w:tc>
          <w:tcPr>
            <w:tcW w:w="1706" w:type="dxa"/>
            <w:vAlign w:val="top"/>
          </w:tcPr>
          <w:p w14:paraId="46221137">
            <w:pPr>
              <w:outlineLvl w:val="9"/>
              <w:rPr>
                <w:rFonts w:ascii="Arial"/>
                <w:color w:val="auto"/>
                <w:sz w:val="21"/>
                <w:highlight w:val="none"/>
              </w:rPr>
            </w:pPr>
          </w:p>
        </w:tc>
        <w:tc>
          <w:tcPr>
            <w:tcW w:w="2072" w:type="dxa"/>
            <w:vAlign w:val="top"/>
          </w:tcPr>
          <w:p w14:paraId="4DB92385">
            <w:pPr>
              <w:outlineLvl w:val="9"/>
              <w:rPr>
                <w:rFonts w:ascii="Arial"/>
                <w:color w:val="auto"/>
                <w:sz w:val="21"/>
                <w:highlight w:val="none"/>
              </w:rPr>
            </w:pPr>
          </w:p>
        </w:tc>
        <w:tc>
          <w:tcPr>
            <w:tcW w:w="1711" w:type="dxa"/>
            <w:vAlign w:val="top"/>
          </w:tcPr>
          <w:p w14:paraId="5F060D8D">
            <w:pPr>
              <w:outlineLvl w:val="9"/>
              <w:rPr>
                <w:rFonts w:ascii="Arial"/>
                <w:color w:val="auto"/>
                <w:sz w:val="21"/>
                <w:highlight w:val="none"/>
              </w:rPr>
            </w:pPr>
          </w:p>
        </w:tc>
      </w:tr>
      <w:tr w14:paraId="40B61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3B6CBF2A">
            <w:pPr>
              <w:outlineLvl w:val="9"/>
              <w:rPr>
                <w:rFonts w:ascii="Arial"/>
                <w:color w:val="auto"/>
                <w:sz w:val="21"/>
                <w:highlight w:val="none"/>
              </w:rPr>
            </w:pPr>
          </w:p>
        </w:tc>
        <w:tc>
          <w:tcPr>
            <w:tcW w:w="2339" w:type="dxa"/>
            <w:vAlign w:val="top"/>
          </w:tcPr>
          <w:p w14:paraId="03A0BF70">
            <w:pPr>
              <w:outlineLvl w:val="9"/>
              <w:rPr>
                <w:rFonts w:ascii="Arial"/>
                <w:color w:val="auto"/>
                <w:sz w:val="21"/>
                <w:highlight w:val="none"/>
              </w:rPr>
            </w:pPr>
          </w:p>
        </w:tc>
        <w:tc>
          <w:tcPr>
            <w:tcW w:w="1706" w:type="dxa"/>
            <w:vAlign w:val="top"/>
          </w:tcPr>
          <w:p w14:paraId="012BAD32">
            <w:pPr>
              <w:outlineLvl w:val="9"/>
              <w:rPr>
                <w:rFonts w:ascii="Arial"/>
                <w:color w:val="auto"/>
                <w:sz w:val="21"/>
                <w:highlight w:val="none"/>
              </w:rPr>
            </w:pPr>
          </w:p>
        </w:tc>
        <w:tc>
          <w:tcPr>
            <w:tcW w:w="2072" w:type="dxa"/>
            <w:vAlign w:val="top"/>
          </w:tcPr>
          <w:p w14:paraId="375A772B">
            <w:pPr>
              <w:outlineLvl w:val="9"/>
              <w:rPr>
                <w:rFonts w:ascii="Arial"/>
                <w:color w:val="auto"/>
                <w:sz w:val="21"/>
                <w:highlight w:val="none"/>
              </w:rPr>
            </w:pPr>
          </w:p>
        </w:tc>
        <w:tc>
          <w:tcPr>
            <w:tcW w:w="1711" w:type="dxa"/>
            <w:vAlign w:val="top"/>
          </w:tcPr>
          <w:p w14:paraId="2E6E6CBA">
            <w:pPr>
              <w:outlineLvl w:val="9"/>
              <w:rPr>
                <w:rFonts w:ascii="Arial"/>
                <w:color w:val="auto"/>
                <w:sz w:val="21"/>
                <w:highlight w:val="none"/>
              </w:rPr>
            </w:pPr>
          </w:p>
        </w:tc>
      </w:tr>
      <w:tr w14:paraId="714E0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40526F95">
            <w:pPr>
              <w:outlineLvl w:val="9"/>
              <w:rPr>
                <w:rFonts w:ascii="Arial"/>
                <w:color w:val="auto"/>
                <w:sz w:val="21"/>
                <w:highlight w:val="none"/>
              </w:rPr>
            </w:pPr>
          </w:p>
        </w:tc>
        <w:tc>
          <w:tcPr>
            <w:tcW w:w="2339" w:type="dxa"/>
            <w:vAlign w:val="top"/>
          </w:tcPr>
          <w:p w14:paraId="514C2E9A">
            <w:pPr>
              <w:outlineLvl w:val="9"/>
              <w:rPr>
                <w:rFonts w:ascii="Arial"/>
                <w:color w:val="auto"/>
                <w:sz w:val="21"/>
                <w:highlight w:val="none"/>
              </w:rPr>
            </w:pPr>
          </w:p>
        </w:tc>
        <w:tc>
          <w:tcPr>
            <w:tcW w:w="1706" w:type="dxa"/>
            <w:vAlign w:val="top"/>
          </w:tcPr>
          <w:p w14:paraId="6C8A7426">
            <w:pPr>
              <w:outlineLvl w:val="9"/>
              <w:rPr>
                <w:rFonts w:ascii="Arial"/>
                <w:color w:val="auto"/>
                <w:sz w:val="21"/>
                <w:highlight w:val="none"/>
              </w:rPr>
            </w:pPr>
          </w:p>
        </w:tc>
        <w:tc>
          <w:tcPr>
            <w:tcW w:w="2072" w:type="dxa"/>
            <w:vAlign w:val="top"/>
          </w:tcPr>
          <w:p w14:paraId="1E8646E7">
            <w:pPr>
              <w:outlineLvl w:val="9"/>
              <w:rPr>
                <w:rFonts w:ascii="Arial"/>
                <w:color w:val="auto"/>
                <w:sz w:val="21"/>
                <w:highlight w:val="none"/>
              </w:rPr>
            </w:pPr>
          </w:p>
        </w:tc>
        <w:tc>
          <w:tcPr>
            <w:tcW w:w="1711" w:type="dxa"/>
            <w:vAlign w:val="top"/>
          </w:tcPr>
          <w:p w14:paraId="35D26BCB">
            <w:pPr>
              <w:outlineLvl w:val="9"/>
              <w:rPr>
                <w:rFonts w:ascii="Arial"/>
                <w:color w:val="auto"/>
                <w:sz w:val="21"/>
                <w:highlight w:val="none"/>
              </w:rPr>
            </w:pPr>
          </w:p>
        </w:tc>
      </w:tr>
      <w:tr w14:paraId="06D3F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4" w:type="dxa"/>
            <w:vAlign w:val="top"/>
          </w:tcPr>
          <w:p w14:paraId="588534A3">
            <w:pPr>
              <w:outlineLvl w:val="9"/>
              <w:rPr>
                <w:rFonts w:ascii="Arial"/>
                <w:color w:val="auto"/>
                <w:sz w:val="21"/>
                <w:highlight w:val="none"/>
              </w:rPr>
            </w:pPr>
          </w:p>
        </w:tc>
        <w:tc>
          <w:tcPr>
            <w:tcW w:w="2339" w:type="dxa"/>
            <w:vAlign w:val="top"/>
          </w:tcPr>
          <w:p w14:paraId="63098B16">
            <w:pPr>
              <w:outlineLvl w:val="9"/>
              <w:rPr>
                <w:rFonts w:ascii="Arial"/>
                <w:color w:val="auto"/>
                <w:sz w:val="21"/>
                <w:highlight w:val="none"/>
              </w:rPr>
            </w:pPr>
          </w:p>
        </w:tc>
        <w:tc>
          <w:tcPr>
            <w:tcW w:w="1706" w:type="dxa"/>
            <w:vAlign w:val="top"/>
          </w:tcPr>
          <w:p w14:paraId="3A6AD5E0">
            <w:pPr>
              <w:outlineLvl w:val="9"/>
              <w:rPr>
                <w:rFonts w:ascii="Arial"/>
                <w:color w:val="auto"/>
                <w:sz w:val="21"/>
                <w:highlight w:val="none"/>
              </w:rPr>
            </w:pPr>
          </w:p>
        </w:tc>
        <w:tc>
          <w:tcPr>
            <w:tcW w:w="2072" w:type="dxa"/>
            <w:vAlign w:val="top"/>
          </w:tcPr>
          <w:p w14:paraId="10728ADC">
            <w:pPr>
              <w:outlineLvl w:val="9"/>
              <w:rPr>
                <w:rFonts w:ascii="Arial"/>
                <w:color w:val="auto"/>
                <w:sz w:val="21"/>
                <w:highlight w:val="none"/>
              </w:rPr>
            </w:pPr>
          </w:p>
        </w:tc>
        <w:tc>
          <w:tcPr>
            <w:tcW w:w="1711" w:type="dxa"/>
            <w:vAlign w:val="top"/>
          </w:tcPr>
          <w:p w14:paraId="5EB66AED">
            <w:pPr>
              <w:outlineLvl w:val="9"/>
              <w:rPr>
                <w:rFonts w:ascii="Arial"/>
                <w:color w:val="auto"/>
                <w:sz w:val="21"/>
                <w:highlight w:val="none"/>
              </w:rPr>
            </w:pPr>
          </w:p>
        </w:tc>
      </w:tr>
    </w:tbl>
    <w:p w14:paraId="7EA2CE09">
      <w:pPr>
        <w:spacing w:line="306" w:lineRule="auto"/>
        <w:outlineLvl w:val="9"/>
        <w:rPr>
          <w:rFonts w:ascii="Arial"/>
          <w:color w:val="auto"/>
          <w:sz w:val="21"/>
          <w:highlight w:val="none"/>
        </w:rPr>
      </w:pPr>
    </w:p>
    <w:p w14:paraId="0C8AA98C">
      <w:pPr>
        <w:spacing w:line="307" w:lineRule="auto"/>
        <w:outlineLvl w:val="9"/>
        <w:rPr>
          <w:rFonts w:ascii="Arial"/>
          <w:color w:val="auto"/>
          <w:sz w:val="21"/>
          <w:highlight w:val="none"/>
        </w:rPr>
      </w:pPr>
    </w:p>
    <w:p w14:paraId="775A1FFD">
      <w:pPr>
        <w:spacing w:before="68" w:line="220" w:lineRule="auto"/>
        <w:ind w:left="2483"/>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 标</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人</w:t>
      </w:r>
      <w:r>
        <w:rPr>
          <w:rFonts w:ascii="宋体" w:hAnsi="宋体" w:eastAsia="宋体" w:cs="宋体"/>
          <w:color w:val="auto"/>
          <w:spacing w:val="-4"/>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1"/>
          <w:sz w:val="21"/>
          <w:szCs w:val="21"/>
          <w:highlight w:val="none"/>
        </w:rPr>
        <w:t>盖单位章）</w:t>
      </w:r>
    </w:p>
    <w:p w14:paraId="4CD348F6">
      <w:pPr>
        <w:tabs>
          <w:tab w:val="left" w:pos="6082"/>
        </w:tabs>
        <w:spacing w:before="189" w:line="250" w:lineRule="auto"/>
        <w:ind w:left="5450" w:right="636" w:hanging="2969"/>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法定代表人或其委托代理人</w:t>
      </w:r>
      <w:r>
        <w:rPr>
          <w:rFonts w:ascii="宋体" w:hAnsi="宋体" w:eastAsia="宋体" w:cs="宋体"/>
          <w:color w:val="auto"/>
          <w:spacing w:val="-11"/>
          <w:sz w:val="21"/>
          <w:szCs w:val="21"/>
          <w:highlight w:val="none"/>
        </w:rPr>
        <w:t>：</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 xml:space="preserve">签字） </w:t>
      </w:r>
    </w:p>
    <w:p w14:paraId="025EFA6A">
      <w:pPr>
        <w:tabs>
          <w:tab w:val="left" w:pos="6082"/>
        </w:tabs>
        <w:spacing w:before="189" w:line="250" w:lineRule="auto"/>
        <w:ind w:left="5450" w:right="636" w:hanging="2969"/>
        <w:jc w:val="right"/>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lang w:val="en-US" w:eastAsia="zh-CN"/>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88"/>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7"/>
          <w:sz w:val="21"/>
          <w:szCs w:val="21"/>
          <w:highlight w:val="none"/>
        </w:rPr>
        <w:t>日</w:t>
      </w:r>
    </w:p>
    <w:p w14:paraId="79578891">
      <w:pPr>
        <w:spacing w:before="55" w:line="219" w:lineRule="auto"/>
        <w:ind w:left="431"/>
        <w:outlineLvl w:val="9"/>
        <w:rPr>
          <w:rFonts w:ascii="宋体" w:hAnsi="宋体" w:eastAsia="宋体" w:cs="宋体"/>
          <w:color w:val="auto"/>
          <w:spacing w:val="-1"/>
          <w:sz w:val="28"/>
          <w:szCs w:val="28"/>
          <w:highlight w:val="none"/>
        </w:rPr>
      </w:pPr>
    </w:p>
    <w:p w14:paraId="5AF63469">
      <w:pPr>
        <w:spacing w:before="55" w:line="219" w:lineRule="auto"/>
        <w:ind w:left="431"/>
        <w:outlineLvl w:val="9"/>
        <w:rPr>
          <w:rFonts w:ascii="宋体" w:hAnsi="宋体" w:eastAsia="宋体" w:cs="宋体"/>
          <w:color w:val="auto"/>
          <w:spacing w:val="-1"/>
          <w:sz w:val="28"/>
          <w:szCs w:val="28"/>
          <w:highlight w:val="none"/>
        </w:rPr>
      </w:pPr>
    </w:p>
    <w:p w14:paraId="138ECD0F">
      <w:pPr>
        <w:spacing w:before="55" w:line="219" w:lineRule="auto"/>
        <w:ind w:left="431"/>
        <w:outlineLvl w:val="9"/>
        <w:rPr>
          <w:rFonts w:ascii="宋体" w:hAnsi="宋体" w:eastAsia="宋体" w:cs="宋体"/>
          <w:color w:val="auto"/>
          <w:spacing w:val="-1"/>
          <w:sz w:val="28"/>
          <w:szCs w:val="28"/>
          <w:highlight w:val="none"/>
        </w:rPr>
      </w:pPr>
    </w:p>
    <w:p w14:paraId="46A42461">
      <w:pPr>
        <w:spacing w:before="55" w:line="219" w:lineRule="auto"/>
        <w:ind w:left="431"/>
        <w:outlineLvl w:val="9"/>
        <w:rPr>
          <w:rFonts w:ascii="宋体" w:hAnsi="宋体" w:eastAsia="宋体" w:cs="宋体"/>
          <w:color w:val="auto"/>
          <w:spacing w:val="-1"/>
          <w:sz w:val="28"/>
          <w:szCs w:val="28"/>
          <w:highlight w:val="none"/>
        </w:rPr>
      </w:pPr>
    </w:p>
    <w:p w14:paraId="5A78AC57">
      <w:pPr>
        <w:outlineLvl w:val="9"/>
        <w:rPr>
          <w:color w:val="auto"/>
          <w:highlight w:val="none"/>
        </w:rPr>
      </w:pPr>
    </w:p>
    <w:p w14:paraId="4E5843C4">
      <w:pPr>
        <w:spacing w:before="55" w:line="219" w:lineRule="auto"/>
        <w:ind w:left="431"/>
        <w:outlineLvl w:val="9"/>
        <w:rPr>
          <w:rFonts w:ascii="宋体" w:hAnsi="宋体" w:eastAsia="宋体" w:cs="宋体"/>
          <w:color w:val="auto"/>
          <w:spacing w:val="-1"/>
          <w:sz w:val="28"/>
          <w:szCs w:val="28"/>
          <w:highlight w:val="none"/>
        </w:rPr>
      </w:pPr>
    </w:p>
    <w:p w14:paraId="2F3C9F1B">
      <w:pPr>
        <w:spacing w:before="55" w:line="219" w:lineRule="auto"/>
        <w:ind w:left="431"/>
        <w:outlineLvl w:val="9"/>
        <w:rPr>
          <w:rFonts w:ascii="宋体" w:hAnsi="宋体" w:eastAsia="宋体" w:cs="宋体"/>
          <w:color w:val="auto"/>
          <w:spacing w:val="-1"/>
          <w:sz w:val="28"/>
          <w:szCs w:val="28"/>
          <w:highlight w:val="none"/>
        </w:rPr>
      </w:pPr>
    </w:p>
    <w:p w14:paraId="74D1BDB7">
      <w:pPr>
        <w:spacing w:before="55" w:line="219" w:lineRule="auto"/>
        <w:ind w:left="431"/>
        <w:outlineLvl w:val="9"/>
        <w:rPr>
          <w:rFonts w:ascii="宋体" w:hAnsi="宋体" w:eastAsia="宋体" w:cs="宋体"/>
          <w:color w:val="auto"/>
          <w:spacing w:val="-1"/>
          <w:sz w:val="28"/>
          <w:szCs w:val="28"/>
          <w:highlight w:val="none"/>
        </w:rPr>
      </w:pPr>
    </w:p>
    <w:p w14:paraId="7E10538C">
      <w:pPr>
        <w:spacing w:before="55" w:line="219" w:lineRule="auto"/>
        <w:ind w:left="431"/>
        <w:outlineLvl w:val="9"/>
        <w:rPr>
          <w:rFonts w:ascii="宋体" w:hAnsi="宋体" w:eastAsia="宋体" w:cs="宋体"/>
          <w:color w:val="auto"/>
          <w:spacing w:val="-1"/>
          <w:sz w:val="28"/>
          <w:szCs w:val="28"/>
          <w:highlight w:val="none"/>
        </w:rPr>
      </w:pPr>
    </w:p>
    <w:p w14:paraId="49CC41E9">
      <w:pPr>
        <w:spacing w:before="55" w:line="219" w:lineRule="auto"/>
        <w:outlineLvl w:val="9"/>
        <w:rPr>
          <w:rFonts w:ascii="宋体" w:hAnsi="宋体" w:eastAsia="宋体" w:cs="宋体"/>
          <w:color w:val="auto"/>
          <w:spacing w:val="-1"/>
          <w:sz w:val="28"/>
          <w:szCs w:val="28"/>
          <w:highlight w:val="none"/>
        </w:rPr>
      </w:pPr>
    </w:p>
    <w:p w14:paraId="2C06B3BA">
      <w:pPr>
        <w:spacing w:before="55" w:line="219" w:lineRule="auto"/>
        <w:ind w:left="431"/>
        <w:outlineLvl w:val="9"/>
        <w:rPr>
          <w:rFonts w:hint="default" w:ascii="宋体" w:hAnsi="宋体" w:eastAsia="宋体" w:cs="宋体"/>
          <w:color w:val="auto"/>
          <w:sz w:val="28"/>
          <w:szCs w:val="28"/>
          <w:highlight w:val="none"/>
          <w:lang w:val="en-US" w:eastAsia="zh-CN"/>
        </w:rPr>
      </w:pPr>
      <w:bookmarkStart w:id="404" w:name="_Toc30629"/>
      <w:r>
        <w:rPr>
          <w:rFonts w:ascii="宋体" w:hAnsi="宋体" w:eastAsia="宋体" w:cs="宋体"/>
          <w:color w:val="auto"/>
          <w:spacing w:val="-1"/>
          <w:sz w:val="28"/>
          <w:szCs w:val="28"/>
          <w:highlight w:val="none"/>
        </w:rPr>
        <w:t>（三）价格折算量化因素及标准响应一览表</w:t>
      </w:r>
      <w:r>
        <w:rPr>
          <w:rFonts w:hint="eastAsia" w:ascii="宋体" w:hAnsi="宋体" w:eastAsia="宋体" w:cs="宋体"/>
          <w:b/>
          <w:bCs/>
          <w:color w:val="auto"/>
          <w:spacing w:val="-1"/>
          <w:sz w:val="28"/>
          <w:szCs w:val="28"/>
          <w:highlight w:val="none"/>
          <w:lang w:eastAsia="zh-CN"/>
        </w:rPr>
        <w:t>（</w:t>
      </w:r>
      <w:r>
        <w:rPr>
          <w:rFonts w:hint="eastAsia" w:ascii="宋体" w:hAnsi="宋体" w:eastAsia="宋体" w:cs="宋体"/>
          <w:b/>
          <w:bCs/>
          <w:color w:val="auto"/>
          <w:spacing w:val="-1"/>
          <w:sz w:val="28"/>
          <w:szCs w:val="28"/>
          <w:highlight w:val="none"/>
          <w:lang w:val="en-US" w:eastAsia="zh-CN"/>
        </w:rPr>
        <w:t>本项目不采用）</w:t>
      </w:r>
      <w:bookmarkEnd w:id="404"/>
    </w:p>
    <w:p w14:paraId="1E84601B">
      <w:pPr>
        <w:spacing w:before="76"/>
        <w:outlineLvl w:val="9"/>
        <w:rPr>
          <w:color w:val="auto"/>
          <w:highlight w:val="none"/>
        </w:rPr>
      </w:pPr>
    </w:p>
    <w:tbl>
      <w:tblPr>
        <w:tblStyle w:val="26"/>
        <w:tblW w:w="8972"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2339"/>
        <w:gridCol w:w="1706"/>
        <w:gridCol w:w="2072"/>
        <w:gridCol w:w="1711"/>
      </w:tblGrid>
      <w:tr w14:paraId="53CC9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144" w:type="dxa"/>
            <w:vAlign w:val="top"/>
          </w:tcPr>
          <w:p w14:paraId="5399E342">
            <w:pPr>
              <w:pStyle w:val="27"/>
              <w:spacing w:before="238" w:line="222" w:lineRule="auto"/>
              <w:ind w:left="367"/>
              <w:outlineLvl w:val="9"/>
              <w:rPr>
                <w:color w:val="auto"/>
                <w:highlight w:val="none"/>
              </w:rPr>
            </w:pPr>
            <w:r>
              <w:rPr>
                <w:color w:val="auto"/>
                <w:spacing w:val="-2"/>
                <w:highlight w:val="none"/>
              </w:rPr>
              <w:t>序号</w:t>
            </w:r>
          </w:p>
        </w:tc>
        <w:tc>
          <w:tcPr>
            <w:tcW w:w="2339" w:type="dxa"/>
            <w:vAlign w:val="top"/>
          </w:tcPr>
          <w:p w14:paraId="66783E51">
            <w:pPr>
              <w:pStyle w:val="27"/>
              <w:spacing w:before="48" w:line="320" w:lineRule="auto"/>
              <w:ind w:left="752" w:right="747"/>
              <w:outlineLvl w:val="9"/>
              <w:rPr>
                <w:color w:val="auto"/>
                <w:highlight w:val="none"/>
              </w:rPr>
            </w:pPr>
            <w:r>
              <w:rPr>
                <w:color w:val="auto"/>
                <w:spacing w:val="-2"/>
                <w:highlight w:val="none"/>
              </w:rPr>
              <w:t>价格折算</w:t>
            </w:r>
            <w:r>
              <w:rPr>
                <w:color w:val="auto"/>
                <w:highlight w:val="none"/>
              </w:rPr>
              <w:t xml:space="preserve"> </w:t>
            </w:r>
            <w:r>
              <w:rPr>
                <w:color w:val="auto"/>
                <w:spacing w:val="-2"/>
                <w:highlight w:val="none"/>
              </w:rPr>
              <w:t>量化因素</w:t>
            </w:r>
          </w:p>
        </w:tc>
        <w:tc>
          <w:tcPr>
            <w:tcW w:w="1706" w:type="dxa"/>
            <w:vAlign w:val="top"/>
          </w:tcPr>
          <w:p w14:paraId="25CA4923">
            <w:pPr>
              <w:pStyle w:val="27"/>
              <w:spacing w:before="49" w:line="320" w:lineRule="auto"/>
              <w:ind w:left="437" w:right="429"/>
              <w:outlineLvl w:val="9"/>
              <w:rPr>
                <w:color w:val="auto"/>
                <w:highlight w:val="none"/>
              </w:rPr>
            </w:pPr>
            <w:r>
              <w:rPr>
                <w:color w:val="auto"/>
                <w:spacing w:val="-2"/>
                <w:highlight w:val="none"/>
              </w:rPr>
              <w:t>价格折算</w:t>
            </w:r>
            <w:r>
              <w:rPr>
                <w:color w:val="auto"/>
                <w:highlight w:val="none"/>
              </w:rPr>
              <w:t xml:space="preserve"> </w:t>
            </w:r>
            <w:r>
              <w:rPr>
                <w:color w:val="auto"/>
                <w:spacing w:val="-2"/>
                <w:highlight w:val="none"/>
              </w:rPr>
              <w:t>量化标准</w:t>
            </w:r>
          </w:p>
        </w:tc>
        <w:tc>
          <w:tcPr>
            <w:tcW w:w="2072" w:type="dxa"/>
            <w:vAlign w:val="top"/>
          </w:tcPr>
          <w:p w14:paraId="6B63BE96">
            <w:pPr>
              <w:pStyle w:val="27"/>
              <w:spacing w:before="238" w:line="221" w:lineRule="auto"/>
              <w:ind w:left="306"/>
              <w:outlineLvl w:val="9"/>
              <w:rPr>
                <w:color w:val="auto"/>
                <w:highlight w:val="none"/>
              </w:rPr>
            </w:pPr>
            <w:r>
              <w:rPr>
                <w:color w:val="auto"/>
                <w:spacing w:val="-2"/>
                <w:highlight w:val="none"/>
              </w:rPr>
              <w:t>投标人响应情况</w:t>
            </w:r>
          </w:p>
        </w:tc>
        <w:tc>
          <w:tcPr>
            <w:tcW w:w="1711" w:type="dxa"/>
            <w:vAlign w:val="top"/>
          </w:tcPr>
          <w:p w14:paraId="547C81BF">
            <w:pPr>
              <w:pStyle w:val="27"/>
              <w:spacing w:before="48" w:line="320" w:lineRule="auto"/>
              <w:ind w:left="232" w:right="220" w:firstLine="104"/>
              <w:outlineLvl w:val="9"/>
              <w:rPr>
                <w:color w:val="auto"/>
                <w:highlight w:val="none"/>
              </w:rPr>
            </w:pPr>
            <w:r>
              <w:rPr>
                <w:color w:val="auto"/>
                <w:spacing w:val="-2"/>
                <w:highlight w:val="none"/>
              </w:rPr>
              <w:t>投标人价格</w:t>
            </w:r>
            <w:r>
              <w:rPr>
                <w:color w:val="auto"/>
                <w:highlight w:val="none"/>
              </w:rPr>
              <w:t xml:space="preserve">  </w:t>
            </w:r>
            <w:r>
              <w:rPr>
                <w:color w:val="auto"/>
                <w:spacing w:val="-2"/>
                <w:highlight w:val="none"/>
              </w:rPr>
              <w:t>折算计算结果</w:t>
            </w:r>
          </w:p>
        </w:tc>
      </w:tr>
      <w:tr w14:paraId="4E0A5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16B2AC94">
            <w:pPr>
              <w:pStyle w:val="27"/>
              <w:spacing w:before="151" w:line="183" w:lineRule="auto"/>
              <w:ind w:left="539"/>
              <w:outlineLvl w:val="9"/>
              <w:rPr>
                <w:color w:val="auto"/>
                <w:highlight w:val="none"/>
              </w:rPr>
            </w:pPr>
            <w:r>
              <w:rPr>
                <w:color w:val="auto"/>
                <w:highlight w:val="none"/>
              </w:rPr>
              <w:t>1</w:t>
            </w:r>
          </w:p>
        </w:tc>
        <w:tc>
          <w:tcPr>
            <w:tcW w:w="2339" w:type="dxa"/>
            <w:vAlign w:val="top"/>
          </w:tcPr>
          <w:p w14:paraId="1B53818D">
            <w:pPr>
              <w:pStyle w:val="27"/>
              <w:spacing w:before="116" w:line="221" w:lineRule="auto"/>
              <w:ind w:left="133"/>
              <w:outlineLvl w:val="9"/>
              <w:rPr>
                <w:color w:val="auto"/>
                <w:highlight w:val="none"/>
              </w:rPr>
            </w:pPr>
            <w:r>
              <w:rPr>
                <w:color w:val="auto"/>
                <w:spacing w:val="-8"/>
                <w:highlight w:val="none"/>
              </w:rPr>
              <w:t>□</w:t>
            </w:r>
            <w:r>
              <w:rPr>
                <w:color w:val="auto"/>
                <w:spacing w:val="12"/>
                <w:highlight w:val="none"/>
              </w:rPr>
              <w:t xml:space="preserve"> </w:t>
            </w:r>
            <w:r>
              <w:rPr>
                <w:color w:val="auto"/>
                <w:spacing w:val="-8"/>
                <w:highlight w:val="none"/>
              </w:rPr>
              <w:t>付款条件</w:t>
            </w:r>
          </w:p>
        </w:tc>
        <w:tc>
          <w:tcPr>
            <w:tcW w:w="1706" w:type="dxa"/>
            <w:vAlign w:val="top"/>
          </w:tcPr>
          <w:p w14:paraId="51F9B708">
            <w:pPr>
              <w:outlineLvl w:val="9"/>
              <w:rPr>
                <w:rFonts w:ascii="Arial"/>
                <w:color w:val="auto"/>
                <w:sz w:val="21"/>
                <w:highlight w:val="none"/>
              </w:rPr>
            </w:pPr>
          </w:p>
        </w:tc>
        <w:tc>
          <w:tcPr>
            <w:tcW w:w="2072" w:type="dxa"/>
            <w:vAlign w:val="top"/>
          </w:tcPr>
          <w:p w14:paraId="0E25B6D9">
            <w:pPr>
              <w:pStyle w:val="27"/>
              <w:tabs>
                <w:tab w:val="left" w:pos="1055"/>
              </w:tabs>
              <w:spacing w:before="116" w:line="241" w:lineRule="auto"/>
              <w:ind w:left="526"/>
              <w:outlineLvl w:val="9"/>
              <w:rPr>
                <w:color w:val="auto"/>
                <w:highlight w:val="none"/>
              </w:rPr>
            </w:pPr>
            <w:r>
              <w:rPr>
                <w:color w:val="auto"/>
                <w:highlight w:val="none"/>
                <w:u w:val="single" w:color="auto"/>
              </w:rPr>
              <w:tab/>
            </w:r>
            <w:r>
              <w:rPr>
                <w:b/>
                <w:bCs/>
                <w:color w:val="auto"/>
                <w:spacing w:val="-3"/>
                <w:highlight w:val="none"/>
              </w:rPr>
              <w:t>%</w:t>
            </w:r>
          </w:p>
        </w:tc>
        <w:tc>
          <w:tcPr>
            <w:tcW w:w="1711" w:type="dxa"/>
            <w:vAlign w:val="top"/>
          </w:tcPr>
          <w:p w14:paraId="3B7202FA">
            <w:pPr>
              <w:pStyle w:val="27"/>
              <w:tabs>
                <w:tab w:val="left" w:pos="635"/>
              </w:tabs>
              <w:spacing w:before="117" w:line="221" w:lineRule="auto"/>
              <w:ind w:left="107"/>
              <w:outlineLvl w:val="9"/>
              <w:rPr>
                <w:color w:val="auto"/>
                <w:highlight w:val="none"/>
              </w:rPr>
            </w:pPr>
            <w:r>
              <w:rPr>
                <w:color w:val="auto"/>
                <w:highlight w:val="none"/>
                <w:u w:val="single" w:color="auto"/>
              </w:rPr>
              <w:tab/>
            </w:r>
            <w:r>
              <w:rPr>
                <w:color w:val="auto"/>
                <w:spacing w:val="-92"/>
                <w:highlight w:val="none"/>
              </w:rPr>
              <w:t xml:space="preserve"> </w:t>
            </w:r>
            <w:r>
              <w:rPr>
                <w:b/>
                <w:bCs/>
                <w:color w:val="auto"/>
                <w:spacing w:val="-6"/>
                <w:highlight w:val="none"/>
              </w:rPr>
              <w:t>元（调减）</w:t>
            </w:r>
          </w:p>
        </w:tc>
      </w:tr>
      <w:tr w14:paraId="052A9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5F26804F">
            <w:pPr>
              <w:pStyle w:val="27"/>
              <w:spacing w:before="152" w:line="182" w:lineRule="auto"/>
              <w:ind w:left="526"/>
              <w:outlineLvl w:val="9"/>
              <w:rPr>
                <w:color w:val="auto"/>
                <w:highlight w:val="none"/>
              </w:rPr>
            </w:pPr>
            <w:r>
              <w:rPr>
                <w:color w:val="auto"/>
                <w:highlight w:val="none"/>
              </w:rPr>
              <w:t>2</w:t>
            </w:r>
          </w:p>
        </w:tc>
        <w:tc>
          <w:tcPr>
            <w:tcW w:w="2339" w:type="dxa"/>
            <w:vAlign w:val="top"/>
          </w:tcPr>
          <w:p w14:paraId="7BA8ABE1">
            <w:pPr>
              <w:pStyle w:val="27"/>
              <w:spacing w:before="117" w:line="221" w:lineRule="auto"/>
              <w:ind w:left="133"/>
              <w:outlineLvl w:val="9"/>
              <w:rPr>
                <w:color w:val="auto"/>
                <w:highlight w:val="none"/>
              </w:rPr>
            </w:pPr>
            <w:r>
              <w:rPr>
                <w:color w:val="auto"/>
                <w:spacing w:val="-12"/>
                <w:highlight w:val="none"/>
              </w:rPr>
              <w:t>□</w:t>
            </w:r>
            <w:r>
              <w:rPr>
                <w:color w:val="auto"/>
                <w:spacing w:val="12"/>
                <w:highlight w:val="none"/>
              </w:rPr>
              <w:t xml:space="preserve"> </w:t>
            </w:r>
            <w:r>
              <w:rPr>
                <w:color w:val="auto"/>
                <w:spacing w:val="-12"/>
                <w:highlight w:val="none"/>
              </w:rPr>
              <w:t>工期</w:t>
            </w:r>
          </w:p>
        </w:tc>
        <w:tc>
          <w:tcPr>
            <w:tcW w:w="1706" w:type="dxa"/>
            <w:vAlign w:val="top"/>
          </w:tcPr>
          <w:p w14:paraId="605C3291">
            <w:pPr>
              <w:outlineLvl w:val="9"/>
              <w:rPr>
                <w:rFonts w:ascii="Arial"/>
                <w:color w:val="auto"/>
                <w:sz w:val="21"/>
                <w:highlight w:val="none"/>
              </w:rPr>
            </w:pPr>
          </w:p>
        </w:tc>
        <w:tc>
          <w:tcPr>
            <w:tcW w:w="2072" w:type="dxa"/>
            <w:vAlign w:val="top"/>
          </w:tcPr>
          <w:p w14:paraId="7795E3E7">
            <w:pPr>
              <w:pStyle w:val="27"/>
              <w:tabs>
                <w:tab w:val="left" w:pos="1156"/>
              </w:tabs>
              <w:spacing w:before="117" w:line="221" w:lineRule="auto"/>
              <w:ind w:left="526"/>
              <w:outlineLvl w:val="9"/>
              <w:rPr>
                <w:color w:val="auto"/>
                <w:highlight w:val="none"/>
              </w:rPr>
            </w:pPr>
            <w:r>
              <w:rPr>
                <w:color w:val="auto"/>
                <w:highlight w:val="none"/>
                <w:u w:val="single" w:color="auto"/>
              </w:rPr>
              <w:tab/>
            </w:r>
            <w:r>
              <w:rPr>
                <w:color w:val="auto"/>
                <w:spacing w:val="-60"/>
                <w:highlight w:val="none"/>
              </w:rPr>
              <w:t xml:space="preserve"> </w:t>
            </w:r>
            <w:r>
              <w:rPr>
                <w:b/>
                <w:bCs/>
                <w:color w:val="auto"/>
                <w:spacing w:val="-12"/>
                <w:highlight w:val="none"/>
              </w:rPr>
              <w:t>日历天</w:t>
            </w:r>
          </w:p>
        </w:tc>
        <w:tc>
          <w:tcPr>
            <w:tcW w:w="1711" w:type="dxa"/>
            <w:vAlign w:val="top"/>
          </w:tcPr>
          <w:p w14:paraId="1D6E42CB">
            <w:pPr>
              <w:pStyle w:val="27"/>
              <w:tabs>
                <w:tab w:val="left" w:pos="635"/>
              </w:tabs>
              <w:spacing w:before="117" w:line="221" w:lineRule="auto"/>
              <w:ind w:left="107"/>
              <w:outlineLvl w:val="9"/>
              <w:rPr>
                <w:color w:val="auto"/>
                <w:highlight w:val="none"/>
              </w:rPr>
            </w:pPr>
            <w:r>
              <w:rPr>
                <w:color w:val="auto"/>
                <w:highlight w:val="none"/>
                <w:u w:val="single" w:color="auto"/>
              </w:rPr>
              <w:tab/>
            </w:r>
            <w:r>
              <w:rPr>
                <w:color w:val="auto"/>
                <w:spacing w:val="-92"/>
                <w:highlight w:val="none"/>
              </w:rPr>
              <w:t xml:space="preserve"> </w:t>
            </w:r>
            <w:r>
              <w:rPr>
                <w:b/>
                <w:bCs/>
                <w:color w:val="auto"/>
                <w:spacing w:val="-6"/>
                <w:highlight w:val="none"/>
              </w:rPr>
              <w:t>元（调减）</w:t>
            </w:r>
          </w:p>
        </w:tc>
      </w:tr>
      <w:tr w14:paraId="79931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44" w:type="dxa"/>
            <w:vAlign w:val="top"/>
          </w:tcPr>
          <w:p w14:paraId="5C271D45">
            <w:pPr>
              <w:pStyle w:val="27"/>
              <w:spacing w:before="230" w:line="182" w:lineRule="auto"/>
              <w:ind w:left="528"/>
              <w:outlineLvl w:val="9"/>
              <w:rPr>
                <w:color w:val="auto"/>
                <w:highlight w:val="none"/>
              </w:rPr>
            </w:pPr>
            <w:r>
              <w:rPr>
                <w:color w:val="auto"/>
                <w:highlight w:val="none"/>
              </w:rPr>
              <w:t>3</w:t>
            </w:r>
          </w:p>
        </w:tc>
        <w:tc>
          <w:tcPr>
            <w:tcW w:w="2339" w:type="dxa"/>
            <w:vAlign w:val="top"/>
          </w:tcPr>
          <w:p w14:paraId="48335AEE">
            <w:pPr>
              <w:pStyle w:val="27"/>
              <w:spacing w:before="194" w:line="220" w:lineRule="auto"/>
              <w:ind w:left="133"/>
              <w:outlineLvl w:val="9"/>
              <w:rPr>
                <w:color w:val="auto"/>
                <w:highlight w:val="none"/>
              </w:rPr>
            </w:pPr>
            <w:r>
              <w:rPr>
                <w:color w:val="auto"/>
                <w:spacing w:val="-8"/>
                <w:highlight w:val="none"/>
              </w:rPr>
              <w:t>□</w:t>
            </w:r>
            <w:r>
              <w:rPr>
                <w:color w:val="auto"/>
                <w:spacing w:val="12"/>
                <w:highlight w:val="none"/>
              </w:rPr>
              <w:t xml:space="preserve"> </w:t>
            </w:r>
            <w:r>
              <w:rPr>
                <w:color w:val="auto"/>
                <w:spacing w:val="-8"/>
                <w:highlight w:val="none"/>
              </w:rPr>
              <w:t>企业信誉</w:t>
            </w:r>
          </w:p>
        </w:tc>
        <w:tc>
          <w:tcPr>
            <w:tcW w:w="1706" w:type="dxa"/>
            <w:vAlign w:val="top"/>
          </w:tcPr>
          <w:p w14:paraId="586B4C5A">
            <w:pPr>
              <w:outlineLvl w:val="9"/>
              <w:rPr>
                <w:rFonts w:ascii="Arial"/>
                <w:color w:val="auto"/>
                <w:sz w:val="21"/>
                <w:highlight w:val="none"/>
              </w:rPr>
            </w:pPr>
          </w:p>
        </w:tc>
        <w:tc>
          <w:tcPr>
            <w:tcW w:w="2072" w:type="dxa"/>
            <w:vAlign w:val="top"/>
          </w:tcPr>
          <w:p w14:paraId="1353FCFD">
            <w:pPr>
              <w:pStyle w:val="27"/>
              <w:tabs>
                <w:tab w:val="left" w:pos="1240"/>
              </w:tabs>
              <w:spacing w:before="194" w:line="221" w:lineRule="auto"/>
              <w:ind w:left="713"/>
              <w:outlineLvl w:val="9"/>
              <w:rPr>
                <w:color w:val="auto"/>
                <w:highlight w:val="none"/>
              </w:rPr>
            </w:pPr>
            <w:r>
              <w:rPr>
                <w:color w:val="auto"/>
                <w:highlight w:val="none"/>
                <w:u w:val="single" w:color="auto"/>
              </w:rPr>
              <w:tab/>
            </w:r>
            <w:r>
              <w:rPr>
                <w:color w:val="auto"/>
                <w:spacing w:val="-91"/>
                <w:highlight w:val="none"/>
              </w:rPr>
              <w:t xml:space="preserve"> </w:t>
            </w:r>
            <w:r>
              <w:rPr>
                <w:b/>
                <w:bCs/>
                <w:color w:val="auto"/>
                <w:spacing w:val="-3"/>
                <w:highlight w:val="none"/>
              </w:rPr>
              <w:t>次</w:t>
            </w:r>
          </w:p>
        </w:tc>
        <w:tc>
          <w:tcPr>
            <w:tcW w:w="1711" w:type="dxa"/>
            <w:vAlign w:val="top"/>
          </w:tcPr>
          <w:p w14:paraId="0461D802">
            <w:pPr>
              <w:pStyle w:val="27"/>
              <w:tabs>
                <w:tab w:val="left" w:pos="635"/>
              </w:tabs>
              <w:spacing w:before="195" w:line="221" w:lineRule="auto"/>
              <w:ind w:left="107"/>
              <w:outlineLvl w:val="9"/>
              <w:rPr>
                <w:color w:val="auto"/>
                <w:highlight w:val="none"/>
              </w:rPr>
            </w:pPr>
            <w:r>
              <w:rPr>
                <w:color w:val="auto"/>
                <w:highlight w:val="none"/>
                <w:u w:val="single" w:color="auto"/>
              </w:rPr>
              <w:tab/>
            </w:r>
            <w:r>
              <w:rPr>
                <w:color w:val="auto"/>
                <w:spacing w:val="-92"/>
                <w:highlight w:val="none"/>
              </w:rPr>
              <w:t xml:space="preserve"> </w:t>
            </w:r>
            <w:r>
              <w:rPr>
                <w:b/>
                <w:bCs/>
                <w:color w:val="auto"/>
                <w:spacing w:val="-6"/>
                <w:highlight w:val="none"/>
              </w:rPr>
              <w:t>元（调增）</w:t>
            </w:r>
          </w:p>
        </w:tc>
      </w:tr>
      <w:tr w14:paraId="111C3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14:paraId="1B079FAA">
            <w:pPr>
              <w:pStyle w:val="27"/>
              <w:spacing w:before="154" w:line="182" w:lineRule="auto"/>
              <w:ind w:left="523"/>
              <w:outlineLvl w:val="9"/>
              <w:rPr>
                <w:color w:val="auto"/>
                <w:highlight w:val="none"/>
              </w:rPr>
            </w:pPr>
            <w:r>
              <w:rPr>
                <w:color w:val="auto"/>
                <w:highlight w:val="none"/>
              </w:rPr>
              <w:t>4</w:t>
            </w:r>
          </w:p>
        </w:tc>
        <w:tc>
          <w:tcPr>
            <w:tcW w:w="2339" w:type="dxa"/>
            <w:vAlign w:val="top"/>
          </w:tcPr>
          <w:p w14:paraId="6EB09332">
            <w:pPr>
              <w:pStyle w:val="27"/>
              <w:spacing w:before="29" w:line="225" w:lineRule="auto"/>
              <w:ind w:left="129" w:right="233" w:firstLine="4"/>
              <w:outlineLvl w:val="9"/>
              <w:rPr>
                <w:color w:val="auto"/>
                <w:highlight w:val="none"/>
              </w:rPr>
            </w:pPr>
            <w:r>
              <w:rPr>
                <w:color w:val="auto"/>
                <w:spacing w:val="-3"/>
                <w:highlight w:val="none"/>
              </w:rPr>
              <w:t>□ 执行政府采购政策</w:t>
            </w:r>
            <w:r>
              <w:rPr>
                <w:color w:val="auto"/>
                <w:spacing w:val="1"/>
                <w:highlight w:val="none"/>
              </w:rPr>
              <w:t xml:space="preserve"> </w:t>
            </w:r>
            <w:r>
              <w:rPr>
                <w:color w:val="auto"/>
                <w:spacing w:val="-5"/>
                <w:highlight w:val="none"/>
              </w:rPr>
              <w:t>的价格扣除</w:t>
            </w:r>
          </w:p>
        </w:tc>
        <w:tc>
          <w:tcPr>
            <w:tcW w:w="1706" w:type="dxa"/>
            <w:vAlign w:val="top"/>
          </w:tcPr>
          <w:p w14:paraId="04B5BEB5">
            <w:pPr>
              <w:outlineLvl w:val="9"/>
              <w:rPr>
                <w:rFonts w:ascii="Arial"/>
                <w:color w:val="auto"/>
                <w:sz w:val="21"/>
                <w:highlight w:val="none"/>
              </w:rPr>
            </w:pPr>
          </w:p>
        </w:tc>
        <w:tc>
          <w:tcPr>
            <w:tcW w:w="2072" w:type="dxa"/>
            <w:vAlign w:val="top"/>
          </w:tcPr>
          <w:p w14:paraId="11050CE7">
            <w:pPr>
              <w:pStyle w:val="27"/>
              <w:tabs>
                <w:tab w:val="left" w:pos="1243"/>
              </w:tabs>
              <w:spacing w:before="118" w:line="241" w:lineRule="auto"/>
              <w:ind w:left="713"/>
              <w:outlineLvl w:val="9"/>
              <w:rPr>
                <w:color w:val="auto"/>
                <w:highlight w:val="none"/>
              </w:rPr>
            </w:pPr>
            <w:r>
              <w:rPr>
                <w:color w:val="auto"/>
                <w:highlight w:val="none"/>
                <w:u w:val="single" w:color="auto"/>
              </w:rPr>
              <w:tab/>
            </w:r>
            <w:r>
              <w:rPr>
                <w:b/>
                <w:bCs/>
                <w:color w:val="auto"/>
                <w:spacing w:val="-3"/>
                <w:highlight w:val="none"/>
              </w:rPr>
              <w:t>%</w:t>
            </w:r>
          </w:p>
        </w:tc>
        <w:tc>
          <w:tcPr>
            <w:tcW w:w="1711" w:type="dxa"/>
            <w:vAlign w:val="top"/>
          </w:tcPr>
          <w:p w14:paraId="48E2B1A7">
            <w:pPr>
              <w:pStyle w:val="27"/>
              <w:tabs>
                <w:tab w:val="left" w:pos="635"/>
              </w:tabs>
              <w:spacing w:before="119" w:line="221" w:lineRule="auto"/>
              <w:ind w:left="107"/>
              <w:outlineLvl w:val="9"/>
              <w:rPr>
                <w:color w:val="auto"/>
                <w:highlight w:val="none"/>
              </w:rPr>
            </w:pPr>
            <w:r>
              <w:rPr>
                <w:color w:val="auto"/>
                <w:highlight w:val="none"/>
                <w:u w:val="single" w:color="auto"/>
              </w:rPr>
              <w:tab/>
            </w:r>
            <w:r>
              <w:rPr>
                <w:color w:val="auto"/>
                <w:spacing w:val="-92"/>
                <w:highlight w:val="none"/>
              </w:rPr>
              <w:t xml:space="preserve"> </w:t>
            </w:r>
            <w:r>
              <w:rPr>
                <w:b/>
                <w:bCs/>
                <w:color w:val="auto"/>
                <w:spacing w:val="-6"/>
                <w:highlight w:val="none"/>
              </w:rPr>
              <w:t>元（调减）</w:t>
            </w:r>
          </w:p>
        </w:tc>
      </w:tr>
      <w:tr w14:paraId="0C840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44" w:type="dxa"/>
            <w:vAlign w:val="top"/>
          </w:tcPr>
          <w:p w14:paraId="4F3A027C">
            <w:pPr>
              <w:pStyle w:val="27"/>
              <w:spacing w:before="119" w:line="333" w:lineRule="exact"/>
              <w:ind w:left="381"/>
              <w:outlineLvl w:val="9"/>
              <w:rPr>
                <w:color w:val="auto"/>
                <w:highlight w:val="none"/>
              </w:rPr>
            </w:pPr>
            <w:r>
              <w:rPr>
                <w:color w:val="auto"/>
                <w:spacing w:val="-5"/>
                <w:position w:val="2"/>
                <w:highlight w:val="none"/>
              </w:rPr>
              <w:t>……</w:t>
            </w:r>
          </w:p>
        </w:tc>
        <w:tc>
          <w:tcPr>
            <w:tcW w:w="2339" w:type="dxa"/>
            <w:vAlign w:val="top"/>
          </w:tcPr>
          <w:p w14:paraId="4CF4CB84">
            <w:pPr>
              <w:pStyle w:val="27"/>
              <w:spacing w:before="119" w:line="333" w:lineRule="exact"/>
              <w:ind w:left="977"/>
              <w:outlineLvl w:val="9"/>
              <w:rPr>
                <w:color w:val="auto"/>
                <w:highlight w:val="none"/>
              </w:rPr>
            </w:pPr>
            <w:r>
              <w:rPr>
                <w:color w:val="auto"/>
                <w:spacing w:val="-5"/>
                <w:position w:val="2"/>
                <w:highlight w:val="none"/>
              </w:rPr>
              <w:t>……</w:t>
            </w:r>
          </w:p>
        </w:tc>
        <w:tc>
          <w:tcPr>
            <w:tcW w:w="1706" w:type="dxa"/>
            <w:vAlign w:val="top"/>
          </w:tcPr>
          <w:p w14:paraId="46A65E7D">
            <w:pPr>
              <w:outlineLvl w:val="9"/>
              <w:rPr>
                <w:rFonts w:ascii="Arial"/>
                <w:color w:val="auto"/>
                <w:sz w:val="21"/>
                <w:highlight w:val="none"/>
              </w:rPr>
            </w:pPr>
          </w:p>
        </w:tc>
        <w:tc>
          <w:tcPr>
            <w:tcW w:w="2072" w:type="dxa"/>
            <w:vAlign w:val="top"/>
          </w:tcPr>
          <w:p w14:paraId="28BE9819">
            <w:pPr>
              <w:pStyle w:val="27"/>
              <w:spacing w:before="119" w:line="333" w:lineRule="exact"/>
              <w:ind w:left="842"/>
              <w:outlineLvl w:val="9"/>
              <w:rPr>
                <w:color w:val="auto"/>
                <w:highlight w:val="none"/>
              </w:rPr>
            </w:pPr>
            <w:r>
              <w:rPr>
                <w:color w:val="auto"/>
                <w:spacing w:val="-5"/>
                <w:position w:val="2"/>
                <w:highlight w:val="none"/>
              </w:rPr>
              <w:t>……</w:t>
            </w:r>
          </w:p>
        </w:tc>
        <w:tc>
          <w:tcPr>
            <w:tcW w:w="1711" w:type="dxa"/>
            <w:vAlign w:val="top"/>
          </w:tcPr>
          <w:p w14:paraId="391B76FF">
            <w:pPr>
              <w:pStyle w:val="27"/>
              <w:spacing w:before="119" w:line="333" w:lineRule="exact"/>
              <w:ind w:left="549"/>
              <w:outlineLvl w:val="9"/>
              <w:rPr>
                <w:color w:val="auto"/>
                <w:highlight w:val="none"/>
              </w:rPr>
            </w:pPr>
            <w:r>
              <w:rPr>
                <w:color w:val="auto"/>
                <w:spacing w:val="-5"/>
                <w:position w:val="2"/>
                <w:highlight w:val="none"/>
              </w:rPr>
              <w:t>……</w:t>
            </w:r>
          </w:p>
        </w:tc>
      </w:tr>
      <w:tr w14:paraId="11A86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61" w:type="dxa"/>
            <w:gridSpan w:val="4"/>
            <w:vAlign w:val="top"/>
          </w:tcPr>
          <w:p w14:paraId="4191DF49">
            <w:pPr>
              <w:pStyle w:val="27"/>
              <w:spacing w:before="119" w:line="219" w:lineRule="auto"/>
              <w:ind w:left="2795"/>
              <w:outlineLvl w:val="9"/>
              <w:rPr>
                <w:color w:val="auto"/>
                <w:highlight w:val="none"/>
              </w:rPr>
            </w:pPr>
            <w:r>
              <w:rPr>
                <w:b/>
                <w:bCs/>
                <w:color w:val="auto"/>
                <w:spacing w:val="-3"/>
                <w:highlight w:val="none"/>
              </w:rPr>
              <w:t>价格累计折算结果</w:t>
            </w:r>
          </w:p>
        </w:tc>
        <w:tc>
          <w:tcPr>
            <w:tcW w:w="1711" w:type="dxa"/>
            <w:vAlign w:val="top"/>
          </w:tcPr>
          <w:p w14:paraId="1736E434">
            <w:pPr>
              <w:outlineLvl w:val="9"/>
              <w:rPr>
                <w:rFonts w:ascii="Arial"/>
                <w:color w:val="auto"/>
                <w:sz w:val="21"/>
                <w:highlight w:val="none"/>
              </w:rPr>
            </w:pPr>
          </w:p>
        </w:tc>
      </w:tr>
      <w:tr w14:paraId="3799B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261" w:type="dxa"/>
            <w:gridSpan w:val="4"/>
            <w:vAlign w:val="top"/>
          </w:tcPr>
          <w:p w14:paraId="7F129817">
            <w:pPr>
              <w:pStyle w:val="27"/>
              <w:spacing w:before="120" w:line="219" w:lineRule="auto"/>
              <w:ind w:left="3008"/>
              <w:outlineLvl w:val="9"/>
              <w:rPr>
                <w:color w:val="auto"/>
                <w:highlight w:val="none"/>
              </w:rPr>
            </w:pPr>
            <w:r>
              <w:rPr>
                <w:b/>
                <w:bCs/>
                <w:color w:val="auto"/>
                <w:spacing w:val="-3"/>
                <w:highlight w:val="none"/>
              </w:rPr>
              <w:t>投标人评标价</w:t>
            </w:r>
          </w:p>
        </w:tc>
        <w:tc>
          <w:tcPr>
            <w:tcW w:w="1711" w:type="dxa"/>
            <w:vAlign w:val="top"/>
          </w:tcPr>
          <w:p w14:paraId="3E91ACCB">
            <w:pPr>
              <w:outlineLvl w:val="9"/>
              <w:rPr>
                <w:rFonts w:ascii="Arial"/>
                <w:color w:val="auto"/>
                <w:sz w:val="21"/>
                <w:highlight w:val="none"/>
              </w:rPr>
            </w:pPr>
          </w:p>
        </w:tc>
      </w:tr>
    </w:tbl>
    <w:p w14:paraId="38CA16BC">
      <w:pPr>
        <w:spacing w:line="325" w:lineRule="auto"/>
        <w:outlineLvl w:val="9"/>
        <w:rPr>
          <w:rFonts w:ascii="Arial"/>
          <w:color w:val="auto"/>
          <w:sz w:val="21"/>
          <w:highlight w:val="none"/>
        </w:rPr>
      </w:pPr>
    </w:p>
    <w:p w14:paraId="6BA1D2D1">
      <w:pPr>
        <w:spacing w:before="68" w:line="229" w:lineRule="auto"/>
        <w:ind w:left="6272" w:right="30" w:hanging="1188"/>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投 标</w:t>
      </w:r>
      <w:r>
        <w:rPr>
          <w:rFonts w:ascii="宋体" w:hAnsi="宋体" w:eastAsia="宋体" w:cs="宋体"/>
          <w:color w:val="auto"/>
          <w:spacing w:val="9"/>
          <w:sz w:val="21"/>
          <w:szCs w:val="21"/>
          <w:highlight w:val="none"/>
        </w:rPr>
        <w:t xml:space="preserve"> </w:t>
      </w:r>
      <w:r>
        <w:rPr>
          <w:rFonts w:ascii="宋体" w:hAnsi="宋体" w:eastAsia="宋体" w:cs="宋体"/>
          <w:color w:val="auto"/>
          <w:sz w:val="21"/>
          <w:szCs w:val="21"/>
          <w:highlight w:val="none"/>
        </w:rPr>
        <w:t>人</w:t>
      </w:r>
      <w:r>
        <w:rPr>
          <w:rFonts w:ascii="宋体" w:hAnsi="宋体" w:eastAsia="宋体" w:cs="宋体"/>
          <w:color w:val="auto"/>
          <w:spacing w:val="-17"/>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7"/>
          <w:sz w:val="21"/>
          <w:szCs w:val="21"/>
          <w:highlight w:val="none"/>
        </w:rPr>
        <w:t>（</w:t>
      </w:r>
      <w:r>
        <w:rPr>
          <w:rFonts w:ascii="宋体" w:hAnsi="宋体" w:eastAsia="宋体" w:cs="宋体"/>
          <w:color w:val="auto"/>
          <w:sz w:val="21"/>
          <w:szCs w:val="21"/>
          <w:highlight w:val="none"/>
        </w:rPr>
        <w:t xml:space="preserve">盖单位章） </w:t>
      </w:r>
    </w:p>
    <w:p w14:paraId="01C2D3B6">
      <w:pPr>
        <w:spacing w:before="68" w:line="229" w:lineRule="auto"/>
        <w:ind w:left="6272" w:right="30" w:hanging="1188"/>
        <w:outlineLvl w:val="9"/>
        <w:rPr>
          <w:rFonts w:ascii="宋体" w:hAnsi="宋体" w:eastAsia="宋体" w:cs="宋体"/>
          <w:color w:val="auto"/>
          <w:sz w:val="21"/>
          <w:szCs w:val="21"/>
          <w:highlight w:val="none"/>
        </w:rPr>
      </w:pPr>
      <w:bookmarkStart w:id="405" w:name="_Toc29666"/>
      <w:r>
        <w:rPr>
          <w:rFonts w:ascii="宋体" w:hAnsi="宋体" w:eastAsia="宋体" w:cs="宋体"/>
          <w:color w:val="auto"/>
          <w:spacing w:val="-20"/>
          <w:sz w:val="21"/>
          <w:szCs w:val="21"/>
          <w:highlight w:val="none"/>
        </w:rPr>
        <w:t>日</w:t>
      </w:r>
      <w:r>
        <w:rPr>
          <w:rFonts w:ascii="宋体" w:hAnsi="宋体" w:eastAsia="宋体" w:cs="宋体"/>
          <w:color w:val="auto"/>
          <w:spacing w:val="12"/>
          <w:sz w:val="21"/>
          <w:szCs w:val="21"/>
          <w:highlight w:val="none"/>
        </w:rPr>
        <w:t xml:space="preserve"> </w:t>
      </w:r>
      <w:r>
        <w:rPr>
          <w:rFonts w:ascii="宋体" w:hAnsi="宋体" w:eastAsia="宋体" w:cs="宋体"/>
          <w:color w:val="auto"/>
          <w:spacing w:val="-20"/>
          <w:sz w:val="21"/>
          <w:szCs w:val="21"/>
          <w:highlight w:val="none"/>
        </w:rPr>
        <w:t>期</w:t>
      </w:r>
      <w:r>
        <w:rPr>
          <w:rFonts w:hint="eastAsia" w:ascii="宋体" w:hAnsi="宋体" w:eastAsia="宋体" w:cs="宋体"/>
          <w:color w:val="auto"/>
          <w:spacing w:val="-20"/>
          <w:sz w:val="21"/>
          <w:szCs w:val="21"/>
          <w:highlight w:val="none"/>
          <w:lang w:val="en-US" w:eastAsia="zh-CN"/>
        </w:rPr>
        <w:t xml:space="preserve"> </w:t>
      </w:r>
      <w:r>
        <w:rPr>
          <w:rFonts w:ascii="宋体" w:hAnsi="宋体" w:eastAsia="宋体" w:cs="宋体"/>
          <w:color w:val="auto"/>
          <w:spacing w:val="-20"/>
          <w:sz w:val="21"/>
          <w:szCs w:val="21"/>
          <w:highlight w:val="none"/>
        </w:rPr>
        <w:t>：</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0"/>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20"/>
          <w:sz w:val="21"/>
          <w:szCs w:val="21"/>
          <w:highlight w:val="none"/>
        </w:rPr>
        <w:t>月</w:t>
      </w:r>
      <w:r>
        <w:rPr>
          <w:rFonts w:ascii="宋体" w:hAnsi="宋体" w:eastAsia="宋体" w:cs="宋体"/>
          <w:color w:val="auto"/>
          <w:spacing w:val="34"/>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0"/>
          <w:sz w:val="21"/>
          <w:szCs w:val="21"/>
          <w:highlight w:val="none"/>
        </w:rPr>
        <w:t>日</w:t>
      </w:r>
      <w:bookmarkEnd w:id="405"/>
    </w:p>
    <w:p w14:paraId="134F9AC3">
      <w:pPr>
        <w:spacing w:line="258" w:lineRule="auto"/>
        <w:outlineLvl w:val="9"/>
        <w:rPr>
          <w:rFonts w:ascii="Arial"/>
          <w:color w:val="auto"/>
          <w:sz w:val="21"/>
          <w:highlight w:val="none"/>
        </w:rPr>
      </w:pPr>
    </w:p>
    <w:p w14:paraId="73E6C19B">
      <w:pPr>
        <w:spacing w:line="259" w:lineRule="auto"/>
        <w:outlineLvl w:val="9"/>
        <w:rPr>
          <w:rFonts w:ascii="Arial"/>
          <w:color w:val="auto"/>
          <w:sz w:val="21"/>
          <w:highlight w:val="none"/>
        </w:rPr>
      </w:pPr>
    </w:p>
    <w:p w14:paraId="7B611C9F">
      <w:pPr>
        <w:spacing w:line="259" w:lineRule="auto"/>
        <w:outlineLvl w:val="9"/>
        <w:rPr>
          <w:rFonts w:ascii="Arial"/>
          <w:color w:val="auto"/>
          <w:sz w:val="21"/>
          <w:highlight w:val="none"/>
        </w:rPr>
      </w:pPr>
    </w:p>
    <w:p w14:paraId="26E24026">
      <w:pPr>
        <w:spacing w:line="259" w:lineRule="auto"/>
        <w:outlineLvl w:val="9"/>
        <w:rPr>
          <w:rFonts w:ascii="Arial"/>
          <w:color w:val="auto"/>
          <w:sz w:val="21"/>
          <w:highlight w:val="none"/>
        </w:rPr>
      </w:pPr>
    </w:p>
    <w:p w14:paraId="400BCD46">
      <w:pPr>
        <w:keepNext w:val="0"/>
        <w:keepLines w:val="0"/>
        <w:pageBreakBefore w:val="0"/>
        <w:widowControl/>
        <w:kinsoku w:val="0"/>
        <w:wordWrap/>
        <w:overflowPunct/>
        <w:topLinePunct w:val="0"/>
        <w:autoSpaceDE w:val="0"/>
        <w:autoSpaceDN w:val="0"/>
        <w:bidi w:val="0"/>
        <w:adjustRightInd w:val="0"/>
        <w:snapToGrid w:val="0"/>
        <w:spacing w:before="68" w:line="360" w:lineRule="auto"/>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注：1.本表仅适用于评标办法选用经评审的最低投标价法的招标项目。</w:t>
      </w:r>
    </w:p>
    <w:p w14:paraId="3FBB8269">
      <w:pPr>
        <w:keepNext w:val="0"/>
        <w:keepLines w:val="0"/>
        <w:pageBreakBefore w:val="0"/>
        <w:widowControl/>
        <w:kinsoku w:val="0"/>
        <w:wordWrap/>
        <w:overflowPunct/>
        <w:topLinePunct w:val="0"/>
        <w:autoSpaceDE w:val="0"/>
        <w:autoSpaceDN w:val="0"/>
        <w:bidi w:val="0"/>
        <w:adjustRightInd w:val="0"/>
        <w:snapToGrid w:val="0"/>
        <w:spacing w:before="25" w:line="360" w:lineRule="auto"/>
        <w:ind w:right="66" w:firstLine="425"/>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2.本表由投标人根据招标文件规定的价格折算量化因素及标准自行填报并计算</w:t>
      </w:r>
      <w:r>
        <w:rPr>
          <w:rFonts w:ascii="宋体" w:hAnsi="宋体" w:eastAsia="宋体" w:cs="宋体"/>
          <w:color w:val="auto"/>
          <w:spacing w:val="-1"/>
          <w:sz w:val="21"/>
          <w:szCs w:val="21"/>
          <w:highlight w:val="none"/>
        </w:rPr>
        <w:t>出评标价，评标</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委员会将对其计算结果的准确性进行复核。</w:t>
      </w:r>
    </w:p>
    <w:p w14:paraId="23DAF0AD">
      <w:pPr>
        <w:keepNext w:val="0"/>
        <w:keepLines w:val="0"/>
        <w:pageBreakBefore w:val="0"/>
        <w:widowControl/>
        <w:kinsoku w:val="0"/>
        <w:wordWrap/>
        <w:overflowPunct/>
        <w:topLinePunct w:val="0"/>
        <w:autoSpaceDE w:val="0"/>
        <w:autoSpaceDN w:val="0"/>
        <w:bidi w:val="0"/>
        <w:adjustRightInd w:val="0"/>
        <w:snapToGrid w:val="0"/>
        <w:spacing w:before="23" w:line="360" w:lineRule="auto"/>
        <w:ind w:left="1" w:right="66" w:firstLine="423"/>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3.本表格式仅供参考，招标人可以结合电子交易系统投标文件制作工具自行设</w:t>
      </w:r>
      <w:r>
        <w:rPr>
          <w:rFonts w:ascii="宋体" w:hAnsi="宋体" w:eastAsia="宋体" w:cs="宋体"/>
          <w:color w:val="auto"/>
          <w:spacing w:val="-1"/>
          <w:sz w:val="21"/>
          <w:szCs w:val="21"/>
          <w:highlight w:val="none"/>
        </w:rPr>
        <w:t>计表格格式，以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便提高价格折算的工作效率和准确性。</w:t>
      </w:r>
    </w:p>
    <w:p w14:paraId="57D097A5">
      <w:pPr>
        <w:keepNext w:val="0"/>
        <w:keepLines w:val="0"/>
        <w:pageBreakBefore w:val="0"/>
        <w:widowControl/>
        <w:kinsoku w:val="0"/>
        <w:wordWrap/>
        <w:overflowPunct/>
        <w:topLinePunct w:val="0"/>
        <w:autoSpaceDE w:val="0"/>
        <w:autoSpaceDN w:val="0"/>
        <w:bidi w:val="0"/>
        <w:adjustRightInd w:val="0"/>
        <w:snapToGrid w:val="0"/>
        <w:spacing w:before="25" w:line="360" w:lineRule="auto"/>
        <w:ind w:left="1" w:firstLine="418"/>
        <w:textAlignment w:val="baseline"/>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4.投标人应基于诚信原则如实响应，如明知不符合调减标准</w:t>
      </w:r>
      <w:r>
        <w:rPr>
          <w:rFonts w:ascii="宋体" w:hAnsi="宋体" w:eastAsia="宋体" w:cs="宋体"/>
          <w:color w:val="auto"/>
          <w:spacing w:val="-4"/>
          <w:sz w:val="21"/>
          <w:szCs w:val="21"/>
          <w:highlight w:val="none"/>
        </w:rPr>
        <w:t>而调减或者明知应当调增而不调增，</w:t>
      </w:r>
      <w:r>
        <w:rPr>
          <w:rFonts w:ascii="宋体" w:hAnsi="宋体" w:eastAsia="宋体" w:cs="宋体"/>
          <w:color w:val="auto"/>
          <w:spacing w:val="-1"/>
          <w:sz w:val="21"/>
          <w:szCs w:val="21"/>
          <w:highlight w:val="none"/>
        </w:rPr>
        <w:t>均视为弄虚作假，将按照附件《投标人诚信承诺书》规定的原则进行处理。</w:t>
      </w:r>
    </w:p>
    <w:p w14:paraId="0706DC9C">
      <w:pPr>
        <w:spacing w:before="59" w:line="219" w:lineRule="auto"/>
        <w:ind w:left="27"/>
        <w:outlineLvl w:val="9"/>
        <w:rPr>
          <w:rFonts w:ascii="宋体" w:hAnsi="宋体" w:eastAsia="宋体" w:cs="宋体"/>
          <w:b/>
          <w:bCs/>
          <w:color w:val="auto"/>
          <w:spacing w:val="-26"/>
          <w:sz w:val="30"/>
          <w:szCs w:val="30"/>
          <w:highlight w:val="none"/>
        </w:rPr>
      </w:pPr>
    </w:p>
    <w:p w14:paraId="09DCE887">
      <w:pPr>
        <w:spacing w:before="59" w:line="219" w:lineRule="auto"/>
        <w:ind w:left="27"/>
        <w:outlineLvl w:val="9"/>
        <w:rPr>
          <w:rFonts w:ascii="宋体" w:hAnsi="宋体" w:eastAsia="宋体" w:cs="宋体"/>
          <w:b/>
          <w:bCs/>
          <w:color w:val="auto"/>
          <w:spacing w:val="-26"/>
          <w:sz w:val="30"/>
          <w:szCs w:val="30"/>
          <w:highlight w:val="none"/>
        </w:rPr>
      </w:pPr>
    </w:p>
    <w:p w14:paraId="5DDD65DD">
      <w:pPr>
        <w:spacing w:before="59" w:line="219" w:lineRule="auto"/>
        <w:ind w:left="27"/>
        <w:outlineLvl w:val="9"/>
        <w:rPr>
          <w:rFonts w:ascii="宋体" w:hAnsi="宋体" w:eastAsia="宋体" w:cs="宋体"/>
          <w:b/>
          <w:bCs/>
          <w:color w:val="auto"/>
          <w:spacing w:val="-26"/>
          <w:sz w:val="30"/>
          <w:szCs w:val="30"/>
          <w:highlight w:val="none"/>
        </w:rPr>
      </w:pPr>
    </w:p>
    <w:p w14:paraId="1772FEDE">
      <w:pPr>
        <w:spacing w:before="59" w:line="219" w:lineRule="auto"/>
        <w:ind w:left="27"/>
        <w:outlineLvl w:val="9"/>
        <w:rPr>
          <w:rFonts w:ascii="宋体" w:hAnsi="宋体" w:eastAsia="宋体" w:cs="宋体"/>
          <w:b/>
          <w:bCs/>
          <w:color w:val="auto"/>
          <w:spacing w:val="-26"/>
          <w:sz w:val="30"/>
          <w:szCs w:val="30"/>
          <w:highlight w:val="none"/>
        </w:rPr>
      </w:pPr>
    </w:p>
    <w:p w14:paraId="3771A13E">
      <w:pPr>
        <w:spacing w:before="59" w:line="219" w:lineRule="auto"/>
        <w:ind w:left="27"/>
        <w:outlineLvl w:val="9"/>
        <w:rPr>
          <w:rFonts w:ascii="宋体" w:hAnsi="宋体" w:eastAsia="宋体" w:cs="宋体"/>
          <w:b/>
          <w:bCs/>
          <w:color w:val="auto"/>
          <w:spacing w:val="-26"/>
          <w:sz w:val="30"/>
          <w:szCs w:val="30"/>
          <w:highlight w:val="none"/>
        </w:rPr>
      </w:pPr>
    </w:p>
    <w:p w14:paraId="6608FEB8">
      <w:pPr>
        <w:spacing w:before="59" w:line="219" w:lineRule="auto"/>
        <w:ind w:left="27"/>
        <w:outlineLvl w:val="9"/>
        <w:rPr>
          <w:rFonts w:ascii="宋体" w:hAnsi="宋体" w:eastAsia="宋体" w:cs="宋体"/>
          <w:b/>
          <w:bCs/>
          <w:color w:val="auto"/>
          <w:spacing w:val="-26"/>
          <w:sz w:val="30"/>
          <w:szCs w:val="30"/>
          <w:highlight w:val="none"/>
        </w:rPr>
      </w:pPr>
    </w:p>
    <w:p w14:paraId="3099CB1F">
      <w:pPr>
        <w:spacing w:before="59" w:line="219" w:lineRule="auto"/>
        <w:ind w:left="27"/>
        <w:outlineLvl w:val="9"/>
        <w:rPr>
          <w:rFonts w:ascii="宋体" w:hAnsi="宋体" w:eastAsia="宋体" w:cs="宋体"/>
          <w:b/>
          <w:bCs/>
          <w:color w:val="auto"/>
          <w:spacing w:val="-26"/>
          <w:sz w:val="30"/>
          <w:szCs w:val="30"/>
          <w:highlight w:val="none"/>
        </w:rPr>
      </w:pPr>
    </w:p>
    <w:p w14:paraId="671AD6CF">
      <w:pPr>
        <w:spacing w:before="59" w:line="219" w:lineRule="auto"/>
        <w:outlineLvl w:val="9"/>
        <w:rPr>
          <w:rFonts w:ascii="宋体" w:hAnsi="宋体" w:eastAsia="宋体" w:cs="宋体"/>
          <w:color w:val="auto"/>
          <w:sz w:val="30"/>
          <w:szCs w:val="30"/>
          <w:highlight w:val="none"/>
        </w:rPr>
      </w:pPr>
      <w:r>
        <w:rPr>
          <w:rFonts w:ascii="宋体" w:hAnsi="宋体" w:eastAsia="宋体" w:cs="宋体"/>
          <w:b/>
          <w:bCs/>
          <w:color w:val="auto"/>
          <w:spacing w:val="-26"/>
          <w:sz w:val="30"/>
          <w:szCs w:val="30"/>
          <w:highlight w:val="none"/>
        </w:rPr>
        <w:t>附件：</w:t>
      </w:r>
    </w:p>
    <w:p w14:paraId="5F9F20FA">
      <w:pPr>
        <w:spacing w:before="215" w:line="220" w:lineRule="auto"/>
        <w:ind w:left="3695"/>
        <w:outlineLvl w:val="9"/>
        <w:rPr>
          <w:rFonts w:ascii="Arial"/>
          <w:color w:val="auto"/>
          <w:sz w:val="21"/>
          <w:highlight w:val="none"/>
        </w:rPr>
      </w:pPr>
      <w:r>
        <w:rPr>
          <w:rFonts w:ascii="宋体" w:hAnsi="宋体" w:eastAsia="宋体" w:cs="宋体"/>
          <w:b/>
          <w:bCs/>
          <w:color w:val="auto"/>
          <w:spacing w:val="-3"/>
          <w:sz w:val="21"/>
          <w:szCs w:val="21"/>
          <w:highlight w:val="none"/>
        </w:rPr>
        <w:t>投标人诚信承诺书</w:t>
      </w:r>
    </w:p>
    <w:p w14:paraId="1BEE49C5">
      <w:pPr>
        <w:spacing w:line="248" w:lineRule="auto"/>
        <w:outlineLvl w:val="9"/>
        <w:rPr>
          <w:rFonts w:ascii="Arial"/>
          <w:color w:val="auto"/>
          <w:sz w:val="21"/>
          <w:highlight w:val="none"/>
        </w:rPr>
      </w:pPr>
    </w:p>
    <w:p w14:paraId="7A7214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color w:val="auto"/>
          <w:highlight w:val="none"/>
        </w:rPr>
      </w:pPr>
      <w:r>
        <w:rPr>
          <w:color w:val="auto"/>
          <w:highlight w:val="none"/>
        </w:rPr>
        <w:t>致：</w:t>
      </w:r>
      <w:r>
        <w:rPr>
          <w:color w:val="auto"/>
          <w:highlight w:val="none"/>
          <w:u w:val="single"/>
        </w:rPr>
        <w:t xml:space="preserve">    （招标人名称）    </w:t>
      </w:r>
      <w:r>
        <w:rPr>
          <w:color w:val="auto"/>
          <w:highlight w:val="none"/>
        </w:rPr>
        <w:t xml:space="preserve">  </w:t>
      </w:r>
    </w:p>
    <w:p w14:paraId="2119F1B4">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outlineLvl w:val="9"/>
        <w:rPr>
          <w:rFonts w:hint="default" w:eastAsia="宋体"/>
          <w:color w:val="auto"/>
          <w:highlight w:val="none"/>
          <w:u w:val="single"/>
          <w:lang w:val="en-US" w:eastAsia="zh-CN"/>
        </w:rPr>
      </w:pPr>
      <w:r>
        <w:rPr>
          <w:rFonts w:hint="eastAsia" w:eastAsia="宋体"/>
          <w:color w:val="auto"/>
          <w:highlight w:val="none"/>
          <w:u w:val="single"/>
          <w:lang w:val="en-US" w:eastAsia="zh-CN"/>
        </w:rPr>
        <w:t xml:space="preserve">      </w:t>
      </w:r>
      <w:r>
        <w:rPr>
          <w:color w:val="auto"/>
          <w:highlight w:val="none"/>
          <w:u w:val="single"/>
        </w:rPr>
        <w:t>招标投标行政监督部门</w:t>
      </w:r>
      <w:r>
        <w:rPr>
          <w:rFonts w:hint="eastAsia" w:eastAsia="宋体"/>
          <w:color w:val="auto"/>
          <w:highlight w:val="none"/>
          <w:u w:val="single"/>
          <w:lang w:val="en-US" w:eastAsia="zh-CN"/>
        </w:rPr>
        <w:t xml:space="preserve">     </w:t>
      </w:r>
    </w:p>
    <w:p w14:paraId="4F932D81">
      <w:pPr>
        <w:keepNext w:val="0"/>
        <w:keepLines w:val="0"/>
        <w:pageBreakBefore w:val="0"/>
        <w:widowControl/>
        <w:kinsoku w:val="0"/>
        <w:wordWrap/>
        <w:overflowPunct/>
        <w:topLinePunct w:val="0"/>
        <w:autoSpaceDE w:val="0"/>
        <w:autoSpaceDN w:val="0"/>
        <w:bidi w:val="0"/>
        <w:adjustRightInd w:val="0"/>
        <w:snapToGrid w:val="0"/>
        <w:spacing w:before="28" w:line="360" w:lineRule="auto"/>
        <w:ind w:left="422"/>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我单位参加本次投标，郑重承诺如下：</w:t>
      </w:r>
    </w:p>
    <w:p w14:paraId="1173D275">
      <w:pPr>
        <w:keepNext w:val="0"/>
        <w:keepLines w:val="0"/>
        <w:pageBreakBefore w:val="0"/>
        <w:widowControl/>
        <w:kinsoku w:val="0"/>
        <w:wordWrap/>
        <w:overflowPunct/>
        <w:topLinePunct w:val="0"/>
        <w:autoSpaceDE w:val="0"/>
        <w:autoSpaceDN w:val="0"/>
        <w:bidi w:val="0"/>
        <w:adjustRightInd w:val="0"/>
        <w:snapToGrid w:val="0"/>
        <w:spacing w:before="157" w:line="360" w:lineRule="auto"/>
        <w:ind w:left="9" w:right="74" w:firstLine="426"/>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 投标提供的所有资料真实有效。如被发现提供虚假资料，同意取消投标、中标或中标候选人</w:t>
      </w:r>
      <w:r>
        <w:rPr>
          <w:rFonts w:ascii="宋体" w:hAnsi="宋体" w:eastAsia="宋体" w:cs="宋体"/>
          <w:color w:val="auto"/>
          <w:spacing w:val="-10"/>
          <w:sz w:val="21"/>
          <w:szCs w:val="21"/>
          <w:highlight w:val="none"/>
        </w:rPr>
        <w:t>资格。</w:t>
      </w:r>
    </w:p>
    <w:p w14:paraId="0E427B09">
      <w:pPr>
        <w:keepNext w:val="0"/>
        <w:keepLines w:val="0"/>
        <w:pageBreakBefore w:val="0"/>
        <w:widowControl/>
        <w:kinsoku w:val="0"/>
        <w:wordWrap/>
        <w:overflowPunct/>
        <w:topLinePunct w:val="0"/>
        <w:autoSpaceDE w:val="0"/>
        <w:autoSpaceDN w:val="0"/>
        <w:bidi w:val="0"/>
        <w:adjustRightInd w:val="0"/>
        <w:snapToGrid w:val="0"/>
        <w:spacing w:before="159" w:line="360" w:lineRule="auto"/>
        <w:ind w:firstLine="420"/>
        <w:jc w:val="right"/>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2. 不挂靠和借用资质投标，不串通投标。如被发现，同意取消投标、中标或中标候选</w:t>
      </w:r>
    </w:p>
    <w:p w14:paraId="50B99BB9">
      <w:pPr>
        <w:keepNext w:val="0"/>
        <w:keepLines w:val="0"/>
        <w:pageBreakBefore w:val="0"/>
        <w:widowControl/>
        <w:kinsoku w:val="0"/>
        <w:wordWrap/>
        <w:overflowPunct/>
        <w:topLinePunct w:val="0"/>
        <w:autoSpaceDE w:val="0"/>
        <w:autoSpaceDN w:val="0"/>
        <w:bidi w:val="0"/>
        <w:adjustRightInd w:val="0"/>
        <w:snapToGrid w:val="0"/>
        <w:spacing w:before="159" w:line="360" w:lineRule="auto"/>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人资格。</w:t>
      </w:r>
    </w:p>
    <w:p w14:paraId="421148A0">
      <w:pPr>
        <w:keepNext w:val="0"/>
        <w:keepLines w:val="0"/>
        <w:pageBreakBefore w:val="0"/>
        <w:widowControl/>
        <w:kinsoku w:val="0"/>
        <w:wordWrap/>
        <w:overflowPunct/>
        <w:topLinePunct w:val="0"/>
        <w:autoSpaceDE w:val="0"/>
        <w:autoSpaceDN w:val="0"/>
        <w:bidi w:val="0"/>
        <w:adjustRightInd w:val="0"/>
        <w:snapToGrid w:val="0"/>
        <w:spacing w:before="157" w:line="360" w:lineRule="auto"/>
        <w:ind w:right="74" w:firstLine="42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3．除不可抗力（是指不能预见、不能避免并不能克服的客观情况，包括自然灾害和社会突发事</w:t>
      </w:r>
      <w:r>
        <w:rPr>
          <w:rFonts w:ascii="宋体" w:hAnsi="宋体" w:eastAsia="宋体" w:cs="宋体"/>
          <w:color w:val="auto"/>
          <w:spacing w:val="1"/>
          <w:sz w:val="21"/>
          <w:szCs w:val="21"/>
          <w:highlight w:val="none"/>
        </w:rPr>
        <w:t>件，如地震、海啸、瘟疫、水灾、骚乱、暴动、战争等）外，我方不因任何其他原</w:t>
      </w:r>
      <w:r>
        <w:rPr>
          <w:rFonts w:ascii="宋体" w:hAnsi="宋体" w:eastAsia="宋体" w:cs="宋体"/>
          <w:color w:val="auto"/>
          <w:sz w:val="21"/>
          <w:szCs w:val="21"/>
          <w:highlight w:val="none"/>
        </w:rPr>
        <w:t>因放弃中标候选</w:t>
      </w:r>
      <w:r>
        <w:rPr>
          <w:rFonts w:ascii="宋体" w:hAnsi="宋体" w:eastAsia="宋体" w:cs="宋体"/>
          <w:color w:val="auto"/>
          <w:spacing w:val="-3"/>
          <w:sz w:val="21"/>
          <w:szCs w:val="21"/>
          <w:highlight w:val="none"/>
        </w:rPr>
        <w:t>人或中标资格。</w:t>
      </w:r>
    </w:p>
    <w:p w14:paraId="0C4D1CE2">
      <w:pPr>
        <w:keepNext w:val="0"/>
        <w:keepLines w:val="0"/>
        <w:pageBreakBefore w:val="0"/>
        <w:widowControl/>
        <w:kinsoku w:val="0"/>
        <w:wordWrap/>
        <w:overflowPunct/>
        <w:topLinePunct w:val="0"/>
        <w:autoSpaceDE w:val="0"/>
        <w:autoSpaceDN w:val="0"/>
        <w:bidi w:val="0"/>
        <w:adjustRightInd w:val="0"/>
        <w:snapToGrid w:val="0"/>
        <w:spacing w:before="158" w:line="360" w:lineRule="auto"/>
        <w:ind w:left="1" w:firstLine="418"/>
        <w:textAlignment w:val="baseline"/>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4．我方同意将达不到投标人资格要求条件仍参与投标或被行政主管部门、监督管理部门等暂停、</w:t>
      </w:r>
      <w:r>
        <w:rPr>
          <w:rFonts w:ascii="宋体" w:hAnsi="宋体" w:eastAsia="宋体" w:cs="宋体"/>
          <w:color w:val="auto"/>
          <w:spacing w:val="1"/>
          <w:sz w:val="21"/>
          <w:szCs w:val="21"/>
          <w:highlight w:val="none"/>
        </w:rPr>
        <w:t>取消公共资源交易资格且在限制期内仍参与投标的情形视为弄虚作假，同意取</w:t>
      </w:r>
      <w:r>
        <w:rPr>
          <w:rFonts w:ascii="宋体" w:hAnsi="宋体" w:eastAsia="宋体" w:cs="宋体"/>
          <w:color w:val="auto"/>
          <w:sz w:val="21"/>
          <w:szCs w:val="21"/>
          <w:highlight w:val="none"/>
        </w:rPr>
        <w:t xml:space="preserve">消投标、中标或中标 </w:t>
      </w:r>
      <w:r>
        <w:rPr>
          <w:rFonts w:ascii="宋体" w:hAnsi="宋体" w:eastAsia="宋体" w:cs="宋体"/>
          <w:color w:val="auto"/>
          <w:spacing w:val="-1"/>
          <w:sz w:val="21"/>
          <w:szCs w:val="21"/>
          <w:highlight w:val="none"/>
        </w:rPr>
        <w:t>候选人资格。</w:t>
      </w:r>
    </w:p>
    <w:p w14:paraId="7A4C0F0D">
      <w:pPr>
        <w:keepNext w:val="0"/>
        <w:keepLines w:val="0"/>
        <w:pageBreakBefore w:val="0"/>
        <w:widowControl/>
        <w:kinsoku w:val="0"/>
        <w:wordWrap/>
        <w:overflowPunct/>
        <w:topLinePunct w:val="0"/>
        <w:autoSpaceDE w:val="0"/>
        <w:autoSpaceDN w:val="0"/>
        <w:bidi w:val="0"/>
        <w:adjustRightInd w:val="0"/>
        <w:snapToGrid w:val="0"/>
        <w:spacing w:before="156" w:line="360" w:lineRule="auto"/>
        <w:ind w:left="9" w:right="74" w:firstLine="41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5．我方投标拟派的项目经理在参与本项目投标时，未在其他建设工程项目上担任施工单位项目</w:t>
      </w:r>
      <w:r>
        <w:rPr>
          <w:rFonts w:ascii="宋体" w:hAnsi="宋体" w:eastAsia="宋体" w:cs="宋体"/>
          <w:color w:val="auto"/>
          <w:spacing w:val="1"/>
          <w:sz w:val="21"/>
          <w:szCs w:val="21"/>
          <w:highlight w:val="none"/>
        </w:rPr>
        <w:t>负责人或虽在其他项目上任职但本项目中标后能够从该项目撤</w:t>
      </w:r>
      <w:r>
        <w:rPr>
          <w:rFonts w:ascii="宋体" w:hAnsi="宋体" w:eastAsia="宋体" w:cs="宋体"/>
          <w:color w:val="auto"/>
          <w:sz w:val="21"/>
          <w:szCs w:val="21"/>
          <w:highlight w:val="none"/>
        </w:rPr>
        <w:t>离，否则同意取消中标或中标候选人</w:t>
      </w:r>
      <w:r>
        <w:rPr>
          <w:rFonts w:ascii="宋体" w:hAnsi="宋体" w:eastAsia="宋体" w:cs="宋体"/>
          <w:color w:val="auto"/>
          <w:spacing w:val="-10"/>
          <w:sz w:val="21"/>
          <w:szCs w:val="21"/>
          <w:highlight w:val="none"/>
        </w:rPr>
        <w:t>资格。</w:t>
      </w:r>
    </w:p>
    <w:p w14:paraId="3D13C89D">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22"/>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6．我方中标后，严格按照招标文件和我单位投标文件的约定签订合同。</w:t>
      </w:r>
    </w:p>
    <w:p w14:paraId="331E2A89">
      <w:pPr>
        <w:keepNext w:val="0"/>
        <w:keepLines w:val="0"/>
        <w:pageBreakBefore w:val="0"/>
        <w:widowControl/>
        <w:kinsoku w:val="0"/>
        <w:wordWrap/>
        <w:overflowPunct/>
        <w:topLinePunct w:val="0"/>
        <w:autoSpaceDE w:val="0"/>
        <w:autoSpaceDN w:val="0"/>
        <w:bidi w:val="0"/>
        <w:adjustRightInd w:val="0"/>
        <w:snapToGrid w:val="0"/>
        <w:spacing w:before="158" w:line="360" w:lineRule="auto"/>
        <w:ind w:right="77" w:firstLine="425"/>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7．我方作为投诉人投诉时，投诉书上的法定代表人签字与我单</w:t>
      </w:r>
      <w:r>
        <w:rPr>
          <w:rFonts w:ascii="宋体" w:hAnsi="宋体" w:eastAsia="宋体" w:cs="宋体"/>
          <w:color w:val="auto"/>
          <w:sz w:val="21"/>
          <w:szCs w:val="21"/>
          <w:highlight w:val="none"/>
        </w:rPr>
        <w:t>位数字证书（CA 锁）内的法定</w:t>
      </w:r>
      <w:r>
        <w:rPr>
          <w:rFonts w:ascii="宋体" w:hAnsi="宋体" w:eastAsia="宋体" w:cs="宋体"/>
          <w:color w:val="auto"/>
          <w:spacing w:val="-3"/>
          <w:sz w:val="21"/>
          <w:szCs w:val="21"/>
          <w:highlight w:val="none"/>
        </w:rPr>
        <w:t>代表人签字、投标文件中的法定代表人签字一致（系同一人所签）。否则视为</w:t>
      </w:r>
      <w:r>
        <w:rPr>
          <w:rFonts w:ascii="宋体" w:hAnsi="宋体" w:eastAsia="宋体" w:cs="宋体"/>
          <w:color w:val="auto"/>
          <w:spacing w:val="-4"/>
          <w:sz w:val="21"/>
          <w:szCs w:val="21"/>
          <w:highlight w:val="none"/>
        </w:rPr>
        <w:t>弄虚作假。</w:t>
      </w:r>
    </w:p>
    <w:p w14:paraId="3BBCB0AE">
      <w:pPr>
        <w:keepNext w:val="0"/>
        <w:keepLines w:val="0"/>
        <w:pageBreakBefore w:val="0"/>
        <w:widowControl/>
        <w:kinsoku w:val="0"/>
        <w:wordWrap/>
        <w:overflowPunct/>
        <w:topLinePunct w:val="0"/>
        <w:autoSpaceDE w:val="0"/>
        <w:autoSpaceDN w:val="0"/>
        <w:bidi w:val="0"/>
        <w:adjustRightInd w:val="0"/>
        <w:snapToGrid w:val="0"/>
        <w:spacing w:before="158" w:line="360" w:lineRule="auto"/>
        <w:ind w:left="1" w:right="74" w:firstLine="420"/>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8．如监管机构或其他利害关系人认为法定代表人的签字不是同一人所签或对签字有疑议时，我</w:t>
      </w:r>
      <w:r>
        <w:rPr>
          <w:rFonts w:ascii="宋体" w:hAnsi="宋体" w:eastAsia="宋体" w:cs="宋体"/>
          <w:color w:val="auto"/>
          <w:spacing w:val="1"/>
          <w:sz w:val="21"/>
          <w:szCs w:val="21"/>
          <w:highlight w:val="none"/>
        </w:rPr>
        <w:t>方同意在被告知后的五个工作日内让双方协商</w:t>
      </w:r>
      <w:r>
        <w:rPr>
          <w:rFonts w:ascii="宋体" w:hAnsi="宋体" w:eastAsia="宋体" w:cs="宋体"/>
          <w:color w:val="auto"/>
          <w:sz w:val="21"/>
          <w:szCs w:val="21"/>
          <w:highlight w:val="none"/>
        </w:rPr>
        <w:t>确认并经监管部门同意的地点（或在监管机构见证下 与被投诉人约定的鉴定机构）进行字迹辨认和鉴定，否则视为弄</w:t>
      </w:r>
      <w:r>
        <w:rPr>
          <w:rFonts w:ascii="宋体" w:hAnsi="宋体" w:eastAsia="宋体" w:cs="宋体"/>
          <w:color w:val="auto"/>
          <w:spacing w:val="-1"/>
          <w:sz w:val="21"/>
          <w:szCs w:val="21"/>
          <w:highlight w:val="none"/>
        </w:rPr>
        <w:t>虚作假。</w:t>
      </w:r>
    </w:p>
    <w:p w14:paraId="2F4E7295">
      <w:pPr>
        <w:keepNext w:val="0"/>
        <w:keepLines w:val="0"/>
        <w:pageBreakBefore w:val="0"/>
        <w:widowControl/>
        <w:kinsoku w:val="0"/>
        <w:wordWrap/>
        <w:overflowPunct/>
        <w:topLinePunct w:val="0"/>
        <w:autoSpaceDE w:val="0"/>
        <w:autoSpaceDN w:val="0"/>
        <w:bidi w:val="0"/>
        <w:adjustRightInd w:val="0"/>
        <w:snapToGrid w:val="0"/>
        <w:spacing w:before="159" w:line="360" w:lineRule="auto"/>
        <w:ind w:right="87" w:firstLine="438"/>
        <w:textAlignment w:val="baseline"/>
        <w:outlineLvl w:val="9"/>
        <w:rPr>
          <w:rFonts w:hint="eastAsia" w:ascii="宋体" w:hAnsi="宋体" w:eastAsia="宋体" w:cs="宋体"/>
          <w:color w:val="auto"/>
          <w:sz w:val="21"/>
          <w:szCs w:val="21"/>
          <w:highlight w:val="none"/>
          <w:lang w:val="en-US" w:eastAsia="zh-CN"/>
        </w:rPr>
      </w:pPr>
      <w:r>
        <w:rPr>
          <w:rFonts w:ascii="宋体" w:hAnsi="宋体" w:eastAsia="宋体" w:cs="宋体"/>
          <w:color w:val="auto"/>
          <w:sz w:val="21"/>
          <w:szCs w:val="21"/>
          <w:highlight w:val="none"/>
        </w:rPr>
        <w:t>出现违反上述承诺情形之一的，我单位同意投标保证金不予退还。被处理后，我单位愿意公开披露我单位违反承诺的不良行为信息，愿意接受</w:t>
      </w:r>
      <w:r>
        <w:rPr>
          <w:rFonts w:ascii="宋体" w:hAnsi="宋体" w:eastAsia="宋体" w:cs="宋体"/>
          <w:color w:val="auto"/>
          <w:spacing w:val="-1"/>
          <w:sz w:val="21"/>
          <w:szCs w:val="21"/>
          <w:highlight w:val="none"/>
        </w:rPr>
        <w:t>处罚并承担所有经济损失和法律责任</w:t>
      </w:r>
      <w:r>
        <w:rPr>
          <w:rFonts w:hint="eastAsia" w:ascii="宋体" w:hAnsi="宋体" w:eastAsia="宋体" w:cs="宋体"/>
          <w:color w:val="auto"/>
          <w:spacing w:val="-1"/>
          <w:sz w:val="21"/>
          <w:szCs w:val="21"/>
          <w:highlight w:val="none"/>
          <w:lang w:eastAsia="zh-CN"/>
        </w:rPr>
        <w:t>。</w:t>
      </w:r>
    </w:p>
    <w:p w14:paraId="6FB398C7">
      <w:pPr>
        <w:keepNext w:val="0"/>
        <w:keepLines w:val="0"/>
        <w:pageBreakBefore w:val="0"/>
        <w:widowControl/>
        <w:kinsoku w:val="0"/>
        <w:wordWrap/>
        <w:overflowPunct/>
        <w:topLinePunct w:val="0"/>
        <w:autoSpaceDE w:val="0"/>
        <w:autoSpaceDN w:val="0"/>
        <w:bidi w:val="0"/>
        <w:adjustRightInd w:val="0"/>
        <w:snapToGrid w:val="0"/>
        <w:spacing w:before="31" w:line="360" w:lineRule="auto"/>
        <w:ind w:left="1" w:right="75" w:firstLine="423"/>
        <w:jc w:val="both"/>
        <w:textAlignment w:val="baseline"/>
        <w:outlineLvl w:val="9"/>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我方在中标后的履约过程中除不可抗力外，我单位绝不放弃（拒绝）履约，否则同意招</w:t>
      </w:r>
      <w:r>
        <w:rPr>
          <w:rFonts w:ascii="宋体" w:hAnsi="宋体" w:eastAsia="宋体" w:cs="宋体"/>
          <w:b/>
          <w:bCs/>
          <w:color w:val="auto"/>
          <w:spacing w:val="-8"/>
          <w:sz w:val="21"/>
          <w:szCs w:val="21"/>
          <w:highlight w:val="none"/>
        </w:rPr>
        <w:t>标人（甲</w:t>
      </w:r>
      <w:r>
        <w:rPr>
          <w:rFonts w:ascii="宋体" w:hAnsi="宋体" w:eastAsia="宋体" w:cs="宋体"/>
          <w:color w:val="auto"/>
          <w:sz w:val="21"/>
          <w:szCs w:val="21"/>
          <w:highlight w:val="none"/>
        </w:rPr>
        <w:t xml:space="preserve">  </w:t>
      </w:r>
      <w:r>
        <w:rPr>
          <w:rFonts w:ascii="宋体" w:hAnsi="宋体" w:eastAsia="宋体" w:cs="宋体"/>
          <w:b/>
          <w:bCs/>
          <w:color w:val="auto"/>
          <w:spacing w:val="-1"/>
          <w:sz w:val="21"/>
          <w:szCs w:val="21"/>
          <w:highlight w:val="none"/>
        </w:rPr>
        <w:t>方）给予我单位履约保证金不予退还的处理。处理期间，</w:t>
      </w:r>
      <w:r>
        <w:rPr>
          <w:rFonts w:ascii="宋体" w:hAnsi="宋体" w:eastAsia="宋体" w:cs="宋体"/>
          <w:b/>
          <w:bCs/>
          <w:color w:val="auto"/>
          <w:spacing w:val="-2"/>
          <w:sz w:val="21"/>
          <w:szCs w:val="21"/>
          <w:highlight w:val="none"/>
        </w:rPr>
        <w:t>我单位（乙方）不以任何理由向招标人提</w:t>
      </w:r>
      <w:r>
        <w:rPr>
          <w:rFonts w:ascii="宋体" w:hAnsi="宋体" w:eastAsia="宋体" w:cs="宋体"/>
          <w:color w:val="auto"/>
          <w:sz w:val="21"/>
          <w:szCs w:val="21"/>
          <w:highlight w:val="none"/>
        </w:rPr>
        <w:t xml:space="preserve"> </w:t>
      </w:r>
      <w:r>
        <w:rPr>
          <w:rFonts w:ascii="宋体" w:hAnsi="宋体" w:eastAsia="宋体" w:cs="宋体"/>
          <w:b/>
          <w:bCs/>
          <w:color w:val="auto"/>
          <w:spacing w:val="-3"/>
          <w:sz w:val="21"/>
          <w:szCs w:val="21"/>
          <w:highlight w:val="none"/>
        </w:rPr>
        <w:t>出退还履约保证金的要求。</w:t>
      </w:r>
    </w:p>
    <w:p w14:paraId="6D3FAA23">
      <w:pPr>
        <w:keepNext w:val="0"/>
        <w:keepLines w:val="0"/>
        <w:pageBreakBefore w:val="0"/>
        <w:widowControl/>
        <w:kinsoku w:val="0"/>
        <w:wordWrap/>
        <w:overflowPunct/>
        <w:topLinePunct w:val="0"/>
        <w:autoSpaceDE w:val="0"/>
        <w:autoSpaceDN w:val="0"/>
        <w:bidi w:val="0"/>
        <w:adjustRightInd w:val="0"/>
        <w:snapToGrid w:val="0"/>
        <w:spacing w:before="28" w:line="360" w:lineRule="auto"/>
        <w:ind w:left="527"/>
        <w:textAlignment w:val="baseline"/>
        <w:outlineLvl w:val="9"/>
        <w:rPr>
          <w:rFonts w:ascii="Arial"/>
          <w:color w:val="auto"/>
          <w:sz w:val="21"/>
          <w:highlight w:val="none"/>
        </w:rPr>
      </w:pPr>
      <w:r>
        <w:rPr>
          <w:rFonts w:ascii="宋体" w:hAnsi="宋体" w:eastAsia="宋体" w:cs="宋体"/>
          <w:b/>
          <w:bCs/>
          <w:color w:val="auto"/>
          <w:spacing w:val="-4"/>
          <w:sz w:val="21"/>
          <w:szCs w:val="21"/>
          <w:highlight w:val="none"/>
        </w:rPr>
        <w:t>此承诺不受投标有效期的限制。</w:t>
      </w:r>
    </w:p>
    <w:p w14:paraId="2262142D">
      <w:pPr>
        <w:keepNext w:val="0"/>
        <w:keepLines w:val="0"/>
        <w:pageBreakBefore w:val="0"/>
        <w:widowControl/>
        <w:kinsoku w:val="0"/>
        <w:wordWrap/>
        <w:overflowPunct/>
        <w:topLinePunct w:val="0"/>
        <w:autoSpaceDE w:val="0"/>
        <w:autoSpaceDN w:val="0"/>
        <w:bidi w:val="0"/>
        <w:adjustRightInd w:val="0"/>
        <w:snapToGrid w:val="0"/>
        <w:spacing w:before="42" w:line="360" w:lineRule="auto"/>
        <w:jc w:val="right"/>
        <w:textAlignment w:val="baseline"/>
        <w:outlineLvl w:val="9"/>
        <w:rPr>
          <w:rFonts w:hint="eastAsia" w:ascii="宋体" w:hAnsi="宋体" w:eastAsia="宋体" w:cs="宋体"/>
          <w:color w:val="auto"/>
          <w:spacing w:val="-2"/>
          <w:sz w:val="21"/>
          <w:szCs w:val="21"/>
          <w:highlight w:val="none"/>
          <w:lang w:val="en-US" w:eastAsia="zh-CN"/>
        </w:rPr>
      </w:pPr>
      <w:r>
        <w:rPr>
          <w:rFonts w:ascii="宋体" w:hAnsi="宋体" w:eastAsia="宋体" w:cs="宋体"/>
          <w:color w:val="auto"/>
          <w:spacing w:val="-3"/>
          <w:sz w:val="21"/>
          <w:szCs w:val="21"/>
          <w:highlight w:val="none"/>
        </w:rPr>
        <w:t>投标人</w:t>
      </w:r>
      <w:r>
        <w:rPr>
          <w:rFonts w:ascii="宋体" w:hAnsi="宋体" w:eastAsia="宋体" w:cs="宋体"/>
          <w:color w:val="auto"/>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z w:val="21"/>
          <w:szCs w:val="21"/>
          <w:highlight w:val="none"/>
        </w:rPr>
        <w:t>（</w:t>
      </w:r>
      <w:r>
        <w:rPr>
          <w:rFonts w:ascii="宋体" w:hAnsi="宋体" w:eastAsia="宋体" w:cs="宋体"/>
          <w:color w:val="auto"/>
          <w:spacing w:val="-3"/>
          <w:sz w:val="21"/>
          <w:szCs w:val="21"/>
          <w:highlight w:val="none"/>
        </w:rPr>
        <w:t>盖单位章）</w:t>
      </w:r>
      <w:r>
        <w:rPr>
          <w:rFonts w:hint="eastAsia" w:ascii="宋体" w:hAnsi="宋体" w:eastAsia="宋体" w:cs="宋体"/>
          <w:color w:val="auto"/>
          <w:spacing w:val="-2"/>
          <w:sz w:val="21"/>
          <w:szCs w:val="21"/>
          <w:highlight w:val="none"/>
          <w:lang w:val="en-US" w:eastAsia="zh-CN"/>
        </w:rPr>
        <w:t xml:space="preserve">            </w:t>
      </w:r>
    </w:p>
    <w:p w14:paraId="4E6DCDDD">
      <w:pPr>
        <w:keepNext w:val="0"/>
        <w:keepLines w:val="0"/>
        <w:pageBreakBefore w:val="0"/>
        <w:widowControl/>
        <w:kinsoku w:val="0"/>
        <w:wordWrap/>
        <w:overflowPunct/>
        <w:topLinePunct w:val="0"/>
        <w:autoSpaceDE w:val="0"/>
        <w:autoSpaceDN w:val="0"/>
        <w:bidi w:val="0"/>
        <w:adjustRightInd w:val="0"/>
        <w:snapToGrid w:val="0"/>
        <w:spacing w:before="42" w:line="360" w:lineRule="auto"/>
        <w:jc w:val="center"/>
        <w:textAlignment w:val="baseline"/>
        <w:outlineLvl w:val="9"/>
        <w:rPr>
          <w:rFonts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ascii="宋体" w:hAnsi="宋体" w:eastAsia="宋体" w:cs="宋体"/>
          <w:color w:val="auto"/>
          <w:spacing w:val="-2"/>
          <w:sz w:val="21"/>
          <w:szCs w:val="21"/>
          <w:highlight w:val="none"/>
        </w:rPr>
        <w:t>统一社会信用代码：</w:t>
      </w:r>
      <w:r>
        <w:rPr>
          <w:rFonts w:ascii="宋体" w:hAnsi="宋体" w:eastAsia="宋体" w:cs="宋体"/>
          <w:color w:val="auto"/>
          <w:sz w:val="21"/>
          <w:szCs w:val="21"/>
          <w:highlight w:val="none"/>
          <w:u w:val="single" w:color="auto"/>
        </w:rPr>
        <w:t xml:space="preserve">                   </w:t>
      </w:r>
    </w:p>
    <w:p w14:paraId="2EDAE410">
      <w:pPr>
        <w:keepNext w:val="0"/>
        <w:keepLines w:val="0"/>
        <w:pageBreakBefore w:val="0"/>
        <w:widowControl/>
        <w:kinsoku w:val="0"/>
        <w:wordWrap/>
        <w:overflowPunct/>
        <w:topLinePunct w:val="0"/>
        <w:autoSpaceDE w:val="0"/>
        <w:autoSpaceDN w:val="0"/>
        <w:bidi w:val="0"/>
        <w:adjustRightInd w:val="0"/>
        <w:snapToGrid w:val="0"/>
        <w:spacing w:before="42" w:line="360" w:lineRule="auto"/>
        <w:jc w:val="right"/>
        <w:textAlignment w:val="baseline"/>
        <w:outlineLvl w:val="9"/>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 xml:space="preserve">     </w:t>
      </w: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1"/>
          <w:sz w:val="21"/>
          <w:szCs w:val="21"/>
          <w:highlight w:val="none"/>
          <w:u w:val="single" w:color="auto"/>
        </w:rPr>
        <w:t xml:space="preserve">         </w:t>
      </w:r>
      <w:r>
        <w:rPr>
          <w:rFonts w:ascii="宋体" w:hAnsi="宋体" w:eastAsia="宋体" w:cs="宋体"/>
          <w:color w:val="auto"/>
          <w:spacing w:val="-1"/>
          <w:sz w:val="21"/>
          <w:szCs w:val="21"/>
          <w:highlight w:val="none"/>
        </w:rPr>
        <w:t>（签字或盖章）</w:t>
      </w:r>
    </w:p>
    <w:p w14:paraId="5EE8CBED">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34"/>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105"/>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7"/>
          <w:sz w:val="21"/>
          <w:szCs w:val="21"/>
          <w:highlight w:val="none"/>
        </w:rPr>
        <w:t>日</w:t>
      </w:r>
      <w:bookmarkStart w:id="406" w:name="bookmark289"/>
      <w:bookmarkEnd w:id="406"/>
    </w:p>
    <w:p w14:paraId="08298868">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437992F7">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0C950D02">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57E0843F">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491E4DD6">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15FCCEB4">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3BEEFC3F">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3FBA64F1">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20418028">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61699BDC">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504BB34C">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63B76FF8">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577BA70E">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0D6CF104">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3240EB6C">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1430BCED">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6B738F1F">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7189F6BD">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22FA8E85">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453FA7C8">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outlineLvl w:val="9"/>
        <w:rPr>
          <w:rFonts w:ascii="宋体" w:hAnsi="宋体" w:eastAsia="宋体" w:cs="宋体"/>
          <w:color w:val="auto"/>
          <w:spacing w:val="-7"/>
          <w:sz w:val="21"/>
          <w:szCs w:val="21"/>
          <w:highlight w:val="none"/>
        </w:rPr>
      </w:pPr>
    </w:p>
    <w:p w14:paraId="108F597F">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textAlignment w:val="baseline"/>
        <w:outlineLvl w:val="9"/>
        <w:rPr>
          <w:rFonts w:ascii="宋体" w:hAnsi="宋体" w:eastAsia="宋体" w:cs="宋体"/>
          <w:color w:val="auto"/>
          <w:spacing w:val="-7"/>
          <w:sz w:val="21"/>
          <w:szCs w:val="21"/>
          <w:highlight w:val="none"/>
        </w:rPr>
      </w:pPr>
    </w:p>
    <w:p w14:paraId="47F188C2">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jc w:val="center"/>
        <w:textAlignment w:val="baseline"/>
        <w:outlineLvl w:val="9"/>
        <w:rPr>
          <w:rFonts w:ascii="宋体" w:hAnsi="宋体" w:eastAsia="宋体" w:cs="宋体"/>
          <w:color w:val="auto"/>
          <w:sz w:val="31"/>
          <w:szCs w:val="31"/>
          <w:highlight w:val="none"/>
        </w:rPr>
      </w:pPr>
      <w:bookmarkStart w:id="407" w:name="_Toc953"/>
      <w:r>
        <w:rPr>
          <w:rFonts w:ascii="宋体" w:hAnsi="宋体" w:eastAsia="宋体" w:cs="宋体"/>
          <w:b/>
          <w:bCs/>
          <w:color w:val="auto"/>
          <w:spacing w:val="6"/>
          <w:sz w:val="31"/>
          <w:szCs w:val="31"/>
          <w:highlight w:val="none"/>
        </w:rPr>
        <w:t>二、法定代表人身份证明</w:t>
      </w:r>
      <w:bookmarkEnd w:id="407"/>
    </w:p>
    <w:p w14:paraId="1C4A25BB">
      <w:pPr>
        <w:spacing w:line="244" w:lineRule="auto"/>
        <w:outlineLvl w:val="9"/>
        <w:rPr>
          <w:rFonts w:ascii="Arial"/>
          <w:color w:val="auto"/>
          <w:sz w:val="21"/>
          <w:highlight w:val="none"/>
        </w:rPr>
      </w:pPr>
    </w:p>
    <w:p w14:paraId="17749BBD">
      <w:pPr>
        <w:spacing w:line="244" w:lineRule="auto"/>
        <w:outlineLvl w:val="9"/>
        <w:rPr>
          <w:rFonts w:ascii="Arial"/>
          <w:color w:val="auto"/>
          <w:sz w:val="21"/>
          <w:highlight w:val="none"/>
        </w:rPr>
      </w:pPr>
    </w:p>
    <w:p w14:paraId="4FC09F14">
      <w:pPr>
        <w:spacing w:before="68" w:line="354" w:lineRule="auto"/>
        <w:ind w:left="61" w:right="4198" w:firstLine="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投标人名称：</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 xml:space="preserve">  单位性质：</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地址：</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5"/>
          <w:sz w:val="21"/>
          <w:szCs w:val="21"/>
          <w:highlight w:val="none"/>
        </w:rPr>
        <w:t xml:space="preserve">  </w:t>
      </w:r>
      <w:r>
        <w:rPr>
          <w:rFonts w:ascii="宋体" w:hAnsi="宋体" w:eastAsia="宋体" w:cs="宋体"/>
          <w:color w:val="auto"/>
          <w:spacing w:val="-8"/>
          <w:sz w:val="21"/>
          <w:szCs w:val="21"/>
          <w:highlight w:val="none"/>
        </w:rPr>
        <w:t xml:space="preserve">成立时间：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8"/>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8"/>
          <w:sz w:val="21"/>
          <w:szCs w:val="21"/>
          <w:highlight w:val="none"/>
        </w:rPr>
        <w:t>月</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8"/>
          <w:sz w:val="21"/>
          <w:szCs w:val="21"/>
          <w:highlight w:val="none"/>
        </w:rPr>
        <w:t>日</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经营期限：</w:t>
      </w:r>
      <w:r>
        <w:rPr>
          <w:rFonts w:ascii="宋体" w:hAnsi="宋体" w:eastAsia="宋体" w:cs="宋体"/>
          <w:color w:val="auto"/>
          <w:sz w:val="21"/>
          <w:szCs w:val="21"/>
          <w:highlight w:val="none"/>
          <w:u w:val="single" w:color="auto"/>
        </w:rPr>
        <w:t xml:space="preserve">                           </w:t>
      </w:r>
    </w:p>
    <w:p w14:paraId="3200D6DC">
      <w:pPr>
        <w:spacing w:before="29" w:line="347" w:lineRule="auto"/>
        <w:ind w:left="6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姓名：</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 xml:space="preserve"> 性别：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z w:val="21"/>
          <w:szCs w:val="21"/>
          <w:highlight w:val="none"/>
        </w:rPr>
        <w:t>年龄：</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身份证号码：</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 xml:space="preserve"> 职务：</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 xml:space="preserve"> 系</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（投标人名</w:t>
      </w:r>
      <w:r>
        <w:rPr>
          <w:rFonts w:ascii="宋体" w:hAnsi="宋体" w:eastAsia="宋体" w:cs="宋体"/>
          <w:color w:val="auto"/>
          <w:spacing w:val="-1"/>
          <w:sz w:val="21"/>
          <w:szCs w:val="21"/>
          <w:highlight w:val="none"/>
        </w:rPr>
        <w:t>称）的法定代表人。</w:t>
      </w:r>
    </w:p>
    <w:p w14:paraId="2051AB24">
      <w:pPr>
        <w:spacing w:before="28" w:line="221" w:lineRule="auto"/>
        <w:ind w:left="48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特此证明。</w:t>
      </w:r>
    </w:p>
    <w:p w14:paraId="73BC0BA5">
      <w:pPr>
        <w:spacing w:before="158" w:line="220" w:lineRule="auto"/>
        <w:ind w:left="497"/>
        <w:outlineLvl w:val="9"/>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附：法定代表人身份证扫描件。</w:t>
      </w:r>
    </w:p>
    <w:p w14:paraId="7264DA25">
      <w:pPr>
        <w:spacing w:line="248" w:lineRule="auto"/>
        <w:outlineLvl w:val="9"/>
        <w:rPr>
          <w:rFonts w:ascii="Arial"/>
          <w:color w:val="auto"/>
          <w:sz w:val="21"/>
          <w:highlight w:val="none"/>
        </w:rPr>
      </w:pPr>
    </w:p>
    <w:p w14:paraId="2843FB7C">
      <w:pPr>
        <w:spacing w:line="248" w:lineRule="auto"/>
        <w:outlineLvl w:val="9"/>
        <w:rPr>
          <w:rFonts w:ascii="Arial"/>
          <w:color w:val="auto"/>
          <w:sz w:val="21"/>
          <w:highlight w:val="none"/>
        </w:rPr>
      </w:pPr>
    </w:p>
    <w:p w14:paraId="36B2BC80">
      <w:pPr>
        <w:spacing w:line="248" w:lineRule="auto"/>
        <w:outlineLvl w:val="9"/>
        <w:rPr>
          <w:rFonts w:ascii="Arial"/>
          <w:color w:val="auto"/>
          <w:sz w:val="21"/>
          <w:highlight w:val="none"/>
        </w:rPr>
      </w:pPr>
    </w:p>
    <w:p w14:paraId="14ADB698">
      <w:pPr>
        <w:spacing w:line="248" w:lineRule="auto"/>
        <w:outlineLvl w:val="9"/>
        <w:rPr>
          <w:rFonts w:ascii="Arial"/>
          <w:color w:val="auto"/>
          <w:sz w:val="21"/>
          <w:highlight w:val="none"/>
        </w:rPr>
      </w:pPr>
    </w:p>
    <w:p w14:paraId="727CB893">
      <w:pPr>
        <w:spacing w:line="249" w:lineRule="auto"/>
        <w:outlineLvl w:val="9"/>
        <w:rPr>
          <w:rFonts w:ascii="Arial"/>
          <w:color w:val="auto"/>
          <w:sz w:val="21"/>
          <w:highlight w:val="none"/>
        </w:rPr>
      </w:pPr>
    </w:p>
    <w:p w14:paraId="46E120D6">
      <w:pPr>
        <w:tabs>
          <w:tab w:val="left" w:pos="4111"/>
        </w:tabs>
        <w:spacing w:before="68" w:line="345" w:lineRule="auto"/>
        <w:ind w:left="3153" w:right="1272" w:hanging="464"/>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w:t>
      </w:r>
      <w:r>
        <w:rPr>
          <w:rFonts w:ascii="宋体" w:hAnsi="宋体" w:eastAsia="宋体" w:cs="宋体"/>
          <w:color w:val="auto"/>
          <w:spacing w:val="-25"/>
          <w:sz w:val="21"/>
          <w:szCs w:val="21"/>
          <w:highlight w:val="none"/>
        </w:rPr>
        <w:t>：</w:t>
      </w:r>
      <w:r>
        <w:rPr>
          <w:rFonts w:ascii="宋体" w:hAnsi="宋体" w:eastAsia="宋体" w:cs="宋体"/>
          <w:color w:val="auto"/>
          <w:spacing w:val="2"/>
          <w:sz w:val="21"/>
          <w:szCs w:val="21"/>
          <w:highlight w:val="none"/>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25"/>
          <w:sz w:val="21"/>
          <w:szCs w:val="21"/>
          <w:highlight w:val="none"/>
        </w:rPr>
        <w:t>（</w:t>
      </w:r>
      <w:r>
        <w:rPr>
          <w:rFonts w:ascii="宋体" w:hAnsi="宋体" w:eastAsia="宋体" w:cs="宋体"/>
          <w:color w:val="auto"/>
          <w:spacing w:val="3"/>
          <w:sz w:val="21"/>
          <w:szCs w:val="21"/>
          <w:highlight w:val="none"/>
        </w:rPr>
        <w:t>盖单位章）</w:t>
      </w:r>
      <w:r>
        <w:rPr>
          <w:rFonts w:ascii="宋体" w:hAnsi="宋体" w:eastAsia="宋体" w:cs="宋体"/>
          <w:color w:val="auto"/>
          <w:spacing w:val="4"/>
          <w:sz w:val="21"/>
          <w:szCs w:val="21"/>
          <w:highlight w:val="none"/>
        </w:rPr>
        <w:t xml:space="preserve"> </w:t>
      </w: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1"/>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7"/>
          <w:sz w:val="21"/>
          <w:szCs w:val="21"/>
          <w:highlight w:val="none"/>
        </w:rPr>
        <w:t>日</w:t>
      </w:r>
    </w:p>
    <w:p w14:paraId="442A0D30">
      <w:pPr>
        <w:spacing w:before="64" w:line="224" w:lineRule="auto"/>
        <w:ind w:left="3519"/>
        <w:outlineLvl w:val="9"/>
        <w:rPr>
          <w:rFonts w:ascii="宋体" w:hAnsi="宋体" w:eastAsia="宋体" w:cs="宋体"/>
          <w:b/>
          <w:bCs/>
          <w:color w:val="auto"/>
          <w:spacing w:val="5"/>
          <w:sz w:val="31"/>
          <w:szCs w:val="31"/>
          <w:highlight w:val="none"/>
        </w:rPr>
      </w:pPr>
      <w:bookmarkStart w:id="408" w:name="bookmark290"/>
      <w:bookmarkEnd w:id="408"/>
    </w:p>
    <w:p w14:paraId="254F9FB2">
      <w:pPr>
        <w:spacing w:before="64" w:line="224" w:lineRule="auto"/>
        <w:ind w:left="3519"/>
        <w:outlineLvl w:val="9"/>
        <w:rPr>
          <w:rFonts w:ascii="宋体" w:hAnsi="宋体" w:eastAsia="宋体" w:cs="宋体"/>
          <w:b/>
          <w:bCs/>
          <w:color w:val="auto"/>
          <w:spacing w:val="5"/>
          <w:sz w:val="31"/>
          <w:szCs w:val="31"/>
          <w:highlight w:val="none"/>
        </w:rPr>
      </w:pPr>
    </w:p>
    <w:p w14:paraId="58184320">
      <w:pPr>
        <w:spacing w:before="64" w:line="224" w:lineRule="auto"/>
        <w:ind w:left="3519"/>
        <w:outlineLvl w:val="9"/>
        <w:rPr>
          <w:rFonts w:ascii="宋体" w:hAnsi="宋体" w:eastAsia="宋体" w:cs="宋体"/>
          <w:b/>
          <w:bCs/>
          <w:color w:val="auto"/>
          <w:spacing w:val="5"/>
          <w:sz w:val="31"/>
          <w:szCs w:val="31"/>
          <w:highlight w:val="none"/>
        </w:rPr>
      </w:pPr>
    </w:p>
    <w:p w14:paraId="20169AA4">
      <w:pPr>
        <w:spacing w:before="64" w:line="224" w:lineRule="auto"/>
        <w:ind w:left="3519"/>
        <w:outlineLvl w:val="9"/>
        <w:rPr>
          <w:rFonts w:ascii="宋体" w:hAnsi="宋体" w:eastAsia="宋体" w:cs="宋体"/>
          <w:b/>
          <w:bCs/>
          <w:color w:val="auto"/>
          <w:spacing w:val="5"/>
          <w:sz w:val="31"/>
          <w:szCs w:val="31"/>
          <w:highlight w:val="none"/>
        </w:rPr>
      </w:pPr>
    </w:p>
    <w:p w14:paraId="3EED0B05">
      <w:pPr>
        <w:spacing w:before="64" w:line="224" w:lineRule="auto"/>
        <w:ind w:left="3519"/>
        <w:outlineLvl w:val="9"/>
        <w:rPr>
          <w:rFonts w:ascii="宋体" w:hAnsi="宋体" w:eastAsia="宋体" w:cs="宋体"/>
          <w:b/>
          <w:bCs/>
          <w:color w:val="auto"/>
          <w:spacing w:val="5"/>
          <w:sz w:val="31"/>
          <w:szCs w:val="31"/>
          <w:highlight w:val="none"/>
        </w:rPr>
      </w:pPr>
    </w:p>
    <w:p w14:paraId="5AFBE31F">
      <w:pPr>
        <w:spacing w:before="64" w:line="224" w:lineRule="auto"/>
        <w:ind w:left="3519"/>
        <w:outlineLvl w:val="9"/>
        <w:rPr>
          <w:rFonts w:ascii="宋体" w:hAnsi="宋体" w:eastAsia="宋体" w:cs="宋体"/>
          <w:b/>
          <w:bCs/>
          <w:color w:val="auto"/>
          <w:spacing w:val="5"/>
          <w:sz w:val="31"/>
          <w:szCs w:val="31"/>
          <w:highlight w:val="none"/>
        </w:rPr>
      </w:pPr>
    </w:p>
    <w:p w14:paraId="191A669D">
      <w:pPr>
        <w:spacing w:before="64" w:line="224" w:lineRule="auto"/>
        <w:ind w:left="3519"/>
        <w:outlineLvl w:val="9"/>
        <w:rPr>
          <w:rFonts w:ascii="宋体" w:hAnsi="宋体" w:eastAsia="宋体" w:cs="宋体"/>
          <w:b/>
          <w:bCs/>
          <w:color w:val="auto"/>
          <w:spacing w:val="5"/>
          <w:sz w:val="31"/>
          <w:szCs w:val="31"/>
          <w:highlight w:val="none"/>
        </w:rPr>
      </w:pPr>
    </w:p>
    <w:p w14:paraId="1539AF29">
      <w:pPr>
        <w:spacing w:before="64" w:line="224" w:lineRule="auto"/>
        <w:ind w:left="3519"/>
        <w:outlineLvl w:val="9"/>
        <w:rPr>
          <w:rFonts w:ascii="宋体" w:hAnsi="宋体" w:eastAsia="宋体" w:cs="宋体"/>
          <w:b/>
          <w:bCs/>
          <w:color w:val="auto"/>
          <w:spacing w:val="5"/>
          <w:sz w:val="31"/>
          <w:szCs w:val="31"/>
          <w:highlight w:val="none"/>
        </w:rPr>
      </w:pPr>
    </w:p>
    <w:p w14:paraId="1CCFE261">
      <w:pPr>
        <w:spacing w:before="64" w:line="224" w:lineRule="auto"/>
        <w:ind w:left="3519"/>
        <w:outlineLvl w:val="9"/>
        <w:rPr>
          <w:rFonts w:ascii="宋体" w:hAnsi="宋体" w:eastAsia="宋体" w:cs="宋体"/>
          <w:b/>
          <w:bCs/>
          <w:color w:val="auto"/>
          <w:spacing w:val="5"/>
          <w:sz w:val="31"/>
          <w:szCs w:val="31"/>
          <w:highlight w:val="none"/>
        </w:rPr>
      </w:pPr>
    </w:p>
    <w:p w14:paraId="5075357E">
      <w:pPr>
        <w:spacing w:before="64" w:line="224" w:lineRule="auto"/>
        <w:ind w:left="3519"/>
        <w:outlineLvl w:val="9"/>
        <w:rPr>
          <w:rFonts w:ascii="宋体" w:hAnsi="宋体" w:eastAsia="宋体" w:cs="宋体"/>
          <w:b/>
          <w:bCs/>
          <w:color w:val="auto"/>
          <w:spacing w:val="5"/>
          <w:sz w:val="31"/>
          <w:szCs w:val="31"/>
          <w:highlight w:val="none"/>
        </w:rPr>
      </w:pPr>
    </w:p>
    <w:p w14:paraId="33C99CB3">
      <w:pPr>
        <w:spacing w:before="64" w:line="224" w:lineRule="auto"/>
        <w:ind w:left="3519"/>
        <w:outlineLvl w:val="9"/>
        <w:rPr>
          <w:rFonts w:ascii="宋体" w:hAnsi="宋体" w:eastAsia="宋体" w:cs="宋体"/>
          <w:b/>
          <w:bCs/>
          <w:color w:val="auto"/>
          <w:spacing w:val="5"/>
          <w:sz w:val="31"/>
          <w:szCs w:val="31"/>
          <w:highlight w:val="none"/>
        </w:rPr>
      </w:pPr>
    </w:p>
    <w:p w14:paraId="531EEE48">
      <w:pPr>
        <w:spacing w:before="64" w:line="224" w:lineRule="auto"/>
        <w:ind w:left="3519"/>
        <w:outlineLvl w:val="9"/>
        <w:rPr>
          <w:rFonts w:ascii="宋体" w:hAnsi="宋体" w:eastAsia="宋体" w:cs="宋体"/>
          <w:b/>
          <w:bCs/>
          <w:color w:val="auto"/>
          <w:spacing w:val="5"/>
          <w:sz w:val="31"/>
          <w:szCs w:val="31"/>
          <w:highlight w:val="none"/>
        </w:rPr>
      </w:pPr>
    </w:p>
    <w:p w14:paraId="65927A2A">
      <w:pPr>
        <w:spacing w:before="64" w:line="224" w:lineRule="auto"/>
        <w:ind w:left="3519"/>
        <w:outlineLvl w:val="9"/>
        <w:rPr>
          <w:rFonts w:ascii="宋体" w:hAnsi="宋体" w:eastAsia="宋体" w:cs="宋体"/>
          <w:b/>
          <w:bCs/>
          <w:color w:val="auto"/>
          <w:spacing w:val="5"/>
          <w:sz w:val="31"/>
          <w:szCs w:val="31"/>
          <w:highlight w:val="none"/>
        </w:rPr>
      </w:pPr>
    </w:p>
    <w:p w14:paraId="3742431F">
      <w:pPr>
        <w:spacing w:before="64" w:line="224" w:lineRule="auto"/>
        <w:ind w:left="3519"/>
        <w:outlineLvl w:val="9"/>
        <w:rPr>
          <w:rFonts w:ascii="宋体" w:hAnsi="宋体" w:eastAsia="宋体" w:cs="宋体"/>
          <w:b/>
          <w:bCs/>
          <w:color w:val="auto"/>
          <w:spacing w:val="5"/>
          <w:sz w:val="31"/>
          <w:szCs w:val="31"/>
          <w:highlight w:val="none"/>
        </w:rPr>
      </w:pPr>
    </w:p>
    <w:p w14:paraId="77EE5C57">
      <w:pPr>
        <w:spacing w:before="64" w:line="224" w:lineRule="auto"/>
        <w:ind w:left="3519"/>
        <w:outlineLvl w:val="9"/>
        <w:rPr>
          <w:rFonts w:ascii="宋体" w:hAnsi="宋体" w:eastAsia="宋体" w:cs="宋体"/>
          <w:b/>
          <w:bCs/>
          <w:color w:val="auto"/>
          <w:spacing w:val="5"/>
          <w:sz w:val="31"/>
          <w:szCs w:val="31"/>
          <w:highlight w:val="none"/>
        </w:rPr>
      </w:pPr>
    </w:p>
    <w:p w14:paraId="7AEB4F44">
      <w:pPr>
        <w:spacing w:before="64" w:line="224" w:lineRule="auto"/>
        <w:ind w:left="3519"/>
        <w:outlineLvl w:val="9"/>
        <w:rPr>
          <w:rFonts w:ascii="宋体" w:hAnsi="宋体" w:eastAsia="宋体" w:cs="宋体"/>
          <w:b/>
          <w:bCs/>
          <w:color w:val="auto"/>
          <w:spacing w:val="5"/>
          <w:sz w:val="31"/>
          <w:szCs w:val="31"/>
          <w:highlight w:val="none"/>
        </w:rPr>
      </w:pPr>
    </w:p>
    <w:p w14:paraId="5E02AB23">
      <w:pPr>
        <w:spacing w:before="64" w:line="224" w:lineRule="auto"/>
        <w:ind w:left="3519"/>
        <w:outlineLvl w:val="9"/>
        <w:rPr>
          <w:rFonts w:ascii="宋体" w:hAnsi="宋体" w:eastAsia="宋体" w:cs="宋体"/>
          <w:color w:val="auto"/>
          <w:sz w:val="31"/>
          <w:szCs w:val="31"/>
          <w:highlight w:val="none"/>
        </w:rPr>
      </w:pPr>
      <w:bookmarkStart w:id="409" w:name="_Toc30688"/>
      <w:r>
        <w:rPr>
          <w:rFonts w:ascii="宋体" w:hAnsi="宋体" w:eastAsia="宋体" w:cs="宋体"/>
          <w:b/>
          <w:bCs/>
          <w:color w:val="auto"/>
          <w:spacing w:val="5"/>
          <w:sz w:val="31"/>
          <w:szCs w:val="31"/>
          <w:highlight w:val="none"/>
        </w:rPr>
        <w:t>二、授权委托书</w:t>
      </w:r>
      <w:bookmarkEnd w:id="409"/>
    </w:p>
    <w:p w14:paraId="23FC3828">
      <w:pPr>
        <w:spacing w:line="392" w:lineRule="auto"/>
        <w:outlineLvl w:val="9"/>
        <w:rPr>
          <w:rFonts w:ascii="Arial"/>
          <w:color w:val="auto"/>
          <w:sz w:val="21"/>
          <w:highlight w:val="none"/>
        </w:rPr>
      </w:pPr>
    </w:p>
    <w:p w14:paraId="4FE62541">
      <w:pPr>
        <w:spacing w:before="69" w:line="378" w:lineRule="auto"/>
        <w:ind w:right="8" w:firstLine="520"/>
        <w:jc w:val="both"/>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本人</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（姓名）系</w:t>
      </w:r>
      <w:r>
        <w:rPr>
          <w:rFonts w:ascii="宋体" w:hAnsi="宋体" w:eastAsia="宋体" w:cs="宋体"/>
          <w:color w:val="auto"/>
          <w:spacing w:val="-81"/>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（投标人名称）的法定代表人，现委托</w:t>
      </w:r>
      <w:r>
        <w:rPr>
          <w:rFonts w:ascii="宋体" w:hAnsi="宋体" w:eastAsia="宋体" w:cs="宋体"/>
          <w:color w:val="auto"/>
          <w:spacing w:val="-2"/>
          <w:sz w:val="21"/>
          <w:szCs w:val="21"/>
          <w:highlight w:val="none"/>
        </w:rPr>
        <w:t>（姓名）为我方代理人。代理人根据授权，以我方名义签署、澄清、说明、补正、递交、撤回、修改</w:t>
      </w:r>
      <w:r>
        <w:rPr>
          <w:rFonts w:ascii="宋体" w:hAnsi="宋体" w:eastAsia="宋体" w:cs="宋体"/>
          <w:color w:val="auto"/>
          <w:sz w:val="21"/>
          <w:szCs w:val="21"/>
          <w:highlight w:val="none"/>
        </w:rPr>
        <w:t>（项目名称）</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z w:val="21"/>
          <w:szCs w:val="21"/>
          <w:highlight w:val="none"/>
        </w:rPr>
        <w:t>标段施工投标文件、签订合同和处理</w:t>
      </w:r>
      <w:r>
        <w:rPr>
          <w:rFonts w:ascii="宋体" w:hAnsi="宋体" w:eastAsia="宋体" w:cs="宋体"/>
          <w:color w:val="auto"/>
          <w:spacing w:val="-1"/>
          <w:sz w:val="21"/>
          <w:szCs w:val="21"/>
          <w:highlight w:val="none"/>
        </w:rPr>
        <w:t>有关事宜，其法律后果由我方承担。</w:t>
      </w:r>
    </w:p>
    <w:p w14:paraId="5E982986">
      <w:pPr>
        <w:ind w:firstLine="420" w:firstLineChars="200"/>
        <w:outlineLvl w:val="9"/>
        <w:rPr>
          <w:color w:val="auto"/>
          <w:highlight w:val="none"/>
        </w:rPr>
      </w:pPr>
      <w:r>
        <w:rPr>
          <w:color w:val="auto"/>
          <w:highlight w:val="none"/>
        </w:rPr>
        <w:t>委托期限：即日起至投标有效期满止。 代理人无转委托权。</w:t>
      </w:r>
    </w:p>
    <w:p w14:paraId="44A324E0">
      <w:pPr>
        <w:spacing w:line="396" w:lineRule="auto"/>
        <w:outlineLvl w:val="9"/>
        <w:rPr>
          <w:rFonts w:ascii="Arial"/>
          <w:color w:val="auto"/>
          <w:sz w:val="21"/>
          <w:highlight w:val="none"/>
        </w:rPr>
      </w:pPr>
    </w:p>
    <w:p w14:paraId="38E70529">
      <w:pPr>
        <w:spacing w:before="68" w:line="220" w:lineRule="auto"/>
        <w:ind w:left="535"/>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附：法定代表人身份证扫描件及委托代理人身份证扫描件</w:t>
      </w:r>
    </w:p>
    <w:p w14:paraId="737C4C6C">
      <w:pPr>
        <w:spacing w:line="248" w:lineRule="auto"/>
        <w:outlineLvl w:val="9"/>
        <w:rPr>
          <w:rFonts w:ascii="Arial"/>
          <w:color w:val="auto"/>
          <w:sz w:val="21"/>
          <w:highlight w:val="none"/>
        </w:rPr>
      </w:pPr>
    </w:p>
    <w:p w14:paraId="738EEE64">
      <w:pPr>
        <w:spacing w:line="249" w:lineRule="auto"/>
        <w:outlineLvl w:val="9"/>
        <w:rPr>
          <w:rFonts w:ascii="Arial"/>
          <w:color w:val="auto"/>
          <w:sz w:val="21"/>
          <w:highlight w:val="none"/>
        </w:rPr>
      </w:pPr>
    </w:p>
    <w:p w14:paraId="7CF49AFF">
      <w:pPr>
        <w:spacing w:line="249" w:lineRule="auto"/>
        <w:outlineLvl w:val="9"/>
        <w:rPr>
          <w:rFonts w:ascii="Arial"/>
          <w:color w:val="auto"/>
          <w:sz w:val="21"/>
          <w:highlight w:val="none"/>
        </w:rPr>
      </w:pPr>
    </w:p>
    <w:p w14:paraId="164CB771">
      <w:pPr>
        <w:spacing w:line="249" w:lineRule="auto"/>
        <w:outlineLvl w:val="9"/>
        <w:rPr>
          <w:rFonts w:ascii="Arial"/>
          <w:color w:val="auto"/>
          <w:sz w:val="21"/>
          <w:highlight w:val="none"/>
        </w:rPr>
      </w:pPr>
    </w:p>
    <w:p w14:paraId="23934B88">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5"/>
        <w:textAlignment w:val="baseline"/>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投  标</w:t>
      </w:r>
      <w:r>
        <w:rPr>
          <w:rFonts w:ascii="宋体" w:hAnsi="宋体" w:eastAsia="宋体" w:cs="宋体"/>
          <w:color w:val="auto"/>
          <w:spacing w:val="4"/>
          <w:sz w:val="21"/>
          <w:szCs w:val="21"/>
          <w:highlight w:val="none"/>
        </w:rPr>
        <w:t xml:space="preserve">  </w:t>
      </w:r>
      <w:r>
        <w:rPr>
          <w:rFonts w:ascii="宋体" w:hAnsi="宋体" w:eastAsia="宋体" w:cs="宋体"/>
          <w:color w:val="auto"/>
          <w:spacing w:val="-1"/>
          <w:sz w:val="21"/>
          <w:szCs w:val="21"/>
          <w:highlight w:val="none"/>
        </w:rPr>
        <w:t>人</w:t>
      </w:r>
      <w:r>
        <w:rPr>
          <w:rFonts w:ascii="宋体" w:hAnsi="宋体" w:eastAsia="宋体" w:cs="宋体"/>
          <w:color w:val="auto"/>
          <w:spacing w:val="-4"/>
          <w:sz w:val="21"/>
          <w:szCs w:val="21"/>
          <w:highlight w:val="none"/>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1"/>
          <w:sz w:val="21"/>
          <w:szCs w:val="21"/>
          <w:highlight w:val="none"/>
        </w:rPr>
        <w:t>盖单位章）</w:t>
      </w:r>
    </w:p>
    <w:p w14:paraId="628C6B23">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5"/>
        <w:textAlignment w:val="baseline"/>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法定代表人</w:t>
      </w:r>
      <w:r>
        <w:rPr>
          <w:rFonts w:ascii="宋体" w:hAnsi="宋体" w:eastAsia="宋体" w:cs="宋体"/>
          <w:color w:val="auto"/>
          <w:spacing w:val="-1"/>
          <w:sz w:val="21"/>
          <w:szCs w:val="21"/>
          <w:highlight w:val="none"/>
        </w:rPr>
        <w:t>：</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2"/>
          <w:sz w:val="21"/>
          <w:szCs w:val="21"/>
          <w:highlight w:val="none"/>
        </w:rPr>
        <w:t>签字）</w:t>
      </w:r>
    </w:p>
    <w:p w14:paraId="56D49437">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1"/>
        <w:textAlignment w:val="baseline"/>
        <w:outlineLvl w:val="9"/>
        <w:rPr>
          <w:rFonts w:ascii="宋体" w:hAnsi="宋体" w:eastAsia="宋体" w:cs="宋体"/>
          <w:color w:val="auto"/>
          <w:spacing w:val="-2"/>
          <w:sz w:val="21"/>
          <w:szCs w:val="21"/>
          <w:highlight w:val="none"/>
          <w:u w:val="single" w:color="auto"/>
        </w:rPr>
      </w:pPr>
      <w:r>
        <w:rPr>
          <w:rFonts w:ascii="宋体" w:hAnsi="宋体" w:eastAsia="宋体" w:cs="宋体"/>
          <w:color w:val="auto"/>
          <w:spacing w:val="-2"/>
          <w:sz w:val="21"/>
          <w:szCs w:val="21"/>
          <w:highlight w:val="none"/>
        </w:rPr>
        <w:t>身份证号码：</w:t>
      </w:r>
      <w:r>
        <w:rPr>
          <w:rFonts w:ascii="宋体" w:hAnsi="宋体" w:eastAsia="宋体" w:cs="宋体"/>
          <w:color w:val="auto"/>
          <w:spacing w:val="-2"/>
          <w:sz w:val="21"/>
          <w:szCs w:val="21"/>
          <w:highlight w:val="none"/>
          <w:u w:val="single" w:color="auto"/>
        </w:rPr>
        <w:t xml:space="preserve">                                           </w:t>
      </w:r>
    </w:p>
    <w:p w14:paraId="521BA189">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8"/>
        <w:textAlignment w:val="baseline"/>
        <w:outlineLvl w:val="9"/>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委托代理人</w:t>
      </w:r>
      <w:r>
        <w:rPr>
          <w:rFonts w:ascii="宋体" w:hAnsi="宋体" w:eastAsia="宋体" w:cs="宋体"/>
          <w:color w:val="auto"/>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z w:val="21"/>
          <w:szCs w:val="21"/>
          <w:highlight w:val="none"/>
        </w:rPr>
        <w:t>（</w:t>
      </w:r>
      <w:r>
        <w:rPr>
          <w:rFonts w:ascii="宋体" w:hAnsi="宋体" w:eastAsia="宋体" w:cs="宋体"/>
          <w:color w:val="auto"/>
          <w:spacing w:val="-2"/>
          <w:sz w:val="21"/>
          <w:szCs w:val="21"/>
          <w:highlight w:val="none"/>
        </w:rPr>
        <w:t>签字）</w:t>
      </w:r>
    </w:p>
    <w:p w14:paraId="232266FF">
      <w:pPr>
        <w:keepNext w:val="0"/>
        <w:keepLines w:val="0"/>
        <w:pageBreakBefore w:val="0"/>
        <w:widowControl/>
        <w:kinsoku w:val="0"/>
        <w:wordWrap/>
        <w:overflowPunct/>
        <w:topLinePunct w:val="0"/>
        <w:autoSpaceDE w:val="0"/>
        <w:autoSpaceDN w:val="0"/>
        <w:bidi w:val="0"/>
        <w:adjustRightInd w:val="0"/>
        <w:snapToGrid w:val="0"/>
        <w:spacing w:before="68" w:line="360" w:lineRule="auto"/>
        <w:ind w:left="2791"/>
        <w:textAlignment w:val="baseline"/>
        <w:outlineLvl w:val="9"/>
        <w:rPr>
          <w:rFonts w:ascii="宋体" w:hAnsi="宋体" w:eastAsia="宋体" w:cs="宋体"/>
          <w:color w:val="auto"/>
          <w:spacing w:val="-2"/>
          <w:sz w:val="21"/>
          <w:szCs w:val="21"/>
          <w:highlight w:val="none"/>
          <w:u w:val="single" w:color="auto"/>
        </w:rPr>
      </w:pPr>
      <w:r>
        <w:rPr>
          <w:rFonts w:ascii="宋体" w:hAnsi="宋体" w:eastAsia="宋体" w:cs="宋体"/>
          <w:color w:val="auto"/>
          <w:spacing w:val="-2"/>
          <w:sz w:val="21"/>
          <w:szCs w:val="21"/>
          <w:highlight w:val="none"/>
        </w:rPr>
        <w:t>身份证号码：</w:t>
      </w:r>
      <w:r>
        <w:rPr>
          <w:rFonts w:ascii="宋体" w:hAnsi="宋体" w:eastAsia="宋体" w:cs="宋体"/>
          <w:color w:val="auto"/>
          <w:spacing w:val="-2"/>
          <w:sz w:val="21"/>
          <w:szCs w:val="21"/>
          <w:highlight w:val="none"/>
          <w:u w:val="single" w:color="auto"/>
        </w:rPr>
        <w:t xml:space="preserve">                                        </w:t>
      </w:r>
    </w:p>
    <w:p w14:paraId="70472CE9">
      <w:pPr>
        <w:keepNext w:val="0"/>
        <w:keepLines w:val="0"/>
        <w:pageBreakBefore w:val="0"/>
        <w:widowControl/>
        <w:kinsoku w:val="0"/>
        <w:wordWrap/>
        <w:overflowPunct/>
        <w:topLinePunct w:val="0"/>
        <w:autoSpaceDE w:val="0"/>
        <w:autoSpaceDN w:val="0"/>
        <w:bidi w:val="0"/>
        <w:adjustRightInd w:val="0"/>
        <w:snapToGrid w:val="0"/>
        <w:spacing w:before="68" w:line="360" w:lineRule="auto"/>
        <w:ind w:left="2791"/>
        <w:textAlignment w:val="baseline"/>
        <w:outlineLvl w:val="9"/>
        <w:rPr>
          <w:rFonts w:hint="default" w:ascii="_x000B__x000C_" w:hAnsi="_x000B__x000C_" w:eastAsia="_x000B__x000C_" w:cs="Arial"/>
          <w:color w:val="auto"/>
          <w:kern w:val="0"/>
          <w:szCs w:val="21"/>
          <w:highlight w:val="none"/>
          <w:lang w:val="en-US"/>
        </w:rPr>
      </w:pPr>
      <w:r>
        <w:rPr>
          <w:rFonts w:hint="eastAsia" w:ascii="宋体" w:hAnsi="宋体" w:eastAsia="宋体" w:cs="宋体"/>
          <w:snapToGrid w:val="0"/>
          <w:color w:val="auto"/>
          <w:kern w:val="2"/>
          <w:sz w:val="21"/>
          <w:szCs w:val="21"/>
          <w:highlight w:val="none"/>
          <w:lang w:val="en-US" w:eastAsia="zh-CN" w:bidi="ar"/>
        </w:rPr>
        <w:t>代理人手机号码：</w:t>
      </w:r>
      <w:r>
        <w:rPr>
          <w:rFonts w:hint="eastAsia" w:ascii="宋体" w:hAnsi="宋体" w:eastAsia="宋体" w:cs="宋体"/>
          <w:snapToGrid w:val="0"/>
          <w:color w:val="auto"/>
          <w:kern w:val="2"/>
          <w:sz w:val="21"/>
          <w:szCs w:val="21"/>
          <w:highlight w:val="none"/>
          <w:u w:val="single"/>
          <w:lang w:val="en-US" w:eastAsia="zh-CN" w:bidi="ar"/>
        </w:rPr>
        <w:t xml:space="preserve">                       </w:t>
      </w:r>
    </w:p>
    <w:p w14:paraId="74AB21BD">
      <w:pPr>
        <w:spacing w:line="244" w:lineRule="auto"/>
        <w:outlineLvl w:val="9"/>
        <w:rPr>
          <w:rFonts w:ascii="Arial"/>
          <w:color w:val="auto"/>
          <w:sz w:val="21"/>
          <w:highlight w:val="none"/>
        </w:rPr>
      </w:pPr>
    </w:p>
    <w:p w14:paraId="6D9FC122">
      <w:pPr>
        <w:spacing w:line="245" w:lineRule="auto"/>
        <w:outlineLvl w:val="9"/>
        <w:rPr>
          <w:rFonts w:ascii="Arial"/>
          <w:color w:val="auto"/>
          <w:sz w:val="21"/>
          <w:highlight w:val="none"/>
        </w:rPr>
      </w:pPr>
    </w:p>
    <w:p w14:paraId="501AB213">
      <w:pPr>
        <w:spacing w:before="64" w:line="224" w:lineRule="auto"/>
        <w:ind w:left="3353" w:firstLine="1890" w:firstLineChars="900"/>
        <w:outlineLvl w:val="9"/>
        <w:rPr>
          <w:rFonts w:ascii="宋体" w:hAnsi="宋体" w:eastAsia="宋体" w:cs="宋体"/>
          <w:b/>
          <w:bCs/>
          <w:color w:val="auto"/>
          <w:spacing w:val="6"/>
          <w:sz w:val="31"/>
          <w:szCs w:val="31"/>
          <w:highlight w:val="none"/>
        </w:rPr>
      </w:pPr>
      <w:bookmarkStart w:id="410" w:name="bookmark291"/>
      <w:bookmarkEnd w:id="410"/>
      <w:r>
        <w:rPr>
          <w:rFonts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u w:val="single" w:color="auto"/>
          <w:lang w:val="en-US" w:eastAsia="zh-CN"/>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1"/>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7"/>
          <w:sz w:val="21"/>
          <w:szCs w:val="21"/>
          <w:highlight w:val="none"/>
        </w:rPr>
        <w:t>日</w:t>
      </w:r>
    </w:p>
    <w:p w14:paraId="161CCDCE">
      <w:pPr>
        <w:spacing w:before="64" w:line="224" w:lineRule="auto"/>
        <w:ind w:left="3353"/>
        <w:outlineLvl w:val="9"/>
        <w:rPr>
          <w:rFonts w:ascii="宋体" w:hAnsi="宋体" w:eastAsia="宋体" w:cs="宋体"/>
          <w:b/>
          <w:bCs/>
          <w:color w:val="auto"/>
          <w:spacing w:val="6"/>
          <w:sz w:val="31"/>
          <w:szCs w:val="31"/>
          <w:highlight w:val="none"/>
        </w:rPr>
      </w:pPr>
    </w:p>
    <w:p w14:paraId="008596AC">
      <w:pPr>
        <w:spacing w:before="64" w:line="224" w:lineRule="auto"/>
        <w:ind w:left="3353"/>
        <w:outlineLvl w:val="9"/>
        <w:rPr>
          <w:rFonts w:ascii="宋体" w:hAnsi="宋体" w:eastAsia="宋体" w:cs="宋体"/>
          <w:b/>
          <w:bCs/>
          <w:color w:val="auto"/>
          <w:spacing w:val="6"/>
          <w:sz w:val="31"/>
          <w:szCs w:val="31"/>
          <w:highlight w:val="none"/>
        </w:rPr>
      </w:pPr>
    </w:p>
    <w:p w14:paraId="5A60DB84">
      <w:pPr>
        <w:spacing w:before="64" w:line="224" w:lineRule="auto"/>
        <w:ind w:left="3353"/>
        <w:outlineLvl w:val="9"/>
        <w:rPr>
          <w:rFonts w:ascii="宋体" w:hAnsi="宋体" w:eastAsia="宋体" w:cs="宋体"/>
          <w:b/>
          <w:bCs/>
          <w:color w:val="auto"/>
          <w:spacing w:val="6"/>
          <w:sz w:val="31"/>
          <w:szCs w:val="31"/>
          <w:highlight w:val="none"/>
        </w:rPr>
      </w:pPr>
    </w:p>
    <w:p w14:paraId="1FBA63E5">
      <w:pPr>
        <w:spacing w:before="64" w:line="224" w:lineRule="auto"/>
        <w:ind w:left="3353"/>
        <w:outlineLvl w:val="9"/>
        <w:rPr>
          <w:rFonts w:ascii="宋体" w:hAnsi="宋体" w:eastAsia="宋体" w:cs="宋体"/>
          <w:b/>
          <w:bCs/>
          <w:color w:val="auto"/>
          <w:spacing w:val="6"/>
          <w:sz w:val="31"/>
          <w:szCs w:val="31"/>
          <w:highlight w:val="none"/>
        </w:rPr>
      </w:pPr>
    </w:p>
    <w:p w14:paraId="394C18CC">
      <w:pPr>
        <w:spacing w:before="64" w:line="224" w:lineRule="auto"/>
        <w:ind w:left="3353"/>
        <w:outlineLvl w:val="9"/>
        <w:rPr>
          <w:rFonts w:ascii="宋体" w:hAnsi="宋体" w:eastAsia="宋体" w:cs="宋体"/>
          <w:b/>
          <w:bCs/>
          <w:color w:val="auto"/>
          <w:spacing w:val="6"/>
          <w:sz w:val="31"/>
          <w:szCs w:val="31"/>
          <w:highlight w:val="none"/>
        </w:rPr>
      </w:pPr>
    </w:p>
    <w:p w14:paraId="58B74458">
      <w:pPr>
        <w:outlineLvl w:val="9"/>
        <w:rPr>
          <w:rFonts w:ascii="宋体" w:hAnsi="宋体" w:eastAsia="宋体" w:cs="宋体"/>
          <w:b/>
          <w:bCs/>
          <w:color w:val="auto"/>
          <w:spacing w:val="6"/>
          <w:sz w:val="31"/>
          <w:szCs w:val="31"/>
          <w:highlight w:val="none"/>
        </w:rPr>
      </w:pPr>
    </w:p>
    <w:p w14:paraId="0C74A883">
      <w:pPr>
        <w:outlineLvl w:val="9"/>
        <w:rPr>
          <w:color w:val="auto"/>
          <w:highlight w:val="none"/>
        </w:rPr>
      </w:pPr>
    </w:p>
    <w:p w14:paraId="3DDF920E">
      <w:pPr>
        <w:spacing w:before="64" w:line="224" w:lineRule="auto"/>
        <w:ind w:left="3353"/>
        <w:outlineLvl w:val="9"/>
        <w:rPr>
          <w:rFonts w:ascii="宋体" w:hAnsi="宋体" w:eastAsia="宋体" w:cs="宋体"/>
          <w:b/>
          <w:bCs/>
          <w:color w:val="auto"/>
          <w:spacing w:val="6"/>
          <w:sz w:val="31"/>
          <w:szCs w:val="31"/>
          <w:highlight w:val="none"/>
        </w:rPr>
      </w:pPr>
    </w:p>
    <w:p w14:paraId="762B2AB5">
      <w:pPr>
        <w:outlineLvl w:val="9"/>
        <w:rPr>
          <w:color w:val="auto"/>
          <w:highlight w:val="none"/>
        </w:rPr>
      </w:pPr>
    </w:p>
    <w:p w14:paraId="7EC68B10">
      <w:pPr>
        <w:spacing w:before="64" w:line="224" w:lineRule="auto"/>
        <w:ind w:left="3353"/>
        <w:outlineLvl w:val="9"/>
        <w:rPr>
          <w:rFonts w:ascii="宋体" w:hAnsi="宋体" w:eastAsia="宋体" w:cs="宋体"/>
          <w:b/>
          <w:bCs/>
          <w:color w:val="auto"/>
          <w:spacing w:val="6"/>
          <w:sz w:val="31"/>
          <w:szCs w:val="31"/>
          <w:highlight w:val="none"/>
        </w:rPr>
      </w:pPr>
      <w:r>
        <w:rPr>
          <w:rFonts w:ascii="宋体" w:hAnsi="宋体" w:eastAsia="宋体" w:cs="宋体"/>
          <w:b/>
          <w:bCs/>
          <w:color w:val="auto"/>
          <w:spacing w:val="6"/>
          <w:sz w:val="31"/>
          <w:szCs w:val="31"/>
          <w:highlight w:val="none"/>
        </w:rPr>
        <w:br w:type="page"/>
      </w:r>
    </w:p>
    <w:p w14:paraId="25E5570C">
      <w:pPr>
        <w:spacing w:before="64" w:line="224" w:lineRule="auto"/>
        <w:ind w:left="3353"/>
        <w:outlineLvl w:val="9"/>
        <w:rPr>
          <w:rFonts w:ascii="宋体" w:hAnsi="宋体" w:eastAsia="宋体" w:cs="宋体"/>
          <w:color w:val="auto"/>
          <w:sz w:val="31"/>
          <w:szCs w:val="31"/>
          <w:highlight w:val="none"/>
        </w:rPr>
      </w:pPr>
      <w:bookmarkStart w:id="411" w:name="_Toc3312"/>
      <w:r>
        <w:rPr>
          <w:rFonts w:ascii="宋体" w:hAnsi="宋体" w:eastAsia="宋体" w:cs="宋体"/>
          <w:b/>
          <w:bCs/>
          <w:color w:val="auto"/>
          <w:spacing w:val="6"/>
          <w:sz w:val="31"/>
          <w:szCs w:val="31"/>
          <w:highlight w:val="none"/>
        </w:rPr>
        <w:t>三、联合体协议书</w:t>
      </w:r>
      <w:bookmarkEnd w:id="411"/>
    </w:p>
    <w:p w14:paraId="07B7BA24">
      <w:pPr>
        <w:spacing w:line="250" w:lineRule="auto"/>
        <w:outlineLvl w:val="9"/>
        <w:rPr>
          <w:rFonts w:ascii="Arial"/>
          <w:color w:val="auto"/>
          <w:sz w:val="21"/>
          <w:highlight w:val="none"/>
        </w:rPr>
      </w:pPr>
    </w:p>
    <w:p w14:paraId="195BEEF5">
      <w:pPr>
        <w:tabs>
          <w:tab w:val="left" w:pos="2193"/>
        </w:tabs>
        <w:spacing w:before="69" w:line="348" w:lineRule="auto"/>
        <w:ind w:right="19" w:firstLine="511"/>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（所有成员单位名称）自愿组成</w:t>
      </w:r>
      <w:r>
        <w:rPr>
          <w:rFonts w:ascii="宋体" w:hAnsi="宋体" w:eastAsia="宋体" w:cs="宋体"/>
          <w:color w:val="auto"/>
          <w:spacing w:val="-104"/>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 xml:space="preserve">（联合体名称）联合体，共同参加 </w:t>
      </w:r>
      <w:r>
        <w:rPr>
          <w:rFonts w:ascii="宋体" w:hAnsi="宋体" w:eastAsia="宋体" w:cs="宋体"/>
          <w:color w:val="auto"/>
          <w:spacing w:val="-1"/>
          <w:sz w:val="21"/>
          <w:szCs w:val="21"/>
          <w:highlight w:val="none"/>
        </w:rPr>
        <w:t>（项目名称）</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4"/>
          <w:sz w:val="21"/>
          <w:szCs w:val="21"/>
          <w:highlight w:val="none"/>
        </w:rPr>
        <w:t xml:space="preserve"> </w:t>
      </w:r>
      <w:r>
        <w:rPr>
          <w:rFonts w:ascii="宋体" w:hAnsi="宋体" w:eastAsia="宋体" w:cs="宋体"/>
          <w:color w:val="auto"/>
          <w:spacing w:val="-1"/>
          <w:sz w:val="21"/>
          <w:szCs w:val="21"/>
          <w:highlight w:val="none"/>
        </w:rPr>
        <w:t>标段施工招标项目投标。现就联合体投标事宜订立如下协议。</w:t>
      </w:r>
    </w:p>
    <w:p w14:paraId="43D83B1E">
      <w:pPr>
        <w:spacing w:before="27" w:line="220" w:lineRule="auto"/>
        <w:ind w:left="534"/>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1.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（某成员单位名称）为</w:t>
      </w:r>
      <w:r>
        <w:rPr>
          <w:rFonts w:ascii="宋体" w:hAnsi="宋体" w:eastAsia="宋体" w:cs="宋体"/>
          <w:color w:val="auto"/>
          <w:spacing w:val="-78"/>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（联合体名称）牵头人。</w:t>
      </w:r>
    </w:p>
    <w:p w14:paraId="525E68DD">
      <w:pPr>
        <w:spacing w:before="157" w:line="313" w:lineRule="auto"/>
        <w:ind w:left="105" w:firstLine="415"/>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 联合体各成员授权牵头人代表联合体参加投标活动，签署文件，提交和接收相关的资料、信</w:t>
      </w:r>
      <w:r>
        <w:rPr>
          <w:rFonts w:ascii="宋体" w:hAnsi="宋体" w:eastAsia="宋体" w:cs="宋体"/>
          <w:color w:val="auto"/>
          <w:spacing w:val="14"/>
          <w:sz w:val="21"/>
          <w:szCs w:val="21"/>
          <w:highlight w:val="none"/>
        </w:rPr>
        <w:t xml:space="preserve"> </w:t>
      </w:r>
      <w:r>
        <w:rPr>
          <w:rFonts w:ascii="宋体" w:hAnsi="宋体" w:eastAsia="宋体" w:cs="宋体"/>
          <w:color w:val="auto"/>
          <w:spacing w:val="1"/>
          <w:sz w:val="21"/>
          <w:szCs w:val="21"/>
          <w:highlight w:val="none"/>
        </w:rPr>
        <w:t>息及指示，进行合同谈判活动，负责合同实施阶段的组织和协调</w:t>
      </w:r>
      <w:r>
        <w:rPr>
          <w:rFonts w:ascii="宋体" w:hAnsi="宋体" w:eastAsia="宋体" w:cs="宋体"/>
          <w:color w:val="auto"/>
          <w:sz w:val="21"/>
          <w:szCs w:val="21"/>
          <w:highlight w:val="none"/>
        </w:rPr>
        <w:t xml:space="preserve">工作，以及处理与本招标项目有关 </w:t>
      </w:r>
      <w:r>
        <w:rPr>
          <w:rFonts w:ascii="宋体" w:hAnsi="宋体" w:eastAsia="宋体" w:cs="宋体"/>
          <w:color w:val="auto"/>
          <w:spacing w:val="-2"/>
          <w:sz w:val="21"/>
          <w:szCs w:val="21"/>
          <w:highlight w:val="none"/>
        </w:rPr>
        <w:t>的一切事宜。</w:t>
      </w:r>
    </w:p>
    <w:p w14:paraId="40BDF2F6">
      <w:pPr>
        <w:spacing w:before="157" w:line="290" w:lineRule="auto"/>
        <w:ind w:left="100" w:firstLine="423"/>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 联合体牵头人在本项目中签署的一切文件和处理的一切事宜，联合体各成员均予以承认。联</w:t>
      </w:r>
      <w:r>
        <w:rPr>
          <w:rFonts w:ascii="宋体" w:hAnsi="宋体" w:eastAsia="宋体" w:cs="宋体"/>
          <w:color w:val="auto"/>
          <w:spacing w:val="13"/>
          <w:sz w:val="21"/>
          <w:szCs w:val="21"/>
          <w:highlight w:val="none"/>
        </w:rPr>
        <w:t xml:space="preserve"> </w:t>
      </w:r>
      <w:r>
        <w:rPr>
          <w:rFonts w:ascii="宋体" w:hAnsi="宋体" w:eastAsia="宋体" w:cs="宋体"/>
          <w:color w:val="auto"/>
          <w:spacing w:val="-4"/>
          <w:sz w:val="21"/>
          <w:szCs w:val="21"/>
          <w:highlight w:val="none"/>
        </w:rPr>
        <w:t>合体各成员将严格按照招标文件、投标文件和合同的要求全面履行义务，并向招标人承担连带责任。</w:t>
      </w:r>
    </w:p>
    <w:p w14:paraId="5EB49ECA">
      <w:pPr>
        <w:spacing w:before="157" w:line="314" w:lineRule="auto"/>
        <w:ind w:left="115" w:right="10" w:firstLine="402"/>
        <w:outlineLvl w:val="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4. 联合体各成员单位内部的职责分工如下：</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
          <w:sz w:val="21"/>
          <w:szCs w:val="21"/>
          <w:highlight w:val="none"/>
        </w:rPr>
        <w:t>。</w:t>
      </w:r>
    </w:p>
    <w:p w14:paraId="5C8A9EE3">
      <w:pPr>
        <w:spacing w:before="154" w:line="290" w:lineRule="auto"/>
        <w:ind w:left="102" w:firstLine="42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 本协议书自所有成员单位法定代表人（或其委托代理人）签字并盖单位章之日起生效，合同</w:t>
      </w:r>
      <w:r>
        <w:rPr>
          <w:rFonts w:ascii="宋体" w:hAnsi="宋体" w:eastAsia="宋体" w:cs="宋体"/>
          <w:color w:val="auto"/>
          <w:spacing w:val="13"/>
          <w:sz w:val="21"/>
          <w:szCs w:val="21"/>
          <w:highlight w:val="none"/>
        </w:rPr>
        <w:t xml:space="preserve"> </w:t>
      </w:r>
      <w:r>
        <w:rPr>
          <w:rFonts w:ascii="宋体" w:hAnsi="宋体" w:eastAsia="宋体" w:cs="宋体"/>
          <w:color w:val="auto"/>
          <w:spacing w:val="-1"/>
          <w:sz w:val="21"/>
          <w:szCs w:val="21"/>
          <w:highlight w:val="none"/>
        </w:rPr>
        <w:t>履行完毕后自动失效。</w:t>
      </w:r>
    </w:p>
    <w:p w14:paraId="0DA0CAC9">
      <w:pPr>
        <w:spacing w:before="157" w:line="220" w:lineRule="auto"/>
        <w:ind w:left="5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 本协议书一式</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7"/>
          <w:sz w:val="21"/>
          <w:szCs w:val="21"/>
          <w:highlight w:val="none"/>
        </w:rPr>
        <w:t xml:space="preserve"> </w:t>
      </w:r>
      <w:r>
        <w:rPr>
          <w:rFonts w:ascii="宋体" w:hAnsi="宋体" w:eastAsia="宋体" w:cs="宋体"/>
          <w:color w:val="auto"/>
          <w:spacing w:val="-1"/>
          <w:sz w:val="21"/>
          <w:szCs w:val="21"/>
          <w:highlight w:val="none"/>
        </w:rPr>
        <w:t>份，联合体成员和招标人各执一</w:t>
      </w:r>
      <w:r>
        <w:rPr>
          <w:rFonts w:ascii="宋体" w:hAnsi="宋体" w:eastAsia="宋体" w:cs="宋体"/>
          <w:color w:val="auto"/>
          <w:spacing w:val="-2"/>
          <w:sz w:val="21"/>
          <w:szCs w:val="21"/>
          <w:highlight w:val="none"/>
        </w:rPr>
        <w:t>份。</w:t>
      </w:r>
    </w:p>
    <w:p w14:paraId="5ECF9E43">
      <w:pPr>
        <w:spacing w:line="248" w:lineRule="auto"/>
        <w:outlineLvl w:val="9"/>
        <w:rPr>
          <w:rFonts w:ascii="Arial"/>
          <w:color w:val="auto"/>
          <w:sz w:val="21"/>
          <w:highlight w:val="none"/>
        </w:rPr>
      </w:pPr>
    </w:p>
    <w:p w14:paraId="442BD8B3">
      <w:pPr>
        <w:spacing w:line="248" w:lineRule="auto"/>
        <w:outlineLvl w:val="9"/>
        <w:rPr>
          <w:rFonts w:ascii="Arial"/>
          <w:color w:val="auto"/>
          <w:sz w:val="21"/>
          <w:highlight w:val="none"/>
        </w:rPr>
      </w:pPr>
    </w:p>
    <w:p w14:paraId="230DA43E">
      <w:pPr>
        <w:spacing w:before="69" w:line="345" w:lineRule="auto"/>
        <w:ind w:left="98" w:right="3" w:firstLine="420"/>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注：本协议书由法定代表人签字的，应附法定代表人身份证明；由委托代</w:t>
      </w:r>
      <w:r>
        <w:rPr>
          <w:rFonts w:ascii="宋体" w:hAnsi="宋体" w:eastAsia="宋体" w:cs="宋体"/>
          <w:color w:val="auto"/>
          <w:sz w:val="21"/>
          <w:szCs w:val="21"/>
          <w:highlight w:val="none"/>
        </w:rPr>
        <w:t>理人签字的，应附授</w:t>
      </w:r>
      <w:r>
        <w:rPr>
          <w:rFonts w:ascii="宋体" w:hAnsi="宋体" w:eastAsia="宋体" w:cs="宋体"/>
          <w:color w:val="auto"/>
          <w:spacing w:val="-4"/>
          <w:sz w:val="21"/>
          <w:szCs w:val="21"/>
          <w:highlight w:val="none"/>
        </w:rPr>
        <w:t>权委托书。</w:t>
      </w:r>
    </w:p>
    <w:p w14:paraId="0E57C4C7">
      <w:pPr>
        <w:spacing w:line="397" w:lineRule="auto"/>
        <w:outlineLvl w:val="9"/>
        <w:rPr>
          <w:rFonts w:ascii="Arial"/>
          <w:color w:val="auto"/>
          <w:sz w:val="21"/>
          <w:highlight w:val="none"/>
        </w:rPr>
      </w:pPr>
    </w:p>
    <w:p w14:paraId="5957A775">
      <w:pPr>
        <w:tabs>
          <w:tab w:val="left" w:pos="0"/>
        </w:tabs>
        <w:spacing w:before="69" w:line="303" w:lineRule="auto"/>
        <w:ind w:left="0" w:leftChars="0" w:right="686" w:firstLine="0" w:firstLineChars="0"/>
        <w:jc w:val="both"/>
        <w:outlineLvl w:val="9"/>
        <w:rPr>
          <w:rFonts w:ascii="宋体" w:hAnsi="宋体" w:eastAsia="宋体" w:cs="宋体"/>
          <w:color w:val="auto"/>
          <w:spacing w:val="6"/>
          <w:sz w:val="21"/>
          <w:szCs w:val="21"/>
          <w:highlight w:val="none"/>
        </w:rPr>
      </w:pPr>
      <w:r>
        <w:rPr>
          <w:rFonts w:ascii="宋体" w:hAnsi="宋体" w:eastAsia="宋体" w:cs="宋体"/>
          <w:color w:val="auto"/>
          <w:spacing w:val="-2"/>
          <w:sz w:val="21"/>
          <w:szCs w:val="21"/>
          <w:highlight w:val="none"/>
        </w:rPr>
        <w:t>联合体牵头人名称</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2"/>
          <w:sz w:val="21"/>
          <w:szCs w:val="21"/>
          <w:highlight w:val="none"/>
        </w:rPr>
        <w:t>盖单位章）</w:t>
      </w:r>
      <w:r>
        <w:rPr>
          <w:rFonts w:ascii="宋体" w:hAnsi="宋体" w:eastAsia="宋体" w:cs="宋体"/>
          <w:color w:val="auto"/>
          <w:spacing w:val="6"/>
          <w:sz w:val="21"/>
          <w:szCs w:val="21"/>
          <w:highlight w:val="none"/>
        </w:rPr>
        <w:t xml:space="preserve"> </w:t>
      </w:r>
    </w:p>
    <w:p w14:paraId="7B014052">
      <w:pPr>
        <w:tabs>
          <w:tab w:val="left" w:pos="0"/>
        </w:tabs>
        <w:spacing w:before="69" w:line="303" w:lineRule="auto"/>
        <w:ind w:left="0" w:leftChars="0" w:right="686" w:firstLine="0" w:firstLineChars="0"/>
        <w:jc w:val="both"/>
        <w:outlineLvl w:val="9"/>
        <w:rPr>
          <w:rFonts w:ascii="宋体" w:hAnsi="宋体" w:eastAsia="宋体" w:cs="宋体"/>
          <w:color w:val="auto"/>
          <w:sz w:val="21"/>
          <w:szCs w:val="21"/>
          <w:highlight w:val="none"/>
        </w:rPr>
      </w:pPr>
      <w:bookmarkStart w:id="412" w:name="_Toc30646"/>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1"/>
          <w:sz w:val="21"/>
          <w:szCs w:val="21"/>
          <w:highlight w:val="none"/>
        </w:rPr>
        <w:t>签字）</w:t>
      </w:r>
      <w:bookmarkEnd w:id="412"/>
    </w:p>
    <w:p w14:paraId="25785070">
      <w:pPr>
        <w:tabs>
          <w:tab w:val="left" w:pos="0"/>
        </w:tabs>
        <w:spacing w:line="320" w:lineRule="auto"/>
        <w:ind w:left="0" w:leftChars="0" w:firstLine="0" w:firstLineChars="0"/>
        <w:jc w:val="both"/>
        <w:outlineLvl w:val="9"/>
        <w:rPr>
          <w:rFonts w:ascii="Arial"/>
          <w:color w:val="auto"/>
          <w:sz w:val="21"/>
          <w:highlight w:val="none"/>
        </w:rPr>
      </w:pPr>
    </w:p>
    <w:p w14:paraId="145DBD75">
      <w:pPr>
        <w:tabs>
          <w:tab w:val="left" w:pos="0"/>
        </w:tabs>
        <w:spacing w:before="69" w:line="303" w:lineRule="auto"/>
        <w:ind w:left="0" w:leftChars="0" w:right="686" w:firstLine="0" w:firstLineChars="0"/>
        <w:jc w:val="both"/>
        <w:outlineLvl w:val="9"/>
        <w:rPr>
          <w:rFonts w:ascii="宋体" w:hAnsi="宋体" w:eastAsia="宋体" w:cs="宋体"/>
          <w:color w:val="auto"/>
          <w:spacing w:val="4"/>
          <w:sz w:val="21"/>
          <w:szCs w:val="21"/>
          <w:highlight w:val="none"/>
        </w:rPr>
      </w:pPr>
      <w:r>
        <w:rPr>
          <w:rFonts w:ascii="宋体" w:hAnsi="宋体" w:eastAsia="宋体" w:cs="宋体"/>
          <w:color w:val="auto"/>
          <w:spacing w:val="-2"/>
          <w:sz w:val="21"/>
          <w:szCs w:val="21"/>
          <w:highlight w:val="none"/>
        </w:rPr>
        <w:t>联合体成员名称</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2"/>
          <w:sz w:val="21"/>
          <w:szCs w:val="21"/>
          <w:highlight w:val="none"/>
        </w:rPr>
        <w:t>盖单位章）</w:t>
      </w:r>
      <w:r>
        <w:rPr>
          <w:rFonts w:ascii="宋体" w:hAnsi="宋体" w:eastAsia="宋体" w:cs="宋体"/>
          <w:color w:val="auto"/>
          <w:spacing w:val="4"/>
          <w:sz w:val="21"/>
          <w:szCs w:val="21"/>
          <w:highlight w:val="none"/>
        </w:rPr>
        <w:t xml:space="preserve"> </w:t>
      </w:r>
    </w:p>
    <w:p w14:paraId="37BEEA18">
      <w:pPr>
        <w:tabs>
          <w:tab w:val="left" w:pos="0"/>
        </w:tabs>
        <w:spacing w:before="69" w:line="303" w:lineRule="auto"/>
        <w:ind w:left="0" w:leftChars="0" w:right="686" w:firstLine="0" w:firstLineChars="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1"/>
          <w:sz w:val="21"/>
          <w:szCs w:val="21"/>
          <w:highlight w:val="none"/>
        </w:rPr>
        <w:t>（签字）</w:t>
      </w:r>
    </w:p>
    <w:p w14:paraId="2C89640D">
      <w:pPr>
        <w:tabs>
          <w:tab w:val="left" w:pos="0"/>
        </w:tabs>
        <w:spacing w:line="320" w:lineRule="auto"/>
        <w:ind w:left="0" w:leftChars="0" w:firstLine="0" w:firstLineChars="0"/>
        <w:jc w:val="both"/>
        <w:outlineLvl w:val="9"/>
        <w:rPr>
          <w:rFonts w:ascii="Arial"/>
          <w:color w:val="auto"/>
          <w:sz w:val="21"/>
          <w:highlight w:val="none"/>
        </w:rPr>
      </w:pPr>
    </w:p>
    <w:p w14:paraId="0F6541BC">
      <w:pPr>
        <w:tabs>
          <w:tab w:val="left" w:pos="0"/>
        </w:tabs>
        <w:spacing w:before="69" w:line="303" w:lineRule="auto"/>
        <w:ind w:left="0" w:leftChars="0" w:right="686" w:firstLine="0" w:firstLineChars="0"/>
        <w:jc w:val="both"/>
        <w:outlineLvl w:val="9"/>
        <w:rPr>
          <w:rFonts w:ascii="宋体" w:hAnsi="宋体" w:eastAsia="宋体" w:cs="宋体"/>
          <w:color w:val="auto"/>
          <w:spacing w:val="4"/>
          <w:sz w:val="21"/>
          <w:szCs w:val="21"/>
          <w:highlight w:val="none"/>
        </w:rPr>
      </w:pPr>
      <w:r>
        <w:rPr>
          <w:rFonts w:ascii="宋体" w:hAnsi="宋体" w:eastAsia="宋体" w:cs="宋体"/>
          <w:color w:val="auto"/>
          <w:spacing w:val="-2"/>
          <w:sz w:val="21"/>
          <w:szCs w:val="21"/>
          <w:highlight w:val="none"/>
        </w:rPr>
        <w:t>联合体成员名称</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2"/>
          <w:sz w:val="21"/>
          <w:szCs w:val="21"/>
          <w:highlight w:val="none"/>
        </w:rPr>
        <w:t>盖单位章）</w:t>
      </w:r>
      <w:r>
        <w:rPr>
          <w:rFonts w:ascii="宋体" w:hAnsi="宋体" w:eastAsia="宋体" w:cs="宋体"/>
          <w:color w:val="auto"/>
          <w:spacing w:val="4"/>
          <w:sz w:val="21"/>
          <w:szCs w:val="21"/>
          <w:highlight w:val="none"/>
        </w:rPr>
        <w:t xml:space="preserve"> </w:t>
      </w:r>
    </w:p>
    <w:p w14:paraId="2475B753">
      <w:pPr>
        <w:tabs>
          <w:tab w:val="left" w:pos="0"/>
        </w:tabs>
        <w:spacing w:before="69" w:line="303" w:lineRule="auto"/>
        <w:ind w:left="0" w:leftChars="0" w:right="686" w:firstLine="0" w:firstLineChars="0"/>
        <w:jc w:val="both"/>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1"/>
          <w:sz w:val="21"/>
          <w:szCs w:val="21"/>
          <w:highlight w:val="none"/>
        </w:rPr>
        <w:t>（签字）</w:t>
      </w:r>
    </w:p>
    <w:p w14:paraId="2F7E8138">
      <w:pPr>
        <w:tabs>
          <w:tab w:val="left" w:pos="0"/>
        </w:tabs>
        <w:spacing w:before="30" w:line="333" w:lineRule="exact"/>
        <w:ind w:left="0" w:leftChars="0" w:firstLine="0" w:firstLineChars="0"/>
        <w:jc w:val="both"/>
        <w:outlineLvl w:val="9"/>
        <w:rPr>
          <w:rFonts w:ascii="宋体" w:hAnsi="宋体" w:eastAsia="宋体" w:cs="宋体"/>
          <w:color w:val="auto"/>
          <w:sz w:val="21"/>
          <w:szCs w:val="21"/>
          <w:highlight w:val="none"/>
        </w:rPr>
      </w:pPr>
      <w:r>
        <w:rPr>
          <w:rFonts w:ascii="宋体" w:hAnsi="宋体" w:eastAsia="宋体" w:cs="宋体"/>
          <w:color w:val="auto"/>
          <w:spacing w:val="-5"/>
          <w:position w:val="2"/>
          <w:sz w:val="21"/>
          <w:szCs w:val="21"/>
          <w:highlight w:val="none"/>
        </w:rPr>
        <w:t>……</w:t>
      </w:r>
    </w:p>
    <w:p w14:paraId="11CCABF7">
      <w:pPr>
        <w:tabs>
          <w:tab w:val="left" w:pos="4528"/>
        </w:tabs>
        <w:spacing w:before="27" w:line="221" w:lineRule="auto"/>
        <w:ind w:left="379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96"/>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7"/>
          <w:sz w:val="21"/>
          <w:szCs w:val="21"/>
          <w:highlight w:val="none"/>
        </w:rPr>
        <w:t>日</w:t>
      </w:r>
    </w:p>
    <w:p w14:paraId="1E8CDA9E">
      <w:pPr>
        <w:spacing w:line="221" w:lineRule="auto"/>
        <w:outlineLvl w:val="9"/>
        <w:rPr>
          <w:rFonts w:ascii="宋体" w:hAnsi="宋体" w:eastAsia="宋体" w:cs="宋体"/>
          <w:color w:val="auto"/>
          <w:sz w:val="21"/>
          <w:szCs w:val="21"/>
          <w:highlight w:val="none"/>
        </w:rPr>
      </w:pPr>
    </w:p>
    <w:p w14:paraId="438F84FA">
      <w:pPr>
        <w:outlineLvl w:val="9"/>
        <w:rPr>
          <w:rFonts w:hint="eastAsia" w:eastAsia="宋体"/>
          <w:color w:val="auto"/>
          <w:highlight w:val="none"/>
          <w:lang w:eastAsia="zh-CN"/>
        </w:rPr>
      </w:pPr>
      <w:r>
        <w:rPr>
          <w:color w:val="auto"/>
          <w:highlight w:val="none"/>
        </w:rPr>
        <w:br w:type="page"/>
      </w:r>
    </w:p>
    <w:p w14:paraId="7BE07F51">
      <w:pPr>
        <w:spacing w:before="63" w:line="226" w:lineRule="auto"/>
        <w:ind w:left="3445"/>
        <w:outlineLvl w:val="9"/>
        <w:rPr>
          <w:rFonts w:ascii="宋体" w:hAnsi="宋体" w:eastAsia="宋体" w:cs="宋体"/>
          <w:color w:val="auto"/>
          <w:sz w:val="31"/>
          <w:szCs w:val="31"/>
          <w:highlight w:val="none"/>
        </w:rPr>
      </w:pPr>
      <w:bookmarkStart w:id="413" w:name="_Toc10401"/>
      <w:r>
        <w:rPr>
          <w:rFonts w:ascii="宋体" w:hAnsi="宋体" w:eastAsia="宋体" w:cs="宋体"/>
          <w:b/>
          <w:bCs/>
          <w:color w:val="auto"/>
          <w:spacing w:val="1"/>
          <w:sz w:val="31"/>
          <w:szCs w:val="31"/>
          <w:highlight w:val="none"/>
        </w:rPr>
        <w:t>四、投标保证金</w:t>
      </w:r>
      <w:bookmarkEnd w:id="413"/>
    </w:p>
    <w:p w14:paraId="706906C5">
      <w:pPr>
        <w:spacing w:line="294" w:lineRule="auto"/>
        <w:outlineLvl w:val="9"/>
        <w:rPr>
          <w:rFonts w:ascii="Arial"/>
          <w:color w:val="auto"/>
          <w:sz w:val="21"/>
          <w:highlight w:val="none"/>
        </w:rPr>
      </w:pPr>
    </w:p>
    <w:p w14:paraId="799D2511">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如采用现金（银行转账、银行电汇）的，系统自动抓取投标保证金提交信息，投标人应在投标文件中提供基本存款账户证明扫描件（如基本存款账户开户许可证或基本存款账户信息）。</w:t>
      </w:r>
    </w:p>
    <w:p w14:paraId="43D1E1D1">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如采用纸质银行保函的，投标人应在投标文件中提供基本存款账户证明（如基本存款账户开户许可证或基本存款账户信息）、银行保函扫描件。银行保函格式见</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投标保函示范文本</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w:t>
      </w:r>
    </w:p>
    <w:p w14:paraId="6F7BE30D">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纸质担保机构担保的，投标人须将本单位针对该项目（标段）从基本账户汇出保函费用的凭证（须载有所投项目标段编号或项目名称、投标人基本账户信息、收取该费用的保函出具单位名称及其账户信息）扫描件、基本存款账户信息（或基本账户开户许可证）扫描件、保函扫描件、融资担保机构的融资担保业务经营许可证扫描件编入投标文件中。担保机构担保格式见</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投标保函示范文本</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w:t>
      </w:r>
    </w:p>
    <w:p w14:paraId="1DB9B0B7">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纸质保证保险的，投标人须将本单位针对该项目（标段）从基本账户汇出保证保险费用的凭证（须载有所投项目标段编号或项目名称、投标人基本账户信息、收取该费用的保证保险出具单位名称及其账户信息）扫描件、基本存款账户信息（或基本账户开户许可证）扫描件、保证保险扫描件编入投标文件中。保证保险格式见</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投标保函示范文本</w:t>
      </w:r>
      <w:r>
        <w:rPr>
          <w:rFonts w:hint="default" w:ascii="Times New Roman" w:hAnsi="Times New Roman" w:eastAsia="宋体" w:cs="Times New Roman"/>
          <w:snapToGrid w:val="0"/>
          <w:color w:val="auto"/>
          <w:kern w:val="0"/>
          <w:sz w:val="21"/>
          <w:szCs w:val="21"/>
          <w:highlight w:val="none"/>
          <w:lang w:val="en-US" w:eastAsia="zh-CN" w:bidi="ar"/>
        </w:rPr>
        <w:t>”</w:t>
      </w:r>
      <w:r>
        <w:rPr>
          <w:rFonts w:hint="eastAsia" w:ascii="Times New Roman" w:hAnsi="Times New Roman" w:eastAsia="宋体" w:cs="宋体"/>
          <w:snapToGrid w:val="0"/>
          <w:color w:val="auto"/>
          <w:kern w:val="0"/>
          <w:sz w:val="21"/>
          <w:szCs w:val="21"/>
          <w:highlight w:val="none"/>
          <w:lang w:val="en-US" w:eastAsia="zh-CN" w:bidi="ar"/>
        </w:rPr>
        <w:t>。</w:t>
      </w:r>
    </w:p>
    <w:p w14:paraId="621215D3">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outlineLvl w:val="9"/>
        <w:rPr>
          <w:color w:val="auto"/>
          <w:kern w:val="0"/>
          <w:szCs w:val="21"/>
          <w:highlight w:val="none"/>
          <w:lang w:val="en-US"/>
        </w:rPr>
      </w:pPr>
      <w:r>
        <w:rPr>
          <w:rFonts w:hint="eastAsia" w:ascii="Times New Roman" w:hAnsi="Times New Roman" w:eastAsia="宋体" w:cs="宋体"/>
          <w:snapToGrid w:val="0"/>
          <w:color w:val="auto"/>
          <w:kern w:val="0"/>
          <w:sz w:val="21"/>
          <w:szCs w:val="21"/>
          <w:highlight w:val="none"/>
          <w:lang w:val="en-US" w:eastAsia="zh-CN" w:bidi="ar"/>
        </w:rPr>
        <w:t>如采用电子保函的，系统自动抓取电子保函信息，投标文件无需提供相关证明材料。</w:t>
      </w:r>
    </w:p>
    <w:p w14:paraId="66E88C61">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outlineLvl w:val="9"/>
        <w:rPr>
          <w:rFonts w:hint="default" w:ascii="_x000B__x000C_" w:hAnsi="_x000B__x000C_" w:eastAsia="_x000B__x000C_" w:cs="_x000B__x000C_"/>
          <w:b/>
          <w:bCs w:val="0"/>
          <w:color w:val="auto"/>
          <w:highlight w:val="none"/>
          <w:lang w:val="en-US"/>
        </w:rPr>
      </w:pPr>
    </w:p>
    <w:p w14:paraId="7C587DED">
      <w:pPr>
        <w:keepNext w:val="0"/>
        <w:keepLines w:val="0"/>
        <w:widowControl w:val="0"/>
        <w:suppressLineNumbers w:val="0"/>
        <w:tabs>
          <w:tab w:val="left" w:pos="8422"/>
          <w:tab w:val="left" w:pos="9622"/>
        </w:tabs>
        <w:wordWrap w:val="0"/>
        <w:spacing w:before="0" w:beforeAutospacing="0" w:after="0" w:afterAutospacing="0" w:line="360" w:lineRule="auto"/>
        <w:ind w:left="0" w:right="0"/>
        <w:jc w:val="left"/>
        <w:outlineLvl w:val="9"/>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br w:type="page"/>
      </w:r>
      <w:bookmarkStart w:id="414" w:name="_Toc10421"/>
      <w:bookmarkStart w:id="415" w:name="_Toc8851"/>
      <w:bookmarkStart w:id="416" w:name="_Toc17295"/>
      <w:bookmarkStart w:id="417" w:name="_Toc12410"/>
      <w:bookmarkStart w:id="418" w:name="_Toc3980"/>
    </w:p>
    <w:p w14:paraId="1D9EE12C">
      <w:pPr>
        <w:keepNext w:val="0"/>
        <w:keepLines w:val="0"/>
        <w:widowControl w:val="0"/>
        <w:suppressLineNumbers w:val="0"/>
        <w:tabs>
          <w:tab w:val="left" w:pos="8422"/>
          <w:tab w:val="left" w:pos="9622"/>
        </w:tabs>
        <w:wordWrap w:val="0"/>
        <w:spacing w:before="0" w:beforeAutospacing="0" w:after="0" w:afterAutospacing="0" w:line="360" w:lineRule="auto"/>
        <w:ind w:left="0" w:right="105" w:rightChars="50"/>
        <w:jc w:val="center"/>
        <w:outlineLvl w:val="9"/>
        <w:rPr>
          <w:rFonts w:hint="eastAsia" w:ascii="宋体" w:hAnsi="宋体" w:eastAsia="宋体" w:cs="宋体"/>
          <w:b/>
          <w:bCs/>
          <w:color w:val="auto"/>
          <w:sz w:val="28"/>
          <w:szCs w:val="28"/>
          <w:highlight w:val="none"/>
          <w:lang w:val="en-US"/>
        </w:rPr>
      </w:pPr>
      <w:bookmarkStart w:id="419" w:name="_Toc5627"/>
      <w:r>
        <w:rPr>
          <w:rFonts w:hint="eastAsia" w:ascii="宋体" w:hAnsi="宋体" w:eastAsia="宋体" w:cs="宋体"/>
          <w:b/>
          <w:bCs/>
          <w:snapToGrid w:val="0"/>
          <w:color w:val="auto"/>
          <w:kern w:val="2"/>
          <w:sz w:val="28"/>
          <w:szCs w:val="28"/>
          <w:highlight w:val="none"/>
          <w:lang w:val="en-US" w:eastAsia="zh-CN" w:bidi="ar"/>
        </w:rPr>
        <w:t>（一）投标保函示范文本</w:t>
      </w:r>
      <w:bookmarkEnd w:id="414"/>
      <w:bookmarkEnd w:id="415"/>
      <w:bookmarkEnd w:id="416"/>
      <w:bookmarkEnd w:id="417"/>
      <w:bookmarkEnd w:id="418"/>
      <w:bookmarkEnd w:id="419"/>
    </w:p>
    <w:p w14:paraId="619B881D">
      <w:pPr>
        <w:keepNext w:val="0"/>
        <w:keepLines w:val="0"/>
        <w:widowControl w:val="0"/>
        <w:suppressLineNumbers w:val="0"/>
        <w:tabs>
          <w:tab w:val="left" w:pos="8422"/>
          <w:tab w:val="left" w:pos="9622"/>
        </w:tabs>
        <w:wordWrap w:val="0"/>
        <w:spacing w:before="0" w:beforeAutospacing="0" w:after="0" w:afterAutospacing="0" w:line="360" w:lineRule="auto"/>
        <w:ind w:left="0" w:right="0"/>
        <w:jc w:val="left"/>
        <w:outlineLvl w:val="9"/>
        <w:rPr>
          <w:rFonts w:hint="default" w:ascii="_x000B__x000C_" w:hAnsi="_x000B__x000C_" w:eastAsia="_x000B__x000C_" w:cs="_x000B__x000C_"/>
          <w:color w:val="auto"/>
          <w:highlight w:val="none"/>
          <w:lang w:val="en-US"/>
        </w:rPr>
      </w:pPr>
      <w:r>
        <w:rPr>
          <w:rFonts w:hint="default" w:ascii="_x000B__x000C_" w:hAnsi="_x000B__x000C_" w:eastAsia="_x000B__x000C_" w:cs="_x000B__x000C_"/>
          <w:snapToGrid w:val="0"/>
          <w:color w:val="auto"/>
          <w:kern w:val="2"/>
          <w:sz w:val="21"/>
          <w:szCs w:val="24"/>
          <w:highlight w:val="none"/>
          <w:lang w:val="en-US" w:eastAsia="zh-CN" w:bidi="ar"/>
        </w:rPr>
        <w:t xml:space="preserve">                                     </w:t>
      </w:r>
      <w:bookmarkStart w:id="420" w:name="_Toc12727"/>
      <w:r>
        <w:rPr>
          <w:rFonts w:hint="eastAsia" w:ascii="_x000B__x000C_" w:hAnsi="_x000B__x000C_" w:eastAsia="宋体" w:cs="宋体"/>
          <w:snapToGrid w:val="0"/>
          <w:color w:val="auto"/>
          <w:kern w:val="2"/>
          <w:sz w:val="21"/>
          <w:szCs w:val="24"/>
          <w:highlight w:val="none"/>
          <w:lang w:val="en-US" w:eastAsia="zh-CN" w:bidi="ar"/>
        </w:rPr>
        <w:t>编号：</w:t>
      </w:r>
      <w:bookmarkEnd w:id="420"/>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p>
    <w:p w14:paraId="1576E201">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outlineLvl w:val="9"/>
        <w:rPr>
          <w:rFonts w:hint="default" w:ascii="_x000B__x000C_" w:hAnsi="_x000B__x000C_" w:eastAsia="_x000B__x000C_" w:cs="_x000B__x000C_"/>
          <w:color w:val="auto"/>
          <w:highlight w:val="none"/>
          <w:lang w:val="en-US"/>
        </w:rPr>
      </w:pPr>
    </w:p>
    <w:p w14:paraId="2802C97A">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105" w:rightChars="5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致：</w:t>
      </w:r>
      <w:r>
        <w:rPr>
          <w:rFonts w:hint="eastAsia" w:ascii="_x000B__x000C_" w:hAnsi="_x000B__x000C_" w:eastAsia="宋体" w:cs="宋体"/>
          <w:snapToGrid w:val="0"/>
          <w:color w:val="auto"/>
          <w:kern w:val="2"/>
          <w:sz w:val="21"/>
          <w:szCs w:val="24"/>
          <w:highlight w:val="none"/>
          <w:u w:val="single"/>
          <w:lang w:val="en-US" w:eastAsia="zh-CN" w:bidi="ar"/>
        </w:rPr>
        <w:t>受益人（招标人）名称</w:t>
      </w:r>
    </w:p>
    <w:p w14:paraId="6F96F4C8">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开立人获得通知，</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（投标人）于</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年</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月</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日参加编号为</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（标段编号）的</w:t>
      </w:r>
      <w:r>
        <w:rPr>
          <w:rFonts w:hint="default" w:ascii="_x000B__x000C_" w:hAnsi="_x000B__x000C_" w:eastAsia="_x000B__x000C_" w:cs="_x000B__x000C_"/>
          <w:snapToGrid w:val="0"/>
          <w:color w:val="auto"/>
          <w:kern w:val="0"/>
          <w:sz w:val="21"/>
          <w:szCs w:val="21"/>
          <w:highlight w:val="none"/>
          <w:u w:val="single"/>
          <w:lang w:val="en-US" w:eastAsia="zh-CN" w:bidi="ar"/>
        </w:rPr>
        <w:t xml:space="preserve">                  </w:t>
      </w:r>
      <w:r>
        <w:rPr>
          <w:rFonts w:hint="eastAsia" w:ascii="_x000B__x000C_" w:hAnsi="_x000B__x000C_" w:eastAsia="宋体" w:cs="Arial"/>
          <w:snapToGrid w:val="0"/>
          <w:color w:val="auto"/>
          <w:kern w:val="0"/>
          <w:sz w:val="21"/>
          <w:szCs w:val="21"/>
          <w:highlight w:val="none"/>
          <w:lang w:val="en-US" w:eastAsia="zh-CN" w:bidi="ar"/>
        </w:rPr>
        <w:t>（</w:t>
      </w:r>
      <w:r>
        <w:rPr>
          <w:rFonts w:hint="eastAsia" w:ascii="_x000B__x000C_" w:hAnsi="_x000B__x000C_" w:eastAsia="宋体" w:cs="宋体"/>
          <w:snapToGrid w:val="0"/>
          <w:color w:val="auto"/>
          <w:kern w:val="0"/>
          <w:sz w:val="21"/>
          <w:szCs w:val="21"/>
          <w:highlight w:val="none"/>
          <w:lang w:val="en-US" w:eastAsia="zh-CN" w:bidi="ar"/>
        </w:rPr>
        <w:t>项目名称</w:t>
      </w:r>
      <w:r>
        <w:rPr>
          <w:rFonts w:hint="eastAsia" w:ascii="_x000B__x000C_" w:hAnsi="_x000B__x000C_" w:eastAsia="宋体" w:cs="Arial"/>
          <w:snapToGrid w:val="0"/>
          <w:color w:val="auto"/>
          <w:kern w:val="0"/>
          <w:sz w:val="21"/>
          <w:szCs w:val="21"/>
          <w:highlight w:val="none"/>
          <w:lang w:val="en-US" w:eastAsia="zh-CN" w:bidi="ar"/>
        </w:rPr>
        <w:t>）</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（标段名称）投标（即“基础交易”）。</w:t>
      </w:r>
    </w:p>
    <w:p w14:paraId="370D02B3">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元（</w:t>
      </w:r>
      <w:r>
        <w:rPr>
          <w:rFonts w:hint="default" w:ascii="_x000B__x000C_" w:hAnsi="_x000B__x000C_" w:eastAsia="_x000B__x000C_" w:cs="_x000B__x000C_"/>
          <w:snapToGrid w:val="0"/>
          <w:color w:val="auto"/>
          <w:kern w:val="2"/>
          <w:sz w:val="21"/>
          <w:szCs w:val="24"/>
          <w:highlight w:val="none"/>
          <w:lang w:val="en-US" w:eastAsia="zh-CN" w:bidi="ar"/>
        </w:rPr>
        <w:t xml:space="preserve">¥ </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w:t>
      </w:r>
    </w:p>
    <w:p w14:paraId="1AE66A07">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bookmarkStart w:id="421" w:name="_Toc27126"/>
      <w:r>
        <w:rPr>
          <w:rFonts w:hint="eastAsia" w:ascii="_x000B__x000C_" w:hAnsi="_x000B__x000C_" w:eastAsia="宋体" w:cs="宋体"/>
          <w:snapToGrid w:val="0"/>
          <w:color w:val="auto"/>
          <w:kern w:val="2"/>
          <w:sz w:val="21"/>
          <w:szCs w:val="24"/>
          <w:highlight w:val="none"/>
          <w:lang w:val="en-US" w:eastAsia="zh-CN" w:bidi="ar"/>
        </w:rPr>
        <w:t>二、开立人在投标人发生以下情形时承担保证担保责任：</w:t>
      </w:r>
      <w:bookmarkEnd w:id="421"/>
    </w:p>
    <w:p w14:paraId="5E90F68E">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1</w:t>
      </w:r>
      <w:r>
        <w:rPr>
          <w:rFonts w:hint="eastAsia" w:ascii="_x000B__x000C_" w:hAnsi="_x000B__x000C_" w:eastAsia="宋体" w:cs="宋体"/>
          <w:snapToGrid w:val="0"/>
          <w:color w:val="auto"/>
          <w:kern w:val="2"/>
          <w:sz w:val="21"/>
          <w:szCs w:val="24"/>
          <w:highlight w:val="none"/>
          <w:lang w:val="en-US" w:eastAsia="zh-CN" w:bidi="ar"/>
        </w:rPr>
        <w:t>）投标人在投标有效期内撤销投标文件；</w:t>
      </w:r>
    </w:p>
    <w:p w14:paraId="4A2B20AA">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2</w:t>
      </w:r>
      <w:r>
        <w:rPr>
          <w:rFonts w:hint="eastAsia" w:ascii="_x000B__x000C_" w:hAnsi="_x000B__x000C_" w:eastAsia="宋体" w:cs="宋体"/>
          <w:snapToGrid w:val="0"/>
          <w:color w:val="auto"/>
          <w:kern w:val="2"/>
          <w:sz w:val="21"/>
          <w:szCs w:val="24"/>
          <w:highlight w:val="none"/>
          <w:lang w:val="en-US" w:eastAsia="zh-CN" w:bidi="ar"/>
        </w:rPr>
        <w:t>）投标人在中标后无正当理由不与招标人订立合同；</w:t>
      </w:r>
    </w:p>
    <w:p w14:paraId="2E8766CD">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3</w:t>
      </w:r>
      <w:r>
        <w:rPr>
          <w:rFonts w:hint="eastAsia" w:ascii="_x000B__x000C_" w:hAnsi="_x000B__x000C_" w:eastAsia="宋体" w:cs="宋体"/>
          <w:snapToGrid w:val="0"/>
          <w:color w:val="auto"/>
          <w:kern w:val="2"/>
          <w:sz w:val="21"/>
          <w:szCs w:val="24"/>
          <w:highlight w:val="none"/>
          <w:lang w:val="en-US" w:eastAsia="zh-CN" w:bidi="ar"/>
        </w:rPr>
        <w:t>）投标人在签订合同时向招标人提出附加条件；</w:t>
      </w:r>
    </w:p>
    <w:p w14:paraId="69B6D637">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4</w:t>
      </w:r>
      <w:r>
        <w:rPr>
          <w:rFonts w:hint="eastAsia" w:ascii="_x000B__x000C_" w:hAnsi="_x000B__x000C_" w:eastAsia="宋体" w:cs="宋体"/>
          <w:snapToGrid w:val="0"/>
          <w:color w:val="auto"/>
          <w:kern w:val="2"/>
          <w:sz w:val="21"/>
          <w:szCs w:val="24"/>
          <w:highlight w:val="none"/>
          <w:lang w:val="en-US" w:eastAsia="zh-CN" w:bidi="ar"/>
        </w:rPr>
        <w:t>）投标人不按照招标文件要求提交履约保证金；</w:t>
      </w:r>
    </w:p>
    <w:p w14:paraId="593895DD">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5</w:t>
      </w:r>
      <w:r>
        <w:rPr>
          <w:rFonts w:hint="eastAsia" w:ascii="_x000B__x000C_" w:hAnsi="_x000B__x000C_" w:eastAsia="宋体" w:cs="宋体"/>
          <w:snapToGrid w:val="0"/>
          <w:color w:val="auto"/>
          <w:kern w:val="2"/>
          <w:sz w:val="21"/>
          <w:szCs w:val="24"/>
          <w:highlight w:val="none"/>
          <w:lang w:val="en-US" w:eastAsia="zh-CN" w:bidi="ar"/>
        </w:rPr>
        <w:t>）发生招标文件明确规定可以不予退还投标保证金的其他情形。</w:t>
      </w:r>
    </w:p>
    <w:p w14:paraId="4179D552">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三、本保函为不可撤销、不可转让的见索即付独立保函。本保函有效期自开立之日起至投标有效期届满之日止。</w:t>
      </w:r>
    </w:p>
    <w:p w14:paraId="32BFA9C0">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四、开立人承诺，在收到受益人发来的书面付款通知后的七日内无条件支付，前述书面付款通知即为付款要求之单据，且应满足以下要求：</w:t>
      </w:r>
    </w:p>
    <w:p w14:paraId="02C6DDDF">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1</w:t>
      </w:r>
      <w:r>
        <w:rPr>
          <w:rFonts w:hint="eastAsia" w:ascii="_x000B__x000C_" w:hAnsi="_x000B__x000C_" w:eastAsia="宋体" w:cs="宋体"/>
          <w:snapToGrid w:val="0"/>
          <w:color w:val="auto"/>
          <w:kern w:val="2"/>
          <w:sz w:val="21"/>
          <w:szCs w:val="24"/>
          <w:highlight w:val="none"/>
          <w:lang w:val="en-US" w:eastAsia="zh-CN" w:bidi="ar"/>
        </w:rPr>
        <w:t>）付款通知到达的日期在本保函的有效期内；</w:t>
      </w:r>
    </w:p>
    <w:p w14:paraId="278D8B73">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2</w:t>
      </w:r>
      <w:r>
        <w:rPr>
          <w:rFonts w:hint="eastAsia" w:ascii="_x000B__x000C_" w:hAnsi="_x000B__x000C_" w:eastAsia="宋体" w:cs="宋体"/>
          <w:snapToGrid w:val="0"/>
          <w:color w:val="auto"/>
          <w:kern w:val="2"/>
          <w:sz w:val="21"/>
          <w:szCs w:val="24"/>
          <w:highlight w:val="none"/>
          <w:lang w:val="en-US" w:eastAsia="zh-CN" w:bidi="ar"/>
        </w:rPr>
        <w:t>）载明要求支付的金额；</w:t>
      </w:r>
    </w:p>
    <w:p w14:paraId="5AE17A11">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3</w:t>
      </w:r>
      <w:r>
        <w:rPr>
          <w:rFonts w:hint="eastAsia" w:ascii="_x000B__x000C_" w:hAnsi="_x000B__x000C_" w:eastAsia="宋体" w:cs="宋体"/>
          <w:snapToGrid w:val="0"/>
          <w:color w:val="auto"/>
          <w:kern w:val="2"/>
          <w:sz w:val="21"/>
          <w:szCs w:val="24"/>
          <w:highlight w:val="none"/>
          <w:lang w:val="en-US" w:eastAsia="zh-CN" w:bidi="ar"/>
        </w:rPr>
        <w:t>）载明申请人违反招投标文件规定的义务内容和具体条款；</w:t>
      </w:r>
    </w:p>
    <w:p w14:paraId="76D86007">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4</w:t>
      </w:r>
      <w:r>
        <w:rPr>
          <w:rFonts w:hint="eastAsia" w:ascii="_x000B__x000C_" w:hAnsi="_x000B__x000C_" w:eastAsia="宋体" w:cs="宋体"/>
          <w:snapToGrid w:val="0"/>
          <w:color w:val="auto"/>
          <w:kern w:val="2"/>
          <w:sz w:val="21"/>
          <w:szCs w:val="24"/>
          <w:highlight w:val="none"/>
          <w:lang w:val="en-US" w:eastAsia="zh-CN" w:bidi="ar"/>
        </w:rPr>
        <w:t>）声明不存在招标文件规定或我国法律规定免除申请人或我方支付责任的情形；</w:t>
      </w:r>
    </w:p>
    <w:p w14:paraId="7712A4A5">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w:t>
      </w:r>
      <w:r>
        <w:rPr>
          <w:rFonts w:hint="default" w:ascii="_x000B__x000C_" w:hAnsi="_x000B__x000C_" w:eastAsia="_x000B__x000C_" w:cs="_x000B__x000C_"/>
          <w:snapToGrid w:val="0"/>
          <w:color w:val="auto"/>
          <w:kern w:val="2"/>
          <w:sz w:val="21"/>
          <w:szCs w:val="24"/>
          <w:highlight w:val="none"/>
          <w:lang w:val="en-US" w:eastAsia="zh-CN" w:bidi="ar"/>
        </w:rPr>
        <w:t>5</w:t>
      </w:r>
      <w:r>
        <w:rPr>
          <w:rFonts w:hint="eastAsia" w:ascii="_x000B__x000C_" w:hAnsi="_x000B__x000C_" w:eastAsia="宋体" w:cs="宋体"/>
          <w:snapToGrid w:val="0"/>
          <w:color w:val="auto"/>
          <w:kern w:val="2"/>
          <w:sz w:val="21"/>
          <w:szCs w:val="24"/>
          <w:highlight w:val="none"/>
          <w:lang w:val="en-US" w:eastAsia="zh-CN" w:bidi="ar"/>
        </w:rPr>
        <w:t>）书面付款通知应在本保函有效期内到达的地址是：</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w:t>
      </w:r>
    </w:p>
    <w:p w14:paraId="699A84BC">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受益人发出的书面付款通知应由其法定代表人（负责人）或授权代理人签字并加盖公章。</w:t>
      </w:r>
    </w:p>
    <w:p w14:paraId="179856F3">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五、本保函项下的权利不得转让，不得设定担保。受益人未经开立人书面同意转让本保函或其项下任何权利，对开立人不发生法律效力。</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60F59539">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六、本保函项下的基础交易不成立、不生效、无效、被撤销、被解除，不影响本保函的独立有效。</w:t>
      </w:r>
    </w:p>
    <w:p w14:paraId="66EEC9A4">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bookmarkStart w:id="422" w:name="_Toc1234"/>
      <w:r>
        <w:rPr>
          <w:rFonts w:hint="eastAsia" w:ascii="_x000B__x000C_" w:hAnsi="_x000B__x000C_" w:eastAsia="宋体" w:cs="宋体"/>
          <w:snapToGrid w:val="0"/>
          <w:color w:val="auto"/>
          <w:kern w:val="2"/>
          <w:sz w:val="21"/>
          <w:szCs w:val="24"/>
          <w:highlight w:val="none"/>
          <w:lang w:val="en-US" w:eastAsia="zh-CN" w:bidi="ar"/>
        </w:rPr>
        <w:t>七、本保函项下的义务和责任均在保函有效期到期后自动消灭。</w:t>
      </w:r>
      <w:bookmarkEnd w:id="422"/>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66606659">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八、本保函适用的法律为中华人民共和国法律，因本保函产生的纠纷案件，由受益人所在地人民法院管辖。</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75F636D3">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九、本保函自我方法定代表人或授权代表签字并加盖公章之日起生效。</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3778C3C1">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p>
    <w:p w14:paraId="333DB8EA">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开立人：</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（公章）</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55432B1E">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法定代表人（或授权代表）：</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（签字）</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1381F9A8">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地</w:t>
      </w:r>
      <w:r>
        <w:rPr>
          <w:rFonts w:hint="default" w:ascii="_x000B__x000C_" w:hAnsi="_x000B__x000C_" w:eastAsia="_x000B__x000C_" w:cs="_x000B__x000C_"/>
          <w:snapToGrid w:val="0"/>
          <w:color w:val="auto"/>
          <w:kern w:val="2"/>
          <w:sz w:val="21"/>
          <w:szCs w:val="24"/>
          <w:highlight w:val="non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址：</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default" w:ascii="_x000B__x000C_" w:hAnsi="_x000B__x000C_" w:eastAsia="_x000B__x000C_" w:cs="_x000B__x000C_"/>
          <w:snapToGrid w:val="0"/>
          <w:color w:val="auto"/>
          <w:kern w:val="2"/>
          <w:sz w:val="21"/>
          <w:szCs w:val="24"/>
          <w:highlight w:val="none"/>
          <w:lang w:val="en-US" w:eastAsia="zh-CN" w:bidi="ar"/>
        </w:rPr>
        <w:t xml:space="preserve"> </w:t>
      </w:r>
    </w:p>
    <w:p w14:paraId="0128F047">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邮政编码：</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p>
    <w:p w14:paraId="3C966046">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电</w:t>
      </w:r>
      <w:r>
        <w:rPr>
          <w:rFonts w:hint="default" w:ascii="_x000B__x000C_" w:hAnsi="_x000B__x000C_" w:eastAsia="_x000B__x000C_" w:cs="_x000B__x000C_"/>
          <w:snapToGrid w:val="0"/>
          <w:color w:val="auto"/>
          <w:kern w:val="2"/>
          <w:sz w:val="21"/>
          <w:szCs w:val="24"/>
          <w:highlight w:val="non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话：</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p>
    <w:p w14:paraId="10CC0FD1">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传</w:t>
      </w:r>
      <w:r>
        <w:rPr>
          <w:rFonts w:hint="default" w:ascii="_x000B__x000C_" w:hAnsi="_x000B__x000C_" w:eastAsia="_x000B__x000C_" w:cs="_x000B__x000C_"/>
          <w:snapToGrid w:val="0"/>
          <w:color w:val="auto"/>
          <w:kern w:val="2"/>
          <w:sz w:val="21"/>
          <w:szCs w:val="24"/>
          <w:highlight w:val="non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真：</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p>
    <w:p w14:paraId="22BF48AA">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color w:val="auto"/>
          <w:highlight w:val="none"/>
          <w:lang w:val="en-US"/>
        </w:rPr>
      </w:pPr>
      <w:r>
        <w:rPr>
          <w:rFonts w:hint="eastAsia" w:ascii="_x000B__x000C_" w:hAnsi="_x000B__x000C_" w:eastAsia="宋体" w:cs="宋体"/>
          <w:snapToGrid w:val="0"/>
          <w:color w:val="auto"/>
          <w:kern w:val="2"/>
          <w:sz w:val="21"/>
          <w:szCs w:val="24"/>
          <w:highlight w:val="none"/>
          <w:lang w:val="en-US" w:eastAsia="zh-CN" w:bidi="ar"/>
        </w:rPr>
        <w:t>开立时间：</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年</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月</w:t>
      </w:r>
      <w:r>
        <w:rPr>
          <w:rFonts w:hint="default" w:ascii="_x000B__x000C_" w:hAnsi="_x000B__x000C_" w:eastAsia="_x000B__x000C_" w:cs="_x000B__x000C_"/>
          <w:snapToGrid w:val="0"/>
          <w:color w:val="auto"/>
          <w:kern w:val="2"/>
          <w:sz w:val="21"/>
          <w:szCs w:val="24"/>
          <w:highlight w:val="none"/>
          <w:u w:val="single"/>
          <w:lang w:val="en-US" w:eastAsia="zh-CN" w:bidi="ar"/>
        </w:rPr>
        <w:t xml:space="preserve">   </w:t>
      </w:r>
      <w:r>
        <w:rPr>
          <w:rFonts w:hint="eastAsia" w:ascii="_x000B__x000C_" w:hAnsi="_x000B__x000C_" w:eastAsia="宋体" w:cs="宋体"/>
          <w:snapToGrid w:val="0"/>
          <w:color w:val="auto"/>
          <w:kern w:val="2"/>
          <w:sz w:val="21"/>
          <w:szCs w:val="24"/>
          <w:highlight w:val="none"/>
          <w:lang w:val="en-US" w:eastAsia="zh-CN" w:bidi="ar"/>
        </w:rPr>
        <w:t>日</w:t>
      </w:r>
    </w:p>
    <w:p w14:paraId="47162BF4">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outlineLvl w:val="9"/>
        <w:rPr>
          <w:rFonts w:hint="default" w:ascii="_x000B__x000C_" w:hAnsi="_x000B__x000C_" w:eastAsia="_x000B__x000C_" w:cs="_x000B__x000C_"/>
          <w:b/>
          <w:bCs w:val="0"/>
          <w:color w:val="auto"/>
          <w:highlight w:val="none"/>
          <w:lang w:val="en-US"/>
        </w:rPr>
      </w:pPr>
    </w:p>
    <w:p w14:paraId="3A93CA64">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outlineLvl w:val="9"/>
        <w:rPr>
          <w:rFonts w:hint="default" w:ascii="_x000B__x000C_" w:hAnsi="_x000B__x000C_" w:eastAsia="_x000B__x000C_" w:cs="_x000B__x000C_"/>
          <w:color w:val="auto"/>
          <w:highlight w:val="none"/>
          <w:lang w:val="en-US"/>
        </w:rPr>
      </w:pPr>
    </w:p>
    <w:p w14:paraId="684CF3B5">
      <w:pPr>
        <w:keepNext w:val="0"/>
        <w:keepLines w:val="0"/>
        <w:widowControl w:val="0"/>
        <w:suppressLineNumbers w:val="0"/>
        <w:wordWrap w:val="0"/>
        <w:adjustRightInd w:val="0"/>
        <w:snapToGrid w:val="0"/>
        <w:spacing w:before="0" w:beforeAutospacing="0" w:after="0" w:afterAutospacing="0"/>
        <w:ind w:left="0" w:right="0" w:firstLine="420" w:firstLineChars="200"/>
        <w:jc w:val="left"/>
        <w:outlineLvl w:val="9"/>
        <w:rPr>
          <w:rFonts w:cs="楷体"/>
          <w:bCs/>
          <w:snapToGrid w:val="0"/>
          <w:color w:val="auto"/>
          <w:highlight w:val="none"/>
          <w:lang w:val="en-US"/>
        </w:rPr>
      </w:pPr>
      <w:r>
        <w:rPr>
          <w:rFonts w:hint="eastAsia" w:ascii="Times New Roman" w:hAnsi="Times New Roman" w:eastAsia="宋体" w:cs="楷体"/>
          <w:bCs/>
          <w:snapToGrid w:val="0"/>
          <w:color w:val="auto"/>
          <w:kern w:val="2"/>
          <w:sz w:val="21"/>
          <w:szCs w:val="24"/>
          <w:highlight w:val="none"/>
          <w:lang w:val="en-US" w:eastAsia="zh-CN" w:bidi="ar"/>
        </w:rPr>
        <w:t>注：</w:t>
      </w:r>
    </w:p>
    <w:p w14:paraId="1B741FA3">
      <w:pPr>
        <w:keepNext w:val="0"/>
        <w:keepLines w:val="0"/>
        <w:widowControl w:val="0"/>
        <w:suppressLineNumbers w:val="0"/>
        <w:wordWrap w:val="0"/>
        <w:adjustRightInd w:val="0"/>
        <w:snapToGrid w:val="0"/>
        <w:spacing w:before="0" w:beforeAutospacing="0" w:after="0" w:afterAutospacing="0"/>
        <w:ind w:left="0" w:right="0" w:firstLine="420" w:firstLineChars="200"/>
        <w:jc w:val="left"/>
        <w:outlineLvl w:val="9"/>
        <w:rPr>
          <w:rFonts w:cs="楷体"/>
          <w:bCs/>
          <w:snapToGrid w:val="0"/>
          <w:color w:val="auto"/>
          <w:highlight w:val="none"/>
          <w:lang w:val="en-US"/>
        </w:rPr>
      </w:pPr>
      <w:r>
        <w:rPr>
          <w:rFonts w:hint="default" w:ascii="Times New Roman" w:hAnsi="Times New Roman" w:eastAsia="宋体" w:cs="楷体"/>
          <w:bCs/>
          <w:snapToGrid w:val="0"/>
          <w:color w:val="auto"/>
          <w:kern w:val="2"/>
          <w:sz w:val="21"/>
          <w:szCs w:val="24"/>
          <w:highlight w:val="none"/>
          <w:lang w:val="en-US" w:eastAsia="zh-CN" w:bidi="ar"/>
        </w:rPr>
        <w:t>1.</w:t>
      </w:r>
      <w:r>
        <w:rPr>
          <w:rFonts w:hint="eastAsia" w:ascii="Times New Roman" w:hAnsi="Times New Roman" w:eastAsia="宋体" w:cs="楷体"/>
          <w:bCs/>
          <w:snapToGrid w:val="0"/>
          <w:color w:val="auto"/>
          <w:kern w:val="2"/>
          <w:sz w:val="21"/>
          <w:szCs w:val="24"/>
          <w:highlight w:val="none"/>
          <w:lang w:val="en-US" w:eastAsia="zh-CN" w:bidi="ar"/>
        </w:rPr>
        <w:t>允许投标人实际开具的银行保函或担保机构或保证保险机构出具的担保的格式与本文件提供的格式有所不同，但不得更改本文件提供的银行保函或担保格式中的实质性内容。</w:t>
      </w:r>
    </w:p>
    <w:p w14:paraId="5262A513">
      <w:pPr>
        <w:keepNext w:val="0"/>
        <w:keepLines w:val="0"/>
        <w:widowControl w:val="0"/>
        <w:suppressLineNumbers w:val="0"/>
        <w:wordWrap w:val="0"/>
        <w:adjustRightInd w:val="0"/>
        <w:snapToGrid w:val="0"/>
        <w:spacing w:before="0" w:beforeAutospacing="0" w:after="0" w:afterAutospacing="0"/>
        <w:ind w:left="0" w:right="0" w:firstLine="420" w:firstLineChars="200"/>
        <w:jc w:val="left"/>
        <w:outlineLvl w:val="9"/>
        <w:rPr>
          <w:rFonts w:cs="楷体"/>
          <w:bCs/>
          <w:snapToGrid w:val="0"/>
          <w:color w:val="auto"/>
          <w:highlight w:val="none"/>
          <w:lang w:val="en-US"/>
        </w:rPr>
      </w:pPr>
      <w:r>
        <w:rPr>
          <w:rFonts w:hint="default" w:ascii="Times New Roman" w:hAnsi="Times New Roman" w:eastAsia="宋体" w:cs="楷体"/>
          <w:bCs/>
          <w:snapToGrid w:val="0"/>
          <w:color w:val="auto"/>
          <w:kern w:val="2"/>
          <w:sz w:val="21"/>
          <w:szCs w:val="24"/>
          <w:highlight w:val="none"/>
          <w:lang w:val="en-US" w:eastAsia="zh-CN" w:bidi="ar"/>
        </w:rPr>
        <w:t>2.</w:t>
      </w:r>
      <w:r>
        <w:rPr>
          <w:rFonts w:hint="eastAsia" w:ascii="Times New Roman" w:hAnsi="Times New Roman" w:eastAsia="宋体" w:cs="楷体"/>
          <w:bCs/>
          <w:snapToGrid w:val="0"/>
          <w:color w:val="auto"/>
          <w:kern w:val="2"/>
          <w:sz w:val="21"/>
          <w:szCs w:val="24"/>
          <w:highlight w:val="none"/>
          <w:lang w:val="en-US" w:eastAsia="zh-CN" w:bidi="ar"/>
        </w:rPr>
        <w:t>投标人开具的银行保函（或担保机构担保或保证保险）必须具有明确有效的查询途径（网址链接及查询方式）。</w:t>
      </w:r>
    </w:p>
    <w:p w14:paraId="7B92A1C1">
      <w:pPr>
        <w:spacing w:before="46" w:line="242" w:lineRule="auto"/>
        <w:ind w:left="3363"/>
        <w:outlineLvl w:val="9"/>
        <w:rPr>
          <w:rFonts w:ascii="宋体" w:hAnsi="宋体" w:eastAsia="宋体" w:cs="宋体"/>
          <w:color w:val="auto"/>
          <w:sz w:val="11"/>
          <w:szCs w:val="11"/>
          <w:highlight w:val="none"/>
        </w:rPr>
      </w:pPr>
      <w:r>
        <w:rPr>
          <w:rFonts w:hint="default" w:ascii="Times New Roman" w:hAnsi="Times New Roman" w:eastAsia="宋体" w:cs="Times New Roman"/>
          <w:color w:val="auto"/>
          <w:kern w:val="2"/>
          <w:sz w:val="21"/>
          <w:szCs w:val="24"/>
          <w:highlight w:val="none"/>
          <w:lang w:val="en-US" w:eastAsia="zh-CN" w:bidi="ar"/>
        </w:rPr>
        <w:br w:type="page"/>
      </w:r>
      <w:bookmarkStart w:id="423" w:name="_Toc15500"/>
      <w:r>
        <w:rPr>
          <w:rFonts w:ascii="宋体" w:hAnsi="宋体" w:eastAsia="宋体" w:cs="宋体"/>
          <w:b/>
          <w:bCs/>
          <w:color w:val="auto"/>
          <w:spacing w:val="-3"/>
          <w:sz w:val="21"/>
          <w:szCs w:val="21"/>
          <w:highlight w:val="none"/>
        </w:rPr>
        <w:t>（二）免缴投标保证金承诺函</w:t>
      </w:r>
      <w:bookmarkEnd w:id="423"/>
    </w:p>
    <w:p w14:paraId="1B1862AA">
      <w:pPr>
        <w:spacing w:line="463" w:lineRule="auto"/>
        <w:outlineLvl w:val="9"/>
        <w:rPr>
          <w:rFonts w:ascii="Arial"/>
          <w:color w:val="auto"/>
          <w:sz w:val="21"/>
          <w:highlight w:val="none"/>
        </w:rPr>
      </w:pPr>
    </w:p>
    <w:p w14:paraId="71BECDEA">
      <w:pPr>
        <w:spacing w:before="68" w:line="221" w:lineRule="auto"/>
        <w:ind w:left="8"/>
        <w:outlineLvl w:val="9"/>
        <w:rPr>
          <w:rFonts w:ascii="宋体" w:hAnsi="宋体" w:eastAsia="宋体" w:cs="宋体"/>
          <w:color w:val="auto"/>
          <w:sz w:val="21"/>
          <w:szCs w:val="21"/>
          <w:highlight w:val="none"/>
        </w:rPr>
      </w:pPr>
      <w:bookmarkStart w:id="424" w:name="_Toc22116"/>
      <w:r>
        <w:rPr>
          <w:rFonts w:ascii="宋体" w:hAnsi="宋体" w:eastAsia="宋体" w:cs="宋体"/>
          <w:b/>
          <w:bCs/>
          <w:color w:val="auto"/>
          <w:spacing w:val="-8"/>
          <w:sz w:val="21"/>
          <w:szCs w:val="21"/>
          <w:highlight w:val="none"/>
        </w:rPr>
        <w:t>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45"/>
          <w:sz w:val="21"/>
          <w:szCs w:val="21"/>
          <w:highlight w:val="none"/>
        </w:rPr>
        <w:t xml:space="preserve"> </w:t>
      </w:r>
      <w:r>
        <w:rPr>
          <w:rFonts w:ascii="宋体" w:hAnsi="宋体" w:eastAsia="宋体" w:cs="宋体"/>
          <w:b/>
          <w:bCs/>
          <w:color w:val="auto"/>
          <w:spacing w:val="-8"/>
          <w:sz w:val="21"/>
          <w:szCs w:val="21"/>
          <w:highlight w:val="none"/>
        </w:rPr>
        <w:t>(招标人名称)</w:t>
      </w:r>
      <w:bookmarkEnd w:id="424"/>
    </w:p>
    <w:p w14:paraId="5A859519">
      <w:pPr>
        <w:keepNext w:val="0"/>
        <w:keepLines w:val="0"/>
        <w:pageBreakBefore w:val="0"/>
        <w:widowControl/>
        <w:kinsoku w:val="0"/>
        <w:wordWrap/>
        <w:overflowPunct/>
        <w:topLinePunct w:val="0"/>
        <w:autoSpaceDE w:val="0"/>
        <w:autoSpaceDN w:val="0"/>
        <w:bidi w:val="0"/>
        <w:adjustRightInd w:val="0"/>
        <w:snapToGrid w:val="0"/>
        <w:spacing w:before="304" w:line="360" w:lineRule="auto"/>
        <w:ind w:left="9" w:firstLine="412" w:firstLineChars="200"/>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按照招标文件的规定，我单位郑重承诺如下：</w:t>
      </w:r>
    </w:p>
    <w:p w14:paraId="0F675730">
      <w:pPr>
        <w:keepNext w:val="0"/>
        <w:keepLines w:val="0"/>
        <w:pageBreakBefore w:val="0"/>
        <w:widowControl/>
        <w:kinsoku w:val="0"/>
        <w:wordWrap/>
        <w:overflowPunct/>
        <w:topLinePunct w:val="0"/>
        <w:autoSpaceDE w:val="0"/>
        <w:autoSpaceDN w:val="0"/>
        <w:bidi w:val="0"/>
        <w:adjustRightInd w:val="0"/>
        <w:snapToGrid w:val="0"/>
        <w:spacing w:before="69" w:line="360" w:lineRule="auto"/>
        <w:ind w:left="7" w:right="103" w:firstLine="422"/>
        <w:jc w:val="both"/>
        <w:textAlignment w:val="baseline"/>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我单位将严格遵守《中华人民共和国招标投标法》等法律、法规和招标文件约定条款。如果存</w:t>
      </w:r>
      <w:r>
        <w:rPr>
          <w:rFonts w:ascii="宋体" w:hAnsi="宋体" w:eastAsia="宋体" w:cs="宋体"/>
          <w:color w:val="auto"/>
          <w:spacing w:val="-1"/>
          <w:sz w:val="21"/>
          <w:szCs w:val="21"/>
          <w:highlight w:val="none"/>
        </w:rPr>
        <w:t>在招标文件约定的投标保证金不予退还的情形，将于收到招标人书面通知</w:t>
      </w:r>
      <w:r>
        <w:rPr>
          <w:rFonts w:ascii="Times New Roman" w:hAnsi="Times New Roman" w:eastAsia="Times New Roman" w:cs="Times New Roman"/>
          <w:color w:val="auto"/>
          <w:spacing w:val="-1"/>
          <w:sz w:val="21"/>
          <w:szCs w:val="21"/>
          <w:highlight w:val="none"/>
        </w:rPr>
        <w:t>7</w:t>
      </w:r>
      <w:r>
        <w:rPr>
          <w:rFonts w:ascii="宋体" w:hAnsi="宋体" w:eastAsia="宋体" w:cs="宋体"/>
          <w:color w:val="auto"/>
          <w:spacing w:val="-1"/>
          <w:sz w:val="21"/>
          <w:szCs w:val="21"/>
          <w:highlight w:val="none"/>
        </w:rPr>
        <w:t>日内将招标文件约定</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的投标保证金足额缴纳至招标人指定账户。</w:t>
      </w:r>
    </w:p>
    <w:p w14:paraId="35181E7A">
      <w:pPr>
        <w:keepNext w:val="0"/>
        <w:keepLines w:val="0"/>
        <w:pageBreakBefore w:val="0"/>
        <w:widowControl/>
        <w:kinsoku w:val="0"/>
        <w:wordWrap/>
        <w:overflowPunct/>
        <w:topLinePunct w:val="0"/>
        <w:autoSpaceDE w:val="0"/>
        <w:autoSpaceDN w:val="0"/>
        <w:bidi w:val="0"/>
        <w:adjustRightInd w:val="0"/>
        <w:snapToGrid w:val="0"/>
        <w:spacing w:before="33" w:line="360" w:lineRule="auto"/>
        <w:ind w:left="429"/>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我单位对上述承诺的真实性负责。如有虚假，我单位愿意承担弄虚作假法律责任。</w:t>
      </w:r>
    </w:p>
    <w:p w14:paraId="366851D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ascii="Arial"/>
          <w:color w:val="auto"/>
          <w:sz w:val="21"/>
          <w:highlight w:val="none"/>
        </w:rPr>
      </w:pPr>
    </w:p>
    <w:p w14:paraId="46A883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ascii="Arial"/>
          <w:color w:val="auto"/>
          <w:sz w:val="21"/>
          <w:highlight w:val="none"/>
        </w:rPr>
      </w:pPr>
    </w:p>
    <w:p w14:paraId="4A220C22">
      <w:pPr>
        <w:spacing w:line="288" w:lineRule="auto"/>
        <w:outlineLvl w:val="9"/>
        <w:rPr>
          <w:rFonts w:ascii="Arial"/>
          <w:color w:val="auto"/>
          <w:sz w:val="21"/>
          <w:highlight w:val="none"/>
        </w:rPr>
      </w:pPr>
    </w:p>
    <w:p w14:paraId="2FE269E9">
      <w:pPr>
        <w:spacing w:line="288" w:lineRule="auto"/>
        <w:outlineLvl w:val="9"/>
        <w:rPr>
          <w:rFonts w:ascii="Arial"/>
          <w:color w:val="auto"/>
          <w:sz w:val="21"/>
          <w:highlight w:val="none"/>
        </w:rPr>
      </w:pPr>
    </w:p>
    <w:p w14:paraId="72693595">
      <w:pPr>
        <w:spacing w:before="68" w:line="220" w:lineRule="auto"/>
        <w:ind w:right="13"/>
        <w:jc w:val="right"/>
        <w:outlineLvl w:val="9"/>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投</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4"/>
          <w:sz w:val="21"/>
          <w:szCs w:val="21"/>
          <w:highlight w:val="none"/>
        </w:rPr>
        <w:t>标</w:t>
      </w:r>
      <w:r>
        <w:rPr>
          <w:rFonts w:ascii="宋体" w:hAnsi="宋体" w:eastAsia="宋体" w:cs="宋体"/>
          <w:color w:val="auto"/>
          <w:spacing w:val="12"/>
          <w:sz w:val="21"/>
          <w:szCs w:val="21"/>
          <w:highlight w:val="none"/>
        </w:rPr>
        <w:t xml:space="preserve"> </w:t>
      </w:r>
      <w:r>
        <w:rPr>
          <w:rFonts w:ascii="宋体" w:hAnsi="宋体" w:eastAsia="宋体" w:cs="宋体"/>
          <w:b/>
          <w:bCs/>
          <w:color w:val="auto"/>
          <w:spacing w:val="-4"/>
          <w:sz w:val="21"/>
          <w:szCs w:val="21"/>
          <w:highlight w:val="none"/>
        </w:rPr>
        <w:t>人</w:t>
      </w:r>
      <w:r>
        <w:rPr>
          <w:rFonts w:ascii="宋体" w:hAnsi="宋体" w:eastAsia="宋体" w:cs="宋体"/>
          <w:b/>
          <w:bCs/>
          <w:color w:val="auto"/>
          <w:spacing w:val="-5"/>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b/>
          <w:bCs/>
          <w:color w:val="auto"/>
          <w:spacing w:val="-5"/>
          <w:sz w:val="21"/>
          <w:szCs w:val="21"/>
          <w:highlight w:val="none"/>
        </w:rPr>
        <w:t>（</w:t>
      </w:r>
      <w:r>
        <w:rPr>
          <w:rFonts w:ascii="宋体" w:hAnsi="宋体" w:eastAsia="宋体" w:cs="宋体"/>
          <w:b/>
          <w:bCs/>
          <w:color w:val="auto"/>
          <w:spacing w:val="-4"/>
          <w:sz w:val="21"/>
          <w:szCs w:val="21"/>
          <w:highlight w:val="none"/>
        </w:rPr>
        <w:t>盖单位章）</w:t>
      </w:r>
    </w:p>
    <w:p w14:paraId="3F91B46D">
      <w:pPr>
        <w:spacing w:before="263" w:line="221" w:lineRule="auto"/>
        <w:jc w:val="right"/>
        <w:outlineLvl w:val="9"/>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日</w:t>
      </w:r>
      <w:r>
        <w:rPr>
          <w:rFonts w:ascii="宋体" w:hAnsi="宋体" w:eastAsia="宋体" w:cs="宋体"/>
          <w:color w:val="auto"/>
          <w:spacing w:val="12"/>
          <w:sz w:val="21"/>
          <w:szCs w:val="21"/>
          <w:highlight w:val="none"/>
        </w:rPr>
        <w:t xml:space="preserve"> </w:t>
      </w:r>
      <w:r>
        <w:rPr>
          <w:rFonts w:ascii="宋体" w:hAnsi="宋体" w:eastAsia="宋体" w:cs="宋体"/>
          <w:color w:val="auto"/>
          <w:spacing w:val="-20"/>
          <w:sz w:val="21"/>
          <w:szCs w:val="21"/>
          <w:highlight w:val="none"/>
        </w:rPr>
        <w:t>期：</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0"/>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20"/>
          <w:sz w:val="21"/>
          <w:szCs w:val="21"/>
          <w:highlight w:val="none"/>
        </w:rPr>
        <w:t>月</w:t>
      </w:r>
      <w:r>
        <w:rPr>
          <w:rFonts w:ascii="宋体" w:hAnsi="宋体" w:eastAsia="宋体" w:cs="宋体"/>
          <w:color w:val="auto"/>
          <w:spacing w:val="34"/>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20"/>
          <w:sz w:val="21"/>
          <w:szCs w:val="21"/>
          <w:highlight w:val="none"/>
        </w:rPr>
        <w:t>日</w:t>
      </w:r>
    </w:p>
    <w:p w14:paraId="02691652">
      <w:pPr>
        <w:spacing w:line="244" w:lineRule="auto"/>
        <w:outlineLvl w:val="9"/>
        <w:rPr>
          <w:rFonts w:ascii="Arial"/>
          <w:color w:val="auto"/>
          <w:sz w:val="21"/>
          <w:highlight w:val="none"/>
        </w:rPr>
      </w:pPr>
    </w:p>
    <w:p w14:paraId="1E148CE2">
      <w:pPr>
        <w:spacing w:line="244" w:lineRule="auto"/>
        <w:outlineLvl w:val="9"/>
        <w:rPr>
          <w:rFonts w:ascii="Arial"/>
          <w:color w:val="auto"/>
          <w:sz w:val="21"/>
          <w:highlight w:val="none"/>
        </w:rPr>
      </w:pPr>
    </w:p>
    <w:p w14:paraId="0DC8A5D3">
      <w:pPr>
        <w:spacing w:line="244" w:lineRule="auto"/>
        <w:outlineLvl w:val="9"/>
        <w:rPr>
          <w:rFonts w:ascii="Arial"/>
          <w:color w:val="auto"/>
          <w:sz w:val="21"/>
          <w:highlight w:val="none"/>
        </w:rPr>
      </w:pPr>
    </w:p>
    <w:p w14:paraId="22B91DD1">
      <w:pPr>
        <w:spacing w:line="244" w:lineRule="auto"/>
        <w:outlineLvl w:val="9"/>
        <w:rPr>
          <w:rFonts w:ascii="Arial"/>
          <w:color w:val="auto"/>
          <w:sz w:val="21"/>
          <w:highlight w:val="none"/>
        </w:rPr>
      </w:pPr>
    </w:p>
    <w:p w14:paraId="3256D13E">
      <w:pPr>
        <w:spacing w:line="244" w:lineRule="auto"/>
        <w:outlineLvl w:val="9"/>
        <w:rPr>
          <w:rFonts w:ascii="Arial"/>
          <w:color w:val="auto"/>
          <w:sz w:val="21"/>
          <w:highlight w:val="none"/>
        </w:rPr>
      </w:pPr>
    </w:p>
    <w:p w14:paraId="69B8F0B8">
      <w:pPr>
        <w:spacing w:line="244" w:lineRule="auto"/>
        <w:outlineLvl w:val="9"/>
        <w:rPr>
          <w:rFonts w:ascii="Arial"/>
          <w:color w:val="auto"/>
          <w:sz w:val="21"/>
          <w:highlight w:val="none"/>
        </w:rPr>
      </w:pPr>
    </w:p>
    <w:p w14:paraId="262B8CF7">
      <w:pPr>
        <w:spacing w:line="244" w:lineRule="auto"/>
        <w:outlineLvl w:val="9"/>
        <w:rPr>
          <w:rFonts w:ascii="Arial"/>
          <w:color w:val="auto"/>
          <w:sz w:val="21"/>
          <w:highlight w:val="none"/>
        </w:rPr>
      </w:pPr>
    </w:p>
    <w:p w14:paraId="0A746A24">
      <w:pPr>
        <w:spacing w:line="244" w:lineRule="auto"/>
        <w:outlineLvl w:val="9"/>
        <w:rPr>
          <w:rFonts w:ascii="Arial"/>
          <w:color w:val="auto"/>
          <w:sz w:val="21"/>
          <w:highlight w:val="none"/>
        </w:rPr>
      </w:pPr>
    </w:p>
    <w:p w14:paraId="08020372">
      <w:pPr>
        <w:spacing w:line="244" w:lineRule="auto"/>
        <w:outlineLvl w:val="9"/>
        <w:rPr>
          <w:rFonts w:ascii="Arial"/>
          <w:color w:val="auto"/>
          <w:sz w:val="21"/>
          <w:highlight w:val="none"/>
        </w:rPr>
      </w:pPr>
    </w:p>
    <w:p w14:paraId="76871F73">
      <w:pPr>
        <w:spacing w:line="244" w:lineRule="auto"/>
        <w:outlineLvl w:val="9"/>
        <w:rPr>
          <w:rFonts w:ascii="Arial"/>
          <w:color w:val="auto"/>
          <w:sz w:val="21"/>
          <w:highlight w:val="none"/>
        </w:rPr>
      </w:pPr>
    </w:p>
    <w:p w14:paraId="5DEA0028">
      <w:pPr>
        <w:spacing w:line="244" w:lineRule="auto"/>
        <w:outlineLvl w:val="9"/>
        <w:rPr>
          <w:rFonts w:ascii="Arial"/>
          <w:color w:val="auto"/>
          <w:sz w:val="21"/>
          <w:highlight w:val="none"/>
        </w:rPr>
      </w:pPr>
    </w:p>
    <w:p w14:paraId="3999114B">
      <w:pPr>
        <w:spacing w:line="244" w:lineRule="auto"/>
        <w:outlineLvl w:val="9"/>
        <w:rPr>
          <w:rFonts w:ascii="Arial"/>
          <w:color w:val="auto"/>
          <w:sz w:val="21"/>
          <w:highlight w:val="none"/>
        </w:rPr>
      </w:pPr>
    </w:p>
    <w:p w14:paraId="3AB18217">
      <w:pPr>
        <w:spacing w:line="244" w:lineRule="auto"/>
        <w:outlineLvl w:val="9"/>
        <w:rPr>
          <w:rFonts w:ascii="Arial"/>
          <w:color w:val="auto"/>
          <w:sz w:val="21"/>
          <w:highlight w:val="none"/>
        </w:rPr>
      </w:pPr>
    </w:p>
    <w:p w14:paraId="60DB4F8F">
      <w:pPr>
        <w:spacing w:line="244" w:lineRule="auto"/>
        <w:outlineLvl w:val="9"/>
        <w:rPr>
          <w:rFonts w:ascii="Arial"/>
          <w:color w:val="auto"/>
          <w:sz w:val="21"/>
          <w:highlight w:val="none"/>
        </w:rPr>
      </w:pPr>
    </w:p>
    <w:p w14:paraId="704E214A">
      <w:pPr>
        <w:spacing w:line="244" w:lineRule="auto"/>
        <w:outlineLvl w:val="9"/>
        <w:rPr>
          <w:rFonts w:ascii="Arial"/>
          <w:color w:val="auto"/>
          <w:sz w:val="21"/>
          <w:highlight w:val="none"/>
        </w:rPr>
      </w:pPr>
    </w:p>
    <w:p w14:paraId="36771195">
      <w:pPr>
        <w:spacing w:line="244" w:lineRule="auto"/>
        <w:outlineLvl w:val="9"/>
        <w:rPr>
          <w:rFonts w:ascii="Arial"/>
          <w:color w:val="auto"/>
          <w:sz w:val="21"/>
          <w:highlight w:val="none"/>
        </w:rPr>
      </w:pPr>
    </w:p>
    <w:p w14:paraId="0E91247D">
      <w:pPr>
        <w:spacing w:line="244" w:lineRule="auto"/>
        <w:outlineLvl w:val="9"/>
        <w:rPr>
          <w:rFonts w:ascii="Arial"/>
          <w:color w:val="auto"/>
          <w:sz w:val="21"/>
          <w:highlight w:val="none"/>
        </w:rPr>
      </w:pPr>
    </w:p>
    <w:p w14:paraId="2F31C89F">
      <w:pPr>
        <w:spacing w:line="244" w:lineRule="auto"/>
        <w:outlineLvl w:val="9"/>
        <w:rPr>
          <w:rFonts w:ascii="Arial"/>
          <w:color w:val="auto"/>
          <w:sz w:val="21"/>
          <w:highlight w:val="none"/>
        </w:rPr>
      </w:pPr>
    </w:p>
    <w:p w14:paraId="333E4939">
      <w:pPr>
        <w:spacing w:line="244" w:lineRule="auto"/>
        <w:outlineLvl w:val="9"/>
        <w:rPr>
          <w:rFonts w:ascii="Arial"/>
          <w:color w:val="auto"/>
          <w:sz w:val="21"/>
          <w:highlight w:val="none"/>
        </w:rPr>
      </w:pPr>
    </w:p>
    <w:p w14:paraId="4EF7A242">
      <w:pPr>
        <w:spacing w:line="244" w:lineRule="auto"/>
        <w:outlineLvl w:val="9"/>
        <w:rPr>
          <w:rFonts w:ascii="Arial"/>
          <w:color w:val="auto"/>
          <w:sz w:val="21"/>
          <w:highlight w:val="none"/>
        </w:rPr>
      </w:pPr>
    </w:p>
    <w:p w14:paraId="405CC374">
      <w:pPr>
        <w:spacing w:line="244" w:lineRule="auto"/>
        <w:outlineLvl w:val="9"/>
        <w:rPr>
          <w:rFonts w:ascii="Arial"/>
          <w:color w:val="auto"/>
          <w:sz w:val="21"/>
          <w:highlight w:val="none"/>
        </w:rPr>
      </w:pPr>
    </w:p>
    <w:p w14:paraId="3FD59F03">
      <w:pPr>
        <w:spacing w:line="244" w:lineRule="auto"/>
        <w:outlineLvl w:val="9"/>
        <w:rPr>
          <w:rFonts w:ascii="Arial"/>
          <w:color w:val="auto"/>
          <w:sz w:val="21"/>
          <w:highlight w:val="none"/>
        </w:rPr>
      </w:pPr>
    </w:p>
    <w:p w14:paraId="3506D709">
      <w:pPr>
        <w:spacing w:line="244" w:lineRule="auto"/>
        <w:outlineLvl w:val="9"/>
        <w:rPr>
          <w:rFonts w:ascii="Arial"/>
          <w:color w:val="auto"/>
          <w:sz w:val="21"/>
          <w:highlight w:val="none"/>
        </w:rPr>
      </w:pPr>
    </w:p>
    <w:p w14:paraId="5F8D1894">
      <w:pPr>
        <w:spacing w:line="244" w:lineRule="auto"/>
        <w:outlineLvl w:val="9"/>
        <w:rPr>
          <w:rFonts w:ascii="Arial"/>
          <w:color w:val="auto"/>
          <w:sz w:val="21"/>
          <w:highlight w:val="none"/>
        </w:rPr>
      </w:pPr>
    </w:p>
    <w:p w14:paraId="24091B9C">
      <w:pPr>
        <w:spacing w:line="244" w:lineRule="auto"/>
        <w:outlineLvl w:val="9"/>
        <w:rPr>
          <w:rFonts w:ascii="Arial"/>
          <w:color w:val="auto"/>
          <w:sz w:val="21"/>
          <w:highlight w:val="none"/>
        </w:rPr>
      </w:pPr>
    </w:p>
    <w:p w14:paraId="2E2D0F2B">
      <w:pPr>
        <w:spacing w:line="244" w:lineRule="auto"/>
        <w:outlineLvl w:val="9"/>
        <w:rPr>
          <w:rFonts w:ascii="Arial"/>
          <w:color w:val="auto"/>
          <w:sz w:val="21"/>
          <w:highlight w:val="none"/>
        </w:rPr>
      </w:pPr>
    </w:p>
    <w:p w14:paraId="6D37416A">
      <w:pPr>
        <w:spacing w:line="244" w:lineRule="auto"/>
        <w:outlineLvl w:val="9"/>
        <w:rPr>
          <w:rFonts w:ascii="Arial"/>
          <w:color w:val="auto"/>
          <w:sz w:val="21"/>
          <w:highlight w:val="none"/>
        </w:rPr>
      </w:pPr>
    </w:p>
    <w:p w14:paraId="2D6039FF">
      <w:pPr>
        <w:spacing w:line="244" w:lineRule="auto"/>
        <w:outlineLvl w:val="9"/>
        <w:rPr>
          <w:rFonts w:ascii="Arial"/>
          <w:color w:val="auto"/>
          <w:sz w:val="21"/>
          <w:highlight w:val="none"/>
        </w:rPr>
      </w:pPr>
    </w:p>
    <w:p w14:paraId="6DEDE672">
      <w:pPr>
        <w:spacing w:line="244" w:lineRule="auto"/>
        <w:outlineLvl w:val="9"/>
        <w:rPr>
          <w:rFonts w:ascii="Arial"/>
          <w:color w:val="auto"/>
          <w:sz w:val="21"/>
          <w:highlight w:val="none"/>
        </w:rPr>
      </w:pPr>
    </w:p>
    <w:p w14:paraId="1F662989">
      <w:pPr>
        <w:spacing w:line="244" w:lineRule="auto"/>
        <w:outlineLvl w:val="9"/>
        <w:rPr>
          <w:rFonts w:ascii="Arial"/>
          <w:color w:val="auto"/>
          <w:sz w:val="21"/>
          <w:highlight w:val="none"/>
        </w:rPr>
      </w:pPr>
    </w:p>
    <w:p w14:paraId="5AF3F76E">
      <w:pPr>
        <w:spacing w:line="244" w:lineRule="auto"/>
        <w:outlineLvl w:val="9"/>
        <w:rPr>
          <w:rFonts w:ascii="Arial"/>
          <w:color w:val="auto"/>
          <w:sz w:val="21"/>
          <w:highlight w:val="none"/>
        </w:rPr>
      </w:pPr>
    </w:p>
    <w:p w14:paraId="64D44B39">
      <w:pPr>
        <w:spacing w:line="244" w:lineRule="auto"/>
        <w:outlineLvl w:val="9"/>
        <w:rPr>
          <w:rFonts w:ascii="Arial"/>
          <w:color w:val="auto"/>
          <w:sz w:val="21"/>
          <w:highlight w:val="none"/>
        </w:rPr>
      </w:pPr>
    </w:p>
    <w:p w14:paraId="1B85B61A">
      <w:pPr>
        <w:spacing w:line="244" w:lineRule="auto"/>
        <w:outlineLvl w:val="9"/>
        <w:rPr>
          <w:rFonts w:ascii="Arial"/>
          <w:color w:val="auto"/>
          <w:sz w:val="21"/>
          <w:highlight w:val="none"/>
        </w:rPr>
      </w:pPr>
    </w:p>
    <w:p w14:paraId="2EB22DD4">
      <w:pPr>
        <w:spacing w:line="244" w:lineRule="auto"/>
        <w:outlineLvl w:val="9"/>
        <w:rPr>
          <w:rFonts w:ascii="Arial"/>
          <w:color w:val="auto"/>
          <w:sz w:val="21"/>
          <w:highlight w:val="none"/>
        </w:rPr>
      </w:pPr>
    </w:p>
    <w:p w14:paraId="62FFDC4A">
      <w:pPr>
        <w:spacing w:line="244" w:lineRule="auto"/>
        <w:outlineLvl w:val="9"/>
        <w:rPr>
          <w:rFonts w:ascii="Arial"/>
          <w:color w:val="auto"/>
          <w:sz w:val="21"/>
          <w:highlight w:val="none"/>
        </w:rPr>
      </w:pPr>
    </w:p>
    <w:p w14:paraId="3D388028">
      <w:pPr>
        <w:spacing w:line="245" w:lineRule="auto"/>
        <w:outlineLvl w:val="9"/>
        <w:rPr>
          <w:rFonts w:ascii="Arial"/>
          <w:color w:val="auto"/>
          <w:sz w:val="21"/>
          <w:highlight w:val="none"/>
        </w:rPr>
      </w:pPr>
    </w:p>
    <w:p w14:paraId="5BDDE6F4">
      <w:pPr>
        <w:spacing w:before="63" w:line="224" w:lineRule="auto"/>
        <w:ind w:left="2578"/>
        <w:outlineLvl w:val="9"/>
        <w:rPr>
          <w:rFonts w:ascii="宋体" w:hAnsi="宋体" w:eastAsia="宋体" w:cs="宋体"/>
          <w:color w:val="auto"/>
          <w:sz w:val="31"/>
          <w:szCs w:val="31"/>
          <w:highlight w:val="none"/>
        </w:rPr>
      </w:pPr>
      <w:bookmarkStart w:id="425" w:name="bookmark293"/>
      <w:bookmarkEnd w:id="425"/>
      <w:bookmarkStart w:id="426" w:name="_Toc30365"/>
      <w:r>
        <w:rPr>
          <w:rFonts w:ascii="宋体" w:hAnsi="宋体" w:eastAsia="宋体" w:cs="宋体"/>
          <w:b/>
          <w:bCs/>
          <w:color w:val="auto"/>
          <w:spacing w:val="5"/>
          <w:sz w:val="31"/>
          <w:szCs w:val="31"/>
          <w:highlight w:val="none"/>
        </w:rPr>
        <w:t>五、已标价工程量清单</w:t>
      </w:r>
      <w:bookmarkEnd w:id="426"/>
    </w:p>
    <w:p w14:paraId="4D69C1CD">
      <w:pPr>
        <w:spacing w:line="252" w:lineRule="auto"/>
        <w:outlineLvl w:val="9"/>
        <w:rPr>
          <w:rFonts w:ascii="Arial"/>
          <w:color w:val="auto"/>
          <w:sz w:val="21"/>
          <w:highlight w:val="none"/>
        </w:rPr>
      </w:pPr>
    </w:p>
    <w:p w14:paraId="40C4CA92">
      <w:pPr>
        <w:keepNext w:val="0"/>
        <w:keepLines w:val="0"/>
        <w:widowControl w:val="0"/>
        <w:suppressLineNumbers w:val="0"/>
        <w:spacing w:before="0" w:beforeAutospacing="0" w:after="0" w:afterAutospacing="0" w:line="360" w:lineRule="auto"/>
        <w:ind w:left="0" w:right="0" w:firstLine="675" w:firstLineChars="240"/>
        <w:jc w:val="center"/>
        <w:outlineLvl w:val="9"/>
        <w:rPr>
          <w:color w:val="auto"/>
          <w:highlight w:val="none"/>
          <w:lang w:val="en-US"/>
        </w:rPr>
      </w:pPr>
      <w:r>
        <w:rPr>
          <w:rFonts w:hint="eastAsia" w:ascii="Times New Roman" w:hAnsi="Times New Roman" w:eastAsia="宋体" w:cs="宋体"/>
          <w:b/>
          <w:bCs/>
          <w:snapToGrid w:val="0"/>
          <w:color w:val="auto"/>
          <w:kern w:val="2"/>
          <w:sz w:val="28"/>
          <w:szCs w:val="28"/>
          <w:highlight w:val="none"/>
          <w:lang w:val="en-US" w:eastAsia="zh-CN" w:bidi="ar"/>
        </w:rPr>
        <w:t>请投标人自行登录系统下载本项目附件，工程量清单格式和内容以招标人提供的工程量清单为准。</w:t>
      </w:r>
    </w:p>
    <w:p w14:paraId="7CF2A6B9">
      <w:pPr>
        <w:spacing w:before="64" w:line="226" w:lineRule="auto"/>
        <w:ind w:left="3536"/>
        <w:outlineLvl w:val="9"/>
        <w:rPr>
          <w:rFonts w:ascii="宋体" w:hAnsi="宋体" w:eastAsia="宋体" w:cs="宋体"/>
          <w:b/>
          <w:bCs/>
          <w:color w:val="auto"/>
          <w:spacing w:val="5"/>
          <w:sz w:val="31"/>
          <w:szCs w:val="31"/>
          <w:highlight w:val="none"/>
        </w:rPr>
      </w:pPr>
      <w:bookmarkStart w:id="427" w:name="bookmark294"/>
      <w:bookmarkEnd w:id="427"/>
    </w:p>
    <w:p w14:paraId="53662783">
      <w:pPr>
        <w:spacing w:before="64" w:line="226" w:lineRule="auto"/>
        <w:ind w:left="3536"/>
        <w:outlineLvl w:val="9"/>
        <w:rPr>
          <w:rFonts w:ascii="宋体" w:hAnsi="宋体" w:eastAsia="宋体" w:cs="宋体"/>
          <w:b/>
          <w:bCs/>
          <w:color w:val="auto"/>
          <w:spacing w:val="5"/>
          <w:sz w:val="31"/>
          <w:szCs w:val="31"/>
          <w:highlight w:val="none"/>
        </w:rPr>
      </w:pPr>
    </w:p>
    <w:p w14:paraId="7A773DC6">
      <w:pPr>
        <w:spacing w:before="64" w:line="226" w:lineRule="auto"/>
        <w:ind w:left="3536"/>
        <w:outlineLvl w:val="9"/>
        <w:rPr>
          <w:rFonts w:ascii="宋体" w:hAnsi="宋体" w:eastAsia="宋体" w:cs="宋体"/>
          <w:b/>
          <w:bCs/>
          <w:color w:val="auto"/>
          <w:spacing w:val="5"/>
          <w:sz w:val="31"/>
          <w:szCs w:val="31"/>
          <w:highlight w:val="none"/>
        </w:rPr>
      </w:pPr>
    </w:p>
    <w:p w14:paraId="489918E0">
      <w:pPr>
        <w:spacing w:before="64" w:line="226" w:lineRule="auto"/>
        <w:ind w:left="3536"/>
        <w:outlineLvl w:val="9"/>
        <w:rPr>
          <w:rFonts w:ascii="宋体" w:hAnsi="宋体" w:eastAsia="宋体" w:cs="宋体"/>
          <w:b/>
          <w:bCs/>
          <w:color w:val="auto"/>
          <w:spacing w:val="5"/>
          <w:sz w:val="31"/>
          <w:szCs w:val="31"/>
          <w:highlight w:val="none"/>
        </w:rPr>
      </w:pPr>
    </w:p>
    <w:p w14:paraId="0070CD30">
      <w:pPr>
        <w:spacing w:before="64" w:line="226" w:lineRule="auto"/>
        <w:ind w:left="3536"/>
        <w:outlineLvl w:val="9"/>
        <w:rPr>
          <w:rFonts w:ascii="宋体" w:hAnsi="宋体" w:eastAsia="宋体" w:cs="宋体"/>
          <w:b/>
          <w:bCs/>
          <w:color w:val="auto"/>
          <w:spacing w:val="5"/>
          <w:sz w:val="31"/>
          <w:szCs w:val="31"/>
          <w:highlight w:val="none"/>
        </w:rPr>
      </w:pPr>
    </w:p>
    <w:p w14:paraId="7EFF4AB4">
      <w:pPr>
        <w:spacing w:before="64" w:line="226" w:lineRule="auto"/>
        <w:ind w:left="3536"/>
        <w:outlineLvl w:val="9"/>
        <w:rPr>
          <w:rFonts w:ascii="宋体" w:hAnsi="宋体" w:eastAsia="宋体" w:cs="宋体"/>
          <w:b/>
          <w:bCs/>
          <w:color w:val="auto"/>
          <w:spacing w:val="5"/>
          <w:sz w:val="31"/>
          <w:szCs w:val="31"/>
          <w:highlight w:val="none"/>
        </w:rPr>
      </w:pPr>
    </w:p>
    <w:p w14:paraId="5FD05825">
      <w:pPr>
        <w:spacing w:before="64" w:line="226" w:lineRule="auto"/>
        <w:ind w:left="3536"/>
        <w:outlineLvl w:val="9"/>
        <w:rPr>
          <w:rFonts w:ascii="宋体" w:hAnsi="宋体" w:eastAsia="宋体" w:cs="宋体"/>
          <w:b/>
          <w:bCs/>
          <w:color w:val="auto"/>
          <w:spacing w:val="5"/>
          <w:sz w:val="31"/>
          <w:szCs w:val="31"/>
          <w:highlight w:val="none"/>
        </w:rPr>
      </w:pPr>
    </w:p>
    <w:p w14:paraId="76402F57">
      <w:pPr>
        <w:spacing w:before="64" w:line="226" w:lineRule="auto"/>
        <w:ind w:left="3536"/>
        <w:outlineLvl w:val="9"/>
        <w:rPr>
          <w:rFonts w:ascii="宋体" w:hAnsi="宋体" w:eastAsia="宋体" w:cs="宋体"/>
          <w:b/>
          <w:bCs/>
          <w:color w:val="auto"/>
          <w:spacing w:val="5"/>
          <w:sz w:val="31"/>
          <w:szCs w:val="31"/>
          <w:highlight w:val="none"/>
        </w:rPr>
      </w:pPr>
    </w:p>
    <w:p w14:paraId="433F8A8F">
      <w:pPr>
        <w:spacing w:before="64" w:line="226" w:lineRule="auto"/>
        <w:ind w:left="3536"/>
        <w:outlineLvl w:val="9"/>
        <w:rPr>
          <w:rFonts w:ascii="宋体" w:hAnsi="宋体" w:eastAsia="宋体" w:cs="宋体"/>
          <w:b/>
          <w:bCs/>
          <w:color w:val="auto"/>
          <w:spacing w:val="5"/>
          <w:sz w:val="31"/>
          <w:szCs w:val="31"/>
          <w:highlight w:val="none"/>
        </w:rPr>
      </w:pPr>
    </w:p>
    <w:p w14:paraId="461B1DDB">
      <w:pPr>
        <w:spacing w:before="64" w:line="226" w:lineRule="auto"/>
        <w:ind w:left="3536"/>
        <w:outlineLvl w:val="9"/>
        <w:rPr>
          <w:rFonts w:ascii="宋体" w:hAnsi="宋体" w:eastAsia="宋体" w:cs="宋体"/>
          <w:b/>
          <w:bCs/>
          <w:color w:val="auto"/>
          <w:spacing w:val="5"/>
          <w:sz w:val="31"/>
          <w:szCs w:val="31"/>
          <w:highlight w:val="none"/>
        </w:rPr>
      </w:pPr>
    </w:p>
    <w:p w14:paraId="0A9887EB">
      <w:pPr>
        <w:spacing w:before="64" w:line="226" w:lineRule="auto"/>
        <w:ind w:left="3536"/>
        <w:outlineLvl w:val="9"/>
        <w:rPr>
          <w:rFonts w:ascii="宋体" w:hAnsi="宋体" w:eastAsia="宋体" w:cs="宋体"/>
          <w:b/>
          <w:bCs/>
          <w:color w:val="auto"/>
          <w:spacing w:val="5"/>
          <w:sz w:val="31"/>
          <w:szCs w:val="31"/>
          <w:highlight w:val="none"/>
        </w:rPr>
      </w:pPr>
    </w:p>
    <w:p w14:paraId="5BE0BB5D">
      <w:pPr>
        <w:spacing w:before="64" w:line="226" w:lineRule="auto"/>
        <w:ind w:left="3536"/>
        <w:outlineLvl w:val="9"/>
        <w:rPr>
          <w:rFonts w:ascii="宋体" w:hAnsi="宋体" w:eastAsia="宋体" w:cs="宋体"/>
          <w:b/>
          <w:bCs/>
          <w:color w:val="auto"/>
          <w:spacing w:val="5"/>
          <w:sz w:val="31"/>
          <w:szCs w:val="31"/>
          <w:highlight w:val="none"/>
        </w:rPr>
      </w:pPr>
    </w:p>
    <w:p w14:paraId="489A18FD">
      <w:pPr>
        <w:spacing w:before="64" w:line="226" w:lineRule="auto"/>
        <w:ind w:left="3536"/>
        <w:outlineLvl w:val="9"/>
        <w:rPr>
          <w:rFonts w:ascii="宋体" w:hAnsi="宋体" w:eastAsia="宋体" w:cs="宋体"/>
          <w:b/>
          <w:bCs/>
          <w:color w:val="auto"/>
          <w:spacing w:val="5"/>
          <w:sz w:val="31"/>
          <w:szCs w:val="31"/>
          <w:highlight w:val="none"/>
        </w:rPr>
      </w:pPr>
    </w:p>
    <w:p w14:paraId="06DD516A">
      <w:pPr>
        <w:spacing w:before="64" w:line="226" w:lineRule="auto"/>
        <w:ind w:left="3536"/>
        <w:outlineLvl w:val="9"/>
        <w:rPr>
          <w:rFonts w:ascii="宋体" w:hAnsi="宋体" w:eastAsia="宋体" w:cs="宋体"/>
          <w:b/>
          <w:bCs/>
          <w:color w:val="auto"/>
          <w:spacing w:val="5"/>
          <w:sz w:val="31"/>
          <w:szCs w:val="31"/>
          <w:highlight w:val="none"/>
        </w:rPr>
      </w:pPr>
    </w:p>
    <w:p w14:paraId="380EA2BD">
      <w:pPr>
        <w:spacing w:before="64" w:line="226" w:lineRule="auto"/>
        <w:ind w:left="3536"/>
        <w:outlineLvl w:val="9"/>
        <w:rPr>
          <w:rFonts w:ascii="宋体" w:hAnsi="宋体" w:eastAsia="宋体" w:cs="宋体"/>
          <w:b/>
          <w:bCs/>
          <w:color w:val="auto"/>
          <w:spacing w:val="5"/>
          <w:sz w:val="31"/>
          <w:szCs w:val="31"/>
          <w:highlight w:val="none"/>
        </w:rPr>
      </w:pPr>
    </w:p>
    <w:p w14:paraId="343E7392">
      <w:pPr>
        <w:spacing w:before="64" w:line="226" w:lineRule="auto"/>
        <w:ind w:left="3536"/>
        <w:outlineLvl w:val="9"/>
        <w:rPr>
          <w:rFonts w:ascii="宋体" w:hAnsi="宋体" w:eastAsia="宋体" w:cs="宋体"/>
          <w:b/>
          <w:bCs/>
          <w:color w:val="auto"/>
          <w:spacing w:val="5"/>
          <w:sz w:val="31"/>
          <w:szCs w:val="31"/>
          <w:highlight w:val="none"/>
        </w:rPr>
      </w:pPr>
    </w:p>
    <w:p w14:paraId="0111DE1B">
      <w:pPr>
        <w:spacing w:before="64" w:line="226" w:lineRule="auto"/>
        <w:ind w:left="3536"/>
        <w:outlineLvl w:val="9"/>
        <w:rPr>
          <w:rFonts w:ascii="宋体" w:hAnsi="宋体" w:eastAsia="宋体" w:cs="宋体"/>
          <w:b/>
          <w:bCs/>
          <w:color w:val="auto"/>
          <w:spacing w:val="5"/>
          <w:sz w:val="31"/>
          <w:szCs w:val="31"/>
          <w:highlight w:val="none"/>
        </w:rPr>
      </w:pPr>
    </w:p>
    <w:p w14:paraId="4533DBA8">
      <w:pPr>
        <w:spacing w:before="64" w:line="226" w:lineRule="auto"/>
        <w:ind w:left="3536"/>
        <w:outlineLvl w:val="9"/>
        <w:rPr>
          <w:rFonts w:ascii="宋体" w:hAnsi="宋体" w:eastAsia="宋体" w:cs="宋体"/>
          <w:b/>
          <w:bCs/>
          <w:color w:val="auto"/>
          <w:spacing w:val="5"/>
          <w:sz w:val="31"/>
          <w:szCs w:val="31"/>
          <w:highlight w:val="none"/>
        </w:rPr>
      </w:pPr>
    </w:p>
    <w:p w14:paraId="49A47686">
      <w:pPr>
        <w:spacing w:before="64" w:line="226" w:lineRule="auto"/>
        <w:ind w:left="3536"/>
        <w:outlineLvl w:val="9"/>
        <w:rPr>
          <w:rFonts w:ascii="宋体" w:hAnsi="宋体" w:eastAsia="宋体" w:cs="宋体"/>
          <w:b/>
          <w:bCs/>
          <w:color w:val="auto"/>
          <w:spacing w:val="5"/>
          <w:sz w:val="31"/>
          <w:szCs w:val="31"/>
          <w:highlight w:val="none"/>
        </w:rPr>
      </w:pPr>
    </w:p>
    <w:p w14:paraId="071CB173">
      <w:pPr>
        <w:spacing w:before="64" w:line="226" w:lineRule="auto"/>
        <w:ind w:left="3536"/>
        <w:outlineLvl w:val="9"/>
        <w:rPr>
          <w:rFonts w:ascii="宋体" w:hAnsi="宋体" w:eastAsia="宋体" w:cs="宋体"/>
          <w:b/>
          <w:bCs/>
          <w:color w:val="auto"/>
          <w:spacing w:val="5"/>
          <w:sz w:val="31"/>
          <w:szCs w:val="31"/>
          <w:highlight w:val="none"/>
        </w:rPr>
      </w:pPr>
    </w:p>
    <w:p w14:paraId="41ABCEF3">
      <w:pPr>
        <w:spacing w:before="64" w:line="226" w:lineRule="auto"/>
        <w:ind w:left="3536"/>
        <w:outlineLvl w:val="9"/>
        <w:rPr>
          <w:rFonts w:ascii="宋体" w:hAnsi="宋体" w:eastAsia="宋体" w:cs="宋体"/>
          <w:b/>
          <w:bCs/>
          <w:color w:val="auto"/>
          <w:spacing w:val="5"/>
          <w:sz w:val="31"/>
          <w:szCs w:val="31"/>
          <w:highlight w:val="none"/>
        </w:rPr>
      </w:pPr>
    </w:p>
    <w:p w14:paraId="09CFF2C2">
      <w:pPr>
        <w:spacing w:before="64" w:line="226" w:lineRule="auto"/>
        <w:ind w:left="3536"/>
        <w:outlineLvl w:val="9"/>
        <w:rPr>
          <w:rFonts w:ascii="宋体" w:hAnsi="宋体" w:eastAsia="宋体" w:cs="宋体"/>
          <w:b/>
          <w:bCs/>
          <w:color w:val="auto"/>
          <w:spacing w:val="5"/>
          <w:sz w:val="31"/>
          <w:szCs w:val="31"/>
          <w:highlight w:val="none"/>
        </w:rPr>
      </w:pPr>
    </w:p>
    <w:p w14:paraId="4AD52F0F">
      <w:pPr>
        <w:spacing w:before="64" w:line="226" w:lineRule="auto"/>
        <w:ind w:left="3536"/>
        <w:outlineLvl w:val="9"/>
        <w:rPr>
          <w:rFonts w:ascii="宋体" w:hAnsi="宋体" w:eastAsia="宋体" w:cs="宋体"/>
          <w:b/>
          <w:bCs/>
          <w:color w:val="auto"/>
          <w:spacing w:val="5"/>
          <w:sz w:val="31"/>
          <w:szCs w:val="31"/>
          <w:highlight w:val="none"/>
        </w:rPr>
      </w:pPr>
    </w:p>
    <w:p w14:paraId="14492DDE">
      <w:pPr>
        <w:spacing w:before="64" w:line="226" w:lineRule="auto"/>
        <w:ind w:left="3536"/>
        <w:outlineLvl w:val="9"/>
        <w:rPr>
          <w:rFonts w:ascii="宋体" w:hAnsi="宋体" w:eastAsia="宋体" w:cs="宋体"/>
          <w:b/>
          <w:bCs/>
          <w:color w:val="auto"/>
          <w:spacing w:val="5"/>
          <w:sz w:val="31"/>
          <w:szCs w:val="31"/>
          <w:highlight w:val="none"/>
        </w:rPr>
      </w:pPr>
    </w:p>
    <w:p w14:paraId="47900F9F">
      <w:pPr>
        <w:spacing w:before="64" w:line="226" w:lineRule="auto"/>
        <w:ind w:left="3536"/>
        <w:outlineLvl w:val="9"/>
        <w:rPr>
          <w:rFonts w:ascii="宋体" w:hAnsi="宋体" w:eastAsia="宋体" w:cs="宋体"/>
          <w:b/>
          <w:bCs/>
          <w:color w:val="auto"/>
          <w:spacing w:val="5"/>
          <w:sz w:val="31"/>
          <w:szCs w:val="31"/>
          <w:highlight w:val="none"/>
        </w:rPr>
      </w:pPr>
    </w:p>
    <w:p w14:paraId="134DC223">
      <w:pPr>
        <w:spacing w:before="64" w:line="226" w:lineRule="auto"/>
        <w:ind w:left="3536"/>
        <w:jc w:val="both"/>
        <w:outlineLvl w:val="9"/>
        <w:rPr>
          <w:rFonts w:ascii="宋体" w:hAnsi="宋体" w:eastAsia="宋体" w:cs="宋体"/>
          <w:color w:val="auto"/>
          <w:sz w:val="31"/>
          <w:szCs w:val="31"/>
          <w:highlight w:val="none"/>
        </w:rPr>
      </w:pPr>
      <w:bookmarkStart w:id="428" w:name="_Toc21615"/>
      <w:r>
        <w:rPr>
          <w:rFonts w:ascii="宋体" w:hAnsi="宋体" w:eastAsia="宋体" w:cs="宋体"/>
          <w:b/>
          <w:bCs/>
          <w:color w:val="auto"/>
          <w:spacing w:val="5"/>
          <w:sz w:val="31"/>
          <w:szCs w:val="31"/>
          <w:highlight w:val="none"/>
        </w:rPr>
        <w:t>六、施工组织设计</w:t>
      </w:r>
      <w:bookmarkEnd w:id="428"/>
    </w:p>
    <w:p w14:paraId="16EFD0A9">
      <w:pPr>
        <w:spacing w:line="387" w:lineRule="auto"/>
        <w:outlineLvl w:val="9"/>
        <w:rPr>
          <w:rFonts w:ascii="Arial"/>
          <w:color w:val="auto"/>
          <w:sz w:val="21"/>
          <w:highlight w:val="none"/>
        </w:rPr>
      </w:pPr>
    </w:p>
    <w:p w14:paraId="520A01BA">
      <w:pPr>
        <w:spacing w:before="69" w:line="354" w:lineRule="auto"/>
        <w:ind w:firstLine="437"/>
        <w:outlineLvl w:val="9"/>
        <w:rPr>
          <w:rFonts w:ascii="宋体" w:hAnsi="宋体" w:eastAsia="宋体" w:cs="宋体"/>
          <w:color w:val="auto"/>
          <w:spacing w:val="1"/>
          <w:sz w:val="21"/>
          <w:szCs w:val="21"/>
          <w:highlight w:val="none"/>
        </w:rPr>
      </w:pPr>
      <w:r>
        <w:rPr>
          <w:rFonts w:ascii="Times New Roman" w:hAnsi="Times New Roman" w:eastAsia="Times New Roman" w:cs="Times New Roman"/>
          <w:color w:val="auto"/>
          <w:spacing w:val="-2"/>
          <w:sz w:val="21"/>
          <w:szCs w:val="21"/>
          <w:highlight w:val="none"/>
        </w:rPr>
        <w:t>1.</w:t>
      </w:r>
      <w:r>
        <w:rPr>
          <w:rFonts w:ascii="Times New Roman" w:hAnsi="Times New Roman" w:eastAsia="Times New Roman" w:cs="Times New Roman"/>
          <w:color w:val="auto"/>
          <w:spacing w:val="25"/>
          <w:w w:val="101"/>
          <w:sz w:val="21"/>
          <w:szCs w:val="21"/>
          <w:highlight w:val="none"/>
        </w:rPr>
        <w:t xml:space="preserve">  </w:t>
      </w:r>
      <w:r>
        <w:rPr>
          <w:rFonts w:ascii="宋体" w:hAnsi="宋体" w:eastAsia="宋体" w:cs="宋体"/>
          <w:color w:val="auto"/>
          <w:spacing w:val="-2"/>
          <w:sz w:val="21"/>
          <w:szCs w:val="21"/>
          <w:highlight w:val="none"/>
        </w:rPr>
        <w:t>投标人编制施工组织设计的要求：编制时应采用文字并结合图表形式说明施工方法；拟投入</w:t>
      </w:r>
      <w:r>
        <w:rPr>
          <w:rFonts w:ascii="宋体" w:hAnsi="宋体" w:eastAsia="宋体" w:cs="宋体"/>
          <w:color w:val="auto"/>
          <w:spacing w:val="1"/>
          <w:sz w:val="21"/>
          <w:szCs w:val="21"/>
          <w:highlight w:val="none"/>
        </w:rPr>
        <w:t>本标段的主要施工设备情况、拟配备本标段的试验和检测仪器设备情况、劳动力计</w:t>
      </w:r>
      <w:r>
        <w:rPr>
          <w:rFonts w:ascii="宋体" w:hAnsi="宋体" w:eastAsia="宋体" w:cs="宋体"/>
          <w:color w:val="auto"/>
          <w:sz w:val="21"/>
          <w:szCs w:val="21"/>
          <w:highlight w:val="none"/>
        </w:rPr>
        <w:t>划等；结合工程</w:t>
      </w:r>
      <w:r>
        <w:rPr>
          <w:rFonts w:ascii="宋体" w:hAnsi="宋体" w:eastAsia="宋体" w:cs="宋体"/>
          <w:color w:val="auto"/>
          <w:spacing w:val="1"/>
          <w:sz w:val="21"/>
          <w:szCs w:val="21"/>
          <w:highlight w:val="none"/>
        </w:rPr>
        <w:t>特点提出切实可行的工程质量、安全生产、文明施工、工程进度、技术组织措施，</w:t>
      </w:r>
      <w:r>
        <w:rPr>
          <w:rFonts w:ascii="宋体" w:hAnsi="宋体" w:eastAsia="宋体" w:cs="宋体"/>
          <w:color w:val="auto"/>
          <w:sz w:val="21"/>
          <w:szCs w:val="21"/>
          <w:highlight w:val="none"/>
        </w:rPr>
        <w:t>同时应对关键工</w:t>
      </w:r>
      <w:r>
        <w:rPr>
          <w:rFonts w:ascii="宋体" w:hAnsi="宋体" w:eastAsia="宋体" w:cs="宋体"/>
          <w:color w:val="auto"/>
          <w:spacing w:val="1"/>
          <w:sz w:val="21"/>
          <w:szCs w:val="21"/>
          <w:highlight w:val="none"/>
        </w:rPr>
        <w:t>序、复杂环节重点提出相应技术措施，如冬雨季施工技术、减少噪声、降低环境污染、地下管线及其他地上地下设施的保护加固措施等。</w:t>
      </w:r>
    </w:p>
    <w:p w14:paraId="0FCF1EF6">
      <w:pPr>
        <w:spacing w:before="69" w:line="354" w:lineRule="auto"/>
        <w:ind w:firstLine="437"/>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 xml:space="preserve">2.  施工组织设计除采用文字表述外可附下列图表，图表及格式要求附后。 </w:t>
      </w:r>
    </w:p>
    <w:p w14:paraId="23A54DC0">
      <w:pPr>
        <w:spacing w:before="188" w:line="303" w:lineRule="auto"/>
        <w:ind w:right="1869" w:firstLine="412" w:firstLineChars="200"/>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附表一  拟投入本标段的主要施工设备表</w:t>
      </w:r>
    </w:p>
    <w:p w14:paraId="5D4BFA4A">
      <w:pPr>
        <w:spacing w:before="191"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附表二  拟配备本标段的试验和检测仪器设备表</w:t>
      </w:r>
    </w:p>
    <w:p w14:paraId="2FA9B0B1">
      <w:pPr>
        <w:spacing w:before="188"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附表三  劳动力计划表</w:t>
      </w:r>
    </w:p>
    <w:p w14:paraId="4962718F">
      <w:pPr>
        <w:spacing w:before="189"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附表四  计划开、竣工日期和施工进度网络图</w:t>
      </w:r>
    </w:p>
    <w:p w14:paraId="46AFE51F">
      <w:pPr>
        <w:spacing w:before="192"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附表五  施工总平面图</w:t>
      </w:r>
    </w:p>
    <w:p w14:paraId="2CD05628">
      <w:pPr>
        <w:spacing w:before="189" w:line="220" w:lineRule="auto"/>
        <w:ind w:left="437"/>
        <w:outlineLvl w:val="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附表六</w:t>
      </w:r>
      <w:r>
        <w:rPr>
          <w:rFonts w:ascii="宋体" w:hAnsi="宋体" w:eastAsia="宋体" w:cs="宋体"/>
          <w:color w:val="auto"/>
          <w:spacing w:val="9"/>
          <w:sz w:val="21"/>
          <w:szCs w:val="21"/>
          <w:highlight w:val="none"/>
        </w:rPr>
        <w:t xml:space="preserve">  </w:t>
      </w:r>
      <w:r>
        <w:rPr>
          <w:rFonts w:ascii="宋体" w:hAnsi="宋体" w:eastAsia="宋体" w:cs="宋体"/>
          <w:color w:val="auto"/>
          <w:spacing w:val="-5"/>
          <w:sz w:val="21"/>
          <w:szCs w:val="21"/>
          <w:highlight w:val="none"/>
        </w:rPr>
        <w:t>临时用地表</w:t>
      </w:r>
    </w:p>
    <w:p w14:paraId="0C284C81">
      <w:pPr>
        <w:spacing w:before="56" w:line="219" w:lineRule="auto"/>
        <w:ind w:left="2330"/>
        <w:outlineLvl w:val="9"/>
        <w:rPr>
          <w:rFonts w:ascii="宋体" w:hAnsi="宋体" w:eastAsia="宋体" w:cs="宋体"/>
          <w:b/>
          <w:bCs/>
          <w:color w:val="auto"/>
          <w:spacing w:val="-5"/>
          <w:sz w:val="28"/>
          <w:szCs w:val="28"/>
          <w:highlight w:val="none"/>
        </w:rPr>
      </w:pPr>
    </w:p>
    <w:p w14:paraId="07DF6C5C">
      <w:pPr>
        <w:spacing w:before="56" w:line="219" w:lineRule="auto"/>
        <w:ind w:left="2330"/>
        <w:outlineLvl w:val="9"/>
        <w:rPr>
          <w:rFonts w:ascii="宋体" w:hAnsi="宋体" w:eastAsia="宋体" w:cs="宋体"/>
          <w:b/>
          <w:bCs/>
          <w:color w:val="auto"/>
          <w:spacing w:val="-5"/>
          <w:sz w:val="28"/>
          <w:szCs w:val="28"/>
          <w:highlight w:val="none"/>
        </w:rPr>
      </w:pPr>
    </w:p>
    <w:p w14:paraId="485300D2">
      <w:pPr>
        <w:spacing w:before="56" w:line="219" w:lineRule="auto"/>
        <w:ind w:left="2330"/>
        <w:outlineLvl w:val="9"/>
        <w:rPr>
          <w:rFonts w:ascii="宋体" w:hAnsi="宋体" w:eastAsia="宋体" w:cs="宋体"/>
          <w:b/>
          <w:bCs/>
          <w:color w:val="auto"/>
          <w:spacing w:val="-5"/>
          <w:sz w:val="28"/>
          <w:szCs w:val="28"/>
          <w:highlight w:val="none"/>
        </w:rPr>
      </w:pPr>
    </w:p>
    <w:p w14:paraId="42A2513E">
      <w:pPr>
        <w:spacing w:before="56" w:line="219" w:lineRule="auto"/>
        <w:ind w:left="2330"/>
        <w:outlineLvl w:val="9"/>
        <w:rPr>
          <w:rFonts w:ascii="宋体" w:hAnsi="宋体" w:eastAsia="宋体" w:cs="宋体"/>
          <w:b/>
          <w:bCs/>
          <w:color w:val="auto"/>
          <w:spacing w:val="-5"/>
          <w:sz w:val="28"/>
          <w:szCs w:val="28"/>
          <w:highlight w:val="none"/>
        </w:rPr>
      </w:pPr>
    </w:p>
    <w:p w14:paraId="369F4802">
      <w:pPr>
        <w:spacing w:before="56" w:line="219" w:lineRule="auto"/>
        <w:ind w:left="2330"/>
        <w:outlineLvl w:val="9"/>
        <w:rPr>
          <w:rFonts w:ascii="宋体" w:hAnsi="宋体" w:eastAsia="宋体" w:cs="宋体"/>
          <w:b/>
          <w:bCs/>
          <w:color w:val="auto"/>
          <w:spacing w:val="-5"/>
          <w:sz w:val="28"/>
          <w:szCs w:val="28"/>
          <w:highlight w:val="none"/>
        </w:rPr>
      </w:pPr>
    </w:p>
    <w:p w14:paraId="14815F4A">
      <w:pPr>
        <w:spacing w:before="56" w:line="219" w:lineRule="auto"/>
        <w:ind w:left="2330"/>
        <w:outlineLvl w:val="9"/>
        <w:rPr>
          <w:rFonts w:ascii="宋体" w:hAnsi="宋体" w:eastAsia="宋体" w:cs="宋体"/>
          <w:b/>
          <w:bCs/>
          <w:color w:val="auto"/>
          <w:spacing w:val="-5"/>
          <w:sz w:val="28"/>
          <w:szCs w:val="28"/>
          <w:highlight w:val="none"/>
        </w:rPr>
      </w:pPr>
    </w:p>
    <w:p w14:paraId="1FA8D08D">
      <w:pPr>
        <w:spacing w:before="56" w:line="219" w:lineRule="auto"/>
        <w:ind w:left="2330"/>
        <w:outlineLvl w:val="9"/>
        <w:rPr>
          <w:rFonts w:ascii="宋体" w:hAnsi="宋体" w:eastAsia="宋体" w:cs="宋体"/>
          <w:b/>
          <w:bCs/>
          <w:color w:val="auto"/>
          <w:spacing w:val="-5"/>
          <w:sz w:val="28"/>
          <w:szCs w:val="28"/>
          <w:highlight w:val="none"/>
        </w:rPr>
      </w:pPr>
    </w:p>
    <w:p w14:paraId="2E27754A">
      <w:pPr>
        <w:spacing w:before="56" w:line="219" w:lineRule="auto"/>
        <w:ind w:left="2330"/>
        <w:outlineLvl w:val="9"/>
        <w:rPr>
          <w:rFonts w:ascii="宋体" w:hAnsi="宋体" w:eastAsia="宋体" w:cs="宋体"/>
          <w:b/>
          <w:bCs/>
          <w:color w:val="auto"/>
          <w:spacing w:val="-5"/>
          <w:sz w:val="28"/>
          <w:szCs w:val="28"/>
          <w:highlight w:val="none"/>
        </w:rPr>
      </w:pPr>
    </w:p>
    <w:p w14:paraId="28152746">
      <w:pPr>
        <w:spacing w:before="56" w:line="219" w:lineRule="auto"/>
        <w:ind w:left="2330"/>
        <w:outlineLvl w:val="9"/>
        <w:rPr>
          <w:rFonts w:ascii="宋体" w:hAnsi="宋体" w:eastAsia="宋体" w:cs="宋体"/>
          <w:b/>
          <w:bCs/>
          <w:color w:val="auto"/>
          <w:spacing w:val="-5"/>
          <w:sz w:val="28"/>
          <w:szCs w:val="28"/>
          <w:highlight w:val="none"/>
        </w:rPr>
      </w:pPr>
    </w:p>
    <w:p w14:paraId="59FB2A01">
      <w:pPr>
        <w:spacing w:before="56" w:line="219" w:lineRule="auto"/>
        <w:ind w:left="2330"/>
        <w:outlineLvl w:val="9"/>
        <w:rPr>
          <w:rFonts w:ascii="宋体" w:hAnsi="宋体" w:eastAsia="宋体" w:cs="宋体"/>
          <w:b/>
          <w:bCs/>
          <w:color w:val="auto"/>
          <w:spacing w:val="-5"/>
          <w:sz w:val="28"/>
          <w:szCs w:val="28"/>
          <w:highlight w:val="none"/>
        </w:rPr>
      </w:pPr>
    </w:p>
    <w:p w14:paraId="631E12D3">
      <w:pPr>
        <w:spacing w:before="56" w:line="219" w:lineRule="auto"/>
        <w:ind w:left="2330"/>
        <w:outlineLvl w:val="9"/>
        <w:rPr>
          <w:rFonts w:ascii="宋体" w:hAnsi="宋体" w:eastAsia="宋体" w:cs="宋体"/>
          <w:b/>
          <w:bCs/>
          <w:color w:val="auto"/>
          <w:spacing w:val="-5"/>
          <w:sz w:val="28"/>
          <w:szCs w:val="28"/>
          <w:highlight w:val="none"/>
        </w:rPr>
      </w:pPr>
    </w:p>
    <w:p w14:paraId="0B491ED5">
      <w:pPr>
        <w:spacing w:before="56" w:line="219" w:lineRule="auto"/>
        <w:ind w:left="2330"/>
        <w:outlineLvl w:val="9"/>
        <w:rPr>
          <w:rFonts w:ascii="宋体" w:hAnsi="宋体" w:eastAsia="宋体" w:cs="宋体"/>
          <w:b/>
          <w:bCs/>
          <w:color w:val="auto"/>
          <w:spacing w:val="-5"/>
          <w:sz w:val="28"/>
          <w:szCs w:val="28"/>
          <w:highlight w:val="none"/>
        </w:rPr>
      </w:pPr>
    </w:p>
    <w:p w14:paraId="31122CC8">
      <w:pPr>
        <w:spacing w:before="56" w:line="219" w:lineRule="auto"/>
        <w:ind w:left="2330"/>
        <w:outlineLvl w:val="9"/>
        <w:rPr>
          <w:rFonts w:ascii="宋体" w:hAnsi="宋体" w:eastAsia="宋体" w:cs="宋体"/>
          <w:b/>
          <w:bCs/>
          <w:color w:val="auto"/>
          <w:spacing w:val="-5"/>
          <w:sz w:val="28"/>
          <w:szCs w:val="28"/>
          <w:highlight w:val="none"/>
        </w:rPr>
      </w:pPr>
    </w:p>
    <w:p w14:paraId="5E05D1DE">
      <w:pPr>
        <w:spacing w:before="56" w:line="219" w:lineRule="auto"/>
        <w:ind w:left="2330"/>
        <w:outlineLvl w:val="9"/>
        <w:rPr>
          <w:rFonts w:ascii="宋体" w:hAnsi="宋体" w:eastAsia="宋体" w:cs="宋体"/>
          <w:b/>
          <w:bCs/>
          <w:color w:val="auto"/>
          <w:spacing w:val="-5"/>
          <w:sz w:val="28"/>
          <w:szCs w:val="28"/>
          <w:highlight w:val="none"/>
        </w:rPr>
      </w:pPr>
    </w:p>
    <w:p w14:paraId="6BC52B24">
      <w:pPr>
        <w:spacing w:before="56" w:line="219" w:lineRule="auto"/>
        <w:ind w:left="2330"/>
        <w:outlineLvl w:val="9"/>
        <w:rPr>
          <w:rFonts w:ascii="宋体" w:hAnsi="宋体" w:eastAsia="宋体" w:cs="宋体"/>
          <w:b/>
          <w:bCs/>
          <w:color w:val="auto"/>
          <w:spacing w:val="-5"/>
          <w:sz w:val="28"/>
          <w:szCs w:val="28"/>
          <w:highlight w:val="none"/>
        </w:rPr>
      </w:pPr>
    </w:p>
    <w:p w14:paraId="00C48B6C">
      <w:pPr>
        <w:spacing w:before="56" w:line="219" w:lineRule="auto"/>
        <w:ind w:left="2330"/>
        <w:outlineLvl w:val="9"/>
        <w:rPr>
          <w:rFonts w:ascii="宋体" w:hAnsi="宋体" w:eastAsia="宋体" w:cs="宋体"/>
          <w:b/>
          <w:bCs/>
          <w:color w:val="auto"/>
          <w:spacing w:val="-5"/>
          <w:sz w:val="28"/>
          <w:szCs w:val="28"/>
          <w:highlight w:val="none"/>
        </w:rPr>
      </w:pPr>
    </w:p>
    <w:p w14:paraId="1314C416">
      <w:pPr>
        <w:spacing w:before="56" w:line="219" w:lineRule="auto"/>
        <w:ind w:left="2330"/>
        <w:outlineLvl w:val="9"/>
        <w:rPr>
          <w:rFonts w:ascii="宋体" w:hAnsi="宋体" w:eastAsia="宋体" w:cs="宋体"/>
          <w:b/>
          <w:bCs/>
          <w:color w:val="auto"/>
          <w:spacing w:val="-5"/>
          <w:sz w:val="28"/>
          <w:szCs w:val="28"/>
          <w:highlight w:val="none"/>
        </w:rPr>
      </w:pPr>
    </w:p>
    <w:p w14:paraId="065AF92C">
      <w:pPr>
        <w:spacing w:before="56" w:line="219" w:lineRule="auto"/>
        <w:ind w:left="2330"/>
        <w:outlineLvl w:val="9"/>
        <w:rPr>
          <w:rFonts w:ascii="宋体" w:hAnsi="宋体" w:eastAsia="宋体" w:cs="宋体"/>
          <w:b/>
          <w:bCs/>
          <w:color w:val="auto"/>
          <w:spacing w:val="-5"/>
          <w:sz w:val="28"/>
          <w:szCs w:val="28"/>
          <w:highlight w:val="none"/>
        </w:rPr>
      </w:pPr>
    </w:p>
    <w:p w14:paraId="2B8A08FA">
      <w:pPr>
        <w:spacing w:before="56" w:line="219" w:lineRule="auto"/>
        <w:ind w:left="2330"/>
        <w:outlineLvl w:val="9"/>
        <w:rPr>
          <w:rFonts w:ascii="宋体" w:hAnsi="宋体" w:eastAsia="宋体" w:cs="宋体"/>
          <w:b/>
          <w:bCs/>
          <w:color w:val="auto"/>
          <w:spacing w:val="-5"/>
          <w:sz w:val="28"/>
          <w:szCs w:val="28"/>
          <w:highlight w:val="none"/>
        </w:rPr>
      </w:pPr>
    </w:p>
    <w:p w14:paraId="094F6A4B">
      <w:pPr>
        <w:spacing w:before="56" w:line="219" w:lineRule="auto"/>
        <w:ind w:left="2330"/>
        <w:outlineLvl w:val="9"/>
        <w:rPr>
          <w:rFonts w:ascii="宋体" w:hAnsi="宋体" w:eastAsia="宋体" w:cs="宋体"/>
          <w:b/>
          <w:bCs/>
          <w:color w:val="auto"/>
          <w:spacing w:val="-5"/>
          <w:sz w:val="28"/>
          <w:szCs w:val="28"/>
          <w:highlight w:val="none"/>
        </w:rPr>
      </w:pPr>
    </w:p>
    <w:p w14:paraId="76EDE286">
      <w:pPr>
        <w:spacing w:before="56" w:line="219" w:lineRule="auto"/>
        <w:ind w:left="2330"/>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附表一：拟投入本标段的主要施工设备表</w:t>
      </w:r>
    </w:p>
    <w:p w14:paraId="022B081B">
      <w:pPr>
        <w:spacing w:before="111"/>
        <w:outlineLvl w:val="9"/>
        <w:rPr>
          <w:color w:val="auto"/>
          <w:highlight w:val="none"/>
        </w:rPr>
      </w:pPr>
    </w:p>
    <w:tbl>
      <w:tblPr>
        <w:tblStyle w:val="26"/>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1180"/>
        <w:gridCol w:w="830"/>
        <w:gridCol w:w="1077"/>
        <w:gridCol w:w="732"/>
        <w:gridCol w:w="803"/>
        <w:gridCol w:w="1320"/>
        <w:gridCol w:w="952"/>
        <w:gridCol w:w="1150"/>
        <w:gridCol w:w="758"/>
      </w:tblGrid>
      <w:tr w14:paraId="00C8B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32" w:type="dxa"/>
            <w:vAlign w:val="top"/>
          </w:tcPr>
          <w:p w14:paraId="1A8ADF6A">
            <w:pPr>
              <w:spacing w:line="326" w:lineRule="auto"/>
              <w:outlineLvl w:val="9"/>
              <w:rPr>
                <w:rFonts w:ascii="Arial"/>
                <w:color w:val="auto"/>
                <w:sz w:val="21"/>
                <w:highlight w:val="none"/>
              </w:rPr>
            </w:pPr>
          </w:p>
          <w:p w14:paraId="38E82C30">
            <w:pPr>
              <w:pStyle w:val="27"/>
              <w:spacing w:before="68" w:line="222" w:lineRule="auto"/>
              <w:ind w:left="161"/>
              <w:outlineLvl w:val="9"/>
              <w:rPr>
                <w:color w:val="auto"/>
                <w:highlight w:val="none"/>
              </w:rPr>
            </w:pPr>
            <w:r>
              <w:rPr>
                <w:color w:val="auto"/>
                <w:spacing w:val="-2"/>
                <w:highlight w:val="none"/>
              </w:rPr>
              <w:t>序号</w:t>
            </w:r>
          </w:p>
        </w:tc>
        <w:tc>
          <w:tcPr>
            <w:tcW w:w="1180" w:type="dxa"/>
            <w:vAlign w:val="top"/>
          </w:tcPr>
          <w:p w14:paraId="60D46296">
            <w:pPr>
              <w:spacing w:line="326" w:lineRule="auto"/>
              <w:outlineLvl w:val="9"/>
              <w:rPr>
                <w:rFonts w:ascii="Arial"/>
                <w:color w:val="auto"/>
                <w:sz w:val="21"/>
                <w:highlight w:val="none"/>
              </w:rPr>
            </w:pPr>
          </w:p>
          <w:p w14:paraId="74ED8142">
            <w:pPr>
              <w:pStyle w:val="27"/>
              <w:spacing w:before="68" w:line="222" w:lineRule="auto"/>
              <w:ind w:left="175"/>
              <w:outlineLvl w:val="9"/>
              <w:rPr>
                <w:color w:val="auto"/>
                <w:highlight w:val="none"/>
              </w:rPr>
            </w:pPr>
            <w:r>
              <w:rPr>
                <w:color w:val="auto"/>
                <w:spacing w:val="-3"/>
                <w:highlight w:val="none"/>
              </w:rPr>
              <w:t>设备名称</w:t>
            </w:r>
          </w:p>
        </w:tc>
        <w:tc>
          <w:tcPr>
            <w:tcW w:w="830" w:type="dxa"/>
            <w:vAlign w:val="top"/>
          </w:tcPr>
          <w:p w14:paraId="37F2A100">
            <w:pPr>
              <w:pStyle w:val="27"/>
              <w:spacing w:before="179" w:line="308" w:lineRule="auto"/>
              <w:ind w:left="209" w:right="202" w:firstLine="5"/>
              <w:outlineLvl w:val="9"/>
              <w:rPr>
                <w:color w:val="auto"/>
                <w:highlight w:val="none"/>
              </w:rPr>
            </w:pPr>
            <w:r>
              <w:rPr>
                <w:color w:val="auto"/>
                <w:spacing w:val="-7"/>
                <w:highlight w:val="none"/>
              </w:rPr>
              <w:t>型号</w:t>
            </w:r>
            <w:r>
              <w:rPr>
                <w:color w:val="auto"/>
                <w:highlight w:val="none"/>
              </w:rPr>
              <w:t xml:space="preserve"> </w:t>
            </w:r>
            <w:r>
              <w:rPr>
                <w:color w:val="auto"/>
                <w:spacing w:val="-4"/>
                <w:highlight w:val="none"/>
              </w:rPr>
              <w:t>规格</w:t>
            </w:r>
          </w:p>
        </w:tc>
        <w:tc>
          <w:tcPr>
            <w:tcW w:w="1077" w:type="dxa"/>
            <w:vAlign w:val="top"/>
          </w:tcPr>
          <w:p w14:paraId="0D75820E">
            <w:pPr>
              <w:spacing w:line="326" w:lineRule="auto"/>
              <w:outlineLvl w:val="9"/>
              <w:rPr>
                <w:rFonts w:ascii="Arial"/>
                <w:color w:val="auto"/>
                <w:sz w:val="21"/>
                <w:highlight w:val="none"/>
              </w:rPr>
            </w:pPr>
          </w:p>
          <w:p w14:paraId="4A55ADA5">
            <w:pPr>
              <w:pStyle w:val="27"/>
              <w:spacing w:before="68" w:line="221" w:lineRule="auto"/>
              <w:ind w:left="335"/>
              <w:outlineLvl w:val="9"/>
              <w:rPr>
                <w:color w:val="auto"/>
                <w:highlight w:val="none"/>
              </w:rPr>
            </w:pPr>
            <w:r>
              <w:rPr>
                <w:color w:val="auto"/>
                <w:spacing w:val="-2"/>
                <w:highlight w:val="none"/>
              </w:rPr>
              <w:t>数量</w:t>
            </w:r>
          </w:p>
        </w:tc>
        <w:tc>
          <w:tcPr>
            <w:tcW w:w="732" w:type="dxa"/>
            <w:vAlign w:val="top"/>
          </w:tcPr>
          <w:p w14:paraId="686A4910">
            <w:pPr>
              <w:pStyle w:val="27"/>
              <w:spacing w:before="179" w:line="308" w:lineRule="auto"/>
              <w:ind w:left="162" w:right="150" w:firstLine="20"/>
              <w:outlineLvl w:val="9"/>
              <w:rPr>
                <w:color w:val="auto"/>
                <w:highlight w:val="none"/>
              </w:rPr>
            </w:pPr>
            <w:r>
              <w:rPr>
                <w:color w:val="auto"/>
                <w:spacing w:val="-14"/>
                <w:highlight w:val="none"/>
              </w:rPr>
              <w:t>国别</w:t>
            </w:r>
            <w:r>
              <w:rPr>
                <w:color w:val="auto"/>
                <w:highlight w:val="none"/>
              </w:rPr>
              <w:t xml:space="preserve"> </w:t>
            </w:r>
            <w:r>
              <w:rPr>
                <w:color w:val="auto"/>
                <w:spacing w:val="-3"/>
                <w:highlight w:val="none"/>
              </w:rPr>
              <w:t>产地</w:t>
            </w:r>
          </w:p>
        </w:tc>
        <w:tc>
          <w:tcPr>
            <w:tcW w:w="803" w:type="dxa"/>
            <w:vAlign w:val="top"/>
          </w:tcPr>
          <w:p w14:paraId="6E3C19FB">
            <w:pPr>
              <w:pStyle w:val="27"/>
              <w:spacing w:before="179" w:line="308" w:lineRule="auto"/>
              <w:ind w:left="198" w:right="185"/>
              <w:outlineLvl w:val="9"/>
              <w:rPr>
                <w:color w:val="auto"/>
                <w:highlight w:val="none"/>
              </w:rPr>
            </w:pPr>
            <w:r>
              <w:rPr>
                <w:color w:val="auto"/>
                <w:spacing w:val="-4"/>
                <w:highlight w:val="none"/>
              </w:rPr>
              <w:t>制造</w:t>
            </w:r>
            <w:r>
              <w:rPr>
                <w:color w:val="auto"/>
                <w:highlight w:val="none"/>
              </w:rPr>
              <w:t xml:space="preserve"> </w:t>
            </w:r>
            <w:r>
              <w:rPr>
                <w:color w:val="auto"/>
                <w:spacing w:val="-4"/>
                <w:highlight w:val="none"/>
              </w:rPr>
              <w:t>年份</w:t>
            </w:r>
          </w:p>
        </w:tc>
        <w:tc>
          <w:tcPr>
            <w:tcW w:w="1320" w:type="dxa"/>
            <w:vAlign w:val="top"/>
          </w:tcPr>
          <w:p w14:paraId="6167A4AE">
            <w:pPr>
              <w:pStyle w:val="27"/>
              <w:spacing w:before="179" w:line="308" w:lineRule="auto"/>
              <w:ind w:left="310" w:right="233" w:hanging="63"/>
              <w:outlineLvl w:val="9"/>
              <w:rPr>
                <w:color w:val="auto"/>
                <w:highlight w:val="none"/>
              </w:rPr>
            </w:pPr>
            <w:r>
              <w:rPr>
                <w:color w:val="auto"/>
                <w:spacing w:val="-2"/>
                <w:highlight w:val="none"/>
              </w:rPr>
              <w:t>额定功率</w:t>
            </w:r>
            <w:r>
              <w:rPr>
                <w:color w:val="auto"/>
                <w:spacing w:val="1"/>
                <w:highlight w:val="none"/>
              </w:rPr>
              <w:t xml:space="preserve"> </w:t>
            </w:r>
            <w:r>
              <w:rPr>
                <w:color w:val="auto"/>
                <w:spacing w:val="-3"/>
                <w:highlight w:val="none"/>
              </w:rPr>
              <w:t>（</w:t>
            </w:r>
            <w:r>
              <w:rPr>
                <w:rFonts w:ascii="Times New Roman" w:hAnsi="Times New Roman" w:eastAsia="Times New Roman" w:cs="Times New Roman"/>
                <w:color w:val="auto"/>
                <w:spacing w:val="-3"/>
                <w:highlight w:val="none"/>
              </w:rPr>
              <w:t>kW</w:t>
            </w:r>
            <w:r>
              <w:rPr>
                <w:color w:val="auto"/>
                <w:spacing w:val="-3"/>
                <w:highlight w:val="none"/>
              </w:rPr>
              <w:t>）</w:t>
            </w:r>
          </w:p>
        </w:tc>
        <w:tc>
          <w:tcPr>
            <w:tcW w:w="952" w:type="dxa"/>
            <w:vAlign w:val="top"/>
          </w:tcPr>
          <w:p w14:paraId="1ECC6828">
            <w:pPr>
              <w:pStyle w:val="27"/>
              <w:spacing w:before="179" w:line="308" w:lineRule="auto"/>
              <w:ind w:left="281" w:right="258" w:hanging="6"/>
              <w:outlineLvl w:val="9"/>
              <w:rPr>
                <w:color w:val="auto"/>
                <w:highlight w:val="none"/>
              </w:rPr>
            </w:pPr>
            <w:r>
              <w:rPr>
                <w:color w:val="auto"/>
                <w:spacing w:val="-4"/>
                <w:highlight w:val="none"/>
              </w:rPr>
              <w:t>生产</w:t>
            </w:r>
            <w:r>
              <w:rPr>
                <w:color w:val="auto"/>
                <w:highlight w:val="none"/>
              </w:rPr>
              <w:t xml:space="preserve"> </w:t>
            </w:r>
            <w:r>
              <w:rPr>
                <w:color w:val="auto"/>
                <w:spacing w:val="-8"/>
                <w:highlight w:val="none"/>
              </w:rPr>
              <w:t>能力</w:t>
            </w:r>
          </w:p>
        </w:tc>
        <w:tc>
          <w:tcPr>
            <w:tcW w:w="1150" w:type="dxa"/>
            <w:vAlign w:val="top"/>
          </w:tcPr>
          <w:p w14:paraId="09069666">
            <w:pPr>
              <w:pStyle w:val="27"/>
              <w:spacing w:before="179" w:line="308" w:lineRule="auto"/>
              <w:ind w:left="375" w:right="148" w:hanging="212"/>
              <w:outlineLvl w:val="9"/>
              <w:rPr>
                <w:color w:val="auto"/>
                <w:highlight w:val="none"/>
              </w:rPr>
            </w:pPr>
            <w:r>
              <w:rPr>
                <w:color w:val="auto"/>
                <w:spacing w:val="-2"/>
                <w:highlight w:val="none"/>
              </w:rPr>
              <w:t>用于施工</w:t>
            </w:r>
            <w:r>
              <w:rPr>
                <w:color w:val="auto"/>
                <w:highlight w:val="none"/>
              </w:rPr>
              <w:t xml:space="preserve"> </w:t>
            </w:r>
            <w:r>
              <w:rPr>
                <w:color w:val="auto"/>
                <w:spacing w:val="-3"/>
                <w:highlight w:val="none"/>
              </w:rPr>
              <w:t>部位</w:t>
            </w:r>
          </w:p>
        </w:tc>
        <w:tc>
          <w:tcPr>
            <w:tcW w:w="758" w:type="dxa"/>
            <w:vAlign w:val="top"/>
          </w:tcPr>
          <w:p w14:paraId="69D82CCB">
            <w:pPr>
              <w:spacing w:line="326" w:lineRule="auto"/>
              <w:outlineLvl w:val="9"/>
              <w:rPr>
                <w:rFonts w:ascii="Arial"/>
                <w:color w:val="auto"/>
                <w:sz w:val="21"/>
                <w:highlight w:val="none"/>
              </w:rPr>
            </w:pPr>
          </w:p>
          <w:p w14:paraId="56486710">
            <w:pPr>
              <w:pStyle w:val="27"/>
              <w:spacing w:before="68" w:line="222" w:lineRule="auto"/>
              <w:ind w:left="176"/>
              <w:outlineLvl w:val="9"/>
              <w:rPr>
                <w:color w:val="auto"/>
                <w:highlight w:val="none"/>
              </w:rPr>
            </w:pPr>
            <w:r>
              <w:rPr>
                <w:color w:val="auto"/>
                <w:spacing w:val="-3"/>
                <w:highlight w:val="none"/>
              </w:rPr>
              <w:t>备注</w:t>
            </w:r>
          </w:p>
        </w:tc>
      </w:tr>
      <w:tr w14:paraId="439E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42FFCDC7">
            <w:pPr>
              <w:outlineLvl w:val="9"/>
              <w:rPr>
                <w:rFonts w:ascii="Arial"/>
                <w:color w:val="auto"/>
                <w:sz w:val="21"/>
                <w:highlight w:val="none"/>
              </w:rPr>
            </w:pPr>
          </w:p>
        </w:tc>
        <w:tc>
          <w:tcPr>
            <w:tcW w:w="1180" w:type="dxa"/>
            <w:vAlign w:val="top"/>
          </w:tcPr>
          <w:p w14:paraId="50830A12">
            <w:pPr>
              <w:outlineLvl w:val="9"/>
              <w:rPr>
                <w:rFonts w:ascii="Arial"/>
                <w:color w:val="auto"/>
                <w:sz w:val="21"/>
                <w:highlight w:val="none"/>
              </w:rPr>
            </w:pPr>
          </w:p>
        </w:tc>
        <w:tc>
          <w:tcPr>
            <w:tcW w:w="830" w:type="dxa"/>
            <w:vAlign w:val="top"/>
          </w:tcPr>
          <w:p w14:paraId="4AA1C5F4">
            <w:pPr>
              <w:outlineLvl w:val="9"/>
              <w:rPr>
                <w:rFonts w:ascii="Arial"/>
                <w:color w:val="auto"/>
                <w:sz w:val="21"/>
                <w:highlight w:val="none"/>
              </w:rPr>
            </w:pPr>
          </w:p>
        </w:tc>
        <w:tc>
          <w:tcPr>
            <w:tcW w:w="1077" w:type="dxa"/>
            <w:vAlign w:val="top"/>
          </w:tcPr>
          <w:p w14:paraId="57B85014">
            <w:pPr>
              <w:outlineLvl w:val="9"/>
              <w:rPr>
                <w:rFonts w:ascii="Arial"/>
                <w:color w:val="auto"/>
                <w:sz w:val="21"/>
                <w:highlight w:val="none"/>
              </w:rPr>
            </w:pPr>
          </w:p>
        </w:tc>
        <w:tc>
          <w:tcPr>
            <w:tcW w:w="732" w:type="dxa"/>
            <w:vAlign w:val="top"/>
          </w:tcPr>
          <w:p w14:paraId="36F07DA9">
            <w:pPr>
              <w:outlineLvl w:val="9"/>
              <w:rPr>
                <w:rFonts w:ascii="Arial"/>
                <w:color w:val="auto"/>
                <w:sz w:val="21"/>
                <w:highlight w:val="none"/>
              </w:rPr>
            </w:pPr>
          </w:p>
        </w:tc>
        <w:tc>
          <w:tcPr>
            <w:tcW w:w="803" w:type="dxa"/>
            <w:vAlign w:val="top"/>
          </w:tcPr>
          <w:p w14:paraId="7D3EB195">
            <w:pPr>
              <w:outlineLvl w:val="9"/>
              <w:rPr>
                <w:rFonts w:ascii="Arial"/>
                <w:color w:val="auto"/>
                <w:sz w:val="21"/>
                <w:highlight w:val="none"/>
              </w:rPr>
            </w:pPr>
          </w:p>
        </w:tc>
        <w:tc>
          <w:tcPr>
            <w:tcW w:w="1320" w:type="dxa"/>
            <w:vAlign w:val="top"/>
          </w:tcPr>
          <w:p w14:paraId="243218BC">
            <w:pPr>
              <w:outlineLvl w:val="9"/>
              <w:rPr>
                <w:rFonts w:ascii="Arial"/>
                <w:color w:val="auto"/>
                <w:sz w:val="21"/>
                <w:highlight w:val="none"/>
              </w:rPr>
            </w:pPr>
          </w:p>
        </w:tc>
        <w:tc>
          <w:tcPr>
            <w:tcW w:w="952" w:type="dxa"/>
            <w:vAlign w:val="top"/>
          </w:tcPr>
          <w:p w14:paraId="7A80CCBE">
            <w:pPr>
              <w:outlineLvl w:val="9"/>
              <w:rPr>
                <w:rFonts w:ascii="Arial"/>
                <w:color w:val="auto"/>
                <w:sz w:val="21"/>
                <w:highlight w:val="none"/>
              </w:rPr>
            </w:pPr>
          </w:p>
        </w:tc>
        <w:tc>
          <w:tcPr>
            <w:tcW w:w="1150" w:type="dxa"/>
            <w:vAlign w:val="top"/>
          </w:tcPr>
          <w:p w14:paraId="3DC22E16">
            <w:pPr>
              <w:outlineLvl w:val="9"/>
              <w:rPr>
                <w:rFonts w:ascii="Arial"/>
                <w:color w:val="auto"/>
                <w:sz w:val="21"/>
                <w:highlight w:val="none"/>
              </w:rPr>
            </w:pPr>
          </w:p>
        </w:tc>
        <w:tc>
          <w:tcPr>
            <w:tcW w:w="758" w:type="dxa"/>
            <w:vAlign w:val="top"/>
          </w:tcPr>
          <w:p w14:paraId="21D42969">
            <w:pPr>
              <w:outlineLvl w:val="9"/>
              <w:rPr>
                <w:rFonts w:ascii="Arial"/>
                <w:color w:val="auto"/>
                <w:sz w:val="21"/>
                <w:highlight w:val="none"/>
              </w:rPr>
            </w:pPr>
          </w:p>
        </w:tc>
      </w:tr>
      <w:tr w14:paraId="3928D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14:paraId="6AEEFD5B">
            <w:pPr>
              <w:outlineLvl w:val="9"/>
              <w:rPr>
                <w:rFonts w:ascii="Arial"/>
                <w:color w:val="auto"/>
                <w:sz w:val="21"/>
                <w:highlight w:val="none"/>
              </w:rPr>
            </w:pPr>
          </w:p>
        </w:tc>
        <w:tc>
          <w:tcPr>
            <w:tcW w:w="1180" w:type="dxa"/>
            <w:vAlign w:val="top"/>
          </w:tcPr>
          <w:p w14:paraId="71CF1570">
            <w:pPr>
              <w:outlineLvl w:val="9"/>
              <w:rPr>
                <w:rFonts w:ascii="Arial"/>
                <w:color w:val="auto"/>
                <w:sz w:val="21"/>
                <w:highlight w:val="none"/>
              </w:rPr>
            </w:pPr>
          </w:p>
        </w:tc>
        <w:tc>
          <w:tcPr>
            <w:tcW w:w="830" w:type="dxa"/>
            <w:vAlign w:val="top"/>
          </w:tcPr>
          <w:p w14:paraId="175A7DBD">
            <w:pPr>
              <w:outlineLvl w:val="9"/>
              <w:rPr>
                <w:rFonts w:ascii="Arial"/>
                <w:color w:val="auto"/>
                <w:sz w:val="21"/>
                <w:highlight w:val="none"/>
              </w:rPr>
            </w:pPr>
          </w:p>
        </w:tc>
        <w:tc>
          <w:tcPr>
            <w:tcW w:w="1077" w:type="dxa"/>
            <w:vAlign w:val="top"/>
          </w:tcPr>
          <w:p w14:paraId="3792D735">
            <w:pPr>
              <w:outlineLvl w:val="9"/>
              <w:rPr>
                <w:rFonts w:ascii="Arial"/>
                <w:color w:val="auto"/>
                <w:sz w:val="21"/>
                <w:highlight w:val="none"/>
              </w:rPr>
            </w:pPr>
          </w:p>
        </w:tc>
        <w:tc>
          <w:tcPr>
            <w:tcW w:w="732" w:type="dxa"/>
            <w:vAlign w:val="top"/>
          </w:tcPr>
          <w:p w14:paraId="08990209">
            <w:pPr>
              <w:outlineLvl w:val="9"/>
              <w:rPr>
                <w:rFonts w:ascii="Arial"/>
                <w:color w:val="auto"/>
                <w:sz w:val="21"/>
                <w:highlight w:val="none"/>
              </w:rPr>
            </w:pPr>
          </w:p>
        </w:tc>
        <w:tc>
          <w:tcPr>
            <w:tcW w:w="803" w:type="dxa"/>
            <w:vAlign w:val="top"/>
          </w:tcPr>
          <w:p w14:paraId="0D8BA61E">
            <w:pPr>
              <w:outlineLvl w:val="9"/>
              <w:rPr>
                <w:rFonts w:ascii="Arial"/>
                <w:color w:val="auto"/>
                <w:sz w:val="21"/>
                <w:highlight w:val="none"/>
              </w:rPr>
            </w:pPr>
          </w:p>
        </w:tc>
        <w:tc>
          <w:tcPr>
            <w:tcW w:w="1320" w:type="dxa"/>
            <w:vAlign w:val="top"/>
          </w:tcPr>
          <w:p w14:paraId="5D71011D">
            <w:pPr>
              <w:outlineLvl w:val="9"/>
              <w:rPr>
                <w:rFonts w:ascii="Arial"/>
                <w:color w:val="auto"/>
                <w:sz w:val="21"/>
                <w:highlight w:val="none"/>
              </w:rPr>
            </w:pPr>
          </w:p>
        </w:tc>
        <w:tc>
          <w:tcPr>
            <w:tcW w:w="952" w:type="dxa"/>
            <w:vAlign w:val="top"/>
          </w:tcPr>
          <w:p w14:paraId="5A5111DE">
            <w:pPr>
              <w:outlineLvl w:val="9"/>
              <w:rPr>
                <w:rFonts w:ascii="Arial"/>
                <w:color w:val="auto"/>
                <w:sz w:val="21"/>
                <w:highlight w:val="none"/>
              </w:rPr>
            </w:pPr>
          </w:p>
        </w:tc>
        <w:tc>
          <w:tcPr>
            <w:tcW w:w="1150" w:type="dxa"/>
            <w:vAlign w:val="top"/>
          </w:tcPr>
          <w:p w14:paraId="7D537ED8">
            <w:pPr>
              <w:outlineLvl w:val="9"/>
              <w:rPr>
                <w:rFonts w:ascii="Arial"/>
                <w:color w:val="auto"/>
                <w:sz w:val="21"/>
                <w:highlight w:val="none"/>
              </w:rPr>
            </w:pPr>
          </w:p>
        </w:tc>
        <w:tc>
          <w:tcPr>
            <w:tcW w:w="758" w:type="dxa"/>
            <w:vAlign w:val="top"/>
          </w:tcPr>
          <w:p w14:paraId="1D2A1AF0">
            <w:pPr>
              <w:outlineLvl w:val="9"/>
              <w:rPr>
                <w:rFonts w:ascii="Arial"/>
                <w:color w:val="auto"/>
                <w:sz w:val="21"/>
                <w:highlight w:val="none"/>
              </w:rPr>
            </w:pPr>
          </w:p>
        </w:tc>
      </w:tr>
      <w:tr w14:paraId="2E090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4B84BAED">
            <w:pPr>
              <w:outlineLvl w:val="9"/>
              <w:rPr>
                <w:rFonts w:ascii="Arial"/>
                <w:color w:val="auto"/>
                <w:sz w:val="21"/>
                <w:highlight w:val="none"/>
              </w:rPr>
            </w:pPr>
          </w:p>
        </w:tc>
        <w:tc>
          <w:tcPr>
            <w:tcW w:w="1180" w:type="dxa"/>
            <w:vAlign w:val="top"/>
          </w:tcPr>
          <w:p w14:paraId="514AD5A8">
            <w:pPr>
              <w:outlineLvl w:val="9"/>
              <w:rPr>
                <w:rFonts w:ascii="Arial"/>
                <w:color w:val="auto"/>
                <w:sz w:val="21"/>
                <w:highlight w:val="none"/>
              </w:rPr>
            </w:pPr>
          </w:p>
        </w:tc>
        <w:tc>
          <w:tcPr>
            <w:tcW w:w="830" w:type="dxa"/>
            <w:vAlign w:val="top"/>
          </w:tcPr>
          <w:p w14:paraId="2E72DDFB">
            <w:pPr>
              <w:outlineLvl w:val="9"/>
              <w:rPr>
                <w:rFonts w:ascii="Arial"/>
                <w:color w:val="auto"/>
                <w:sz w:val="21"/>
                <w:highlight w:val="none"/>
              </w:rPr>
            </w:pPr>
          </w:p>
        </w:tc>
        <w:tc>
          <w:tcPr>
            <w:tcW w:w="1077" w:type="dxa"/>
            <w:vAlign w:val="top"/>
          </w:tcPr>
          <w:p w14:paraId="2B980F81">
            <w:pPr>
              <w:outlineLvl w:val="9"/>
              <w:rPr>
                <w:rFonts w:ascii="Arial"/>
                <w:color w:val="auto"/>
                <w:sz w:val="21"/>
                <w:highlight w:val="none"/>
              </w:rPr>
            </w:pPr>
          </w:p>
        </w:tc>
        <w:tc>
          <w:tcPr>
            <w:tcW w:w="732" w:type="dxa"/>
            <w:vAlign w:val="top"/>
          </w:tcPr>
          <w:p w14:paraId="7CFCC3BD">
            <w:pPr>
              <w:outlineLvl w:val="9"/>
              <w:rPr>
                <w:rFonts w:ascii="Arial"/>
                <w:color w:val="auto"/>
                <w:sz w:val="21"/>
                <w:highlight w:val="none"/>
              </w:rPr>
            </w:pPr>
          </w:p>
        </w:tc>
        <w:tc>
          <w:tcPr>
            <w:tcW w:w="803" w:type="dxa"/>
            <w:vAlign w:val="top"/>
          </w:tcPr>
          <w:p w14:paraId="7770B8BE">
            <w:pPr>
              <w:outlineLvl w:val="9"/>
              <w:rPr>
                <w:rFonts w:ascii="Arial"/>
                <w:color w:val="auto"/>
                <w:sz w:val="21"/>
                <w:highlight w:val="none"/>
              </w:rPr>
            </w:pPr>
          </w:p>
        </w:tc>
        <w:tc>
          <w:tcPr>
            <w:tcW w:w="1320" w:type="dxa"/>
            <w:vAlign w:val="top"/>
          </w:tcPr>
          <w:p w14:paraId="2F8C654B">
            <w:pPr>
              <w:outlineLvl w:val="9"/>
              <w:rPr>
                <w:rFonts w:ascii="Arial"/>
                <w:color w:val="auto"/>
                <w:sz w:val="21"/>
                <w:highlight w:val="none"/>
              </w:rPr>
            </w:pPr>
          </w:p>
        </w:tc>
        <w:tc>
          <w:tcPr>
            <w:tcW w:w="952" w:type="dxa"/>
            <w:vAlign w:val="top"/>
          </w:tcPr>
          <w:p w14:paraId="41615EDF">
            <w:pPr>
              <w:outlineLvl w:val="9"/>
              <w:rPr>
                <w:rFonts w:ascii="Arial"/>
                <w:color w:val="auto"/>
                <w:sz w:val="21"/>
                <w:highlight w:val="none"/>
              </w:rPr>
            </w:pPr>
          </w:p>
        </w:tc>
        <w:tc>
          <w:tcPr>
            <w:tcW w:w="1150" w:type="dxa"/>
            <w:vAlign w:val="top"/>
          </w:tcPr>
          <w:p w14:paraId="78AA5E3B">
            <w:pPr>
              <w:outlineLvl w:val="9"/>
              <w:rPr>
                <w:rFonts w:ascii="Arial"/>
                <w:color w:val="auto"/>
                <w:sz w:val="21"/>
                <w:highlight w:val="none"/>
              </w:rPr>
            </w:pPr>
          </w:p>
        </w:tc>
        <w:tc>
          <w:tcPr>
            <w:tcW w:w="758" w:type="dxa"/>
            <w:vAlign w:val="top"/>
          </w:tcPr>
          <w:p w14:paraId="4ACA7B34">
            <w:pPr>
              <w:outlineLvl w:val="9"/>
              <w:rPr>
                <w:rFonts w:ascii="Arial"/>
                <w:color w:val="auto"/>
                <w:sz w:val="21"/>
                <w:highlight w:val="none"/>
              </w:rPr>
            </w:pPr>
          </w:p>
        </w:tc>
      </w:tr>
      <w:tr w14:paraId="5DF1E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14:paraId="20E81775">
            <w:pPr>
              <w:outlineLvl w:val="9"/>
              <w:rPr>
                <w:rFonts w:ascii="Arial"/>
                <w:color w:val="auto"/>
                <w:sz w:val="21"/>
                <w:highlight w:val="none"/>
              </w:rPr>
            </w:pPr>
          </w:p>
        </w:tc>
        <w:tc>
          <w:tcPr>
            <w:tcW w:w="1180" w:type="dxa"/>
            <w:vAlign w:val="top"/>
          </w:tcPr>
          <w:p w14:paraId="17E9BC3E">
            <w:pPr>
              <w:outlineLvl w:val="9"/>
              <w:rPr>
                <w:rFonts w:ascii="Arial"/>
                <w:color w:val="auto"/>
                <w:sz w:val="21"/>
                <w:highlight w:val="none"/>
              </w:rPr>
            </w:pPr>
          </w:p>
        </w:tc>
        <w:tc>
          <w:tcPr>
            <w:tcW w:w="830" w:type="dxa"/>
            <w:vAlign w:val="top"/>
          </w:tcPr>
          <w:p w14:paraId="7A1BDEFC">
            <w:pPr>
              <w:outlineLvl w:val="9"/>
              <w:rPr>
                <w:rFonts w:ascii="Arial"/>
                <w:color w:val="auto"/>
                <w:sz w:val="21"/>
                <w:highlight w:val="none"/>
              </w:rPr>
            </w:pPr>
          </w:p>
        </w:tc>
        <w:tc>
          <w:tcPr>
            <w:tcW w:w="1077" w:type="dxa"/>
            <w:vAlign w:val="top"/>
          </w:tcPr>
          <w:p w14:paraId="27FE2F41">
            <w:pPr>
              <w:outlineLvl w:val="9"/>
              <w:rPr>
                <w:rFonts w:ascii="Arial"/>
                <w:color w:val="auto"/>
                <w:sz w:val="21"/>
                <w:highlight w:val="none"/>
              </w:rPr>
            </w:pPr>
          </w:p>
        </w:tc>
        <w:tc>
          <w:tcPr>
            <w:tcW w:w="732" w:type="dxa"/>
            <w:vAlign w:val="top"/>
          </w:tcPr>
          <w:p w14:paraId="5CC49875">
            <w:pPr>
              <w:outlineLvl w:val="9"/>
              <w:rPr>
                <w:rFonts w:ascii="Arial"/>
                <w:color w:val="auto"/>
                <w:sz w:val="21"/>
                <w:highlight w:val="none"/>
              </w:rPr>
            </w:pPr>
          </w:p>
        </w:tc>
        <w:tc>
          <w:tcPr>
            <w:tcW w:w="803" w:type="dxa"/>
            <w:vAlign w:val="top"/>
          </w:tcPr>
          <w:p w14:paraId="3ADEDC67">
            <w:pPr>
              <w:outlineLvl w:val="9"/>
              <w:rPr>
                <w:rFonts w:ascii="Arial"/>
                <w:color w:val="auto"/>
                <w:sz w:val="21"/>
                <w:highlight w:val="none"/>
              </w:rPr>
            </w:pPr>
          </w:p>
        </w:tc>
        <w:tc>
          <w:tcPr>
            <w:tcW w:w="1320" w:type="dxa"/>
            <w:vAlign w:val="top"/>
          </w:tcPr>
          <w:p w14:paraId="46B8F207">
            <w:pPr>
              <w:outlineLvl w:val="9"/>
              <w:rPr>
                <w:rFonts w:ascii="Arial"/>
                <w:color w:val="auto"/>
                <w:sz w:val="21"/>
                <w:highlight w:val="none"/>
              </w:rPr>
            </w:pPr>
          </w:p>
        </w:tc>
        <w:tc>
          <w:tcPr>
            <w:tcW w:w="952" w:type="dxa"/>
            <w:vAlign w:val="top"/>
          </w:tcPr>
          <w:p w14:paraId="31C0CE7D">
            <w:pPr>
              <w:outlineLvl w:val="9"/>
              <w:rPr>
                <w:rFonts w:ascii="Arial"/>
                <w:color w:val="auto"/>
                <w:sz w:val="21"/>
                <w:highlight w:val="none"/>
              </w:rPr>
            </w:pPr>
          </w:p>
        </w:tc>
        <w:tc>
          <w:tcPr>
            <w:tcW w:w="1150" w:type="dxa"/>
            <w:vAlign w:val="top"/>
          </w:tcPr>
          <w:p w14:paraId="6F2382D3">
            <w:pPr>
              <w:outlineLvl w:val="9"/>
              <w:rPr>
                <w:rFonts w:ascii="Arial"/>
                <w:color w:val="auto"/>
                <w:sz w:val="21"/>
                <w:highlight w:val="none"/>
              </w:rPr>
            </w:pPr>
          </w:p>
        </w:tc>
        <w:tc>
          <w:tcPr>
            <w:tcW w:w="758" w:type="dxa"/>
            <w:vAlign w:val="top"/>
          </w:tcPr>
          <w:p w14:paraId="2AD27E39">
            <w:pPr>
              <w:outlineLvl w:val="9"/>
              <w:rPr>
                <w:rFonts w:ascii="Arial"/>
                <w:color w:val="auto"/>
                <w:sz w:val="21"/>
                <w:highlight w:val="none"/>
              </w:rPr>
            </w:pPr>
          </w:p>
        </w:tc>
      </w:tr>
      <w:tr w14:paraId="0BF03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5DA7DB81">
            <w:pPr>
              <w:outlineLvl w:val="9"/>
              <w:rPr>
                <w:rFonts w:ascii="Arial"/>
                <w:color w:val="auto"/>
                <w:sz w:val="21"/>
                <w:highlight w:val="none"/>
              </w:rPr>
            </w:pPr>
          </w:p>
        </w:tc>
        <w:tc>
          <w:tcPr>
            <w:tcW w:w="1180" w:type="dxa"/>
            <w:vAlign w:val="top"/>
          </w:tcPr>
          <w:p w14:paraId="408E9B83">
            <w:pPr>
              <w:outlineLvl w:val="9"/>
              <w:rPr>
                <w:rFonts w:ascii="Arial"/>
                <w:color w:val="auto"/>
                <w:sz w:val="21"/>
                <w:highlight w:val="none"/>
              </w:rPr>
            </w:pPr>
          </w:p>
        </w:tc>
        <w:tc>
          <w:tcPr>
            <w:tcW w:w="830" w:type="dxa"/>
            <w:vAlign w:val="top"/>
          </w:tcPr>
          <w:p w14:paraId="3AA057FA">
            <w:pPr>
              <w:outlineLvl w:val="9"/>
              <w:rPr>
                <w:rFonts w:ascii="Arial"/>
                <w:color w:val="auto"/>
                <w:sz w:val="21"/>
                <w:highlight w:val="none"/>
              </w:rPr>
            </w:pPr>
          </w:p>
        </w:tc>
        <w:tc>
          <w:tcPr>
            <w:tcW w:w="1077" w:type="dxa"/>
            <w:vAlign w:val="top"/>
          </w:tcPr>
          <w:p w14:paraId="0F5C693F">
            <w:pPr>
              <w:outlineLvl w:val="9"/>
              <w:rPr>
                <w:rFonts w:ascii="Arial"/>
                <w:color w:val="auto"/>
                <w:sz w:val="21"/>
                <w:highlight w:val="none"/>
              </w:rPr>
            </w:pPr>
          </w:p>
        </w:tc>
        <w:tc>
          <w:tcPr>
            <w:tcW w:w="732" w:type="dxa"/>
            <w:vAlign w:val="top"/>
          </w:tcPr>
          <w:p w14:paraId="73023524">
            <w:pPr>
              <w:outlineLvl w:val="9"/>
              <w:rPr>
                <w:rFonts w:ascii="Arial"/>
                <w:color w:val="auto"/>
                <w:sz w:val="21"/>
                <w:highlight w:val="none"/>
              </w:rPr>
            </w:pPr>
          </w:p>
        </w:tc>
        <w:tc>
          <w:tcPr>
            <w:tcW w:w="803" w:type="dxa"/>
            <w:vAlign w:val="top"/>
          </w:tcPr>
          <w:p w14:paraId="333CB22A">
            <w:pPr>
              <w:outlineLvl w:val="9"/>
              <w:rPr>
                <w:rFonts w:ascii="Arial"/>
                <w:color w:val="auto"/>
                <w:sz w:val="21"/>
                <w:highlight w:val="none"/>
              </w:rPr>
            </w:pPr>
          </w:p>
        </w:tc>
        <w:tc>
          <w:tcPr>
            <w:tcW w:w="1320" w:type="dxa"/>
            <w:vAlign w:val="top"/>
          </w:tcPr>
          <w:p w14:paraId="790FDEB0">
            <w:pPr>
              <w:outlineLvl w:val="9"/>
              <w:rPr>
                <w:rFonts w:ascii="Arial"/>
                <w:color w:val="auto"/>
                <w:sz w:val="21"/>
                <w:highlight w:val="none"/>
              </w:rPr>
            </w:pPr>
          </w:p>
        </w:tc>
        <w:tc>
          <w:tcPr>
            <w:tcW w:w="952" w:type="dxa"/>
            <w:vAlign w:val="top"/>
          </w:tcPr>
          <w:p w14:paraId="5670F01A">
            <w:pPr>
              <w:outlineLvl w:val="9"/>
              <w:rPr>
                <w:rFonts w:ascii="Arial"/>
                <w:color w:val="auto"/>
                <w:sz w:val="21"/>
                <w:highlight w:val="none"/>
              </w:rPr>
            </w:pPr>
          </w:p>
        </w:tc>
        <w:tc>
          <w:tcPr>
            <w:tcW w:w="1150" w:type="dxa"/>
            <w:vAlign w:val="top"/>
          </w:tcPr>
          <w:p w14:paraId="0DD5C10B">
            <w:pPr>
              <w:outlineLvl w:val="9"/>
              <w:rPr>
                <w:rFonts w:ascii="Arial"/>
                <w:color w:val="auto"/>
                <w:sz w:val="21"/>
                <w:highlight w:val="none"/>
              </w:rPr>
            </w:pPr>
          </w:p>
        </w:tc>
        <w:tc>
          <w:tcPr>
            <w:tcW w:w="758" w:type="dxa"/>
            <w:vAlign w:val="top"/>
          </w:tcPr>
          <w:p w14:paraId="6292AD3D">
            <w:pPr>
              <w:outlineLvl w:val="9"/>
              <w:rPr>
                <w:rFonts w:ascii="Arial"/>
                <w:color w:val="auto"/>
                <w:sz w:val="21"/>
                <w:highlight w:val="none"/>
              </w:rPr>
            </w:pPr>
          </w:p>
        </w:tc>
      </w:tr>
      <w:tr w14:paraId="65C57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5040EECF">
            <w:pPr>
              <w:outlineLvl w:val="9"/>
              <w:rPr>
                <w:rFonts w:ascii="Arial"/>
                <w:color w:val="auto"/>
                <w:sz w:val="21"/>
                <w:highlight w:val="none"/>
              </w:rPr>
            </w:pPr>
          </w:p>
        </w:tc>
        <w:tc>
          <w:tcPr>
            <w:tcW w:w="1180" w:type="dxa"/>
            <w:vAlign w:val="top"/>
          </w:tcPr>
          <w:p w14:paraId="25BA863F">
            <w:pPr>
              <w:outlineLvl w:val="9"/>
              <w:rPr>
                <w:rFonts w:ascii="Arial"/>
                <w:color w:val="auto"/>
                <w:sz w:val="21"/>
                <w:highlight w:val="none"/>
              </w:rPr>
            </w:pPr>
          </w:p>
        </w:tc>
        <w:tc>
          <w:tcPr>
            <w:tcW w:w="830" w:type="dxa"/>
            <w:vAlign w:val="top"/>
          </w:tcPr>
          <w:p w14:paraId="7D922804">
            <w:pPr>
              <w:outlineLvl w:val="9"/>
              <w:rPr>
                <w:rFonts w:ascii="Arial"/>
                <w:color w:val="auto"/>
                <w:sz w:val="21"/>
                <w:highlight w:val="none"/>
              </w:rPr>
            </w:pPr>
          </w:p>
        </w:tc>
        <w:tc>
          <w:tcPr>
            <w:tcW w:w="1077" w:type="dxa"/>
            <w:vAlign w:val="top"/>
          </w:tcPr>
          <w:p w14:paraId="21C3F816">
            <w:pPr>
              <w:outlineLvl w:val="9"/>
              <w:rPr>
                <w:rFonts w:ascii="Arial"/>
                <w:color w:val="auto"/>
                <w:sz w:val="21"/>
                <w:highlight w:val="none"/>
              </w:rPr>
            </w:pPr>
          </w:p>
        </w:tc>
        <w:tc>
          <w:tcPr>
            <w:tcW w:w="732" w:type="dxa"/>
            <w:vAlign w:val="top"/>
          </w:tcPr>
          <w:p w14:paraId="3AD63007">
            <w:pPr>
              <w:outlineLvl w:val="9"/>
              <w:rPr>
                <w:rFonts w:ascii="Arial"/>
                <w:color w:val="auto"/>
                <w:sz w:val="21"/>
                <w:highlight w:val="none"/>
              </w:rPr>
            </w:pPr>
          </w:p>
        </w:tc>
        <w:tc>
          <w:tcPr>
            <w:tcW w:w="803" w:type="dxa"/>
            <w:vAlign w:val="top"/>
          </w:tcPr>
          <w:p w14:paraId="07AEDE7C">
            <w:pPr>
              <w:outlineLvl w:val="9"/>
              <w:rPr>
                <w:rFonts w:ascii="Arial"/>
                <w:color w:val="auto"/>
                <w:sz w:val="21"/>
                <w:highlight w:val="none"/>
              </w:rPr>
            </w:pPr>
          </w:p>
        </w:tc>
        <w:tc>
          <w:tcPr>
            <w:tcW w:w="1320" w:type="dxa"/>
            <w:vAlign w:val="top"/>
          </w:tcPr>
          <w:p w14:paraId="60353E20">
            <w:pPr>
              <w:outlineLvl w:val="9"/>
              <w:rPr>
                <w:rFonts w:ascii="Arial"/>
                <w:color w:val="auto"/>
                <w:sz w:val="21"/>
                <w:highlight w:val="none"/>
              </w:rPr>
            </w:pPr>
          </w:p>
        </w:tc>
        <w:tc>
          <w:tcPr>
            <w:tcW w:w="952" w:type="dxa"/>
            <w:vAlign w:val="top"/>
          </w:tcPr>
          <w:p w14:paraId="57E74793">
            <w:pPr>
              <w:outlineLvl w:val="9"/>
              <w:rPr>
                <w:rFonts w:ascii="Arial"/>
                <w:color w:val="auto"/>
                <w:sz w:val="21"/>
                <w:highlight w:val="none"/>
              </w:rPr>
            </w:pPr>
          </w:p>
        </w:tc>
        <w:tc>
          <w:tcPr>
            <w:tcW w:w="1150" w:type="dxa"/>
            <w:vAlign w:val="top"/>
          </w:tcPr>
          <w:p w14:paraId="2F9A9EBD">
            <w:pPr>
              <w:outlineLvl w:val="9"/>
              <w:rPr>
                <w:rFonts w:ascii="Arial"/>
                <w:color w:val="auto"/>
                <w:sz w:val="21"/>
                <w:highlight w:val="none"/>
              </w:rPr>
            </w:pPr>
          </w:p>
        </w:tc>
        <w:tc>
          <w:tcPr>
            <w:tcW w:w="758" w:type="dxa"/>
            <w:vAlign w:val="top"/>
          </w:tcPr>
          <w:p w14:paraId="5A95AABA">
            <w:pPr>
              <w:outlineLvl w:val="9"/>
              <w:rPr>
                <w:rFonts w:ascii="Arial"/>
                <w:color w:val="auto"/>
                <w:sz w:val="21"/>
                <w:highlight w:val="none"/>
              </w:rPr>
            </w:pPr>
          </w:p>
        </w:tc>
      </w:tr>
      <w:tr w14:paraId="4ACBB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0DADC3BF">
            <w:pPr>
              <w:outlineLvl w:val="9"/>
              <w:rPr>
                <w:rFonts w:ascii="Arial"/>
                <w:color w:val="auto"/>
                <w:sz w:val="21"/>
                <w:highlight w:val="none"/>
              </w:rPr>
            </w:pPr>
          </w:p>
        </w:tc>
        <w:tc>
          <w:tcPr>
            <w:tcW w:w="1180" w:type="dxa"/>
            <w:vAlign w:val="top"/>
          </w:tcPr>
          <w:p w14:paraId="13E601D8">
            <w:pPr>
              <w:outlineLvl w:val="9"/>
              <w:rPr>
                <w:rFonts w:ascii="Arial"/>
                <w:color w:val="auto"/>
                <w:sz w:val="21"/>
                <w:highlight w:val="none"/>
              </w:rPr>
            </w:pPr>
          </w:p>
        </w:tc>
        <w:tc>
          <w:tcPr>
            <w:tcW w:w="830" w:type="dxa"/>
            <w:vAlign w:val="top"/>
          </w:tcPr>
          <w:p w14:paraId="78E21568">
            <w:pPr>
              <w:outlineLvl w:val="9"/>
              <w:rPr>
                <w:rFonts w:ascii="Arial"/>
                <w:color w:val="auto"/>
                <w:sz w:val="21"/>
                <w:highlight w:val="none"/>
              </w:rPr>
            </w:pPr>
          </w:p>
        </w:tc>
        <w:tc>
          <w:tcPr>
            <w:tcW w:w="1077" w:type="dxa"/>
            <w:vAlign w:val="top"/>
          </w:tcPr>
          <w:p w14:paraId="626135C2">
            <w:pPr>
              <w:outlineLvl w:val="9"/>
              <w:rPr>
                <w:rFonts w:ascii="Arial"/>
                <w:color w:val="auto"/>
                <w:sz w:val="21"/>
                <w:highlight w:val="none"/>
              </w:rPr>
            </w:pPr>
          </w:p>
        </w:tc>
        <w:tc>
          <w:tcPr>
            <w:tcW w:w="732" w:type="dxa"/>
            <w:vAlign w:val="top"/>
          </w:tcPr>
          <w:p w14:paraId="63828507">
            <w:pPr>
              <w:outlineLvl w:val="9"/>
              <w:rPr>
                <w:rFonts w:ascii="Arial"/>
                <w:color w:val="auto"/>
                <w:sz w:val="21"/>
                <w:highlight w:val="none"/>
              </w:rPr>
            </w:pPr>
          </w:p>
        </w:tc>
        <w:tc>
          <w:tcPr>
            <w:tcW w:w="803" w:type="dxa"/>
            <w:vAlign w:val="top"/>
          </w:tcPr>
          <w:p w14:paraId="42A29310">
            <w:pPr>
              <w:outlineLvl w:val="9"/>
              <w:rPr>
                <w:rFonts w:ascii="Arial"/>
                <w:color w:val="auto"/>
                <w:sz w:val="21"/>
                <w:highlight w:val="none"/>
              </w:rPr>
            </w:pPr>
          </w:p>
        </w:tc>
        <w:tc>
          <w:tcPr>
            <w:tcW w:w="1320" w:type="dxa"/>
            <w:vAlign w:val="top"/>
          </w:tcPr>
          <w:p w14:paraId="7960E75D">
            <w:pPr>
              <w:outlineLvl w:val="9"/>
              <w:rPr>
                <w:rFonts w:ascii="Arial"/>
                <w:color w:val="auto"/>
                <w:sz w:val="21"/>
                <w:highlight w:val="none"/>
              </w:rPr>
            </w:pPr>
          </w:p>
        </w:tc>
        <w:tc>
          <w:tcPr>
            <w:tcW w:w="952" w:type="dxa"/>
            <w:vAlign w:val="top"/>
          </w:tcPr>
          <w:p w14:paraId="2808FD8D">
            <w:pPr>
              <w:outlineLvl w:val="9"/>
              <w:rPr>
                <w:rFonts w:ascii="Arial"/>
                <w:color w:val="auto"/>
                <w:sz w:val="21"/>
                <w:highlight w:val="none"/>
              </w:rPr>
            </w:pPr>
          </w:p>
        </w:tc>
        <w:tc>
          <w:tcPr>
            <w:tcW w:w="1150" w:type="dxa"/>
            <w:vAlign w:val="top"/>
          </w:tcPr>
          <w:p w14:paraId="2480852A">
            <w:pPr>
              <w:outlineLvl w:val="9"/>
              <w:rPr>
                <w:rFonts w:ascii="Arial"/>
                <w:color w:val="auto"/>
                <w:sz w:val="21"/>
                <w:highlight w:val="none"/>
              </w:rPr>
            </w:pPr>
          </w:p>
        </w:tc>
        <w:tc>
          <w:tcPr>
            <w:tcW w:w="758" w:type="dxa"/>
            <w:vAlign w:val="top"/>
          </w:tcPr>
          <w:p w14:paraId="51AA9B48">
            <w:pPr>
              <w:outlineLvl w:val="9"/>
              <w:rPr>
                <w:rFonts w:ascii="Arial"/>
                <w:color w:val="auto"/>
                <w:sz w:val="21"/>
                <w:highlight w:val="none"/>
              </w:rPr>
            </w:pPr>
          </w:p>
        </w:tc>
      </w:tr>
      <w:tr w14:paraId="79968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14:paraId="1136CFF3">
            <w:pPr>
              <w:outlineLvl w:val="9"/>
              <w:rPr>
                <w:rFonts w:ascii="Arial"/>
                <w:color w:val="auto"/>
                <w:sz w:val="21"/>
                <w:highlight w:val="none"/>
              </w:rPr>
            </w:pPr>
          </w:p>
        </w:tc>
        <w:tc>
          <w:tcPr>
            <w:tcW w:w="1180" w:type="dxa"/>
            <w:vAlign w:val="top"/>
          </w:tcPr>
          <w:p w14:paraId="1569C0C0">
            <w:pPr>
              <w:outlineLvl w:val="9"/>
              <w:rPr>
                <w:rFonts w:ascii="Arial"/>
                <w:color w:val="auto"/>
                <w:sz w:val="21"/>
                <w:highlight w:val="none"/>
              </w:rPr>
            </w:pPr>
          </w:p>
        </w:tc>
        <w:tc>
          <w:tcPr>
            <w:tcW w:w="830" w:type="dxa"/>
            <w:vAlign w:val="top"/>
          </w:tcPr>
          <w:p w14:paraId="3A467526">
            <w:pPr>
              <w:outlineLvl w:val="9"/>
              <w:rPr>
                <w:rFonts w:ascii="Arial"/>
                <w:color w:val="auto"/>
                <w:sz w:val="21"/>
                <w:highlight w:val="none"/>
              </w:rPr>
            </w:pPr>
          </w:p>
        </w:tc>
        <w:tc>
          <w:tcPr>
            <w:tcW w:w="1077" w:type="dxa"/>
            <w:vAlign w:val="top"/>
          </w:tcPr>
          <w:p w14:paraId="69CBD37E">
            <w:pPr>
              <w:outlineLvl w:val="9"/>
              <w:rPr>
                <w:rFonts w:ascii="Arial"/>
                <w:color w:val="auto"/>
                <w:sz w:val="21"/>
                <w:highlight w:val="none"/>
              </w:rPr>
            </w:pPr>
          </w:p>
        </w:tc>
        <w:tc>
          <w:tcPr>
            <w:tcW w:w="732" w:type="dxa"/>
            <w:vAlign w:val="top"/>
          </w:tcPr>
          <w:p w14:paraId="35D99DBA">
            <w:pPr>
              <w:outlineLvl w:val="9"/>
              <w:rPr>
                <w:rFonts w:ascii="Arial"/>
                <w:color w:val="auto"/>
                <w:sz w:val="21"/>
                <w:highlight w:val="none"/>
              </w:rPr>
            </w:pPr>
          </w:p>
        </w:tc>
        <w:tc>
          <w:tcPr>
            <w:tcW w:w="803" w:type="dxa"/>
            <w:vAlign w:val="top"/>
          </w:tcPr>
          <w:p w14:paraId="5F609FC0">
            <w:pPr>
              <w:outlineLvl w:val="9"/>
              <w:rPr>
                <w:rFonts w:ascii="Arial"/>
                <w:color w:val="auto"/>
                <w:sz w:val="21"/>
                <w:highlight w:val="none"/>
              </w:rPr>
            </w:pPr>
          </w:p>
        </w:tc>
        <w:tc>
          <w:tcPr>
            <w:tcW w:w="1320" w:type="dxa"/>
            <w:vAlign w:val="top"/>
          </w:tcPr>
          <w:p w14:paraId="7BA6A6A5">
            <w:pPr>
              <w:outlineLvl w:val="9"/>
              <w:rPr>
                <w:rFonts w:ascii="Arial"/>
                <w:color w:val="auto"/>
                <w:sz w:val="21"/>
                <w:highlight w:val="none"/>
              </w:rPr>
            </w:pPr>
          </w:p>
        </w:tc>
        <w:tc>
          <w:tcPr>
            <w:tcW w:w="952" w:type="dxa"/>
            <w:vAlign w:val="top"/>
          </w:tcPr>
          <w:p w14:paraId="067EDD40">
            <w:pPr>
              <w:outlineLvl w:val="9"/>
              <w:rPr>
                <w:rFonts w:ascii="Arial"/>
                <w:color w:val="auto"/>
                <w:sz w:val="21"/>
                <w:highlight w:val="none"/>
              </w:rPr>
            </w:pPr>
          </w:p>
        </w:tc>
        <w:tc>
          <w:tcPr>
            <w:tcW w:w="1150" w:type="dxa"/>
            <w:vAlign w:val="top"/>
          </w:tcPr>
          <w:p w14:paraId="2459B522">
            <w:pPr>
              <w:outlineLvl w:val="9"/>
              <w:rPr>
                <w:rFonts w:ascii="Arial"/>
                <w:color w:val="auto"/>
                <w:sz w:val="21"/>
                <w:highlight w:val="none"/>
              </w:rPr>
            </w:pPr>
          </w:p>
        </w:tc>
        <w:tc>
          <w:tcPr>
            <w:tcW w:w="758" w:type="dxa"/>
            <w:vAlign w:val="top"/>
          </w:tcPr>
          <w:p w14:paraId="31DE8055">
            <w:pPr>
              <w:outlineLvl w:val="9"/>
              <w:rPr>
                <w:rFonts w:ascii="Arial"/>
                <w:color w:val="auto"/>
                <w:sz w:val="21"/>
                <w:highlight w:val="none"/>
              </w:rPr>
            </w:pPr>
          </w:p>
        </w:tc>
      </w:tr>
      <w:tr w14:paraId="44FBF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1C3BB86C">
            <w:pPr>
              <w:outlineLvl w:val="9"/>
              <w:rPr>
                <w:rFonts w:ascii="Arial"/>
                <w:color w:val="auto"/>
                <w:sz w:val="21"/>
                <w:highlight w:val="none"/>
              </w:rPr>
            </w:pPr>
          </w:p>
        </w:tc>
        <w:tc>
          <w:tcPr>
            <w:tcW w:w="1180" w:type="dxa"/>
            <w:vAlign w:val="top"/>
          </w:tcPr>
          <w:p w14:paraId="553AE7F0">
            <w:pPr>
              <w:outlineLvl w:val="9"/>
              <w:rPr>
                <w:rFonts w:ascii="Arial"/>
                <w:color w:val="auto"/>
                <w:sz w:val="21"/>
                <w:highlight w:val="none"/>
              </w:rPr>
            </w:pPr>
          </w:p>
        </w:tc>
        <w:tc>
          <w:tcPr>
            <w:tcW w:w="830" w:type="dxa"/>
            <w:vAlign w:val="top"/>
          </w:tcPr>
          <w:p w14:paraId="3E8BE0FE">
            <w:pPr>
              <w:outlineLvl w:val="9"/>
              <w:rPr>
                <w:rFonts w:ascii="Arial"/>
                <w:color w:val="auto"/>
                <w:sz w:val="21"/>
                <w:highlight w:val="none"/>
              </w:rPr>
            </w:pPr>
          </w:p>
        </w:tc>
        <w:tc>
          <w:tcPr>
            <w:tcW w:w="1077" w:type="dxa"/>
            <w:vAlign w:val="top"/>
          </w:tcPr>
          <w:p w14:paraId="32A044A7">
            <w:pPr>
              <w:outlineLvl w:val="9"/>
              <w:rPr>
                <w:rFonts w:ascii="Arial"/>
                <w:color w:val="auto"/>
                <w:sz w:val="21"/>
                <w:highlight w:val="none"/>
              </w:rPr>
            </w:pPr>
          </w:p>
        </w:tc>
        <w:tc>
          <w:tcPr>
            <w:tcW w:w="732" w:type="dxa"/>
            <w:vAlign w:val="top"/>
          </w:tcPr>
          <w:p w14:paraId="6D71B9B1">
            <w:pPr>
              <w:outlineLvl w:val="9"/>
              <w:rPr>
                <w:rFonts w:ascii="Arial"/>
                <w:color w:val="auto"/>
                <w:sz w:val="21"/>
                <w:highlight w:val="none"/>
              </w:rPr>
            </w:pPr>
          </w:p>
        </w:tc>
        <w:tc>
          <w:tcPr>
            <w:tcW w:w="803" w:type="dxa"/>
            <w:vAlign w:val="top"/>
          </w:tcPr>
          <w:p w14:paraId="620E6663">
            <w:pPr>
              <w:outlineLvl w:val="9"/>
              <w:rPr>
                <w:rFonts w:ascii="Arial"/>
                <w:color w:val="auto"/>
                <w:sz w:val="21"/>
                <w:highlight w:val="none"/>
              </w:rPr>
            </w:pPr>
          </w:p>
        </w:tc>
        <w:tc>
          <w:tcPr>
            <w:tcW w:w="1320" w:type="dxa"/>
            <w:vAlign w:val="top"/>
          </w:tcPr>
          <w:p w14:paraId="1ECBABF8">
            <w:pPr>
              <w:outlineLvl w:val="9"/>
              <w:rPr>
                <w:rFonts w:ascii="Arial"/>
                <w:color w:val="auto"/>
                <w:sz w:val="21"/>
                <w:highlight w:val="none"/>
              </w:rPr>
            </w:pPr>
          </w:p>
        </w:tc>
        <w:tc>
          <w:tcPr>
            <w:tcW w:w="952" w:type="dxa"/>
            <w:vAlign w:val="top"/>
          </w:tcPr>
          <w:p w14:paraId="06C10DB3">
            <w:pPr>
              <w:outlineLvl w:val="9"/>
              <w:rPr>
                <w:rFonts w:ascii="Arial"/>
                <w:color w:val="auto"/>
                <w:sz w:val="21"/>
                <w:highlight w:val="none"/>
              </w:rPr>
            </w:pPr>
          </w:p>
        </w:tc>
        <w:tc>
          <w:tcPr>
            <w:tcW w:w="1150" w:type="dxa"/>
            <w:vAlign w:val="top"/>
          </w:tcPr>
          <w:p w14:paraId="61371509">
            <w:pPr>
              <w:outlineLvl w:val="9"/>
              <w:rPr>
                <w:rFonts w:ascii="Arial"/>
                <w:color w:val="auto"/>
                <w:sz w:val="21"/>
                <w:highlight w:val="none"/>
              </w:rPr>
            </w:pPr>
          </w:p>
        </w:tc>
        <w:tc>
          <w:tcPr>
            <w:tcW w:w="758" w:type="dxa"/>
            <w:vAlign w:val="top"/>
          </w:tcPr>
          <w:p w14:paraId="199E1C13">
            <w:pPr>
              <w:outlineLvl w:val="9"/>
              <w:rPr>
                <w:rFonts w:ascii="Arial"/>
                <w:color w:val="auto"/>
                <w:sz w:val="21"/>
                <w:highlight w:val="none"/>
              </w:rPr>
            </w:pPr>
          </w:p>
        </w:tc>
      </w:tr>
      <w:tr w14:paraId="7707A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14:paraId="0BD8CCBB">
            <w:pPr>
              <w:outlineLvl w:val="9"/>
              <w:rPr>
                <w:rFonts w:ascii="Arial"/>
                <w:color w:val="auto"/>
                <w:sz w:val="21"/>
                <w:highlight w:val="none"/>
              </w:rPr>
            </w:pPr>
          </w:p>
        </w:tc>
        <w:tc>
          <w:tcPr>
            <w:tcW w:w="1180" w:type="dxa"/>
            <w:vAlign w:val="top"/>
          </w:tcPr>
          <w:p w14:paraId="3D65D92A">
            <w:pPr>
              <w:outlineLvl w:val="9"/>
              <w:rPr>
                <w:rFonts w:ascii="Arial"/>
                <w:color w:val="auto"/>
                <w:sz w:val="21"/>
                <w:highlight w:val="none"/>
              </w:rPr>
            </w:pPr>
          </w:p>
        </w:tc>
        <w:tc>
          <w:tcPr>
            <w:tcW w:w="830" w:type="dxa"/>
            <w:vAlign w:val="top"/>
          </w:tcPr>
          <w:p w14:paraId="77048A22">
            <w:pPr>
              <w:outlineLvl w:val="9"/>
              <w:rPr>
                <w:rFonts w:ascii="Arial"/>
                <w:color w:val="auto"/>
                <w:sz w:val="21"/>
                <w:highlight w:val="none"/>
              </w:rPr>
            </w:pPr>
          </w:p>
        </w:tc>
        <w:tc>
          <w:tcPr>
            <w:tcW w:w="1077" w:type="dxa"/>
            <w:vAlign w:val="top"/>
          </w:tcPr>
          <w:p w14:paraId="4E9E8651">
            <w:pPr>
              <w:outlineLvl w:val="9"/>
              <w:rPr>
                <w:rFonts w:ascii="Arial"/>
                <w:color w:val="auto"/>
                <w:sz w:val="21"/>
                <w:highlight w:val="none"/>
              </w:rPr>
            </w:pPr>
          </w:p>
        </w:tc>
        <w:tc>
          <w:tcPr>
            <w:tcW w:w="732" w:type="dxa"/>
            <w:vAlign w:val="top"/>
          </w:tcPr>
          <w:p w14:paraId="2C50A8EB">
            <w:pPr>
              <w:outlineLvl w:val="9"/>
              <w:rPr>
                <w:rFonts w:ascii="Arial"/>
                <w:color w:val="auto"/>
                <w:sz w:val="21"/>
                <w:highlight w:val="none"/>
              </w:rPr>
            </w:pPr>
          </w:p>
        </w:tc>
        <w:tc>
          <w:tcPr>
            <w:tcW w:w="803" w:type="dxa"/>
            <w:vAlign w:val="top"/>
          </w:tcPr>
          <w:p w14:paraId="03454EC4">
            <w:pPr>
              <w:outlineLvl w:val="9"/>
              <w:rPr>
                <w:rFonts w:ascii="Arial"/>
                <w:color w:val="auto"/>
                <w:sz w:val="21"/>
                <w:highlight w:val="none"/>
              </w:rPr>
            </w:pPr>
          </w:p>
        </w:tc>
        <w:tc>
          <w:tcPr>
            <w:tcW w:w="1320" w:type="dxa"/>
            <w:vAlign w:val="top"/>
          </w:tcPr>
          <w:p w14:paraId="0379D8AC">
            <w:pPr>
              <w:outlineLvl w:val="9"/>
              <w:rPr>
                <w:rFonts w:ascii="Arial"/>
                <w:color w:val="auto"/>
                <w:sz w:val="21"/>
                <w:highlight w:val="none"/>
              </w:rPr>
            </w:pPr>
          </w:p>
        </w:tc>
        <w:tc>
          <w:tcPr>
            <w:tcW w:w="952" w:type="dxa"/>
            <w:vAlign w:val="top"/>
          </w:tcPr>
          <w:p w14:paraId="7E9DDD38">
            <w:pPr>
              <w:outlineLvl w:val="9"/>
              <w:rPr>
                <w:rFonts w:ascii="Arial"/>
                <w:color w:val="auto"/>
                <w:sz w:val="21"/>
                <w:highlight w:val="none"/>
              </w:rPr>
            </w:pPr>
          </w:p>
        </w:tc>
        <w:tc>
          <w:tcPr>
            <w:tcW w:w="1150" w:type="dxa"/>
            <w:vAlign w:val="top"/>
          </w:tcPr>
          <w:p w14:paraId="7AA8FC00">
            <w:pPr>
              <w:outlineLvl w:val="9"/>
              <w:rPr>
                <w:rFonts w:ascii="Arial"/>
                <w:color w:val="auto"/>
                <w:sz w:val="21"/>
                <w:highlight w:val="none"/>
              </w:rPr>
            </w:pPr>
          </w:p>
        </w:tc>
        <w:tc>
          <w:tcPr>
            <w:tcW w:w="758" w:type="dxa"/>
            <w:vAlign w:val="top"/>
          </w:tcPr>
          <w:p w14:paraId="24587EC0">
            <w:pPr>
              <w:outlineLvl w:val="9"/>
              <w:rPr>
                <w:rFonts w:ascii="Arial"/>
                <w:color w:val="auto"/>
                <w:sz w:val="21"/>
                <w:highlight w:val="none"/>
              </w:rPr>
            </w:pPr>
          </w:p>
        </w:tc>
      </w:tr>
      <w:tr w14:paraId="07607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0F654998">
            <w:pPr>
              <w:outlineLvl w:val="9"/>
              <w:rPr>
                <w:rFonts w:ascii="Arial"/>
                <w:color w:val="auto"/>
                <w:sz w:val="21"/>
                <w:highlight w:val="none"/>
              </w:rPr>
            </w:pPr>
          </w:p>
        </w:tc>
        <w:tc>
          <w:tcPr>
            <w:tcW w:w="1180" w:type="dxa"/>
            <w:vAlign w:val="top"/>
          </w:tcPr>
          <w:p w14:paraId="236846FF">
            <w:pPr>
              <w:outlineLvl w:val="9"/>
              <w:rPr>
                <w:rFonts w:ascii="Arial"/>
                <w:color w:val="auto"/>
                <w:sz w:val="21"/>
                <w:highlight w:val="none"/>
              </w:rPr>
            </w:pPr>
          </w:p>
        </w:tc>
        <w:tc>
          <w:tcPr>
            <w:tcW w:w="830" w:type="dxa"/>
            <w:vAlign w:val="top"/>
          </w:tcPr>
          <w:p w14:paraId="695599BE">
            <w:pPr>
              <w:outlineLvl w:val="9"/>
              <w:rPr>
                <w:rFonts w:ascii="Arial"/>
                <w:color w:val="auto"/>
                <w:sz w:val="21"/>
                <w:highlight w:val="none"/>
              </w:rPr>
            </w:pPr>
          </w:p>
        </w:tc>
        <w:tc>
          <w:tcPr>
            <w:tcW w:w="1077" w:type="dxa"/>
            <w:vAlign w:val="top"/>
          </w:tcPr>
          <w:p w14:paraId="079A1404">
            <w:pPr>
              <w:outlineLvl w:val="9"/>
              <w:rPr>
                <w:rFonts w:ascii="Arial"/>
                <w:color w:val="auto"/>
                <w:sz w:val="21"/>
                <w:highlight w:val="none"/>
              </w:rPr>
            </w:pPr>
          </w:p>
        </w:tc>
        <w:tc>
          <w:tcPr>
            <w:tcW w:w="732" w:type="dxa"/>
            <w:vAlign w:val="top"/>
          </w:tcPr>
          <w:p w14:paraId="50E11A6E">
            <w:pPr>
              <w:outlineLvl w:val="9"/>
              <w:rPr>
                <w:rFonts w:ascii="Arial"/>
                <w:color w:val="auto"/>
                <w:sz w:val="21"/>
                <w:highlight w:val="none"/>
              </w:rPr>
            </w:pPr>
          </w:p>
        </w:tc>
        <w:tc>
          <w:tcPr>
            <w:tcW w:w="803" w:type="dxa"/>
            <w:vAlign w:val="top"/>
          </w:tcPr>
          <w:p w14:paraId="585D35BE">
            <w:pPr>
              <w:outlineLvl w:val="9"/>
              <w:rPr>
                <w:rFonts w:ascii="Arial"/>
                <w:color w:val="auto"/>
                <w:sz w:val="21"/>
                <w:highlight w:val="none"/>
              </w:rPr>
            </w:pPr>
          </w:p>
        </w:tc>
        <w:tc>
          <w:tcPr>
            <w:tcW w:w="1320" w:type="dxa"/>
            <w:vAlign w:val="top"/>
          </w:tcPr>
          <w:p w14:paraId="3E4BF861">
            <w:pPr>
              <w:outlineLvl w:val="9"/>
              <w:rPr>
                <w:rFonts w:ascii="Arial"/>
                <w:color w:val="auto"/>
                <w:sz w:val="21"/>
                <w:highlight w:val="none"/>
              </w:rPr>
            </w:pPr>
          </w:p>
        </w:tc>
        <w:tc>
          <w:tcPr>
            <w:tcW w:w="952" w:type="dxa"/>
            <w:vAlign w:val="top"/>
          </w:tcPr>
          <w:p w14:paraId="4B623D2F">
            <w:pPr>
              <w:outlineLvl w:val="9"/>
              <w:rPr>
                <w:rFonts w:ascii="Arial"/>
                <w:color w:val="auto"/>
                <w:sz w:val="21"/>
                <w:highlight w:val="none"/>
              </w:rPr>
            </w:pPr>
          </w:p>
        </w:tc>
        <w:tc>
          <w:tcPr>
            <w:tcW w:w="1150" w:type="dxa"/>
            <w:vAlign w:val="top"/>
          </w:tcPr>
          <w:p w14:paraId="136D9633">
            <w:pPr>
              <w:outlineLvl w:val="9"/>
              <w:rPr>
                <w:rFonts w:ascii="Arial"/>
                <w:color w:val="auto"/>
                <w:sz w:val="21"/>
                <w:highlight w:val="none"/>
              </w:rPr>
            </w:pPr>
          </w:p>
        </w:tc>
        <w:tc>
          <w:tcPr>
            <w:tcW w:w="758" w:type="dxa"/>
            <w:vAlign w:val="top"/>
          </w:tcPr>
          <w:p w14:paraId="19C53706">
            <w:pPr>
              <w:outlineLvl w:val="9"/>
              <w:rPr>
                <w:rFonts w:ascii="Arial"/>
                <w:color w:val="auto"/>
                <w:sz w:val="21"/>
                <w:highlight w:val="none"/>
              </w:rPr>
            </w:pPr>
          </w:p>
        </w:tc>
      </w:tr>
      <w:tr w14:paraId="2861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5D9E7A02">
            <w:pPr>
              <w:outlineLvl w:val="9"/>
              <w:rPr>
                <w:rFonts w:ascii="Arial"/>
                <w:color w:val="auto"/>
                <w:sz w:val="21"/>
                <w:highlight w:val="none"/>
              </w:rPr>
            </w:pPr>
          </w:p>
        </w:tc>
        <w:tc>
          <w:tcPr>
            <w:tcW w:w="1180" w:type="dxa"/>
            <w:vAlign w:val="top"/>
          </w:tcPr>
          <w:p w14:paraId="1ADED96C">
            <w:pPr>
              <w:outlineLvl w:val="9"/>
              <w:rPr>
                <w:rFonts w:ascii="Arial"/>
                <w:color w:val="auto"/>
                <w:sz w:val="21"/>
                <w:highlight w:val="none"/>
              </w:rPr>
            </w:pPr>
          </w:p>
        </w:tc>
        <w:tc>
          <w:tcPr>
            <w:tcW w:w="830" w:type="dxa"/>
            <w:vAlign w:val="top"/>
          </w:tcPr>
          <w:p w14:paraId="0CF046B4">
            <w:pPr>
              <w:outlineLvl w:val="9"/>
              <w:rPr>
                <w:rFonts w:ascii="Arial"/>
                <w:color w:val="auto"/>
                <w:sz w:val="21"/>
                <w:highlight w:val="none"/>
              </w:rPr>
            </w:pPr>
          </w:p>
        </w:tc>
        <w:tc>
          <w:tcPr>
            <w:tcW w:w="1077" w:type="dxa"/>
            <w:vAlign w:val="top"/>
          </w:tcPr>
          <w:p w14:paraId="0696E4F2">
            <w:pPr>
              <w:outlineLvl w:val="9"/>
              <w:rPr>
                <w:rFonts w:ascii="Arial"/>
                <w:color w:val="auto"/>
                <w:sz w:val="21"/>
                <w:highlight w:val="none"/>
              </w:rPr>
            </w:pPr>
          </w:p>
        </w:tc>
        <w:tc>
          <w:tcPr>
            <w:tcW w:w="732" w:type="dxa"/>
            <w:vAlign w:val="top"/>
          </w:tcPr>
          <w:p w14:paraId="07340227">
            <w:pPr>
              <w:outlineLvl w:val="9"/>
              <w:rPr>
                <w:rFonts w:ascii="Arial"/>
                <w:color w:val="auto"/>
                <w:sz w:val="21"/>
                <w:highlight w:val="none"/>
              </w:rPr>
            </w:pPr>
          </w:p>
        </w:tc>
        <w:tc>
          <w:tcPr>
            <w:tcW w:w="803" w:type="dxa"/>
            <w:vAlign w:val="top"/>
          </w:tcPr>
          <w:p w14:paraId="7175E8AD">
            <w:pPr>
              <w:outlineLvl w:val="9"/>
              <w:rPr>
                <w:rFonts w:ascii="Arial"/>
                <w:color w:val="auto"/>
                <w:sz w:val="21"/>
                <w:highlight w:val="none"/>
              </w:rPr>
            </w:pPr>
          </w:p>
        </w:tc>
        <w:tc>
          <w:tcPr>
            <w:tcW w:w="1320" w:type="dxa"/>
            <w:vAlign w:val="top"/>
          </w:tcPr>
          <w:p w14:paraId="05F6E472">
            <w:pPr>
              <w:outlineLvl w:val="9"/>
              <w:rPr>
                <w:rFonts w:ascii="Arial"/>
                <w:color w:val="auto"/>
                <w:sz w:val="21"/>
                <w:highlight w:val="none"/>
              </w:rPr>
            </w:pPr>
          </w:p>
        </w:tc>
        <w:tc>
          <w:tcPr>
            <w:tcW w:w="952" w:type="dxa"/>
            <w:vAlign w:val="top"/>
          </w:tcPr>
          <w:p w14:paraId="7B15F347">
            <w:pPr>
              <w:outlineLvl w:val="9"/>
              <w:rPr>
                <w:rFonts w:ascii="Arial"/>
                <w:color w:val="auto"/>
                <w:sz w:val="21"/>
                <w:highlight w:val="none"/>
              </w:rPr>
            </w:pPr>
          </w:p>
        </w:tc>
        <w:tc>
          <w:tcPr>
            <w:tcW w:w="1150" w:type="dxa"/>
            <w:vAlign w:val="top"/>
          </w:tcPr>
          <w:p w14:paraId="073FB872">
            <w:pPr>
              <w:outlineLvl w:val="9"/>
              <w:rPr>
                <w:rFonts w:ascii="Arial"/>
                <w:color w:val="auto"/>
                <w:sz w:val="21"/>
                <w:highlight w:val="none"/>
              </w:rPr>
            </w:pPr>
          </w:p>
        </w:tc>
        <w:tc>
          <w:tcPr>
            <w:tcW w:w="758" w:type="dxa"/>
            <w:vAlign w:val="top"/>
          </w:tcPr>
          <w:p w14:paraId="04939153">
            <w:pPr>
              <w:outlineLvl w:val="9"/>
              <w:rPr>
                <w:rFonts w:ascii="Arial"/>
                <w:color w:val="auto"/>
                <w:sz w:val="21"/>
                <w:highlight w:val="none"/>
              </w:rPr>
            </w:pPr>
          </w:p>
        </w:tc>
      </w:tr>
      <w:tr w14:paraId="74A54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508DBEA2">
            <w:pPr>
              <w:outlineLvl w:val="9"/>
              <w:rPr>
                <w:rFonts w:ascii="Arial"/>
                <w:color w:val="auto"/>
                <w:sz w:val="21"/>
                <w:highlight w:val="none"/>
              </w:rPr>
            </w:pPr>
          </w:p>
        </w:tc>
        <w:tc>
          <w:tcPr>
            <w:tcW w:w="1180" w:type="dxa"/>
            <w:vAlign w:val="top"/>
          </w:tcPr>
          <w:p w14:paraId="14212679">
            <w:pPr>
              <w:outlineLvl w:val="9"/>
              <w:rPr>
                <w:rFonts w:ascii="Arial"/>
                <w:color w:val="auto"/>
                <w:sz w:val="21"/>
                <w:highlight w:val="none"/>
              </w:rPr>
            </w:pPr>
          </w:p>
        </w:tc>
        <w:tc>
          <w:tcPr>
            <w:tcW w:w="830" w:type="dxa"/>
            <w:vAlign w:val="top"/>
          </w:tcPr>
          <w:p w14:paraId="31337557">
            <w:pPr>
              <w:outlineLvl w:val="9"/>
              <w:rPr>
                <w:rFonts w:ascii="Arial"/>
                <w:color w:val="auto"/>
                <w:sz w:val="21"/>
                <w:highlight w:val="none"/>
              </w:rPr>
            </w:pPr>
          </w:p>
        </w:tc>
        <w:tc>
          <w:tcPr>
            <w:tcW w:w="1077" w:type="dxa"/>
            <w:vAlign w:val="top"/>
          </w:tcPr>
          <w:p w14:paraId="6E6F8402">
            <w:pPr>
              <w:outlineLvl w:val="9"/>
              <w:rPr>
                <w:rFonts w:ascii="Arial"/>
                <w:color w:val="auto"/>
                <w:sz w:val="21"/>
                <w:highlight w:val="none"/>
              </w:rPr>
            </w:pPr>
          </w:p>
        </w:tc>
        <w:tc>
          <w:tcPr>
            <w:tcW w:w="732" w:type="dxa"/>
            <w:vAlign w:val="top"/>
          </w:tcPr>
          <w:p w14:paraId="390546CF">
            <w:pPr>
              <w:outlineLvl w:val="9"/>
              <w:rPr>
                <w:rFonts w:ascii="Arial"/>
                <w:color w:val="auto"/>
                <w:sz w:val="21"/>
                <w:highlight w:val="none"/>
              </w:rPr>
            </w:pPr>
          </w:p>
        </w:tc>
        <w:tc>
          <w:tcPr>
            <w:tcW w:w="803" w:type="dxa"/>
            <w:vAlign w:val="top"/>
          </w:tcPr>
          <w:p w14:paraId="7FD69448">
            <w:pPr>
              <w:outlineLvl w:val="9"/>
              <w:rPr>
                <w:rFonts w:ascii="Arial"/>
                <w:color w:val="auto"/>
                <w:sz w:val="21"/>
                <w:highlight w:val="none"/>
              </w:rPr>
            </w:pPr>
          </w:p>
        </w:tc>
        <w:tc>
          <w:tcPr>
            <w:tcW w:w="1320" w:type="dxa"/>
            <w:vAlign w:val="top"/>
          </w:tcPr>
          <w:p w14:paraId="28A46896">
            <w:pPr>
              <w:outlineLvl w:val="9"/>
              <w:rPr>
                <w:rFonts w:ascii="Arial"/>
                <w:color w:val="auto"/>
                <w:sz w:val="21"/>
                <w:highlight w:val="none"/>
              </w:rPr>
            </w:pPr>
          </w:p>
        </w:tc>
        <w:tc>
          <w:tcPr>
            <w:tcW w:w="952" w:type="dxa"/>
            <w:vAlign w:val="top"/>
          </w:tcPr>
          <w:p w14:paraId="65F6FC58">
            <w:pPr>
              <w:outlineLvl w:val="9"/>
              <w:rPr>
                <w:rFonts w:ascii="Arial"/>
                <w:color w:val="auto"/>
                <w:sz w:val="21"/>
                <w:highlight w:val="none"/>
              </w:rPr>
            </w:pPr>
          </w:p>
        </w:tc>
        <w:tc>
          <w:tcPr>
            <w:tcW w:w="1150" w:type="dxa"/>
            <w:vAlign w:val="top"/>
          </w:tcPr>
          <w:p w14:paraId="29705B0A">
            <w:pPr>
              <w:outlineLvl w:val="9"/>
              <w:rPr>
                <w:rFonts w:ascii="Arial"/>
                <w:color w:val="auto"/>
                <w:sz w:val="21"/>
                <w:highlight w:val="none"/>
              </w:rPr>
            </w:pPr>
          </w:p>
        </w:tc>
        <w:tc>
          <w:tcPr>
            <w:tcW w:w="758" w:type="dxa"/>
            <w:vAlign w:val="top"/>
          </w:tcPr>
          <w:p w14:paraId="16A1484A">
            <w:pPr>
              <w:outlineLvl w:val="9"/>
              <w:rPr>
                <w:rFonts w:ascii="Arial"/>
                <w:color w:val="auto"/>
                <w:sz w:val="21"/>
                <w:highlight w:val="none"/>
              </w:rPr>
            </w:pPr>
          </w:p>
        </w:tc>
      </w:tr>
      <w:tr w14:paraId="1D2F2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7A4983A8">
            <w:pPr>
              <w:outlineLvl w:val="9"/>
              <w:rPr>
                <w:rFonts w:ascii="Arial"/>
                <w:color w:val="auto"/>
                <w:sz w:val="21"/>
                <w:highlight w:val="none"/>
              </w:rPr>
            </w:pPr>
          </w:p>
        </w:tc>
        <w:tc>
          <w:tcPr>
            <w:tcW w:w="1180" w:type="dxa"/>
            <w:vAlign w:val="top"/>
          </w:tcPr>
          <w:p w14:paraId="3F655048">
            <w:pPr>
              <w:outlineLvl w:val="9"/>
              <w:rPr>
                <w:rFonts w:ascii="Arial"/>
                <w:color w:val="auto"/>
                <w:sz w:val="21"/>
                <w:highlight w:val="none"/>
              </w:rPr>
            </w:pPr>
          </w:p>
        </w:tc>
        <w:tc>
          <w:tcPr>
            <w:tcW w:w="830" w:type="dxa"/>
            <w:vAlign w:val="top"/>
          </w:tcPr>
          <w:p w14:paraId="42483038">
            <w:pPr>
              <w:outlineLvl w:val="9"/>
              <w:rPr>
                <w:rFonts w:ascii="Arial"/>
                <w:color w:val="auto"/>
                <w:sz w:val="21"/>
                <w:highlight w:val="none"/>
              </w:rPr>
            </w:pPr>
          </w:p>
        </w:tc>
        <w:tc>
          <w:tcPr>
            <w:tcW w:w="1077" w:type="dxa"/>
            <w:vAlign w:val="top"/>
          </w:tcPr>
          <w:p w14:paraId="1AFBD628">
            <w:pPr>
              <w:outlineLvl w:val="9"/>
              <w:rPr>
                <w:rFonts w:ascii="Arial"/>
                <w:color w:val="auto"/>
                <w:sz w:val="21"/>
                <w:highlight w:val="none"/>
              </w:rPr>
            </w:pPr>
          </w:p>
        </w:tc>
        <w:tc>
          <w:tcPr>
            <w:tcW w:w="732" w:type="dxa"/>
            <w:vAlign w:val="top"/>
          </w:tcPr>
          <w:p w14:paraId="48C95467">
            <w:pPr>
              <w:outlineLvl w:val="9"/>
              <w:rPr>
                <w:rFonts w:ascii="Arial"/>
                <w:color w:val="auto"/>
                <w:sz w:val="21"/>
                <w:highlight w:val="none"/>
              </w:rPr>
            </w:pPr>
          </w:p>
        </w:tc>
        <w:tc>
          <w:tcPr>
            <w:tcW w:w="803" w:type="dxa"/>
            <w:vAlign w:val="top"/>
          </w:tcPr>
          <w:p w14:paraId="25A8ECB0">
            <w:pPr>
              <w:outlineLvl w:val="9"/>
              <w:rPr>
                <w:rFonts w:ascii="Arial"/>
                <w:color w:val="auto"/>
                <w:sz w:val="21"/>
                <w:highlight w:val="none"/>
              </w:rPr>
            </w:pPr>
          </w:p>
        </w:tc>
        <w:tc>
          <w:tcPr>
            <w:tcW w:w="1320" w:type="dxa"/>
            <w:vAlign w:val="top"/>
          </w:tcPr>
          <w:p w14:paraId="143613D4">
            <w:pPr>
              <w:outlineLvl w:val="9"/>
              <w:rPr>
                <w:rFonts w:ascii="Arial"/>
                <w:color w:val="auto"/>
                <w:sz w:val="21"/>
                <w:highlight w:val="none"/>
              </w:rPr>
            </w:pPr>
          </w:p>
        </w:tc>
        <w:tc>
          <w:tcPr>
            <w:tcW w:w="952" w:type="dxa"/>
            <w:vAlign w:val="top"/>
          </w:tcPr>
          <w:p w14:paraId="6DB4D46E">
            <w:pPr>
              <w:outlineLvl w:val="9"/>
              <w:rPr>
                <w:rFonts w:ascii="Arial"/>
                <w:color w:val="auto"/>
                <w:sz w:val="21"/>
                <w:highlight w:val="none"/>
              </w:rPr>
            </w:pPr>
          </w:p>
        </w:tc>
        <w:tc>
          <w:tcPr>
            <w:tcW w:w="1150" w:type="dxa"/>
            <w:vAlign w:val="top"/>
          </w:tcPr>
          <w:p w14:paraId="6EF06138">
            <w:pPr>
              <w:outlineLvl w:val="9"/>
              <w:rPr>
                <w:rFonts w:ascii="Arial"/>
                <w:color w:val="auto"/>
                <w:sz w:val="21"/>
                <w:highlight w:val="none"/>
              </w:rPr>
            </w:pPr>
          </w:p>
        </w:tc>
        <w:tc>
          <w:tcPr>
            <w:tcW w:w="758" w:type="dxa"/>
            <w:vAlign w:val="top"/>
          </w:tcPr>
          <w:p w14:paraId="422AFAD3">
            <w:pPr>
              <w:outlineLvl w:val="9"/>
              <w:rPr>
                <w:rFonts w:ascii="Arial"/>
                <w:color w:val="auto"/>
                <w:sz w:val="21"/>
                <w:highlight w:val="none"/>
              </w:rPr>
            </w:pPr>
          </w:p>
        </w:tc>
      </w:tr>
      <w:tr w14:paraId="396B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60D1AFF1">
            <w:pPr>
              <w:outlineLvl w:val="9"/>
              <w:rPr>
                <w:rFonts w:ascii="Arial"/>
                <w:color w:val="auto"/>
                <w:sz w:val="21"/>
                <w:highlight w:val="none"/>
              </w:rPr>
            </w:pPr>
          </w:p>
        </w:tc>
        <w:tc>
          <w:tcPr>
            <w:tcW w:w="1180" w:type="dxa"/>
            <w:vAlign w:val="top"/>
          </w:tcPr>
          <w:p w14:paraId="2FC1D4E3">
            <w:pPr>
              <w:outlineLvl w:val="9"/>
              <w:rPr>
                <w:rFonts w:ascii="Arial"/>
                <w:color w:val="auto"/>
                <w:sz w:val="21"/>
                <w:highlight w:val="none"/>
              </w:rPr>
            </w:pPr>
          </w:p>
        </w:tc>
        <w:tc>
          <w:tcPr>
            <w:tcW w:w="830" w:type="dxa"/>
            <w:vAlign w:val="top"/>
          </w:tcPr>
          <w:p w14:paraId="45035B87">
            <w:pPr>
              <w:outlineLvl w:val="9"/>
              <w:rPr>
                <w:rFonts w:ascii="Arial"/>
                <w:color w:val="auto"/>
                <w:sz w:val="21"/>
                <w:highlight w:val="none"/>
              </w:rPr>
            </w:pPr>
          </w:p>
        </w:tc>
        <w:tc>
          <w:tcPr>
            <w:tcW w:w="1077" w:type="dxa"/>
            <w:vAlign w:val="top"/>
          </w:tcPr>
          <w:p w14:paraId="5E5C76E7">
            <w:pPr>
              <w:outlineLvl w:val="9"/>
              <w:rPr>
                <w:rFonts w:ascii="Arial"/>
                <w:color w:val="auto"/>
                <w:sz w:val="21"/>
                <w:highlight w:val="none"/>
              </w:rPr>
            </w:pPr>
          </w:p>
        </w:tc>
        <w:tc>
          <w:tcPr>
            <w:tcW w:w="732" w:type="dxa"/>
            <w:vAlign w:val="top"/>
          </w:tcPr>
          <w:p w14:paraId="734E6EF9">
            <w:pPr>
              <w:outlineLvl w:val="9"/>
              <w:rPr>
                <w:rFonts w:ascii="Arial"/>
                <w:color w:val="auto"/>
                <w:sz w:val="21"/>
                <w:highlight w:val="none"/>
              </w:rPr>
            </w:pPr>
          </w:p>
        </w:tc>
        <w:tc>
          <w:tcPr>
            <w:tcW w:w="803" w:type="dxa"/>
            <w:vAlign w:val="top"/>
          </w:tcPr>
          <w:p w14:paraId="5ED4C4ED">
            <w:pPr>
              <w:outlineLvl w:val="9"/>
              <w:rPr>
                <w:rFonts w:ascii="Arial"/>
                <w:color w:val="auto"/>
                <w:sz w:val="21"/>
                <w:highlight w:val="none"/>
              </w:rPr>
            </w:pPr>
          </w:p>
        </w:tc>
        <w:tc>
          <w:tcPr>
            <w:tcW w:w="1320" w:type="dxa"/>
            <w:vAlign w:val="top"/>
          </w:tcPr>
          <w:p w14:paraId="55E916D6">
            <w:pPr>
              <w:outlineLvl w:val="9"/>
              <w:rPr>
                <w:rFonts w:ascii="Arial"/>
                <w:color w:val="auto"/>
                <w:sz w:val="21"/>
                <w:highlight w:val="none"/>
              </w:rPr>
            </w:pPr>
          </w:p>
        </w:tc>
        <w:tc>
          <w:tcPr>
            <w:tcW w:w="952" w:type="dxa"/>
            <w:vAlign w:val="top"/>
          </w:tcPr>
          <w:p w14:paraId="229771E4">
            <w:pPr>
              <w:outlineLvl w:val="9"/>
              <w:rPr>
                <w:rFonts w:ascii="Arial"/>
                <w:color w:val="auto"/>
                <w:sz w:val="21"/>
                <w:highlight w:val="none"/>
              </w:rPr>
            </w:pPr>
          </w:p>
        </w:tc>
        <w:tc>
          <w:tcPr>
            <w:tcW w:w="1150" w:type="dxa"/>
            <w:vAlign w:val="top"/>
          </w:tcPr>
          <w:p w14:paraId="754E0A4C">
            <w:pPr>
              <w:outlineLvl w:val="9"/>
              <w:rPr>
                <w:rFonts w:ascii="Arial"/>
                <w:color w:val="auto"/>
                <w:sz w:val="21"/>
                <w:highlight w:val="none"/>
              </w:rPr>
            </w:pPr>
          </w:p>
        </w:tc>
        <w:tc>
          <w:tcPr>
            <w:tcW w:w="758" w:type="dxa"/>
            <w:vAlign w:val="top"/>
          </w:tcPr>
          <w:p w14:paraId="7A201BCA">
            <w:pPr>
              <w:outlineLvl w:val="9"/>
              <w:rPr>
                <w:rFonts w:ascii="Arial"/>
                <w:color w:val="auto"/>
                <w:sz w:val="21"/>
                <w:highlight w:val="none"/>
              </w:rPr>
            </w:pPr>
          </w:p>
        </w:tc>
      </w:tr>
      <w:tr w14:paraId="74B8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3B4DA8DF">
            <w:pPr>
              <w:outlineLvl w:val="9"/>
              <w:rPr>
                <w:rFonts w:ascii="Arial"/>
                <w:color w:val="auto"/>
                <w:sz w:val="21"/>
                <w:highlight w:val="none"/>
              </w:rPr>
            </w:pPr>
          </w:p>
        </w:tc>
        <w:tc>
          <w:tcPr>
            <w:tcW w:w="1180" w:type="dxa"/>
            <w:vAlign w:val="top"/>
          </w:tcPr>
          <w:p w14:paraId="01B0358B">
            <w:pPr>
              <w:outlineLvl w:val="9"/>
              <w:rPr>
                <w:rFonts w:ascii="Arial"/>
                <w:color w:val="auto"/>
                <w:sz w:val="21"/>
                <w:highlight w:val="none"/>
              </w:rPr>
            </w:pPr>
          </w:p>
        </w:tc>
        <w:tc>
          <w:tcPr>
            <w:tcW w:w="830" w:type="dxa"/>
            <w:vAlign w:val="top"/>
          </w:tcPr>
          <w:p w14:paraId="240A02D4">
            <w:pPr>
              <w:outlineLvl w:val="9"/>
              <w:rPr>
                <w:rFonts w:ascii="Arial"/>
                <w:color w:val="auto"/>
                <w:sz w:val="21"/>
                <w:highlight w:val="none"/>
              </w:rPr>
            </w:pPr>
          </w:p>
        </w:tc>
        <w:tc>
          <w:tcPr>
            <w:tcW w:w="1077" w:type="dxa"/>
            <w:vAlign w:val="top"/>
          </w:tcPr>
          <w:p w14:paraId="69224B73">
            <w:pPr>
              <w:outlineLvl w:val="9"/>
              <w:rPr>
                <w:rFonts w:ascii="Arial"/>
                <w:color w:val="auto"/>
                <w:sz w:val="21"/>
                <w:highlight w:val="none"/>
              </w:rPr>
            </w:pPr>
          </w:p>
        </w:tc>
        <w:tc>
          <w:tcPr>
            <w:tcW w:w="732" w:type="dxa"/>
            <w:vAlign w:val="top"/>
          </w:tcPr>
          <w:p w14:paraId="1EFCBFD3">
            <w:pPr>
              <w:outlineLvl w:val="9"/>
              <w:rPr>
                <w:rFonts w:ascii="Arial"/>
                <w:color w:val="auto"/>
                <w:sz w:val="21"/>
                <w:highlight w:val="none"/>
              </w:rPr>
            </w:pPr>
          </w:p>
        </w:tc>
        <w:tc>
          <w:tcPr>
            <w:tcW w:w="803" w:type="dxa"/>
            <w:vAlign w:val="top"/>
          </w:tcPr>
          <w:p w14:paraId="324A4EA1">
            <w:pPr>
              <w:outlineLvl w:val="9"/>
              <w:rPr>
                <w:rFonts w:ascii="Arial"/>
                <w:color w:val="auto"/>
                <w:sz w:val="21"/>
                <w:highlight w:val="none"/>
              </w:rPr>
            </w:pPr>
          </w:p>
        </w:tc>
        <w:tc>
          <w:tcPr>
            <w:tcW w:w="1320" w:type="dxa"/>
            <w:vAlign w:val="top"/>
          </w:tcPr>
          <w:p w14:paraId="31215B07">
            <w:pPr>
              <w:outlineLvl w:val="9"/>
              <w:rPr>
                <w:rFonts w:ascii="Arial"/>
                <w:color w:val="auto"/>
                <w:sz w:val="21"/>
                <w:highlight w:val="none"/>
              </w:rPr>
            </w:pPr>
          </w:p>
        </w:tc>
        <w:tc>
          <w:tcPr>
            <w:tcW w:w="952" w:type="dxa"/>
            <w:vAlign w:val="top"/>
          </w:tcPr>
          <w:p w14:paraId="3E38D2C9">
            <w:pPr>
              <w:outlineLvl w:val="9"/>
              <w:rPr>
                <w:rFonts w:ascii="Arial"/>
                <w:color w:val="auto"/>
                <w:sz w:val="21"/>
                <w:highlight w:val="none"/>
              </w:rPr>
            </w:pPr>
          </w:p>
        </w:tc>
        <w:tc>
          <w:tcPr>
            <w:tcW w:w="1150" w:type="dxa"/>
            <w:vAlign w:val="top"/>
          </w:tcPr>
          <w:p w14:paraId="715A860B">
            <w:pPr>
              <w:outlineLvl w:val="9"/>
              <w:rPr>
                <w:rFonts w:ascii="Arial"/>
                <w:color w:val="auto"/>
                <w:sz w:val="21"/>
                <w:highlight w:val="none"/>
              </w:rPr>
            </w:pPr>
          </w:p>
        </w:tc>
        <w:tc>
          <w:tcPr>
            <w:tcW w:w="758" w:type="dxa"/>
            <w:vAlign w:val="top"/>
          </w:tcPr>
          <w:p w14:paraId="4CC98829">
            <w:pPr>
              <w:outlineLvl w:val="9"/>
              <w:rPr>
                <w:rFonts w:ascii="Arial"/>
                <w:color w:val="auto"/>
                <w:sz w:val="21"/>
                <w:highlight w:val="none"/>
              </w:rPr>
            </w:pPr>
          </w:p>
        </w:tc>
      </w:tr>
      <w:tr w14:paraId="47C47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6C7B4072">
            <w:pPr>
              <w:outlineLvl w:val="9"/>
              <w:rPr>
                <w:rFonts w:ascii="Arial"/>
                <w:color w:val="auto"/>
                <w:sz w:val="21"/>
                <w:highlight w:val="none"/>
              </w:rPr>
            </w:pPr>
          </w:p>
        </w:tc>
        <w:tc>
          <w:tcPr>
            <w:tcW w:w="1180" w:type="dxa"/>
            <w:vAlign w:val="top"/>
          </w:tcPr>
          <w:p w14:paraId="6ABCEB4C">
            <w:pPr>
              <w:outlineLvl w:val="9"/>
              <w:rPr>
                <w:rFonts w:ascii="Arial"/>
                <w:color w:val="auto"/>
                <w:sz w:val="21"/>
                <w:highlight w:val="none"/>
              </w:rPr>
            </w:pPr>
          </w:p>
        </w:tc>
        <w:tc>
          <w:tcPr>
            <w:tcW w:w="830" w:type="dxa"/>
            <w:vAlign w:val="top"/>
          </w:tcPr>
          <w:p w14:paraId="4C4CFC1D">
            <w:pPr>
              <w:outlineLvl w:val="9"/>
              <w:rPr>
                <w:rFonts w:ascii="Arial"/>
                <w:color w:val="auto"/>
                <w:sz w:val="21"/>
                <w:highlight w:val="none"/>
              </w:rPr>
            </w:pPr>
          </w:p>
        </w:tc>
        <w:tc>
          <w:tcPr>
            <w:tcW w:w="1077" w:type="dxa"/>
            <w:vAlign w:val="top"/>
          </w:tcPr>
          <w:p w14:paraId="7C814C88">
            <w:pPr>
              <w:outlineLvl w:val="9"/>
              <w:rPr>
                <w:rFonts w:ascii="Arial"/>
                <w:color w:val="auto"/>
                <w:sz w:val="21"/>
                <w:highlight w:val="none"/>
              </w:rPr>
            </w:pPr>
          </w:p>
        </w:tc>
        <w:tc>
          <w:tcPr>
            <w:tcW w:w="732" w:type="dxa"/>
            <w:vAlign w:val="top"/>
          </w:tcPr>
          <w:p w14:paraId="530C7346">
            <w:pPr>
              <w:outlineLvl w:val="9"/>
              <w:rPr>
                <w:rFonts w:ascii="Arial"/>
                <w:color w:val="auto"/>
                <w:sz w:val="21"/>
                <w:highlight w:val="none"/>
              </w:rPr>
            </w:pPr>
          </w:p>
        </w:tc>
        <w:tc>
          <w:tcPr>
            <w:tcW w:w="803" w:type="dxa"/>
            <w:vAlign w:val="top"/>
          </w:tcPr>
          <w:p w14:paraId="21A37E68">
            <w:pPr>
              <w:outlineLvl w:val="9"/>
              <w:rPr>
                <w:rFonts w:ascii="Arial"/>
                <w:color w:val="auto"/>
                <w:sz w:val="21"/>
                <w:highlight w:val="none"/>
              </w:rPr>
            </w:pPr>
          </w:p>
        </w:tc>
        <w:tc>
          <w:tcPr>
            <w:tcW w:w="1320" w:type="dxa"/>
            <w:vAlign w:val="top"/>
          </w:tcPr>
          <w:p w14:paraId="4552B413">
            <w:pPr>
              <w:outlineLvl w:val="9"/>
              <w:rPr>
                <w:rFonts w:ascii="Arial"/>
                <w:color w:val="auto"/>
                <w:sz w:val="21"/>
                <w:highlight w:val="none"/>
              </w:rPr>
            </w:pPr>
          </w:p>
        </w:tc>
        <w:tc>
          <w:tcPr>
            <w:tcW w:w="952" w:type="dxa"/>
            <w:vAlign w:val="top"/>
          </w:tcPr>
          <w:p w14:paraId="2093C8A8">
            <w:pPr>
              <w:outlineLvl w:val="9"/>
              <w:rPr>
                <w:rFonts w:ascii="Arial"/>
                <w:color w:val="auto"/>
                <w:sz w:val="21"/>
                <w:highlight w:val="none"/>
              </w:rPr>
            </w:pPr>
          </w:p>
        </w:tc>
        <w:tc>
          <w:tcPr>
            <w:tcW w:w="1150" w:type="dxa"/>
            <w:vAlign w:val="top"/>
          </w:tcPr>
          <w:p w14:paraId="2B5330BA">
            <w:pPr>
              <w:outlineLvl w:val="9"/>
              <w:rPr>
                <w:rFonts w:ascii="Arial"/>
                <w:color w:val="auto"/>
                <w:sz w:val="21"/>
                <w:highlight w:val="none"/>
              </w:rPr>
            </w:pPr>
          </w:p>
        </w:tc>
        <w:tc>
          <w:tcPr>
            <w:tcW w:w="758" w:type="dxa"/>
            <w:vAlign w:val="top"/>
          </w:tcPr>
          <w:p w14:paraId="010D40BE">
            <w:pPr>
              <w:outlineLvl w:val="9"/>
              <w:rPr>
                <w:rFonts w:ascii="Arial"/>
                <w:color w:val="auto"/>
                <w:sz w:val="21"/>
                <w:highlight w:val="none"/>
              </w:rPr>
            </w:pPr>
          </w:p>
        </w:tc>
      </w:tr>
      <w:tr w14:paraId="2A28A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187806F0">
            <w:pPr>
              <w:outlineLvl w:val="9"/>
              <w:rPr>
                <w:rFonts w:ascii="Arial"/>
                <w:color w:val="auto"/>
                <w:sz w:val="21"/>
                <w:highlight w:val="none"/>
              </w:rPr>
            </w:pPr>
          </w:p>
        </w:tc>
        <w:tc>
          <w:tcPr>
            <w:tcW w:w="1180" w:type="dxa"/>
            <w:vAlign w:val="top"/>
          </w:tcPr>
          <w:p w14:paraId="550FD29F">
            <w:pPr>
              <w:outlineLvl w:val="9"/>
              <w:rPr>
                <w:rFonts w:ascii="Arial"/>
                <w:color w:val="auto"/>
                <w:sz w:val="21"/>
                <w:highlight w:val="none"/>
              </w:rPr>
            </w:pPr>
          </w:p>
        </w:tc>
        <w:tc>
          <w:tcPr>
            <w:tcW w:w="830" w:type="dxa"/>
            <w:vAlign w:val="top"/>
          </w:tcPr>
          <w:p w14:paraId="0CC3AFA7">
            <w:pPr>
              <w:outlineLvl w:val="9"/>
              <w:rPr>
                <w:rFonts w:ascii="Arial"/>
                <w:color w:val="auto"/>
                <w:sz w:val="21"/>
                <w:highlight w:val="none"/>
              </w:rPr>
            </w:pPr>
          </w:p>
        </w:tc>
        <w:tc>
          <w:tcPr>
            <w:tcW w:w="1077" w:type="dxa"/>
            <w:vAlign w:val="top"/>
          </w:tcPr>
          <w:p w14:paraId="310E41BC">
            <w:pPr>
              <w:outlineLvl w:val="9"/>
              <w:rPr>
                <w:rFonts w:ascii="Arial"/>
                <w:color w:val="auto"/>
                <w:sz w:val="21"/>
                <w:highlight w:val="none"/>
              </w:rPr>
            </w:pPr>
          </w:p>
        </w:tc>
        <w:tc>
          <w:tcPr>
            <w:tcW w:w="732" w:type="dxa"/>
            <w:vAlign w:val="top"/>
          </w:tcPr>
          <w:p w14:paraId="0A75DD04">
            <w:pPr>
              <w:outlineLvl w:val="9"/>
              <w:rPr>
                <w:rFonts w:ascii="Arial"/>
                <w:color w:val="auto"/>
                <w:sz w:val="21"/>
                <w:highlight w:val="none"/>
              </w:rPr>
            </w:pPr>
          </w:p>
        </w:tc>
        <w:tc>
          <w:tcPr>
            <w:tcW w:w="803" w:type="dxa"/>
            <w:vAlign w:val="top"/>
          </w:tcPr>
          <w:p w14:paraId="5F6B00E7">
            <w:pPr>
              <w:outlineLvl w:val="9"/>
              <w:rPr>
                <w:rFonts w:ascii="Arial"/>
                <w:color w:val="auto"/>
                <w:sz w:val="21"/>
                <w:highlight w:val="none"/>
              </w:rPr>
            </w:pPr>
          </w:p>
        </w:tc>
        <w:tc>
          <w:tcPr>
            <w:tcW w:w="1320" w:type="dxa"/>
            <w:vAlign w:val="top"/>
          </w:tcPr>
          <w:p w14:paraId="39D712E6">
            <w:pPr>
              <w:outlineLvl w:val="9"/>
              <w:rPr>
                <w:rFonts w:ascii="Arial"/>
                <w:color w:val="auto"/>
                <w:sz w:val="21"/>
                <w:highlight w:val="none"/>
              </w:rPr>
            </w:pPr>
          </w:p>
        </w:tc>
        <w:tc>
          <w:tcPr>
            <w:tcW w:w="952" w:type="dxa"/>
            <w:vAlign w:val="top"/>
          </w:tcPr>
          <w:p w14:paraId="316644FA">
            <w:pPr>
              <w:outlineLvl w:val="9"/>
              <w:rPr>
                <w:rFonts w:ascii="Arial"/>
                <w:color w:val="auto"/>
                <w:sz w:val="21"/>
                <w:highlight w:val="none"/>
              </w:rPr>
            </w:pPr>
          </w:p>
        </w:tc>
        <w:tc>
          <w:tcPr>
            <w:tcW w:w="1150" w:type="dxa"/>
            <w:vAlign w:val="top"/>
          </w:tcPr>
          <w:p w14:paraId="19A62DBC">
            <w:pPr>
              <w:outlineLvl w:val="9"/>
              <w:rPr>
                <w:rFonts w:ascii="Arial"/>
                <w:color w:val="auto"/>
                <w:sz w:val="21"/>
                <w:highlight w:val="none"/>
              </w:rPr>
            </w:pPr>
          </w:p>
        </w:tc>
        <w:tc>
          <w:tcPr>
            <w:tcW w:w="758" w:type="dxa"/>
            <w:vAlign w:val="top"/>
          </w:tcPr>
          <w:p w14:paraId="2FF1C285">
            <w:pPr>
              <w:outlineLvl w:val="9"/>
              <w:rPr>
                <w:rFonts w:ascii="Arial"/>
                <w:color w:val="auto"/>
                <w:sz w:val="21"/>
                <w:highlight w:val="none"/>
              </w:rPr>
            </w:pPr>
          </w:p>
        </w:tc>
      </w:tr>
      <w:tr w14:paraId="3B20A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308A2915">
            <w:pPr>
              <w:outlineLvl w:val="9"/>
              <w:rPr>
                <w:rFonts w:ascii="Arial"/>
                <w:color w:val="auto"/>
                <w:sz w:val="21"/>
                <w:highlight w:val="none"/>
              </w:rPr>
            </w:pPr>
          </w:p>
        </w:tc>
        <w:tc>
          <w:tcPr>
            <w:tcW w:w="1180" w:type="dxa"/>
            <w:vAlign w:val="top"/>
          </w:tcPr>
          <w:p w14:paraId="71E49074">
            <w:pPr>
              <w:outlineLvl w:val="9"/>
              <w:rPr>
                <w:rFonts w:ascii="Arial"/>
                <w:color w:val="auto"/>
                <w:sz w:val="21"/>
                <w:highlight w:val="none"/>
              </w:rPr>
            </w:pPr>
          </w:p>
        </w:tc>
        <w:tc>
          <w:tcPr>
            <w:tcW w:w="830" w:type="dxa"/>
            <w:vAlign w:val="top"/>
          </w:tcPr>
          <w:p w14:paraId="0C45AB05">
            <w:pPr>
              <w:outlineLvl w:val="9"/>
              <w:rPr>
                <w:rFonts w:ascii="Arial"/>
                <w:color w:val="auto"/>
                <w:sz w:val="21"/>
                <w:highlight w:val="none"/>
              </w:rPr>
            </w:pPr>
          </w:p>
        </w:tc>
        <w:tc>
          <w:tcPr>
            <w:tcW w:w="1077" w:type="dxa"/>
            <w:vAlign w:val="top"/>
          </w:tcPr>
          <w:p w14:paraId="2EB23BFD">
            <w:pPr>
              <w:outlineLvl w:val="9"/>
              <w:rPr>
                <w:rFonts w:ascii="Arial"/>
                <w:color w:val="auto"/>
                <w:sz w:val="21"/>
                <w:highlight w:val="none"/>
              </w:rPr>
            </w:pPr>
          </w:p>
        </w:tc>
        <w:tc>
          <w:tcPr>
            <w:tcW w:w="732" w:type="dxa"/>
            <w:vAlign w:val="top"/>
          </w:tcPr>
          <w:p w14:paraId="4985C391">
            <w:pPr>
              <w:outlineLvl w:val="9"/>
              <w:rPr>
                <w:rFonts w:ascii="Arial"/>
                <w:color w:val="auto"/>
                <w:sz w:val="21"/>
                <w:highlight w:val="none"/>
              </w:rPr>
            </w:pPr>
          </w:p>
        </w:tc>
        <w:tc>
          <w:tcPr>
            <w:tcW w:w="803" w:type="dxa"/>
            <w:vAlign w:val="top"/>
          </w:tcPr>
          <w:p w14:paraId="45CEE87B">
            <w:pPr>
              <w:outlineLvl w:val="9"/>
              <w:rPr>
                <w:rFonts w:ascii="Arial"/>
                <w:color w:val="auto"/>
                <w:sz w:val="21"/>
                <w:highlight w:val="none"/>
              </w:rPr>
            </w:pPr>
          </w:p>
        </w:tc>
        <w:tc>
          <w:tcPr>
            <w:tcW w:w="1320" w:type="dxa"/>
            <w:vAlign w:val="top"/>
          </w:tcPr>
          <w:p w14:paraId="4F3745E8">
            <w:pPr>
              <w:outlineLvl w:val="9"/>
              <w:rPr>
                <w:rFonts w:ascii="Arial"/>
                <w:color w:val="auto"/>
                <w:sz w:val="21"/>
                <w:highlight w:val="none"/>
              </w:rPr>
            </w:pPr>
          </w:p>
        </w:tc>
        <w:tc>
          <w:tcPr>
            <w:tcW w:w="952" w:type="dxa"/>
            <w:vAlign w:val="top"/>
          </w:tcPr>
          <w:p w14:paraId="63930598">
            <w:pPr>
              <w:outlineLvl w:val="9"/>
              <w:rPr>
                <w:rFonts w:ascii="Arial"/>
                <w:color w:val="auto"/>
                <w:sz w:val="21"/>
                <w:highlight w:val="none"/>
              </w:rPr>
            </w:pPr>
          </w:p>
        </w:tc>
        <w:tc>
          <w:tcPr>
            <w:tcW w:w="1150" w:type="dxa"/>
            <w:vAlign w:val="top"/>
          </w:tcPr>
          <w:p w14:paraId="359C1DA5">
            <w:pPr>
              <w:outlineLvl w:val="9"/>
              <w:rPr>
                <w:rFonts w:ascii="Arial"/>
                <w:color w:val="auto"/>
                <w:sz w:val="21"/>
                <w:highlight w:val="none"/>
              </w:rPr>
            </w:pPr>
          </w:p>
        </w:tc>
        <w:tc>
          <w:tcPr>
            <w:tcW w:w="758" w:type="dxa"/>
            <w:vAlign w:val="top"/>
          </w:tcPr>
          <w:p w14:paraId="69580478">
            <w:pPr>
              <w:outlineLvl w:val="9"/>
              <w:rPr>
                <w:rFonts w:ascii="Arial"/>
                <w:color w:val="auto"/>
                <w:sz w:val="21"/>
                <w:highlight w:val="none"/>
              </w:rPr>
            </w:pPr>
          </w:p>
        </w:tc>
      </w:tr>
      <w:tr w14:paraId="59DA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53C7667E">
            <w:pPr>
              <w:outlineLvl w:val="9"/>
              <w:rPr>
                <w:rFonts w:ascii="Arial"/>
                <w:color w:val="auto"/>
                <w:sz w:val="21"/>
                <w:highlight w:val="none"/>
              </w:rPr>
            </w:pPr>
          </w:p>
        </w:tc>
        <w:tc>
          <w:tcPr>
            <w:tcW w:w="1180" w:type="dxa"/>
            <w:vAlign w:val="top"/>
          </w:tcPr>
          <w:p w14:paraId="15DCB251">
            <w:pPr>
              <w:outlineLvl w:val="9"/>
              <w:rPr>
                <w:rFonts w:ascii="Arial"/>
                <w:color w:val="auto"/>
                <w:sz w:val="21"/>
                <w:highlight w:val="none"/>
              </w:rPr>
            </w:pPr>
          </w:p>
        </w:tc>
        <w:tc>
          <w:tcPr>
            <w:tcW w:w="830" w:type="dxa"/>
            <w:vAlign w:val="top"/>
          </w:tcPr>
          <w:p w14:paraId="01A39CE4">
            <w:pPr>
              <w:outlineLvl w:val="9"/>
              <w:rPr>
                <w:rFonts w:ascii="Arial"/>
                <w:color w:val="auto"/>
                <w:sz w:val="21"/>
                <w:highlight w:val="none"/>
              </w:rPr>
            </w:pPr>
          </w:p>
        </w:tc>
        <w:tc>
          <w:tcPr>
            <w:tcW w:w="1077" w:type="dxa"/>
            <w:vAlign w:val="top"/>
          </w:tcPr>
          <w:p w14:paraId="3202634D">
            <w:pPr>
              <w:outlineLvl w:val="9"/>
              <w:rPr>
                <w:rFonts w:ascii="Arial"/>
                <w:color w:val="auto"/>
                <w:sz w:val="21"/>
                <w:highlight w:val="none"/>
              </w:rPr>
            </w:pPr>
          </w:p>
        </w:tc>
        <w:tc>
          <w:tcPr>
            <w:tcW w:w="732" w:type="dxa"/>
            <w:vAlign w:val="top"/>
          </w:tcPr>
          <w:p w14:paraId="0CCC9A79">
            <w:pPr>
              <w:outlineLvl w:val="9"/>
              <w:rPr>
                <w:rFonts w:ascii="Arial"/>
                <w:color w:val="auto"/>
                <w:sz w:val="21"/>
                <w:highlight w:val="none"/>
              </w:rPr>
            </w:pPr>
          </w:p>
        </w:tc>
        <w:tc>
          <w:tcPr>
            <w:tcW w:w="803" w:type="dxa"/>
            <w:vAlign w:val="top"/>
          </w:tcPr>
          <w:p w14:paraId="272A2967">
            <w:pPr>
              <w:outlineLvl w:val="9"/>
              <w:rPr>
                <w:rFonts w:ascii="Arial"/>
                <w:color w:val="auto"/>
                <w:sz w:val="21"/>
                <w:highlight w:val="none"/>
              </w:rPr>
            </w:pPr>
          </w:p>
        </w:tc>
        <w:tc>
          <w:tcPr>
            <w:tcW w:w="1320" w:type="dxa"/>
            <w:vAlign w:val="top"/>
          </w:tcPr>
          <w:p w14:paraId="5311E944">
            <w:pPr>
              <w:outlineLvl w:val="9"/>
              <w:rPr>
                <w:rFonts w:ascii="Arial"/>
                <w:color w:val="auto"/>
                <w:sz w:val="21"/>
                <w:highlight w:val="none"/>
              </w:rPr>
            </w:pPr>
          </w:p>
        </w:tc>
        <w:tc>
          <w:tcPr>
            <w:tcW w:w="952" w:type="dxa"/>
            <w:vAlign w:val="top"/>
          </w:tcPr>
          <w:p w14:paraId="31C934BE">
            <w:pPr>
              <w:outlineLvl w:val="9"/>
              <w:rPr>
                <w:rFonts w:ascii="Arial"/>
                <w:color w:val="auto"/>
                <w:sz w:val="21"/>
                <w:highlight w:val="none"/>
              </w:rPr>
            </w:pPr>
          </w:p>
        </w:tc>
        <w:tc>
          <w:tcPr>
            <w:tcW w:w="1150" w:type="dxa"/>
            <w:vAlign w:val="top"/>
          </w:tcPr>
          <w:p w14:paraId="0035DE18">
            <w:pPr>
              <w:outlineLvl w:val="9"/>
              <w:rPr>
                <w:rFonts w:ascii="Arial"/>
                <w:color w:val="auto"/>
                <w:sz w:val="21"/>
                <w:highlight w:val="none"/>
              </w:rPr>
            </w:pPr>
          </w:p>
        </w:tc>
        <w:tc>
          <w:tcPr>
            <w:tcW w:w="758" w:type="dxa"/>
            <w:vAlign w:val="top"/>
          </w:tcPr>
          <w:p w14:paraId="0C89B8D7">
            <w:pPr>
              <w:outlineLvl w:val="9"/>
              <w:rPr>
                <w:rFonts w:ascii="Arial"/>
                <w:color w:val="auto"/>
                <w:sz w:val="21"/>
                <w:highlight w:val="none"/>
              </w:rPr>
            </w:pPr>
          </w:p>
        </w:tc>
      </w:tr>
      <w:tr w14:paraId="6F043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14:paraId="2A40C342">
            <w:pPr>
              <w:outlineLvl w:val="9"/>
              <w:rPr>
                <w:rFonts w:ascii="Arial"/>
                <w:color w:val="auto"/>
                <w:sz w:val="21"/>
                <w:highlight w:val="none"/>
              </w:rPr>
            </w:pPr>
          </w:p>
        </w:tc>
        <w:tc>
          <w:tcPr>
            <w:tcW w:w="1180" w:type="dxa"/>
            <w:vAlign w:val="top"/>
          </w:tcPr>
          <w:p w14:paraId="1F3340BB">
            <w:pPr>
              <w:outlineLvl w:val="9"/>
              <w:rPr>
                <w:rFonts w:ascii="Arial"/>
                <w:color w:val="auto"/>
                <w:sz w:val="21"/>
                <w:highlight w:val="none"/>
              </w:rPr>
            </w:pPr>
          </w:p>
        </w:tc>
        <w:tc>
          <w:tcPr>
            <w:tcW w:w="830" w:type="dxa"/>
            <w:vAlign w:val="top"/>
          </w:tcPr>
          <w:p w14:paraId="7182C393">
            <w:pPr>
              <w:outlineLvl w:val="9"/>
              <w:rPr>
                <w:rFonts w:ascii="Arial"/>
                <w:color w:val="auto"/>
                <w:sz w:val="21"/>
                <w:highlight w:val="none"/>
              </w:rPr>
            </w:pPr>
          </w:p>
        </w:tc>
        <w:tc>
          <w:tcPr>
            <w:tcW w:w="1077" w:type="dxa"/>
            <w:vAlign w:val="top"/>
          </w:tcPr>
          <w:p w14:paraId="6F1FA6AF">
            <w:pPr>
              <w:outlineLvl w:val="9"/>
              <w:rPr>
                <w:rFonts w:ascii="Arial"/>
                <w:color w:val="auto"/>
                <w:sz w:val="21"/>
                <w:highlight w:val="none"/>
              </w:rPr>
            </w:pPr>
          </w:p>
        </w:tc>
        <w:tc>
          <w:tcPr>
            <w:tcW w:w="732" w:type="dxa"/>
            <w:vAlign w:val="top"/>
          </w:tcPr>
          <w:p w14:paraId="096EA628">
            <w:pPr>
              <w:outlineLvl w:val="9"/>
              <w:rPr>
                <w:rFonts w:ascii="Arial"/>
                <w:color w:val="auto"/>
                <w:sz w:val="21"/>
                <w:highlight w:val="none"/>
              </w:rPr>
            </w:pPr>
          </w:p>
        </w:tc>
        <w:tc>
          <w:tcPr>
            <w:tcW w:w="803" w:type="dxa"/>
            <w:vAlign w:val="top"/>
          </w:tcPr>
          <w:p w14:paraId="6C3C64B9">
            <w:pPr>
              <w:outlineLvl w:val="9"/>
              <w:rPr>
                <w:rFonts w:ascii="Arial"/>
                <w:color w:val="auto"/>
                <w:sz w:val="21"/>
                <w:highlight w:val="none"/>
              </w:rPr>
            </w:pPr>
          </w:p>
        </w:tc>
        <w:tc>
          <w:tcPr>
            <w:tcW w:w="1320" w:type="dxa"/>
            <w:vAlign w:val="top"/>
          </w:tcPr>
          <w:p w14:paraId="0530A870">
            <w:pPr>
              <w:outlineLvl w:val="9"/>
              <w:rPr>
                <w:rFonts w:ascii="Arial"/>
                <w:color w:val="auto"/>
                <w:sz w:val="21"/>
                <w:highlight w:val="none"/>
              </w:rPr>
            </w:pPr>
          </w:p>
        </w:tc>
        <w:tc>
          <w:tcPr>
            <w:tcW w:w="952" w:type="dxa"/>
            <w:vAlign w:val="top"/>
          </w:tcPr>
          <w:p w14:paraId="4B4B2D80">
            <w:pPr>
              <w:outlineLvl w:val="9"/>
              <w:rPr>
                <w:rFonts w:ascii="Arial"/>
                <w:color w:val="auto"/>
                <w:sz w:val="21"/>
                <w:highlight w:val="none"/>
              </w:rPr>
            </w:pPr>
          </w:p>
        </w:tc>
        <w:tc>
          <w:tcPr>
            <w:tcW w:w="1150" w:type="dxa"/>
            <w:vAlign w:val="top"/>
          </w:tcPr>
          <w:p w14:paraId="550C3484">
            <w:pPr>
              <w:outlineLvl w:val="9"/>
              <w:rPr>
                <w:rFonts w:ascii="Arial"/>
                <w:color w:val="auto"/>
                <w:sz w:val="21"/>
                <w:highlight w:val="none"/>
              </w:rPr>
            </w:pPr>
          </w:p>
        </w:tc>
        <w:tc>
          <w:tcPr>
            <w:tcW w:w="758" w:type="dxa"/>
            <w:vAlign w:val="top"/>
          </w:tcPr>
          <w:p w14:paraId="1DD0DB80">
            <w:pPr>
              <w:outlineLvl w:val="9"/>
              <w:rPr>
                <w:rFonts w:ascii="Arial"/>
                <w:color w:val="auto"/>
                <w:sz w:val="21"/>
                <w:highlight w:val="none"/>
              </w:rPr>
            </w:pPr>
          </w:p>
        </w:tc>
      </w:tr>
      <w:tr w14:paraId="58BFC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14:paraId="2CCFEF9D">
            <w:pPr>
              <w:outlineLvl w:val="9"/>
              <w:rPr>
                <w:rFonts w:ascii="Arial"/>
                <w:color w:val="auto"/>
                <w:sz w:val="21"/>
                <w:highlight w:val="none"/>
              </w:rPr>
            </w:pPr>
          </w:p>
        </w:tc>
        <w:tc>
          <w:tcPr>
            <w:tcW w:w="1180" w:type="dxa"/>
            <w:vAlign w:val="top"/>
          </w:tcPr>
          <w:p w14:paraId="51B1FE39">
            <w:pPr>
              <w:outlineLvl w:val="9"/>
              <w:rPr>
                <w:rFonts w:ascii="Arial"/>
                <w:color w:val="auto"/>
                <w:sz w:val="21"/>
                <w:highlight w:val="none"/>
              </w:rPr>
            </w:pPr>
          </w:p>
        </w:tc>
        <w:tc>
          <w:tcPr>
            <w:tcW w:w="830" w:type="dxa"/>
            <w:vAlign w:val="top"/>
          </w:tcPr>
          <w:p w14:paraId="0C52F5F7">
            <w:pPr>
              <w:outlineLvl w:val="9"/>
              <w:rPr>
                <w:rFonts w:ascii="Arial"/>
                <w:color w:val="auto"/>
                <w:sz w:val="21"/>
                <w:highlight w:val="none"/>
              </w:rPr>
            </w:pPr>
          </w:p>
        </w:tc>
        <w:tc>
          <w:tcPr>
            <w:tcW w:w="1077" w:type="dxa"/>
            <w:vAlign w:val="top"/>
          </w:tcPr>
          <w:p w14:paraId="5C9E4E80">
            <w:pPr>
              <w:outlineLvl w:val="9"/>
              <w:rPr>
                <w:rFonts w:ascii="Arial"/>
                <w:color w:val="auto"/>
                <w:sz w:val="21"/>
                <w:highlight w:val="none"/>
              </w:rPr>
            </w:pPr>
          </w:p>
        </w:tc>
        <w:tc>
          <w:tcPr>
            <w:tcW w:w="732" w:type="dxa"/>
            <w:vAlign w:val="top"/>
          </w:tcPr>
          <w:p w14:paraId="723FED15">
            <w:pPr>
              <w:outlineLvl w:val="9"/>
              <w:rPr>
                <w:rFonts w:ascii="Arial"/>
                <w:color w:val="auto"/>
                <w:sz w:val="21"/>
                <w:highlight w:val="none"/>
              </w:rPr>
            </w:pPr>
          </w:p>
        </w:tc>
        <w:tc>
          <w:tcPr>
            <w:tcW w:w="803" w:type="dxa"/>
            <w:vAlign w:val="top"/>
          </w:tcPr>
          <w:p w14:paraId="7360A067">
            <w:pPr>
              <w:outlineLvl w:val="9"/>
              <w:rPr>
                <w:rFonts w:ascii="Arial"/>
                <w:color w:val="auto"/>
                <w:sz w:val="21"/>
                <w:highlight w:val="none"/>
              </w:rPr>
            </w:pPr>
          </w:p>
        </w:tc>
        <w:tc>
          <w:tcPr>
            <w:tcW w:w="1320" w:type="dxa"/>
            <w:vAlign w:val="top"/>
          </w:tcPr>
          <w:p w14:paraId="13CE2529">
            <w:pPr>
              <w:outlineLvl w:val="9"/>
              <w:rPr>
                <w:rFonts w:ascii="Arial"/>
                <w:color w:val="auto"/>
                <w:sz w:val="21"/>
                <w:highlight w:val="none"/>
              </w:rPr>
            </w:pPr>
          </w:p>
        </w:tc>
        <w:tc>
          <w:tcPr>
            <w:tcW w:w="952" w:type="dxa"/>
            <w:vAlign w:val="top"/>
          </w:tcPr>
          <w:p w14:paraId="509221A4">
            <w:pPr>
              <w:outlineLvl w:val="9"/>
              <w:rPr>
                <w:rFonts w:ascii="Arial"/>
                <w:color w:val="auto"/>
                <w:sz w:val="21"/>
                <w:highlight w:val="none"/>
              </w:rPr>
            </w:pPr>
          </w:p>
        </w:tc>
        <w:tc>
          <w:tcPr>
            <w:tcW w:w="1150" w:type="dxa"/>
            <w:vAlign w:val="top"/>
          </w:tcPr>
          <w:p w14:paraId="4EB02CA8">
            <w:pPr>
              <w:outlineLvl w:val="9"/>
              <w:rPr>
                <w:rFonts w:ascii="Arial"/>
                <w:color w:val="auto"/>
                <w:sz w:val="21"/>
                <w:highlight w:val="none"/>
              </w:rPr>
            </w:pPr>
          </w:p>
        </w:tc>
        <w:tc>
          <w:tcPr>
            <w:tcW w:w="758" w:type="dxa"/>
            <w:vAlign w:val="top"/>
          </w:tcPr>
          <w:p w14:paraId="53F89C91">
            <w:pPr>
              <w:outlineLvl w:val="9"/>
              <w:rPr>
                <w:rFonts w:ascii="Arial"/>
                <w:color w:val="auto"/>
                <w:sz w:val="21"/>
                <w:highlight w:val="none"/>
              </w:rPr>
            </w:pPr>
          </w:p>
        </w:tc>
      </w:tr>
      <w:tr w14:paraId="473DB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2" w:type="dxa"/>
            <w:vAlign w:val="top"/>
          </w:tcPr>
          <w:p w14:paraId="243295C5">
            <w:pPr>
              <w:outlineLvl w:val="9"/>
              <w:rPr>
                <w:rFonts w:ascii="Arial"/>
                <w:color w:val="auto"/>
                <w:sz w:val="21"/>
                <w:highlight w:val="none"/>
              </w:rPr>
            </w:pPr>
          </w:p>
        </w:tc>
        <w:tc>
          <w:tcPr>
            <w:tcW w:w="1180" w:type="dxa"/>
            <w:vAlign w:val="top"/>
          </w:tcPr>
          <w:p w14:paraId="08DBEF34">
            <w:pPr>
              <w:outlineLvl w:val="9"/>
              <w:rPr>
                <w:rFonts w:ascii="Arial"/>
                <w:color w:val="auto"/>
                <w:sz w:val="21"/>
                <w:highlight w:val="none"/>
              </w:rPr>
            </w:pPr>
          </w:p>
        </w:tc>
        <w:tc>
          <w:tcPr>
            <w:tcW w:w="830" w:type="dxa"/>
            <w:vAlign w:val="top"/>
          </w:tcPr>
          <w:p w14:paraId="6031913F">
            <w:pPr>
              <w:outlineLvl w:val="9"/>
              <w:rPr>
                <w:rFonts w:ascii="Arial"/>
                <w:color w:val="auto"/>
                <w:sz w:val="21"/>
                <w:highlight w:val="none"/>
              </w:rPr>
            </w:pPr>
          </w:p>
        </w:tc>
        <w:tc>
          <w:tcPr>
            <w:tcW w:w="1077" w:type="dxa"/>
            <w:vAlign w:val="top"/>
          </w:tcPr>
          <w:p w14:paraId="1974014F">
            <w:pPr>
              <w:outlineLvl w:val="9"/>
              <w:rPr>
                <w:rFonts w:ascii="Arial"/>
                <w:color w:val="auto"/>
                <w:sz w:val="21"/>
                <w:highlight w:val="none"/>
              </w:rPr>
            </w:pPr>
          </w:p>
        </w:tc>
        <w:tc>
          <w:tcPr>
            <w:tcW w:w="732" w:type="dxa"/>
            <w:vAlign w:val="top"/>
          </w:tcPr>
          <w:p w14:paraId="614E00A9">
            <w:pPr>
              <w:outlineLvl w:val="9"/>
              <w:rPr>
                <w:rFonts w:ascii="Arial"/>
                <w:color w:val="auto"/>
                <w:sz w:val="21"/>
                <w:highlight w:val="none"/>
              </w:rPr>
            </w:pPr>
          </w:p>
        </w:tc>
        <w:tc>
          <w:tcPr>
            <w:tcW w:w="803" w:type="dxa"/>
            <w:vAlign w:val="top"/>
          </w:tcPr>
          <w:p w14:paraId="57D6BF17">
            <w:pPr>
              <w:outlineLvl w:val="9"/>
              <w:rPr>
                <w:rFonts w:ascii="Arial"/>
                <w:color w:val="auto"/>
                <w:sz w:val="21"/>
                <w:highlight w:val="none"/>
              </w:rPr>
            </w:pPr>
          </w:p>
        </w:tc>
        <w:tc>
          <w:tcPr>
            <w:tcW w:w="1320" w:type="dxa"/>
            <w:vAlign w:val="top"/>
          </w:tcPr>
          <w:p w14:paraId="7C0B56ED">
            <w:pPr>
              <w:outlineLvl w:val="9"/>
              <w:rPr>
                <w:rFonts w:ascii="Arial"/>
                <w:color w:val="auto"/>
                <w:sz w:val="21"/>
                <w:highlight w:val="none"/>
              </w:rPr>
            </w:pPr>
          </w:p>
        </w:tc>
        <w:tc>
          <w:tcPr>
            <w:tcW w:w="952" w:type="dxa"/>
            <w:vAlign w:val="top"/>
          </w:tcPr>
          <w:p w14:paraId="7B61D6F2">
            <w:pPr>
              <w:outlineLvl w:val="9"/>
              <w:rPr>
                <w:rFonts w:ascii="Arial"/>
                <w:color w:val="auto"/>
                <w:sz w:val="21"/>
                <w:highlight w:val="none"/>
              </w:rPr>
            </w:pPr>
          </w:p>
        </w:tc>
        <w:tc>
          <w:tcPr>
            <w:tcW w:w="1150" w:type="dxa"/>
            <w:vAlign w:val="top"/>
          </w:tcPr>
          <w:p w14:paraId="6E2B2D5D">
            <w:pPr>
              <w:outlineLvl w:val="9"/>
              <w:rPr>
                <w:rFonts w:ascii="Arial"/>
                <w:color w:val="auto"/>
                <w:sz w:val="21"/>
                <w:highlight w:val="none"/>
              </w:rPr>
            </w:pPr>
          </w:p>
        </w:tc>
        <w:tc>
          <w:tcPr>
            <w:tcW w:w="758" w:type="dxa"/>
            <w:vAlign w:val="top"/>
          </w:tcPr>
          <w:p w14:paraId="5A5F89B3">
            <w:pPr>
              <w:outlineLvl w:val="9"/>
              <w:rPr>
                <w:rFonts w:ascii="Arial"/>
                <w:color w:val="auto"/>
                <w:sz w:val="21"/>
                <w:highlight w:val="none"/>
              </w:rPr>
            </w:pPr>
          </w:p>
        </w:tc>
      </w:tr>
    </w:tbl>
    <w:p w14:paraId="727FA205">
      <w:pPr>
        <w:outlineLvl w:val="9"/>
        <w:rPr>
          <w:rFonts w:ascii="Arial"/>
          <w:color w:val="auto"/>
          <w:sz w:val="21"/>
          <w:highlight w:val="none"/>
        </w:rPr>
      </w:pPr>
    </w:p>
    <w:p w14:paraId="582061CF">
      <w:pPr>
        <w:spacing w:before="56" w:line="219" w:lineRule="auto"/>
        <w:ind w:left="1907"/>
        <w:outlineLvl w:val="9"/>
        <w:rPr>
          <w:rFonts w:ascii="宋体" w:hAnsi="宋体" w:eastAsia="宋体" w:cs="宋体"/>
          <w:b/>
          <w:bCs/>
          <w:color w:val="auto"/>
          <w:spacing w:val="-4"/>
          <w:sz w:val="28"/>
          <w:szCs w:val="28"/>
          <w:highlight w:val="none"/>
        </w:rPr>
      </w:pPr>
    </w:p>
    <w:p w14:paraId="5FC212B8">
      <w:pPr>
        <w:spacing w:before="56" w:line="219" w:lineRule="auto"/>
        <w:ind w:left="1907"/>
        <w:outlineLvl w:val="9"/>
        <w:rPr>
          <w:rFonts w:ascii="宋体" w:hAnsi="宋体" w:eastAsia="宋体" w:cs="宋体"/>
          <w:b/>
          <w:bCs/>
          <w:color w:val="auto"/>
          <w:spacing w:val="-4"/>
          <w:sz w:val="28"/>
          <w:szCs w:val="28"/>
          <w:highlight w:val="none"/>
        </w:rPr>
      </w:pPr>
    </w:p>
    <w:p w14:paraId="30A1AC6C">
      <w:pPr>
        <w:spacing w:before="56" w:line="219" w:lineRule="auto"/>
        <w:ind w:left="1907"/>
        <w:outlineLvl w:val="9"/>
        <w:rPr>
          <w:rFonts w:ascii="宋体" w:hAnsi="宋体" w:eastAsia="宋体" w:cs="宋体"/>
          <w:b/>
          <w:bCs/>
          <w:color w:val="auto"/>
          <w:spacing w:val="-4"/>
          <w:sz w:val="28"/>
          <w:szCs w:val="28"/>
          <w:highlight w:val="none"/>
        </w:rPr>
      </w:pPr>
    </w:p>
    <w:p w14:paraId="3FE5BE53">
      <w:pPr>
        <w:spacing w:before="56" w:line="219" w:lineRule="auto"/>
        <w:ind w:left="1907"/>
        <w:outlineLvl w:val="9"/>
        <w:rPr>
          <w:rFonts w:ascii="宋体" w:hAnsi="宋体" w:eastAsia="宋体" w:cs="宋体"/>
          <w:b/>
          <w:bCs/>
          <w:color w:val="auto"/>
          <w:spacing w:val="-4"/>
          <w:sz w:val="28"/>
          <w:szCs w:val="28"/>
          <w:highlight w:val="none"/>
        </w:rPr>
      </w:pPr>
    </w:p>
    <w:p w14:paraId="5C2C7BDE">
      <w:pPr>
        <w:spacing w:before="56" w:line="219" w:lineRule="auto"/>
        <w:ind w:left="190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附表二：拟配备本标段的试验和检测仪器设备表</w:t>
      </w:r>
    </w:p>
    <w:p w14:paraId="53616FC3">
      <w:pPr>
        <w:spacing w:before="188"/>
        <w:outlineLvl w:val="9"/>
        <w:rPr>
          <w:color w:val="auto"/>
          <w:highlight w:val="none"/>
        </w:rPr>
      </w:pPr>
    </w:p>
    <w:tbl>
      <w:tblPr>
        <w:tblStyle w:val="26"/>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182"/>
        <w:gridCol w:w="830"/>
        <w:gridCol w:w="1079"/>
        <w:gridCol w:w="732"/>
        <w:gridCol w:w="806"/>
        <w:gridCol w:w="1320"/>
        <w:gridCol w:w="1802"/>
        <w:gridCol w:w="753"/>
      </w:tblGrid>
      <w:tr w14:paraId="241DD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30" w:type="dxa"/>
            <w:vAlign w:val="top"/>
          </w:tcPr>
          <w:p w14:paraId="22410FCB">
            <w:pPr>
              <w:spacing w:line="326" w:lineRule="auto"/>
              <w:outlineLvl w:val="9"/>
              <w:rPr>
                <w:rFonts w:ascii="Arial"/>
                <w:color w:val="auto"/>
                <w:sz w:val="21"/>
                <w:highlight w:val="none"/>
              </w:rPr>
            </w:pPr>
          </w:p>
          <w:p w14:paraId="1351D95B">
            <w:pPr>
              <w:pStyle w:val="27"/>
              <w:spacing w:before="68" w:line="222" w:lineRule="auto"/>
              <w:ind w:left="158"/>
              <w:outlineLvl w:val="9"/>
              <w:rPr>
                <w:color w:val="auto"/>
                <w:highlight w:val="none"/>
              </w:rPr>
            </w:pPr>
            <w:r>
              <w:rPr>
                <w:color w:val="auto"/>
                <w:spacing w:val="-2"/>
                <w:highlight w:val="none"/>
              </w:rPr>
              <w:t>序号</w:t>
            </w:r>
          </w:p>
        </w:tc>
        <w:tc>
          <w:tcPr>
            <w:tcW w:w="1182" w:type="dxa"/>
            <w:vAlign w:val="top"/>
          </w:tcPr>
          <w:p w14:paraId="6508279B">
            <w:pPr>
              <w:pStyle w:val="27"/>
              <w:spacing w:before="179" w:line="308" w:lineRule="auto"/>
              <w:ind w:left="384" w:right="169" w:hanging="210"/>
              <w:outlineLvl w:val="9"/>
              <w:rPr>
                <w:color w:val="auto"/>
                <w:highlight w:val="none"/>
              </w:rPr>
            </w:pPr>
            <w:r>
              <w:rPr>
                <w:color w:val="auto"/>
                <w:spacing w:val="-2"/>
                <w:highlight w:val="none"/>
              </w:rPr>
              <w:t>仪器设备</w:t>
            </w:r>
            <w:r>
              <w:rPr>
                <w:color w:val="auto"/>
                <w:highlight w:val="none"/>
              </w:rPr>
              <w:t xml:space="preserve"> </w:t>
            </w:r>
            <w:r>
              <w:rPr>
                <w:color w:val="auto"/>
                <w:spacing w:val="-3"/>
                <w:highlight w:val="none"/>
              </w:rPr>
              <w:t>名称</w:t>
            </w:r>
          </w:p>
        </w:tc>
        <w:tc>
          <w:tcPr>
            <w:tcW w:w="830" w:type="dxa"/>
            <w:vAlign w:val="top"/>
          </w:tcPr>
          <w:p w14:paraId="6AB21E6E">
            <w:pPr>
              <w:pStyle w:val="27"/>
              <w:spacing w:before="179" w:line="308" w:lineRule="auto"/>
              <w:ind w:left="209" w:right="202" w:firstLine="5"/>
              <w:outlineLvl w:val="9"/>
              <w:rPr>
                <w:color w:val="auto"/>
                <w:highlight w:val="none"/>
              </w:rPr>
            </w:pPr>
            <w:r>
              <w:rPr>
                <w:color w:val="auto"/>
                <w:spacing w:val="-7"/>
                <w:highlight w:val="none"/>
              </w:rPr>
              <w:t>型号</w:t>
            </w:r>
            <w:r>
              <w:rPr>
                <w:color w:val="auto"/>
                <w:highlight w:val="none"/>
              </w:rPr>
              <w:t xml:space="preserve"> </w:t>
            </w:r>
            <w:r>
              <w:rPr>
                <w:color w:val="auto"/>
                <w:spacing w:val="-4"/>
                <w:highlight w:val="none"/>
              </w:rPr>
              <w:t>规格</w:t>
            </w:r>
          </w:p>
        </w:tc>
        <w:tc>
          <w:tcPr>
            <w:tcW w:w="1079" w:type="dxa"/>
            <w:vAlign w:val="top"/>
          </w:tcPr>
          <w:p w14:paraId="46FFFBAA">
            <w:pPr>
              <w:spacing w:line="326" w:lineRule="auto"/>
              <w:outlineLvl w:val="9"/>
              <w:rPr>
                <w:rFonts w:ascii="Arial"/>
                <w:color w:val="auto"/>
                <w:sz w:val="21"/>
                <w:highlight w:val="none"/>
              </w:rPr>
            </w:pPr>
          </w:p>
          <w:p w14:paraId="0CC11786">
            <w:pPr>
              <w:pStyle w:val="27"/>
              <w:spacing w:before="68" w:line="221" w:lineRule="auto"/>
              <w:ind w:left="335"/>
              <w:outlineLvl w:val="9"/>
              <w:rPr>
                <w:color w:val="auto"/>
                <w:highlight w:val="none"/>
              </w:rPr>
            </w:pPr>
            <w:r>
              <w:rPr>
                <w:color w:val="auto"/>
                <w:spacing w:val="-2"/>
                <w:highlight w:val="none"/>
              </w:rPr>
              <w:t>数量</w:t>
            </w:r>
          </w:p>
        </w:tc>
        <w:tc>
          <w:tcPr>
            <w:tcW w:w="732" w:type="dxa"/>
            <w:vAlign w:val="top"/>
          </w:tcPr>
          <w:p w14:paraId="587665EE">
            <w:pPr>
              <w:pStyle w:val="27"/>
              <w:spacing w:before="179" w:line="308" w:lineRule="auto"/>
              <w:ind w:left="162" w:right="150" w:firstLine="20"/>
              <w:outlineLvl w:val="9"/>
              <w:rPr>
                <w:color w:val="auto"/>
                <w:highlight w:val="none"/>
              </w:rPr>
            </w:pPr>
            <w:r>
              <w:rPr>
                <w:color w:val="auto"/>
                <w:spacing w:val="-14"/>
                <w:highlight w:val="none"/>
              </w:rPr>
              <w:t>国别</w:t>
            </w:r>
            <w:r>
              <w:rPr>
                <w:color w:val="auto"/>
                <w:highlight w:val="none"/>
              </w:rPr>
              <w:t xml:space="preserve"> </w:t>
            </w:r>
            <w:r>
              <w:rPr>
                <w:color w:val="auto"/>
                <w:spacing w:val="-3"/>
                <w:highlight w:val="none"/>
              </w:rPr>
              <w:t>产地</w:t>
            </w:r>
          </w:p>
        </w:tc>
        <w:tc>
          <w:tcPr>
            <w:tcW w:w="806" w:type="dxa"/>
            <w:vAlign w:val="top"/>
          </w:tcPr>
          <w:p w14:paraId="74AE473C">
            <w:pPr>
              <w:pStyle w:val="27"/>
              <w:spacing w:before="179" w:line="308" w:lineRule="auto"/>
              <w:ind w:left="199" w:right="188"/>
              <w:outlineLvl w:val="9"/>
              <w:rPr>
                <w:color w:val="auto"/>
                <w:highlight w:val="none"/>
              </w:rPr>
            </w:pPr>
            <w:r>
              <w:rPr>
                <w:color w:val="auto"/>
                <w:spacing w:val="-4"/>
                <w:highlight w:val="none"/>
              </w:rPr>
              <w:t>制造</w:t>
            </w:r>
            <w:r>
              <w:rPr>
                <w:color w:val="auto"/>
                <w:highlight w:val="none"/>
              </w:rPr>
              <w:t xml:space="preserve"> </w:t>
            </w:r>
            <w:r>
              <w:rPr>
                <w:color w:val="auto"/>
                <w:spacing w:val="-4"/>
                <w:highlight w:val="none"/>
              </w:rPr>
              <w:t>年份</w:t>
            </w:r>
          </w:p>
        </w:tc>
        <w:tc>
          <w:tcPr>
            <w:tcW w:w="1320" w:type="dxa"/>
            <w:vAlign w:val="top"/>
          </w:tcPr>
          <w:p w14:paraId="432A2EB9">
            <w:pPr>
              <w:pStyle w:val="27"/>
              <w:spacing w:before="179" w:line="308" w:lineRule="auto"/>
              <w:ind w:left="560" w:right="130" w:hanging="398"/>
              <w:outlineLvl w:val="9"/>
              <w:rPr>
                <w:color w:val="auto"/>
                <w:highlight w:val="none"/>
              </w:rPr>
            </w:pPr>
            <w:r>
              <w:rPr>
                <w:color w:val="auto"/>
                <w:spacing w:val="-6"/>
                <w:highlight w:val="none"/>
              </w:rPr>
              <w:t>已使用台时</w:t>
            </w:r>
            <w:r>
              <w:rPr>
                <w:color w:val="auto"/>
                <w:spacing w:val="1"/>
                <w:highlight w:val="none"/>
              </w:rPr>
              <w:t xml:space="preserve"> </w:t>
            </w:r>
            <w:r>
              <w:rPr>
                <w:color w:val="auto"/>
                <w:highlight w:val="none"/>
              </w:rPr>
              <w:t>数</w:t>
            </w:r>
          </w:p>
        </w:tc>
        <w:tc>
          <w:tcPr>
            <w:tcW w:w="1802" w:type="dxa"/>
            <w:vAlign w:val="top"/>
          </w:tcPr>
          <w:p w14:paraId="6E336603">
            <w:pPr>
              <w:spacing w:line="326" w:lineRule="auto"/>
              <w:outlineLvl w:val="9"/>
              <w:rPr>
                <w:rFonts w:ascii="Arial"/>
                <w:color w:val="auto"/>
                <w:sz w:val="21"/>
                <w:highlight w:val="none"/>
              </w:rPr>
            </w:pPr>
          </w:p>
          <w:p w14:paraId="279D56A9">
            <w:pPr>
              <w:pStyle w:val="27"/>
              <w:spacing w:before="68" w:line="222" w:lineRule="auto"/>
              <w:ind w:left="697"/>
              <w:outlineLvl w:val="9"/>
              <w:rPr>
                <w:color w:val="auto"/>
                <w:highlight w:val="none"/>
              </w:rPr>
            </w:pPr>
            <w:r>
              <w:rPr>
                <w:color w:val="auto"/>
                <w:spacing w:val="-2"/>
                <w:highlight w:val="none"/>
              </w:rPr>
              <w:t>用途</w:t>
            </w:r>
          </w:p>
        </w:tc>
        <w:tc>
          <w:tcPr>
            <w:tcW w:w="753" w:type="dxa"/>
            <w:vAlign w:val="top"/>
          </w:tcPr>
          <w:p w14:paraId="4D9FC0C8">
            <w:pPr>
              <w:spacing w:line="326" w:lineRule="auto"/>
              <w:outlineLvl w:val="9"/>
              <w:rPr>
                <w:rFonts w:ascii="Arial"/>
                <w:color w:val="auto"/>
                <w:sz w:val="21"/>
                <w:highlight w:val="none"/>
              </w:rPr>
            </w:pPr>
          </w:p>
          <w:p w14:paraId="2CA138CD">
            <w:pPr>
              <w:pStyle w:val="27"/>
              <w:spacing w:before="68" w:line="222" w:lineRule="auto"/>
              <w:ind w:left="171"/>
              <w:outlineLvl w:val="9"/>
              <w:rPr>
                <w:color w:val="auto"/>
                <w:highlight w:val="none"/>
              </w:rPr>
            </w:pPr>
            <w:r>
              <w:rPr>
                <w:color w:val="auto"/>
                <w:spacing w:val="-3"/>
                <w:highlight w:val="none"/>
              </w:rPr>
              <w:t>备注</w:t>
            </w:r>
          </w:p>
        </w:tc>
      </w:tr>
      <w:tr w14:paraId="74A2F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28015776">
            <w:pPr>
              <w:outlineLvl w:val="9"/>
              <w:rPr>
                <w:rFonts w:ascii="Arial"/>
                <w:color w:val="auto"/>
                <w:sz w:val="21"/>
                <w:highlight w:val="none"/>
              </w:rPr>
            </w:pPr>
          </w:p>
        </w:tc>
        <w:tc>
          <w:tcPr>
            <w:tcW w:w="1182" w:type="dxa"/>
            <w:vAlign w:val="top"/>
          </w:tcPr>
          <w:p w14:paraId="5E6E736F">
            <w:pPr>
              <w:outlineLvl w:val="9"/>
              <w:rPr>
                <w:rFonts w:ascii="Arial"/>
                <w:color w:val="auto"/>
                <w:sz w:val="21"/>
                <w:highlight w:val="none"/>
              </w:rPr>
            </w:pPr>
          </w:p>
        </w:tc>
        <w:tc>
          <w:tcPr>
            <w:tcW w:w="830" w:type="dxa"/>
            <w:vAlign w:val="top"/>
          </w:tcPr>
          <w:p w14:paraId="4639DBC9">
            <w:pPr>
              <w:outlineLvl w:val="9"/>
              <w:rPr>
                <w:rFonts w:ascii="Arial"/>
                <w:color w:val="auto"/>
                <w:sz w:val="21"/>
                <w:highlight w:val="none"/>
              </w:rPr>
            </w:pPr>
          </w:p>
        </w:tc>
        <w:tc>
          <w:tcPr>
            <w:tcW w:w="1079" w:type="dxa"/>
            <w:vAlign w:val="top"/>
          </w:tcPr>
          <w:p w14:paraId="32EDE5F4">
            <w:pPr>
              <w:outlineLvl w:val="9"/>
              <w:rPr>
                <w:rFonts w:ascii="Arial"/>
                <w:color w:val="auto"/>
                <w:sz w:val="21"/>
                <w:highlight w:val="none"/>
              </w:rPr>
            </w:pPr>
          </w:p>
        </w:tc>
        <w:tc>
          <w:tcPr>
            <w:tcW w:w="732" w:type="dxa"/>
            <w:vAlign w:val="top"/>
          </w:tcPr>
          <w:p w14:paraId="01388C49">
            <w:pPr>
              <w:outlineLvl w:val="9"/>
              <w:rPr>
                <w:rFonts w:ascii="Arial"/>
                <w:color w:val="auto"/>
                <w:sz w:val="21"/>
                <w:highlight w:val="none"/>
              </w:rPr>
            </w:pPr>
          </w:p>
        </w:tc>
        <w:tc>
          <w:tcPr>
            <w:tcW w:w="806" w:type="dxa"/>
            <w:vAlign w:val="top"/>
          </w:tcPr>
          <w:p w14:paraId="43B85820">
            <w:pPr>
              <w:outlineLvl w:val="9"/>
              <w:rPr>
                <w:rFonts w:ascii="Arial"/>
                <w:color w:val="auto"/>
                <w:sz w:val="21"/>
                <w:highlight w:val="none"/>
              </w:rPr>
            </w:pPr>
          </w:p>
        </w:tc>
        <w:tc>
          <w:tcPr>
            <w:tcW w:w="1320" w:type="dxa"/>
            <w:vAlign w:val="top"/>
          </w:tcPr>
          <w:p w14:paraId="4B1D590C">
            <w:pPr>
              <w:outlineLvl w:val="9"/>
              <w:rPr>
                <w:rFonts w:ascii="Arial"/>
                <w:color w:val="auto"/>
                <w:sz w:val="21"/>
                <w:highlight w:val="none"/>
              </w:rPr>
            </w:pPr>
          </w:p>
        </w:tc>
        <w:tc>
          <w:tcPr>
            <w:tcW w:w="1802" w:type="dxa"/>
            <w:vAlign w:val="top"/>
          </w:tcPr>
          <w:p w14:paraId="73E12064">
            <w:pPr>
              <w:outlineLvl w:val="9"/>
              <w:rPr>
                <w:rFonts w:ascii="Arial"/>
                <w:color w:val="auto"/>
                <w:sz w:val="21"/>
                <w:highlight w:val="none"/>
              </w:rPr>
            </w:pPr>
          </w:p>
        </w:tc>
        <w:tc>
          <w:tcPr>
            <w:tcW w:w="753" w:type="dxa"/>
            <w:vAlign w:val="top"/>
          </w:tcPr>
          <w:p w14:paraId="726C02B4">
            <w:pPr>
              <w:outlineLvl w:val="9"/>
              <w:rPr>
                <w:rFonts w:ascii="Arial"/>
                <w:color w:val="auto"/>
                <w:sz w:val="21"/>
                <w:highlight w:val="none"/>
              </w:rPr>
            </w:pPr>
          </w:p>
        </w:tc>
      </w:tr>
      <w:tr w14:paraId="5AC03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14:paraId="7FE06EFD">
            <w:pPr>
              <w:outlineLvl w:val="9"/>
              <w:rPr>
                <w:rFonts w:ascii="Arial"/>
                <w:color w:val="auto"/>
                <w:sz w:val="21"/>
                <w:highlight w:val="none"/>
              </w:rPr>
            </w:pPr>
          </w:p>
        </w:tc>
        <w:tc>
          <w:tcPr>
            <w:tcW w:w="1182" w:type="dxa"/>
            <w:vAlign w:val="top"/>
          </w:tcPr>
          <w:p w14:paraId="1CAD2DD3">
            <w:pPr>
              <w:outlineLvl w:val="9"/>
              <w:rPr>
                <w:rFonts w:ascii="Arial"/>
                <w:color w:val="auto"/>
                <w:sz w:val="21"/>
                <w:highlight w:val="none"/>
              </w:rPr>
            </w:pPr>
          </w:p>
        </w:tc>
        <w:tc>
          <w:tcPr>
            <w:tcW w:w="830" w:type="dxa"/>
            <w:vAlign w:val="top"/>
          </w:tcPr>
          <w:p w14:paraId="4545A7D2">
            <w:pPr>
              <w:outlineLvl w:val="9"/>
              <w:rPr>
                <w:rFonts w:ascii="Arial"/>
                <w:color w:val="auto"/>
                <w:sz w:val="21"/>
                <w:highlight w:val="none"/>
              </w:rPr>
            </w:pPr>
          </w:p>
        </w:tc>
        <w:tc>
          <w:tcPr>
            <w:tcW w:w="1079" w:type="dxa"/>
            <w:vAlign w:val="top"/>
          </w:tcPr>
          <w:p w14:paraId="6DEF7049">
            <w:pPr>
              <w:outlineLvl w:val="9"/>
              <w:rPr>
                <w:rFonts w:ascii="Arial"/>
                <w:color w:val="auto"/>
                <w:sz w:val="21"/>
                <w:highlight w:val="none"/>
              </w:rPr>
            </w:pPr>
          </w:p>
        </w:tc>
        <w:tc>
          <w:tcPr>
            <w:tcW w:w="732" w:type="dxa"/>
            <w:vAlign w:val="top"/>
          </w:tcPr>
          <w:p w14:paraId="1DE767D9">
            <w:pPr>
              <w:outlineLvl w:val="9"/>
              <w:rPr>
                <w:rFonts w:ascii="Arial"/>
                <w:color w:val="auto"/>
                <w:sz w:val="21"/>
                <w:highlight w:val="none"/>
              </w:rPr>
            </w:pPr>
          </w:p>
        </w:tc>
        <w:tc>
          <w:tcPr>
            <w:tcW w:w="806" w:type="dxa"/>
            <w:vAlign w:val="top"/>
          </w:tcPr>
          <w:p w14:paraId="5C9C1A4B">
            <w:pPr>
              <w:outlineLvl w:val="9"/>
              <w:rPr>
                <w:rFonts w:ascii="Arial"/>
                <w:color w:val="auto"/>
                <w:sz w:val="21"/>
                <w:highlight w:val="none"/>
              </w:rPr>
            </w:pPr>
          </w:p>
        </w:tc>
        <w:tc>
          <w:tcPr>
            <w:tcW w:w="1320" w:type="dxa"/>
            <w:vAlign w:val="top"/>
          </w:tcPr>
          <w:p w14:paraId="2BEBB586">
            <w:pPr>
              <w:outlineLvl w:val="9"/>
              <w:rPr>
                <w:rFonts w:ascii="Arial"/>
                <w:color w:val="auto"/>
                <w:sz w:val="21"/>
                <w:highlight w:val="none"/>
              </w:rPr>
            </w:pPr>
          </w:p>
        </w:tc>
        <w:tc>
          <w:tcPr>
            <w:tcW w:w="1802" w:type="dxa"/>
            <w:vAlign w:val="top"/>
          </w:tcPr>
          <w:p w14:paraId="2592A860">
            <w:pPr>
              <w:outlineLvl w:val="9"/>
              <w:rPr>
                <w:rFonts w:ascii="Arial"/>
                <w:color w:val="auto"/>
                <w:sz w:val="21"/>
                <w:highlight w:val="none"/>
              </w:rPr>
            </w:pPr>
          </w:p>
        </w:tc>
        <w:tc>
          <w:tcPr>
            <w:tcW w:w="753" w:type="dxa"/>
            <w:vAlign w:val="top"/>
          </w:tcPr>
          <w:p w14:paraId="0AEBAC5C">
            <w:pPr>
              <w:outlineLvl w:val="9"/>
              <w:rPr>
                <w:rFonts w:ascii="Arial"/>
                <w:color w:val="auto"/>
                <w:sz w:val="21"/>
                <w:highlight w:val="none"/>
              </w:rPr>
            </w:pPr>
          </w:p>
        </w:tc>
      </w:tr>
      <w:tr w14:paraId="5D388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5D991AAE">
            <w:pPr>
              <w:outlineLvl w:val="9"/>
              <w:rPr>
                <w:rFonts w:ascii="Arial"/>
                <w:color w:val="auto"/>
                <w:sz w:val="21"/>
                <w:highlight w:val="none"/>
              </w:rPr>
            </w:pPr>
          </w:p>
        </w:tc>
        <w:tc>
          <w:tcPr>
            <w:tcW w:w="1182" w:type="dxa"/>
            <w:vAlign w:val="top"/>
          </w:tcPr>
          <w:p w14:paraId="4E6913CD">
            <w:pPr>
              <w:outlineLvl w:val="9"/>
              <w:rPr>
                <w:rFonts w:ascii="Arial"/>
                <w:color w:val="auto"/>
                <w:sz w:val="21"/>
                <w:highlight w:val="none"/>
              </w:rPr>
            </w:pPr>
          </w:p>
        </w:tc>
        <w:tc>
          <w:tcPr>
            <w:tcW w:w="830" w:type="dxa"/>
            <w:vAlign w:val="top"/>
          </w:tcPr>
          <w:p w14:paraId="23882017">
            <w:pPr>
              <w:outlineLvl w:val="9"/>
              <w:rPr>
                <w:rFonts w:ascii="Arial"/>
                <w:color w:val="auto"/>
                <w:sz w:val="21"/>
                <w:highlight w:val="none"/>
              </w:rPr>
            </w:pPr>
          </w:p>
        </w:tc>
        <w:tc>
          <w:tcPr>
            <w:tcW w:w="1079" w:type="dxa"/>
            <w:vAlign w:val="top"/>
          </w:tcPr>
          <w:p w14:paraId="47421D34">
            <w:pPr>
              <w:outlineLvl w:val="9"/>
              <w:rPr>
                <w:rFonts w:ascii="Arial"/>
                <w:color w:val="auto"/>
                <w:sz w:val="21"/>
                <w:highlight w:val="none"/>
              </w:rPr>
            </w:pPr>
          </w:p>
        </w:tc>
        <w:tc>
          <w:tcPr>
            <w:tcW w:w="732" w:type="dxa"/>
            <w:vAlign w:val="top"/>
          </w:tcPr>
          <w:p w14:paraId="082C7779">
            <w:pPr>
              <w:outlineLvl w:val="9"/>
              <w:rPr>
                <w:rFonts w:ascii="Arial"/>
                <w:color w:val="auto"/>
                <w:sz w:val="21"/>
                <w:highlight w:val="none"/>
              </w:rPr>
            </w:pPr>
          </w:p>
        </w:tc>
        <w:tc>
          <w:tcPr>
            <w:tcW w:w="806" w:type="dxa"/>
            <w:vAlign w:val="top"/>
          </w:tcPr>
          <w:p w14:paraId="16C2BAF1">
            <w:pPr>
              <w:outlineLvl w:val="9"/>
              <w:rPr>
                <w:rFonts w:ascii="Arial"/>
                <w:color w:val="auto"/>
                <w:sz w:val="21"/>
                <w:highlight w:val="none"/>
              </w:rPr>
            </w:pPr>
          </w:p>
        </w:tc>
        <w:tc>
          <w:tcPr>
            <w:tcW w:w="1320" w:type="dxa"/>
            <w:vAlign w:val="top"/>
          </w:tcPr>
          <w:p w14:paraId="71228039">
            <w:pPr>
              <w:outlineLvl w:val="9"/>
              <w:rPr>
                <w:rFonts w:ascii="Arial"/>
                <w:color w:val="auto"/>
                <w:sz w:val="21"/>
                <w:highlight w:val="none"/>
              </w:rPr>
            </w:pPr>
          </w:p>
        </w:tc>
        <w:tc>
          <w:tcPr>
            <w:tcW w:w="1802" w:type="dxa"/>
            <w:vAlign w:val="top"/>
          </w:tcPr>
          <w:p w14:paraId="29F50D3A">
            <w:pPr>
              <w:outlineLvl w:val="9"/>
              <w:rPr>
                <w:rFonts w:ascii="Arial"/>
                <w:color w:val="auto"/>
                <w:sz w:val="21"/>
                <w:highlight w:val="none"/>
              </w:rPr>
            </w:pPr>
          </w:p>
        </w:tc>
        <w:tc>
          <w:tcPr>
            <w:tcW w:w="753" w:type="dxa"/>
            <w:vAlign w:val="top"/>
          </w:tcPr>
          <w:p w14:paraId="6AE50081">
            <w:pPr>
              <w:outlineLvl w:val="9"/>
              <w:rPr>
                <w:rFonts w:ascii="Arial"/>
                <w:color w:val="auto"/>
                <w:sz w:val="21"/>
                <w:highlight w:val="none"/>
              </w:rPr>
            </w:pPr>
          </w:p>
        </w:tc>
      </w:tr>
      <w:tr w14:paraId="21B27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14:paraId="4330CCA5">
            <w:pPr>
              <w:outlineLvl w:val="9"/>
              <w:rPr>
                <w:rFonts w:ascii="Arial"/>
                <w:color w:val="auto"/>
                <w:sz w:val="21"/>
                <w:highlight w:val="none"/>
              </w:rPr>
            </w:pPr>
          </w:p>
        </w:tc>
        <w:tc>
          <w:tcPr>
            <w:tcW w:w="1182" w:type="dxa"/>
            <w:vAlign w:val="top"/>
          </w:tcPr>
          <w:p w14:paraId="20E01F7F">
            <w:pPr>
              <w:outlineLvl w:val="9"/>
              <w:rPr>
                <w:rFonts w:ascii="Arial"/>
                <w:color w:val="auto"/>
                <w:sz w:val="21"/>
                <w:highlight w:val="none"/>
              </w:rPr>
            </w:pPr>
          </w:p>
        </w:tc>
        <w:tc>
          <w:tcPr>
            <w:tcW w:w="830" w:type="dxa"/>
            <w:vAlign w:val="top"/>
          </w:tcPr>
          <w:p w14:paraId="55E59C70">
            <w:pPr>
              <w:outlineLvl w:val="9"/>
              <w:rPr>
                <w:rFonts w:ascii="Arial"/>
                <w:color w:val="auto"/>
                <w:sz w:val="21"/>
                <w:highlight w:val="none"/>
              </w:rPr>
            </w:pPr>
          </w:p>
        </w:tc>
        <w:tc>
          <w:tcPr>
            <w:tcW w:w="1079" w:type="dxa"/>
            <w:vAlign w:val="top"/>
          </w:tcPr>
          <w:p w14:paraId="6A0D693D">
            <w:pPr>
              <w:outlineLvl w:val="9"/>
              <w:rPr>
                <w:rFonts w:ascii="Arial"/>
                <w:color w:val="auto"/>
                <w:sz w:val="21"/>
                <w:highlight w:val="none"/>
              </w:rPr>
            </w:pPr>
          </w:p>
        </w:tc>
        <w:tc>
          <w:tcPr>
            <w:tcW w:w="732" w:type="dxa"/>
            <w:vAlign w:val="top"/>
          </w:tcPr>
          <w:p w14:paraId="3E7C7F87">
            <w:pPr>
              <w:outlineLvl w:val="9"/>
              <w:rPr>
                <w:rFonts w:ascii="Arial"/>
                <w:color w:val="auto"/>
                <w:sz w:val="21"/>
                <w:highlight w:val="none"/>
              </w:rPr>
            </w:pPr>
          </w:p>
        </w:tc>
        <w:tc>
          <w:tcPr>
            <w:tcW w:w="806" w:type="dxa"/>
            <w:vAlign w:val="top"/>
          </w:tcPr>
          <w:p w14:paraId="155F0FCD">
            <w:pPr>
              <w:outlineLvl w:val="9"/>
              <w:rPr>
                <w:rFonts w:ascii="Arial"/>
                <w:color w:val="auto"/>
                <w:sz w:val="21"/>
                <w:highlight w:val="none"/>
              </w:rPr>
            </w:pPr>
          </w:p>
        </w:tc>
        <w:tc>
          <w:tcPr>
            <w:tcW w:w="1320" w:type="dxa"/>
            <w:vAlign w:val="top"/>
          </w:tcPr>
          <w:p w14:paraId="5C07AE77">
            <w:pPr>
              <w:outlineLvl w:val="9"/>
              <w:rPr>
                <w:rFonts w:ascii="Arial"/>
                <w:color w:val="auto"/>
                <w:sz w:val="21"/>
                <w:highlight w:val="none"/>
              </w:rPr>
            </w:pPr>
          </w:p>
        </w:tc>
        <w:tc>
          <w:tcPr>
            <w:tcW w:w="1802" w:type="dxa"/>
            <w:vAlign w:val="top"/>
          </w:tcPr>
          <w:p w14:paraId="6DD75BCB">
            <w:pPr>
              <w:outlineLvl w:val="9"/>
              <w:rPr>
                <w:rFonts w:ascii="Arial"/>
                <w:color w:val="auto"/>
                <w:sz w:val="21"/>
                <w:highlight w:val="none"/>
              </w:rPr>
            </w:pPr>
          </w:p>
        </w:tc>
        <w:tc>
          <w:tcPr>
            <w:tcW w:w="753" w:type="dxa"/>
            <w:vAlign w:val="top"/>
          </w:tcPr>
          <w:p w14:paraId="66A4AB97">
            <w:pPr>
              <w:outlineLvl w:val="9"/>
              <w:rPr>
                <w:rFonts w:ascii="Arial"/>
                <w:color w:val="auto"/>
                <w:sz w:val="21"/>
                <w:highlight w:val="none"/>
              </w:rPr>
            </w:pPr>
          </w:p>
        </w:tc>
      </w:tr>
      <w:tr w14:paraId="7B345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7495F096">
            <w:pPr>
              <w:outlineLvl w:val="9"/>
              <w:rPr>
                <w:rFonts w:ascii="Arial"/>
                <w:color w:val="auto"/>
                <w:sz w:val="21"/>
                <w:highlight w:val="none"/>
              </w:rPr>
            </w:pPr>
          </w:p>
        </w:tc>
        <w:tc>
          <w:tcPr>
            <w:tcW w:w="1182" w:type="dxa"/>
            <w:vAlign w:val="top"/>
          </w:tcPr>
          <w:p w14:paraId="73AE839A">
            <w:pPr>
              <w:outlineLvl w:val="9"/>
              <w:rPr>
                <w:rFonts w:ascii="Arial"/>
                <w:color w:val="auto"/>
                <w:sz w:val="21"/>
                <w:highlight w:val="none"/>
              </w:rPr>
            </w:pPr>
          </w:p>
        </w:tc>
        <w:tc>
          <w:tcPr>
            <w:tcW w:w="830" w:type="dxa"/>
            <w:vAlign w:val="top"/>
          </w:tcPr>
          <w:p w14:paraId="23A9A839">
            <w:pPr>
              <w:outlineLvl w:val="9"/>
              <w:rPr>
                <w:rFonts w:ascii="Arial"/>
                <w:color w:val="auto"/>
                <w:sz w:val="21"/>
                <w:highlight w:val="none"/>
              </w:rPr>
            </w:pPr>
          </w:p>
        </w:tc>
        <w:tc>
          <w:tcPr>
            <w:tcW w:w="1079" w:type="dxa"/>
            <w:vAlign w:val="top"/>
          </w:tcPr>
          <w:p w14:paraId="35DEDEB2">
            <w:pPr>
              <w:outlineLvl w:val="9"/>
              <w:rPr>
                <w:rFonts w:ascii="Arial"/>
                <w:color w:val="auto"/>
                <w:sz w:val="21"/>
                <w:highlight w:val="none"/>
              </w:rPr>
            </w:pPr>
          </w:p>
        </w:tc>
        <w:tc>
          <w:tcPr>
            <w:tcW w:w="732" w:type="dxa"/>
            <w:vAlign w:val="top"/>
          </w:tcPr>
          <w:p w14:paraId="5FB9DD47">
            <w:pPr>
              <w:outlineLvl w:val="9"/>
              <w:rPr>
                <w:rFonts w:ascii="Arial"/>
                <w:color w:val="auto"/>
                <w:sz w:val="21"/>
                <w:highlight w:val="none"/>
              </w:rPr>
            </w:pPr>
          </w:p>
        </w:tc>
        <w:tc>
          <w:tcPr>
            <w:tcW w:w="806" w:type="dxa"/>
            <w:vAlign w:val="top"/>
          </w:tcPr>
          <w:p w14:paraId="588EB2B4">
            <w:pPr>
              <w:outlineLvl w:val="9"/>
              <w:rPr>
                <w:rFonts w:ascii="Arial"/>
                <w:color w:val="auto"/>
                <w:sz w:val="21"/>
                <w:highlight w:val="none"/>
              </w:rPr>
            </w:pPr>
          </w:p>
        </w:tc>
        <w:tc>
          <w:tcPr>
            <w:tcW w:w="1320" w:type="dxa"/>
            <w:vAlign w:val="top"/>
          </w:tcPr>
          <w:p w14:paraId="402B2623">
            <w:pPr>
              <w:outlineLvl w:val="9"/>
              <w:rPr>
                <w:rFonts w:ascii="Arial"/>
                <w:color w:val="auto"/>
                <w:sz w:val="21"/>
                <w:highlight w:val="none"/>
              </w:rPr>
            </w:pPr>
          </w:p>
        </w:tc>
        <w:tc>
          <w:tcPr>
            <w:tcW w:w="1802" w:type="dxa"/>
            <w:vAlign w:val="top"/>
          </w:tcPr>
          <w:p w14:paraId="15849AF2">
            <w:pPr>
              <w:outlineLvl w:val="9"/>
              <w:rPr>
                <w:rFonts w:ascii="Arial"/>
                <w:color w:val="auto"/>
                <w:sz w:val="21"/>
                <w:highlight w:val="none"/>
              </w:rPr>
            </w:pPr>
          </w:p>
        </w:tc>
        <w:tc>
          <w:tcPr>
            <w:tcW w:w="753" w:type="dxa"/>
            <w:vAlign w:val="top"/>
          </w:tcPr>
          <w:p w14:paraId="03E6ECAE">
            <w:pPr>
              <w:outlineLvl w:val="9"/>
              <w:rPr>
                <w:rFonts w:ascii="Arial"/>
                <w:color w:val="auto"/>
                <w:sz w:val="21"/>
                <w:highlight w:val="none"/>
              </w:rPr>
            </w:pPr>
          </w:p>
        </w:tc>
      </w:tr>
      <w:tr w14:paraId="428C5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707A678B">
            <w:pPr>
              <w:outlineLvl w:val="9"/>
              <w:rPr>
                <w:rFonts w:ascii="Arial"/>
                <w:color w:val="auto"/>
                <w:sz w:val="21"/>
                <w:highlight w:val="none"/>
              </w:rPr>
            </w:pPr>
          </w:p>
        </w:tc>
        <w:tc>
          <w:tcPr>
            <w:tcW w:w="1182" w:type="dxa"/>
            <w:vAlign w:val="top"/>
          </w:tcPr>
          <w:p w14:paraId="1ECF78AE">
            <w:pPr>
              <w:outlineLvl w:val="9"/>
              <w:rPr>
                <w:rFonts w:ascii="Arial"/>
                <w:color w:val="auto"/>
                <w:sz w:val="21"/>
                <w:highlight w:val="none"/>
              </w:rPr>
            </w:pPr>
          </w:p>
        </w:tc>
        <w:tc>
          <w:tcPr>
            <w:tcW w:w="830" w:type="dxa"/>
            <w:vAlign w:val="top"/>
          </w:tcPr>
          <w:p w14:paraId="29B1E4E0">
            <w:pPr>
              <w:outlineLvl w:val="9"/>
              <w:rPr>
                <w:rFonts w:ascii="Arial"/>
                <w:color w:val="auto"/>
                <w:sz w:val="21"/>
                <w:highlight w:val="none"/>
              </w:rPr>
            </w:pPr>
          </w:p>
        </w:tc>
        <w:tc>
          <w:tcPr>
            <w:tcW w:w="1079" w:type="dxa"/>
            <w:vAlign w:val="top"/>
          </w:tcPr>
          <w:p w14:paraId="7AA023FE">
            <w:pPr>
              <w:outlineLvl w:val="9"/>
              <w:rPr>
                <w:rFonts w:ascii="Arial"/>
                <w:color w:val="auto"/>
                <w:sz w:val="21"/>
                <w:highlight w:val="none"/>
              </w:rPr>
            </w:pPr>
          </w:p>
        </w:tc>
        <w:tc>
          <w:tcPr>
            <w:tcW w:w="732" w:type="dxa"/>
            <w:vAlign w:val="top"/>
          </w:tcPr>
          <w:p w14:paraId="2995F6A5">
            <w:pPr>
              <w:outlineLvl w:val="9"/>
              <w:rPr>
                <w:rFonts w:ascii="Arial"/>
                <w:color w:val="auto"/>
                <w:sz w:val="21"/>
                <w:highlight w:val="none"/>
              </w:rPr>
            </w:pPr>
          </w:p>
        </w:tc>
        <w:tc>
          <w:tcPr>
            <w:tcW w:w="806" w:type="dxa"/>
            <w:vAlign w:val="top"/>
          </w:tcPr>
          <w:p w14:paraId="3206629D">
            <w:pPr>
              <w:outlineLvl w:val="9"/>
              <w:rPr>
                <w:rFonts w:ascii="Arial"/>
                <w:color w:val="auto"/>
                <w:sz w:val="21"/>
                <w:highlight w:val="none"/>
              </w:rPr>
            </w:pPr>
          </w:p>
        </w:tc>
        <w:tc>
          <w:tcPr>
            <w:tcW w:w="1320" w:type="dxa"/>
            <w:vAlign w:val="top"/>
          </w:tcPr>
          <w:p w14:paraId="5D67F148">
            <w:pPr>
              <w:outlineLvl w:val="9"/>
              <w:rPr>
                <w:rFonts w:ascii="Arial"/>
                <w:color w:val="auto"/>
                <w:sz w:val="21"/>
                <w:highlight w:val="none"/>
              </w:rPr>
            </w:pPr>
          </w:p>
        </w:tc>
        <w:tc>
          <w:tcPr>
            <w:tcW w:w="1802" w:type="dxa"/>
            <w:vAlign w:val="top"/>
          </w:tcPr>
          <w:p w14:paraId="7B9A458F">
            <w:pPr>
              <w:outlineLvl w:val="9"/>
              <w:rPr>
                <w:rFonts w:ascii="Arial"/>
                <w:color w:val="auto"/>
                <w:sz w:val="21"/>
                <w:highlight w:val="none"/>
              </w:rPr>
            </w:pPr>
          </w:p>
        </w:tc>
        <w:tc>
          <w:tcPr>
            <w:tcW w:w="753" w:type="dxa"/>
            <w:vAlign w:val="top"/>
          </w:tcPr>
          <w:p w14:paraId="773A5862">
            <w:pPr>
              <w:outlineLvl w:val="9"/>
              <w:rPr>
                <w:rFonts w:ascii="Arial"/>
                <w:color w:val="auto"/>
                <w:sz w:val="21"/>
                <w:highlight w:val="none"/>
              </w:rPr>
            </w:pPr>
          </w:p>
        </w:tc>
      </w:tr>
      <w:tr w14:paraId="368CD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42075535">
            <w:pPr>
              <w:outlineLvl w:val="9"/>
              <w:rPr>
                <w:rFonts w:ascii="Arial"/>
                <w:color w:val="auto"/>
                <w:sz w:val="21"/>
                <w:highlight w:val="none"/>
              </w:rPr>
            </w:pPr>
          </w:p>
        </w:tc>
        <w:tc>
          <w:tcPr>
            <w:tcW w:w="1182" w:type="dxa"/>
            <w:vAlign w:val="top"/>
          </w:tcPr>
          <w:p w14:paraId="51F96AE5">
            <w:pPr>
              <w:outlineLvl w:val="9"/>
              <w:rPr>
                <w:rFonts w:ascii="Arial"/>
                <w:color w:val="auto"/>
                <w:sz w:val="21"/>
                <w:highlight w:val="none"/>
              </w:rPr>
            </w:pPr>
          </w:p>
        </w:tc>
        <w:tc>
          <w:tcPr>
            <w:tcW w:w="830" w:type="dxa"/>
            <w:vAlign w:val="top"/>
          </w:tcPr>
          <w:p w14:paraId="093E188E">
            <w:pPr>
              <w:outlineLvl w:val="9"/>
              <w:rPr>
                <w:rFonts w:ascii="Arial"/>
                <w:color w:val="auto"/>
                <w:sz w:val="21"/>
                <w:highlight w:val="none"/>
              </w:rPr>
            </w:pPr>
          </w:p>
        </w:tc>
        <w:tc>
          <w:tcPr>
            <w:tcW w:w="1079" w:type="dxa"/>
            <w:vAlign w:val="top"/>
          </w:tcPr>
          <w:p w14:paraId="180572E1">
            <w:pPr>
              <w:outlineLvl w:val="9"/>
              <w:rPr>
                <w:rFonts w:ascii="Arial"/>
                <w:color w:val="auto"/>
                <w:sz w:val="21"/>
                <w:highlight w:val="none"/>
              </w:rPr>
            </w:pPr>
          </w:p>
        </w:tc>
        <w:tc>
          <w:tcPr>
            <w:tcW w:w="732" w:type="dxa"/>
            <w:vAlign w:val="top"/>
          </w:tcPr>
          <w:p w14:paraId="48EC58B3">
            <w:pPr>
              <w:outlineLvl w:val="9"/>
              <w:rPr>
                <w:rFonts w:ascii="Arial"/>
                <w:color w:val="auto"/>
                <w:sz w:val="21"/>
                <w:highlight w:val="none"/>
              </w:rPr>
            </w:pPr>
          </w:p>
        </w:tc>
        <w:tc>
          <w:tcPr>
            <w:tcW w:w="806" w:type="dxa"/>
            <w:vAlign w:val="top"/>
          </w:tcPr>
          <w:p w14:paraId="2762D6A1">
            <w:pPr>
              <w:outlineLvl w:val="9"/>
              <w:rPr>
                <w:rFonts w:ascii="Arial"/>
                <w:color w:val="auto"/>
                <w:sz w:val="21"/>
                <w:highlight w:val="none"/>
              </w:rPr>
            </w:pPr>
          </w:p>
        </w:tc>
        <w:tc>
          <w:tcPr>
            <w:tcW w:w="1320" w:type="dxa"/>
            <w:vAlign w:val="top"/>
          </w:tcPr>
          <w:p w14:paraId="0C725582">
            <w:pPr>
              <w:outlineLvl w:val="9"/>
              <w:rPr>
                <w:rFonts w:ascii="Arial"/>
                <w:color w:val="auto"/>
                <w:sz w:val="21"/>
                <w:highlight w:val="none"/>
              </w:rPr>
            </w:pPr>
          </w:p>
        </w:tc>
        <w:tc>
          <w:tcPr>
            <w:tcW w:w="1802" w:type="dxa"/>
            <w:vAlign w:val="top"/>
          </w:tcPr>
          <w:p w14:paraId="58631F07">
            <w:pPr>
              <w:outlineLvl w:val="9"/>
              <w:rPr>
                <w:rFonts w:ascii="Arial"/>
                <w:color w:val="auto"/>
                <w:sz w:val="21"/>
                <w:highlight w:val="none"/>
              </w:rPr>
            </w:pPr>
          </w:p>
        </w:tc>
        <w:tc>
          <w:tcPr>
            <w:tcW w:w="753" w:type="dxa"/>
            <w:vAlign w:val="top"/>
          </w:tcPr>
          <w:p w14:paraId="69F23B5B">
            <w:pPr>
              <w:outlineLvl w:val="9"/>
              <w:rPr>
                <w:rFonts w:ascii="Arial"/>
                <w:color w:val="auto"/>
                <w:sz w:val="21"/>
                <w:highlight w:val="none"/>
              </w:rPr>
            </w:pPr>
          </w:p>
        </w:tc>
      </w:tr>
      <w:tr w14:paraId="36181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14:paraId="27BF1967">
            <w:pPr>
              <w:outlineLvl w:val="9"/>
              <w:rPr>
                <w:rFonts w:ascii="Arial"/>
                <w:color w:val="auto"/>
                <w:sz w:val="21"/>
                <w:highlight w:val="none"/>
              </w:rPr>
            </w:pPr>
          </w:p>
        </w:tc>
        <w:tc>
          <w:tcPr>
            <w:tcW w:w="1182" w:type="dxa"/>
            <w:vAlign w:val="top"/>
          </w:tcPr>
          <w:p w14:paraId="11092B2B">
            <w:pPr>
              <w:outlineLvl w:val="9"/>
              <w:rPr>
                <w:rFonts w:ascii="Arial"/>
                <w:color w:val="auto"/>
                <w:sz w:val="21"/>
                <w:highlight w:val="none"/>
              </w:rPr>
            </w:pPr>
          </w:p>
        </w:tc>
        <w:tc>
          <w:tcPr>
            <w:tcW w:w="830" w:type="dxa"/>
            <w:vAlign w:val="top"/>
          </w:tcPr>
          <w:p w14:paraId="414FCDA1">
            <w:pPr>
              <w:outlineLvl w:val="9"/>
              <w:rPr>
                <w:rFonts w:ascii="Arial"/>
                <w:color w:val="auto"/>
                <w:sz w:val="21"/>
                <w:highlight w:val="none"/>
              </w:rPr>
            </w:pPr>
          </w:p>
        </w:tc>
        <w:tc>
          <w:tcPr>
            <w:tcW w:w="1079" w:type="dxa"/>
            <w:vAlign w:val="top"/>
          </w:tcPr>
          <w:p w14:paraId="5C94EEE3">
            <w:pPr>
              <w:outlineLvl w:val="9"/>
              <w:rPr>
                <w:rFonts w:ascii="Arial"/>
                <w:color w:val="auto"/>
                <w:sz w:val="21"/>
                <w:highlight w:val="none"/>
              </w:rPr>
            </w:pPr>
          </w:p>
        </w:tc>
        <w:tc>
          <w:tcPr>
            <w:tcW w:w="732" w:type="dxa"/>
            <w:vAlign w:val="top"/>
          </w:tcPr>
          <w:p w14:paraId="0D5A434C">
            <w:pPr>
              <w:outlineLvl w:val="9"/>
              <w:rPr>
                <w:rFonts w:ascii="Arial"/>
                <w:color w:val="auto"/>
                <w:sz w:val="21"/>
                <w:highlight w:val="none"/>
              </w:rPr>
            </w:pPr>
          </w:p>
        </w:tc>
        <w:tc>
          <w:tcPr>
            <w:tcW w:w="806" w:type="dxa"/>
            <w:vAlign w:val="top"/>
          </w:tcPr>
          <w:p w14:paraId="3858DB4B">
            <w:pPr>
              <w:outlineLvl w:val="9"/>
              <w:rPr>
                <w:rFonts w:ascii="Arial"/>
                <w:color w:val="auto"/>
                <w:sz w:val="21"/>
                <w:highlight w:val="none"/>
              </w:rPr>
            </w:pPr>
          </w:p>
        </w:tc>
        <w:tc>
          <w:tcPr>
            <w:tcW w:w="1320" w:type="dxa"/>
            <w:vAlign w:val="top"/>
          </w:tcPr>
          <w:p w14:paraId="55F6C5AF">
            <w:pPr>
              <w:outlineLvl w:val="9"/>
              <w:rPr>
                <w:rFonts w:ascii="Arial"/>
                <w:color w:val="auto"/>
                <w:sz w:val="21"/>
                <w:highlight w:val="none"/>
              </w:rPr>
            </w:pPr>
          </w:p>
        </w:tc>
        <w:tc>
          <w:tcPr>
            <w:tcW w:w="1802" w:type="dxa"/>
            <w:vAlign w:val="top"/>
          </w:tcPr>
          <w:p w14:paraId="69108F8B">
            <w:pPr>
              <w:outlineLvl w:val="9"/>
              <w:rPr>
                <w:rFonts w:ascii="Arial"/>
                <w:color w:val="auto"/>
                <w:sz w:val="21"/>
                <w:highlight w:val="none"/>
              </w:rPr>
            </w:pPr>
          </w:p>
        </w:tc>
        <w:tc>
          <w:tcPr>
            <w:tcW w:w="753" w:type="dxa"/>
            <w:vAlign w:val="top"/>
          </w:tcPr>
          <w:p w14:paraId="31FA3747">
            <w:pPr>
              <w:outlineLvl w:val="9"/>
              <w:rPr>
                <w:rFonts w:ascii="Arial"/>
                <w:color w:val="auto"/>
                <w:sz w:val="21"/>
                <w:highlight w:val="none"/>
              </w:rPr>
            </w:pPr>
          </w:p>
        </w:tc>
      </w:tr>
      <w:tr w14:paraId="61FEB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18934E1C">
            <w:pPr>
              <w:outlineLvl w:val="9"/>
              <w:rPr>
                <w:rFonts w:ascii="Arial"/>
                <w:color w:val="auto"/>
                <w:sz w:val="21"/>
                <w:highlight w:val="none"/>
              </w:rPr>
            </w:pPr>
          </w:p>
        </w:tc>
        <w:tc>
          <w:tcPr>
            <w:tcW w:w="1182" w:type="dxa"/>
            <w:vAlign w:val="top"/>
          </w:tcPr>
          <w:p w14:paraId="2C390DE5">
            <w:pPr>
              <w:outlineLvl w:val="9"/>
              <w:rPr>
                <w:rFonts w:ascii="Arial"/>
                <w:color w:val="auto"/>
                <w:sz w:val="21"/>
                <w:highlight w:val="none"/>
              </w:rPr>
            </w:pPr>
          </w:p>
        </w:tc>
        <w:tc>
          <w:tcPr>
            <w:tcW w:w="830" w:type="dxa"/>
            <w:vAlign w:val="top"/>
          </w:tcPr>
          <w:p w14:paraId="034F389C">
            <w:pPr>
              <w:outlineLvl w:val="9"/>
              <w:rPr>
                <w:rFonts w:ascii="Arial"/>
                <w:color w:val="auto"/>
                <w:sz w:val="21"/>
                <w:highlight w:val="none"/>
              </w:rPr>
            </w:pPr>
          </w:p>
        </w:tc>
        <w:tc>
          <w:tcPr>
            <w:tcW w:w="1079" w:type="dxa"/>
            <w:vAlign w:val="top"/>
          </w:tcPr>
          <w:p w14:paraId="2FCA21B8">
            <w:pPr>
              <w:outlineLvl w:val="9"/>
              <w:rPr>
                <w:rFonts w:ascii="Arial"/>
                <w:color w:val="auto"/>
                <w:sz w:val="21"/>
                <w:highlight w:val="none"/>
              </w:rPr>
            </w:pPr>
          </w:p>
        </w:tc>
        <w:tc>
          <w:tcPr>
            <w:tcW w:w="732" w:type="dxa"/>
            <w:vAlign w:val="top"/>
          </w:tcPr>
          <w:p w14:paraId="0DCE1731">
            <w:pPr>
              <w:outlineLvl w:val="9"/>
              <w:rPr>
                <w:rFonts w:ascii="Arial"/>
                <w:color w:val="auto"/>
                <w:sz w:val="21"/>
                <w:highlight w:val="none"/>
              </w:rPr>
            </w:pPr>
          </w:p>
        </w:tc>
        <w:tc>
          <w:tcPr>
            <w:tcW w:w="806" w:type="dxa"/>
            <w:vAlign w:val="top"/>
          </w:tcPr>
          <w:p w14:paraId="676734AF">
            <w:pPr>
              <w:outlineLvl w:val="9"/>
              <w:rPr>
                <w:rFonts w:ascii="Arial"/>
                <w:color w:val="auto"/>
                <w:sz w:val="21"/>
                <w:highlight w:val="none"/>
              </w:rPr>
            </w:pPr>
          </w:p>
        </w:tc>
        <w:tc>
          <w:tcPr>
            <w:tcW w:w="1320" w:type="dxa"/>
            <w:vAlign w:val="top"/>
          </w:tcPr>
          <w:p w14:paraId="57C13B60">
            <w:pPr>
              <w:outlineLvl w:val="9"/>
              <w:rPr>
                <w:rFonts w:ascii="Arial"/>
                <w:color w:val="auto"/>
                <w:sz w:val="21"/>
                <w:highlight w:val="none"/>
              </w:rPr>
            </w:pPr>
          </w:p>
        </w:tc>
        <w:tc>
          <w:tcPr>
            <w:tcW w:w="1802" w:type="dxa"/>
            <w:vAlign w:val="top"/>
          </w:tcPr>
          <w:p w14:paraId="18AC05FF">
            <w:pPr>
              <w:outlineLvl w:val="9"/>
              <w:rPr>
                <w:rFonts w:ascii="Arial"/>
                <w:color w:val="auto"/>
                <w:sz w:val="21"/>
                <w:highlight w:val="none"/>
              </w:rPr>
            </w:pPr>
          </w:p>
        </w:tc>
        <w:tc>
          <w:tcPr>
            <w:tcW w:w="753" w:type="dxa"/>
            <w:vAlign w:val="top"/>
          </w:tcPr>
          <w:p w14:paraId="761652BA">
            <w:pPr>
              <w:outlineLvl w:val="9"/>
              <w:rPr>
                <w:rFonts w:ascii="Arial"/>
                <w:color w:val="auto"/>
                <w:sz w:val="21"/>
                <w:highlight w:val="none"/>
              </w:rPr>
            </w:pPr>
          </w:p>
        </w:tc>
      </w:tr>
      <w:tr w14:paraId="2AA26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142B7844">
            <w:pPr>
              <w:outlineLvl w:val="9"/>
              <w:rPr>
                <w:rFonts w:ascii="Arial"/>
                <w:color w:val="auto"/>
                <w:sz w:val="21"/>
                <w:highlight w:val="none"/>
              </w:rPr>
            </w:pPr>
          </w:p>
        </w:tc>
        <w:tc>
          <w:tcPr>
            <w:tcW w:w="1182" w:type="dxa"/>
            <w:vAlign w:val="top"/>
          </w:tcPr>
          <w:p w14:paraId="6E046942">
            <w:pPr>
              <w:outlineLvl w:val="9"/>
              <w:rPr>
                <w:rFonts w:ascii="Arial"/>
                <w:color w:val="auto"/>
                <w:sz w:val="21"/>
                <w:highlight w:val="none"/>
              </w:rPr>
            </w:pPr>
          </w:p>
        </w:tc>
        <w:tc>
          <w:tcPr>
            <w:tcW w:w="830" w:type="dxa"/>
            <w:vAlign w:val="top"/>
          </w:tcPr>
          <w:p w14:paraId="11FB2810">
            <w:pPr>
              <w:outlineLvl w:val="9"/>
              <w:rPr>
                <w:rFonts w:ascii="Arial"/>
                <w:color w:val="auto"/>
                <w:sz w:val="21"/>
                <w:highlight w:val="none"/>
              </w:rPr>
            </w:pPr>
          </w:p>
        </w:tc>
        <w:tc>
          <w:tcPr>
            <w:tcW w:w="1079" w:type="dxa"/>
            <w:vAlign w:val="top"/>
          </w:tcPr>
          <w:p w14:paraId="223E0102">
            <w:pPr>
              <w:outlineLvl w:val="9"/>
              <w:rPr>
                <w:rFonts w:ascii="Arial"/>
                <w:color w:val="auto"/>
                <w:sz w:val="21"/>
                <w:highlight w:val="none"/>
              </w:rPr>
            </w:pPr>
          </w:p>
        </w:tc>
        <w:tc>
          <w:tcPr>
            <w:tcW w:w="732" w:type="dxa"/>
            <w:vAlign w:val="top"/>
          </w:tcPr>
          <w:p w14:paraId="473FACAF">
            <w:pPr>
              <w:outlineLvl w:val="9"/>
              <w:rPr>
                <w:rFonts w:ascii="Arial"/>
                <w:color w:val="auto"/>
                <w:sz w:val="21"/>
                <w:highlight w:val="none"/>
              </w:rPr>
            </w:pPr>
          </w:p>
        </w:tc>
        <w:tc>
          <w:tcPr>
            <w:tcW w:w="806" w:type="dxa"/>
            <w:vAlign w:val="top"/>
          </w:tcPr>
          <w:p w14:paraId="218B7B9F">
            <w:pPr>
              <w:outlineLvl w:val="9"/>
              <w:rPr>
                <w:rFonts w:ascii="Arial"/>
                <w:color w:val="auto"/>
                <w:sz w:val="21"/>
                <w:highlight w:val="none"/>
              </w:rPr>
            </w:pPr>
          </w:p>
        </w:tc>
        <w:tc>
          <w:tcPr>
            <w:tcW w:w="1320" w:type="dxa"/>
            <w:vAlign w:val="top"/>
          </w:tcPr>
          <w:p w14:paraId="048C0D1E">
            <w:pPr>
              <w:outlineLvl w:val="9"/>
              <w:rPr>
                <w:rFonts w:ascii="Arial"/>
                <w:color w:val="auto"/>
                <w:sz w:val="21"/>
                <w:highlight w:val="none"/>
              </w:rPr>
            </w:pPr>
          </w:p>
        </w:tc>
        <w:tc>
          <w:tcPr>
            <w:tcW w:w="1802" w:type="dxa"/>
            <w:vAlign w:val="top"/>
          </w:tcPr>
          <w:p w14:paraId="50F076F8">
            <w:pPr>
              <w:outlineLvl w:val="9"/>
              <w:rPr>
                <w:rFonts w:ascii="Arial"/>
                <w:color w:val="auto"/>
                <w:sz w:val="21"/>
                <w:highlight w:val="none"/>
              </w:rPr>
            </w:pPr>
          </w:p>
        </w:tc>
        <w:tc>
          <w:tcPr>
            <w:tcW w:w="753" w:type="dxa"/>
            <w:vAlign w:val="top"/>
          </w:tcPr>
          <w:p w14:paraId="09DDC0F2">
            <w:pPr>
              <w:outlineLvl w:val="9"/>
              <w:rPr>
                <w:rFonts w:ascii="Arial"/>
                <w:color w:val="auto"/>
                <w:sz w:val="21"/>
                <w:highlight w:val="none"/>
              </w:rPr>
            </w:pPr>
          </w:p>
        </w:tc>
      </w:tr>
      <w:tr w14:paraId="78BE9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32F29D93">
            <w:pPr>
              <w:outlineLvl w:val="9"/>
              <w:rPr>
                <w:rFonts w:ascii="Arial"/>
                <w:color w:val="auto"/>
                <w:sz w:val="21"/>
                <w:highlight w:val="none"/>
              </w:rPr>
            </w:pPr>
          </w:p>
        </w:tc>
        <w:tc>
          <w:tcPr>
            <w:tcW w:w="1182" w:type="dxa"/>
            <w:vAlign w:val="top"/>
          </w:tcPr>
          <w:p w14:paraId="18F090E8">
            <w:pPr>
              <w:outlineLvl w:val="9"/>
              <w:rPr>
                <w:rFonts w:ascii="Arial"/>
                <w:color w:val="auto"/>
                <w:sz w:val="21"/>
                <w:highlight w:val="none"/>
              </w:rPr>
            </w:pPr>
          </w:p>
        </w:tc>
        <w:tc>
          <w:tcPr>
            <w:tcW w:w="830" w:type="dxa"/>
            <w:vAlign w:val="top"/>
          </w:tcPr>
          <w:p w14:paraId="3A9F2B99">
            <w:pPr>
              <w:outlineLvl w:val="9"/>
              <w:rPr>
                <w:rFonts w:ascii="Arial"/>
                <w:color w:val="auto"/>
                <w:sz w:val="21"/>
                <w:highlight w:val="none"/>
              </w:rPr>
            </w:pPr>
          </w:p>
        </w:tc>
        <w:tc>
          <w:tcPr>
            <w:tcW w:w="1079" w:type="dxa"/>
            <w:vAlign w:val="top"/>
          </w:tcPr>
          <w:p w14:paraId="1E9392FC">
            <w:pPr>
              <w:outlineLvl w:val="9"/>
              <w:rPr>
                <w:rFonts w:ascii="Arial"/>
                <w:color w:val="auto"/>
                <w:sz w:val="21"/>
                <w:highlight w:val="none"/>
              </w:rPr>
            </w:pPr>
          </w:p>
        </w:tc>
        <w:tc>
          <w:tcPr>
            <w:tcW w:w="732" w:type="dxa"/>
            <w:vAlign w:val="top"/>
          </w:tcPr>
          <w:p w14:paraId="2847D58F">
            <w:pPr>
              <w:outlineLvl w:val="9"/>
              <w:rPr>
                <w:rFonts w:ascii="Arial"/>
                <w:color w:val="auto"/>
                <w:sz w:val="21"/>
                <w:highlight w:val="none"/>
              </w:rPr>
            </w:pPr>
          </w:p>
        </w:tc>
        <w:tc>
          <w:tcPr>
            <w:tcW w:w="806" w:type="dxa"/>
            <w:vAlign w:val="top"/>
          </w:tcPr>
          <w:p w14:paraId="6FE490AD">
            <w:pPr>
              <w:outlineLvl w:val="9"/>
              <w:rPr>
                <w:rFonts w:ascii="Arial"/>
                <w:color w:val="auto"/>
                <w:sz w:val="21"/>
                <w:highlight w:val="none"/>
              </w:rPr>
            </w:pPr>
          </w:p>
        </w:tc>
        <w:tc>
          <w:tcPr>
            <w:tcW w:w="1320" w:type="dxa"/>
            <w:vAlign w:val="top"/>
          </w:tcPr>
          <w:p w14:paraId="3E8A8102">
            <w:pPr>
              <w:outlineLvl w:val="9"/>
              <w:rPr>
                <w:rFonts w:ascii="Arial"/>
                <w:color w:val="auto"/>
                <w:sz w:val="21"/>
                <w:highlight w:val="none"/>
              </w:rPr>
            </w:pPr>
          </w:p>
        </w:tc>
        <w:tc>
          <w:tcPr>
            <w:tcW w:w="1802" w:type="dxa"/>
            <w:vAlign w:val="top"/>
          </w:tcPr>
          <w:p w14:paraId="2ACADF56">
            <w:pPr>
              <w:outlineLvl w:val="9"/>
              <w:rPr>
                <w:rFonts w:ascii="Arial"/>
                <w:color w:val="auto"/>
                <w:sz w:val="21"/>
                <w:highlight w:val="none"/>
              </w:rPr>
            </w:pPr>
          </w:p>
        </w:tc>
        <w:tc>
          <w:tcPr>
            <w:tcW w:w="753" w:type="dxa"/>
            <w:vAlign w:val="top"/>
          </w:tcPr>
          <w:p w14:paraId="7CCCA498">
            <w:pPr>
              <w:outlineLvl w:val="9"/>
              <w:rPr>
                <w:rFonts w:ascii="Arial"/>
                <w:color w:val="auto"/>
                <w:sz w:val="21"/>
                <w:highlight w:val="none"/>
              </w:rPr>
            </w:pPr>
          </w:p>
        </w:tc>
      </w:tr>
      <w:tr w14:paraId="53A40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79D7B763">
            <w:pPr>
              <w:outlineLvl w:val="9"/>
              <w:rPr>
                <w:rFonts w:ascii="Arial"/>
                <w:color w:val="auto"/>
                <w:sz w:val="21"/>
                <w:highlight w:val="none"/>
              </w:rPr>
            </w:pPr>
          </w:p>
        </w:tc>
        <w:tc>
          <w:tcPr>
            <w:tcW w:w="1182" w:type="dxa"/>
            <w:vAlign w:val="top"/>
          </w:tcPr>
          <w:p w14:paraId="792D94DB">
            <w:pPr>
              <w:outlineLvl w:val="9"/>
              <w:rPr>
                <w:rFonts w:ascii="Arial"/>
                <w:color w:val="auto"/>
                <w:sz w:val="21"/>
                <w:highlight w:val="none"/>
              </w:rPr>
            </w:pPr>
          </w:p>
        </w:tc>
        <w:tc>
          <w:tcPr>
            <w:tcW w:w="830" w:type="dxa"/>
            <w:vAlign w:val="top"/>
          </w:tcPr>
          <w:p w14:paraId="0B024186">
            <w:pPr>
              <w:outlineLvl w:val="9"/>
              <w:rPr>
                <w:rFonts w:ascii="Arial"/>
                <w:color w:val="auto"/>
                <w:sz w:val="21"/>
                <w:highlight w:val="none"/>
              </w:rPr>
            </w:pPr>
          </w:p>
        </w:tc>
        <w:tc>
          <w:tcPr>
            <w:tcW w:w="1079" w:type="dxa"/>
            <w:vAlign w:val="top"/>
          </w:tcPr>
          <w:p w14:paraId="5A39789D">
            <w:pPr>
              <w:outlineLvl w:val="9"/>
              <w:rPr>
                <w:rFonts w:ascii="Arial"/>
                <w:color w:val="auto"/>
                <w:sz w:val="21"/>
                <w:highlight w:val="none"/>
              </w:rPr>
            </w:pPr>
          </w:p>
        </w:tc>
        <w:tc>
          <w:tcPr>
            <w:tcW w:w="732" w:type="dxa"/>
            <w:vAlign w:val="top"/>
          </w:tcPr>
          <w:p w14:paraId="37D4822A">
            <w:pPr>
              <w:outlineLvl w:val="9"/>
              <w:rPr>
                <w:rFonts w:ascii="Arial"/>
                <w:color w:val="auto"/>
                <w:sz w:val="21"/>
                <w:highlight w:val="none"/>
              </w:rPr>
            </w:pPr>
          </w:p>
        </w:tc>
        <w:tc>
          <w:tcPr>
            <w:tcW w:w="806" w:type="dxa"/>
            <w:vAlign w:val="top"/>
          </w:tcPr>
          <w:p w14:paraId="100944D4">
            <w:pPr>
              <w:outlineLvl w:val="9"/>
              <w:rPr>
                <w:rFonts w:ascii="Arial"/>
                <w:color w:val="auto"/>
                <w:sz w:val="21"/>
                <w:highlight w:val="none"/>
              </w:rPr>
            </w:pPr>
          </w:p>
        </w:tc>
        <w:tc>
          <w:tcPr>
            <w:tcW w:w="1320" w:type="dxa"/>
            <w:vAlign w:val="top"/>
          </w:tcPr>
          <w:p w14:paraId="171EDA69">
            <w:pPr>
              <w:outlineLvl w:val="9"/>
              <w:rPr>
                <w:rFonts w:ascii="Arial"/>
                <w:color w:val="auto"/>
                <w:sz w:val="21"/>
                <w:highlight w:val="none"/>
              </w:rPr>
            </w:pPr>
          </w:p>
        </w:tc>
        <w:tc>
          <w:tcPr>
            <w:tcW w:w="1802" w:type="dxa"/>
            <w:vAlign w:val="top"/>
          </w:tcPr>
          <w:p w14:paraId="10EF84E4">
            <w:pPr>
              <w:outlineLvl w:val="9"/>
              <w:rPr>
                <w:rFonts w:ascii="Arial"/>
                <w:color w:val="auto"/>
                <w:sz w:val="21"/>
                <w:highlight w:val="none"/>
              </w:rPr>
            </w:pPr>
          </w:p>
        </w:tc>
        <w:tc>
          <w:tcPr>
            <w:tcW w:w="753" w:type="dxa"/>
            <w:vAlign w:val="top"/>
          </w:tcPr>
          <w:p w14:paraId="593C85F3">
            <w:pPr>
              <w:outlineLvl w:val="9"/>
              <w:rPr>
                <w:rFonts w:ascii="Arial"/>
                <w:color w:val="auto"/>
                <w:sz w:val="21"/>
                <w:highlight w:val="none"/>
              </w:rPr>
            </w:pPr>
          </w:p>
        </w:tc>
      </w:tr>
      <w:tr w14:paraId="3B19F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7220A3A8">
            <w:pPr>
              <w:outlineLvl w:val="9"/>
              <w:rPr>
                <w:rFonts w:ascii="Arial"/>
                <w:color w:val="auto"/>
                <w:sz w:val="21"/>
                <w:highlight w:val="none"/>
              </w:rPr>
            </w:pPr>
          </w:p>
        </w:tc>
        <w:tc>
          <w:tcPr>
            <w:tcW w:w="1182" w:type="dxa"/>
            <w:vAlign w:val="top"/>
          </w:tcPr>
          <w:p w14:paraId="6AB19D94">
            <w:pPr>
              <w:outlineLvl w:val="9"/>
              <w:rPr>
                <w:rFonts w:ascii="Arial"/>
                <w:color w:val="auto"/>
                <w:sz w:val="21"/>
                <w:highlight w:val="none"/>
              </w:rPr>
            </w:pPr>
          </w:p>
        </w:tc>
        <w:tc>
          <w:tcPr>
            <w:tcW w:w="830" w:type="dxa"/>
            <w:vAlign w:val="top"/>
          </w:tcPr>
          <w:p w14:paraId="6FC1CDD1">
            <w:pPr>
              <w:outlineLvl w:val="9"/>
              <w:rPr>
                <w:rFonts w:ascii="Arial"/>
                <w:color w:val="auto"/>
                <w:sz w:val="21"/>
                <w:highlight w:val="none"/>
              </w:rPr>
            </w:pPr>
          </w:p>
        </w:tc>
        <w:tc>
          <w:tcPr>
            <w:tcW w:w="1079" w:type="dxa"/>
            <w:vAlign w:val="top"/>
          </w:tcPr>
          <w:p w14:paraId="34FAAE47">
            <w:pPr>
              <w:outlineLvl w:val="9"/>
              <w:rPr>
                <w:rFonts w:ascii="Arial"/>
                <w:color w:val="auto"/>
                <w:sz w:val="21"/>
                <w:highlight w:val="none"/>
              </w:rPr>
            </w:pPr>
          </w:p>
        </w:tc>
        <w:tc>
          <w:tcPr>
            <w:tcW w:w="732" w:type="dxa"/>
            <w:vAlign w:val="top"/>
          </w:tcPr>
          <w:p w14:paraId="3FDACE74">
            <w:pPr>
              <w:outlineLvl w:val="9"/>
              <w:rPr>
                <w:rFonts w:ascii="Arial"/>
                <w:color w:val="auto"/>
                <w:sz w:val="21"/>
                <w:highlight w:val="none"/>
              </w:rPr>
            </w:pPr>
          </w:p>
        </w:tc>
        <w:tc>
          <w:tcPr>
            <w:tcW w:w="806" w:type="dxa"/>
            <w:vAlign w:val="top"/>
          </w:tcPr>
          <w:p w14:paraId="2FFE8168">
            <w:pPr>
              <w:outlineLvl w:val="9"/>
              <w:rPr>
                <w:rFonts w:ascii="Arial"/>
                <w:color w:val="auto"/>
                <w:sz w:val="21"/>
                <w:highlight w:val="none"/>
              </w:rPr>
            </w:pPr>
          </w:p>
        </w:tc>
        <w:tc>
          <w:tcPr>
            <w:tcW w:w="1320" w:type="dxa"/>
            <w:vAlign w:val="top"/>
          </w:tcPr>
          <w:p w14:paraId="24715DEE">
            <w:pPr>
              <w:outlineLvl w:val="9"/>
              <w:rPr>
                <w:rFonts w:ascii="Arial"/>
                <w:color w:val="auto"/>
                <w:sz w:val="21"/>
                <w:highlight w:val="none"/>
              </w:rPr>
            </w:pPr>
          </w:p>
        </w:tc>
        <w:tc>
          <w:tcPr>
            <w:tcW w:w="1802" w:type="dxa"/>
            <w:vAlign w:val="top"/>
          </w:tcPr>
          <w:p w14:paraId="3EF433E2">
            <w:pPr>
              <w:outlineLvl w:val="9"/>
              <w:rPr>
                <w:rFonts w:ascii="Arial"/>
                <w:color w:val="auto"/>
                <w:sz w:val="21"/>
                <w:highlight w:val="none"/>
              </w:rPr>
            </w:pPr>
          </w:p>
        </w:tc>
        <w:tc>
          <w:tcPr>
            <w:tcW w:w="753" w:type="dxa"/>
            <w:vAlign w:val="top"/>
          </w:tcPr>
          <w:p w14:paraId="5A2161B4">
            <w:pPr>
              <w:outlineLvl w:val="9"/>
              <w:rPr>
                <w:rFonts w:ascii="Arial"/>
                <w:color w:val="auto"/>
                <w:sz w:val="21"/>
                <w:highlight w:val="none"/>
              </w:rPr>
            </w:pPr>
          </w:p>
        </w:tc>
      </w:tr>
      <w:tr w14:paraId="02A95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11ADA3C5">
            <w:pPr>
              <w:outlineLvl w:val="9"/>
              <w:rPr>
                <w:rFonts w:ascii="Arial"/>
                <w:color w:val="auto"/>
                <w:sz w:val="21"/>
                <w:highlight w:val="none"/>
              </w:rPr>
            </w:pPr>
          </w:p>
        </w:tc>
        <w:tc>
          <w:tcPr>
            <w:tcW w:w="1182" w:type="dxa"/>
            <w:vAlign w:val="top"/>
          </w:tcPr>
          <w:p w14:paraId="4EEC9A9A">
            <w:pPr>
              <w:outlineLvl w:val="9"/>
              <w:rPr>
                <w:rFonts w:ascii="Arial"/>
                <w:color w:val="auto"/>
                <w:sz w:val="21"/>
                <w:highlight w:val="none"/>
              </w:rPr>
            </w:pPr>
          </w:p>
        </w:tc>
        <w:tc>
          <w:tcPr>
            <w:tcW w:w="830" w:type="dxa"/>
            <w:vAlign w:val="top"/>
          </w:tcPr>
          <w:p w14:paraId="28E0640D">
            <w:pPr>
              <w:outlineLvl w:val="9"/>
              <w:rPr>
                <w:rFonts w:ascii="Arial"/>
                <w:color w:val="auto"/>
                <w:sz w:val="21"/>
                <w:highlight w:val="none"/>
              </w:rPr>
            </w:pPr>
          </w:p>
        </w:tc>
        <w:tc>
          <w:tcPr>
            <w:tcW w:w="1079" w:type="dxa"/>
            <w:vAlign w:val="top"/>
          </w:tcPr>
          <w:p w14:paraId="0BB54852">
            <w:pPr>
              <w:outlineLvl w:val="9"/>
              <w:rPr>
                <w:rFonts w:ascii="Arial"/>
                <w:color w:val="auto"/>
                <w:sz w:val="21"/>
                <w:highlight w:val="none"/>
              </w:rPr>
            </w:pPr>
          </w:p>
        </w:tc>
        <w:tc>
          <w:tcPr>
            <w:tcW w:w="732" w:type="dxa"/>
            <w:vAlign w:val="top"/>
          </w:tcPr>
          <w:p w14:paraId="1BF842CE">
            <w:pPr>
              <w:outlineLvl w:val="9"/>
              <w:rPr>
                <w:rFonts w:ascii="Arial"/>
                <w:color w:val="auto"/>
                <w:sz w:val="21"/>
                <w:highlight w:val="none"/>
              </w:rPr>
            </w:pPr>
          </w:p>
        </w:tc>
        <w:tc>
          <w:tcPr>
            <w:tcW w:w="806" w:type="dxa"/>
            <w:vAlign w:val="top"/>
          </w:tcPr>
          <w:p w14:paraId="0FED2434">
            <w:pPr>
              <w:outlineLvl w:val="9"/>
              <w:rPr>
                <w:rFonts w:ascii="Arial"/>
                <w:color w:val="auto"/>
                <w:sz w:val="21"/>
                <w:highlight w:val="none"/>
              </w:rPr>
            </w:pPr>
          </w:p>
        </w:tc>
        <w:tc>
          <w:tcPr>
            <w:tcW w:w="1320" w:type="dxa"/>
            <w:vAlign w:val="top"/>
          </w:tcPr>
          <w:p w14:paraId="2B59FA08">
            <w:pPr>
              <w:outlineLvl w:val="9"/>
              <w:rPr>
                <w:rFonts w:ascii="Arial"/>
                <w:color w:val="auto"/>
                <w:sz w:val="21"/>
                <w:highlight w:val="none"/>
              </w:rPr>
            </w:pPr>
          </w:p>
        </w:tc>
        <w:tc>
          <w:tcPr>
            <w:tcW w:w="1802" w:type="dxa"/>
            <w:vAlign w:val="top"/>
          </w:tcPr>
          <w:p w14:paraId="3F03733A">
            <w:pPr>
              <w:outlineLvl w:val="9"/>
              <w:rPr>
                <w:rFonts w:ascii="Arial"/>
                <w:color w:val="auto"/>
                <w:sz w:val="21"/>
                <w:highlight w:val="none"/>
              </w:rPr>
            </w:pPr>
          </w:p>
        </w:tc>
        <w:tc>
          <w:tcPr>
            <w:tcW w:w="753" w:type="dxa"/>
            <w:vAlign w:val="top"/>
          </w:tcPr>
          <w:p w14:paraId="3F70ACA4">
            <w:pPr>
              <w:outlineLvl w:val="9"/>
              <w:rPr>
                <w:rFonts w:ascii="Arial"/>
                <w:color w:val="auto"/>
                <w:sz w:val="21"/>
                <w:highlight w:val="none"/>
              </w:rPr>
            </w:pPr>
          </w:p>
        </w:tc>
      </w:tr>
      <w:tr w14:paraId="13D17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615D1F16">
            <w:pPr>
              <w:outlineLvl w:val="9"/>
              <w:rPr>
                <w:rFonts w:ascii="Arial"/>
                <w:color w:val="auto"/>
                <w:sz w:val="21"/>
                <w:highlight w:val="none"/>
              </w:rPr>
            </w:pPr>
          </w:p>
        </w:tc>
        <w:tc>
          <w:tcPr>
            <w:tcW w:w="1182" w:type="dxa"/>
            <w:vAlign w:val="top"/>
          </w:tcPr>
          <w:p w14:paraId="466C903C">
            <w:pPr>
              <w:outlineLvl w:val="9"/>
              <w:rPr>
                <w:rFonts w:ascii="Arial"/>
                <w:color w:val="auto"/>
                <w:sz w:val="21"/>
                <w:highlight w:val="none"/>
              </w:rPr>
            </w:pPr>
          </w:p>
        </w:tc>
        <w:tc>
          <w:tcPr>
            <w:tcW w:w="830" w:type="dxa"/>
            <w:vAlign w:val="top"/>
          </w:tcPr>
          <w:p w14:paraId="7D6169BB">
            <w:pPr>
              <w:outlineLvl w:val="9"/>
              <w:rPr>
                <w:rFonts w:ascii="Arial"/>
                <w:color w:val="auto"/>
                <w:sz w:val="21"/>
                <w:highlight w:val="none"/>
              </w:rPr>
            </w:pPr>
          </w:p>
        </w:tc>
        <w:tc>
          <w:tcPr>
            <w:tcW w:w="1079" w:type="dxa"/>
            <w:vAlign w:val="top"/>
          </w:tcPr>
          <w:p w14:paraId="5E8433A2">
            <w:pPr>
              <w:outlineLvl w:val="9"/>
              <w:rPr>
                <w:rFonts w:ascii="Arial"/>
                <w:color w:val="auto"/>
                <w:sz w:val="21"/>
                <w:highlight w:val="none"/>
              </w:rPr>
            </w:pPr>
          </w:p>
        </w:tc>
        <w:tc>
          <w:tcPr>
            <w:tcW w:w="732" w:type="dxa"/>
            <w:vAlign w:val="top"/>
          </w:tcPr>
          <w:p w14:paraId="698C0CB6">
            <w:pPr>
              <w:outlineLvl w:val="9"/>
              <w:rPr>
                <w:rFonts w:ascii="Arial"/>
                <w:color w:val="auto"/>
                <w:sz w:val="21"/>
                <w:highlight w:val="none"/>
              </w:rPr>
            </w:pPr>
          </w:p>
        </w:tc>
        <w:tc>
          <w:tcPr>
            <w:tcW w:w="806" w:type="dxa"/>
            <w:vAlign w:val="top"/>
          </w:tcPr>
          <w:p w14:paraId="225C1D4D">
            <w:pPr>
              <w:outlineLvl w:val="9"/>
              <w:rPr>
                <w:rFonts w:ascii="Arial"/>
                <w:color w:val="auto"/>
                <w:sz w:val="21"/>
                <w:highlight w:val="none"/>
              </w:rPr>
            </w:pPr>
          </w:p>
        </w:tc>
        <w:tc>
          <w:tcPr>
            <w:tcW w:w="1320" w:type="dxa"/>
            <w:vAlign w:val="top"/>
          </w:tcPr>
          <w:p w14:paraId="6379F8F7">
            <w:pPr>
              <w:outlineLvl w:val="9"/>
              <w:rPr>
                <w:rFonts w:ascii="Arial"/>
                <w:color w:val="auto"/>
                <w:sz w:val="21"/>
                <w:highlight w:val="none"/>
              </w:rPr>
            </w:pPr>
          </w:p>
        </w:tc>
        <w:tc>
          <w:tcPr>
            <w:tcW w:w="1802" w:type="dxa"/>
            <w:vAlign w:val="top"/>
          </w:tcPr>
          <w:p w14:paraId="1766A209">
            <w:pPr>
              <w:outlineLvl w:val="9"/>
              <w:rPr>
                <w:rFonts w:ascii="Arial"/>
                <w:color w:val="auto"/>
                <w:sz w:val="21"/>
                <w:highlight w:val="none"/>
              </w:rPr>
            </w:pPr>
          </w:p>
        </w:tc>
        <w:tc>
          <w:tcPr>
            <w:tcW w:w="753" w:type="dxa"/>
            <w:vAlign w:val="top"/>
          </w:tcPr>
          <w:p w14:paraId="57028E49">
            <w:pPr>
              <w:outlineLvl w:val="9"/>
              <w:rPr>
                <w:rFonts w:ascii="Arial"/>
                <w:color w:val="auto"/>
                <w:sz w:val="21"/>
                <w:highlight w:val="none"/>
              </w:rPr>
            </w:pPr>
          </w:p>
        </w:tc>
      </w:tr>
      <w:tr w14:paraId="6F159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64DAE56E">
            <w:pPr>
              <w:outlineLvl w:val="9"/>
              <w:rPr>
                <w:rFonts w:ascii="Arial"/>
                <w:color w:val="auto"/>
                <w:sz w:val="21"/>
                <w:highlight w:val="none"/>
              </w:rPr>
            </w:pPr>
          </w:p>
        </w:tc>
        <w:tc>
          <w:tcPr>
            <w:tcW w:w="1182" w:type="dxa"/>
            <w:vAlign w:val="top"/>
          </w:tcPr>
          <w:p w14:paraId="05C1CD39">
            <w:pPr>
              <w:outlineLvl w:val="9"/>
              <w:rPr>
                <w:rFonts w:ascii="Arial"/>
                <w:color w:val="auto"/>
                <w:sz w:val="21"/>
                <w:highlight w:val="none"/>
              </w:rPr>
            </w:pPr>
          </w:p>
        </w:tc>
        <w:tc>
          <w:tcPr>
            <w:tcW w:w="830" w:type="dxa"/>
            <w:vAlign w:val="top"/>
          </w:tcPr>
          <w:p w14:paraId="26D0FDC9">
            <w:pPr>
              <w:outlineLvl w:val="9"/>
              <w:rPr>
                <w:rFonts w:ascii="Arial"/>
                <w:color w:val="auto"/>
                <w:sz w:val="21"/>
                <w:highlight w:val="none"/>
              </w:rPr>
            </w:pPr>
          </w:p>
        </w:tc>
        <w:tc>
          <w:tcPr>
            <w:tcW w:w="1079" w:type="dxa"/>
            <w:vAlign w:val="top"/>
          </w:tcPr>
          <w:p w14:paraId="3DF9337D">
            <w:pPr>
              <w:outlineLvl w:val="9"/>
              <w:rPr>
                <w:rFonts w:ascii="Arial"/>
                <w:color w:val="auto"/>
                <w:sz w:val="21"/>
                <w:highlight w:val="none"/>
              </w:rPr>
            </w:pPr>
          </w:p>
        </w:tc>
        <w:tc>
          <w:tcPr>
            <w:tcW w:w="732" w:type="dxa"/>
            <w:vAlign w:val="top"/>
          </w:tcPr>
          <w:p w14:paraId="5F626794">
            <w:pPr>
              <w:outlineLvl w:val="9"/>
              <w:rPr>
                <w:rFonts w:ascii="Arial"/>
                <w:color w:val="auto"/>
                <w:sz w:val="21"/>
                <w:highlight w:val="none"/>
              </w:rPr>
            </w:pPr>
          </w:p>
        </w:tc>
        <w:tc>
          <w:tcPr>
            <w:tcW w:w="806" w:type="dxa"/>
            <w:vAlign w:val="top"/>
          </w:tcPr>
          <w:p w14:paraId="4DACA8FA">
            <w:pPr>
              <w:outlineLvl w:val="9"/>
              <w:rPr>
                <w:rFonts w:ascii="Arial"/>
                <w:color w:val="auto"/>
                <w:sz w:val="21"/>
                <w:highlight w:val="none"/>
              </w:rPr>
            </w:pPr>
          </w:p>
        </w:tc>
        <w:tc>
          <w:tcPr>
            <w:tcW w:w="1320" w:type="dxa"/>
            <w:vAlign w:val="top"/>
          </w:tcPr>
          <w:p w14:paraId="335B9EC8">
            <w:pPr>
              <w:outlineLvl w:val="9"/>
              <w:rPr>
                <w:rFonts w:ascii="Arial"/>
                <w:color w:val="auto"/>
                <w:sz w:val="21"/>
                <w:highlight w:val="none"/>
              </w:rPr>
            </w:pPr>
          </w:p>
        </w:tc>
        <w:tc>
          <w:tcPr>
            <w:tcW w:w="1802" w:type="dxa"/>
            <w:vAlign w:val="top"/>
          </w:tcPr>
          <w:p w14:paraId="14CE9613">
            <w:pPr>
              <w:outlineLvl w:val="9"/>
              <w:rPr>
                <w:rFonts w:ascii="Arial"/>
                <w:color w:val="auto"/>
                <w:sz w:val="21"/>
                <w:highlight w:val="none"/>
              </w:rPr>
            </w:pPr>
          </w:p>
        </w:tc>
        <w:tc>
          <w:tcPr>
            <w:tcW w:w="753" w:type="dxa"/>
            <w:vAlign w:val="top"/>
          </w:tcPr>
          <w:p w14:paraId="6E49B386">
            <w:pPr>
              <w:outlineLvl w:val="9"/>
              <w:rPr>
                <w:rFonts w:ascii="Arial"/>
                <w:color w:val="auto"/>
                <w:sz w:val="21"/>
                <w:highlight w:val="none"/>
              </w:rPr>
            </w:pPr>
          </w:p>
        </w:tc>
      </w:tr>
      <w:tr w14:paraId="2E1E5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5FA6877E">
            <w:pPr>
              <w:outlineLvl w:val="9"/>
              <w:rPr>
                <w:rFonts w:ascii="Arial"/>
                <w:color w:val="auto"/>
                <w:sz w:val="21"/>
                <w:highlight w:val="none"/>
              </w:rPr>
            </w:pPr>
          </w:p>
        </w:tc>
        <w:tc>
          <w:tcPr>
            <w:tcW w:w="1182" w:type="dxa"/>
            <w:vAlign w:val="top"/>
          </w:tcPr>
          <w:p w14:paraId="63302A5C">
            <w:pPr>
              <w:outlineLvl w:val="9"/>
              <w:rPr>
                <w:rFonts w:ascii="Arial"/>
                <w:color w:val="auto"/>
                <w:sz w:val="21"/>
                <w:highlight w:val="none"/>
              </w:rPr>
            </w:pPr>
          </w:p>
        </w:tc>
        <w:tc>
          <w:tcPr>
            <w:tcW w:w="830" w:type="dxa"/>
            <w:vAlign w:val="top"/>
          </w:tcPr>
          <w:p w14:paraId="45508193">
            <w:pPr>
              <w:outlineLvl w:val="9"/>
              <w:rPr>
                <w:rFonts w:ascii="Arial"/>
                <w:color w:val="auto"/>
                <w:sz w:val="21"/>
                <w:highlight w:val="none"/>
              </w:rPr>
            </w:pPr>
          </w:p>
        </w:tc>
        <w:tc>
          <w:tcPr>
            <w:tcW w:w="1079" w:type="dxa"/>
            <w:vAlign w:val="top"/>
          </w:tcPr>
          <w:p w14:paraId="4CF44C45">
            <w:pPr>
              <w:outlineLvl w:val="9"/>
              <w:rPr>
                <w:rFonts w:ascii="Arial"/>
                <w:color w:val="auto"/>
                <w:sz w:val="21"/>
                <w:highlight w:val="none"/>
              </w:rPr>
            </w:pPr>
          </w:p>
        </w:tc>
        <w:tc>
          <w:tcPr>
            <w:tcW w:w="732" w:type="dxa"/>
            <w:vAlign w:val="top"/>
          </w:tcPr>
          <w:p w14:paraId="219A2DB9">
            <w:pPr>
              <w:outlineLvl w:val="9"/>
              <w:rPr>
                <w:rFonts w:ascii="Arial"/>
                <w:color w:val="auto"/>
                <w:sz w:val="21"/>
                <w:highlight w:val="none"/>
              </w:rPr>
            </w:pPr>
          </w:p>
        </w:tc>
        <w:tc>
          <w:tcPr>
            <w:tcW w:w="806" w:type="dxa"/>
            <w:vAlign w:val="top"/>
          </w:tcPr>
          <w:p w14:paraId="053F7C31">
            <w:pPr>
              <w:outlineLvl w:val="9"/>
              <w:rPr>
                <w:rFonts w:ascii="Arial"/>
                <w:color w:val="auto"/>
                <w:sz w:val="21"/>
                <w:highlight w:val="none"/>
              </w:rPr>
            </w:pPr>
          </w:p>
        </w:tc>
        <w:tc>
          <w:tcPr>
            <w:tcW w:w="1320" w:type="dxa"/>
            <w:vAlign w:val="top"/>
          </w:tcPr>
          <w:p w14:paraId="1EE4C41E">
            <w:pPr>
              <w:outlineLvl w:val="9"/>
              <w:rPr>
                <w:rFonts w:ascii="Arial"/>
                <w:color w:val="auto"/>
                <w:sz w:val="21"/>
                <w:highlight w:val="none"/>
              </w:rPr>
            </w:pPr>
          </w:p>
        </w:tc>
        <w:tc>
          <w:tcPr>
            <w:tcW w:w="1802" w:type="dxa"/>
            <w:vAlign w:val="top"/>
          </w:tcPr>
          <w:p w14:paraId="7ADC0C77">
            <w:pPr>
              <w:outlineLvl w:val="9"/>
              <w:rPr>
                <w:rFonts w:ascii="Arial"/>
                <w:color w:val="auto"/>
                <w:sz w:val="21"/>
                <w:highlight w:val="none"/>
              </w:rPr>
            </w:pPr>
          </w:p>
        </w:tc>
        <w:tc>
          <w:tcPr>
            <w:tcW w:w="753" w:type="dxa"/>
            <w:vAlign w:val="top"/>
          </w:tcPr>
          <w:p w14:paraId="7AC415EF">
            <w:pPr>
              <w:outlineLvl w:val="9"/>
              <w:rPr>
                <w:rFonts w:ascii="Arial"/>
                <w:color w:val="auto"/>
                <w:sz w:val="21"/>
                <w:highlight w:val="none"/>
              </w:rPr>
            </w:pPr>
          </w:p>
        </w:tc>
      </w:tr>
      <w:tr w14:paraId="49C83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2069F528">
            <w:pPr>
              <w:outlineLvl w:val="9"/>
              <w:rPr>
                <w:rFonts w:ascii="Arial"/>
                <w:color w:val="auto"/>
                <w:sz w:val="21"/>
                <w:highlight w:val="none"/>
              </w:rPr>
            </w:pPr>
          </w:p>
        </w:tc>
        <w:tc>
          <w:tcPr>
            <w:tcW w:w="1182" w:type="dxa"/>
            <w:vAlign w:val="top"/>
          </w:tcPr>
          <w:p w14:paraId="4CE6E109">
            <w:pPr>
              <w:outlineLvl w:val="9"/>
              <w:rPr>
                <w:rFonts w:ascii="Arial"/>
                <w:color w:val="auto"/>
                <w:sz w:val="21"/>
                <w:highlight w:val="none"/>
              </w:rPr>
            </w:pPr>
          </w:p>
        </w:tc>
        <w:tc>
          <w:tcPr>
            <w:tcW w:w="830" w:type="dxa"/>
            <w:vAlign w:val="top"/>
          </w:tcPr>
          <w:p w14:paraId="0FD83EF6">
            <w:pPr>
              <w:outlineLvl w:val="9"/>
              <w:rPr>
                <w:rFonts w:ascii="Arial"/>
                <w:color w:val="auto"/>
                <w:sz w:val="21"/>
                <w:highlight w:val="none"/>
              </w:rPr>
            </w:pPr>
          </w:p>
        </w:tc>
        <w:tc>
          <w:tcPr>
            <w:tcW w:w="1079" w:type="dxa"/>
            <w:vAlign w:val="top"/>
          </w:tcPr>
          <w:p w14:paraId="3B437F4C">
            <w:pPr>
              <w:outlineLvl w:val="9"/>
              <w:rPr>
                <w:rFonts w:ascii="Arial"/>
                <w:color w:val="auto"/>
                <w:sz w:val="21"/>
                <w:highlight w:val="none"/>
              </w:rPr>
            </w:pPr>
          </w:p>
        </w:tc>
        <w:tc>
          <w:tcPr>
            <w:tcW w:w="732" w:type="dxa"/>
            <w:vAlign w:val="top"/>
          </w:tcPr>
          <w:p w14:paraId="14FC9C41">
            <w:pPr>
              <w:outlineLvl w:val="9"/>
              <w:rPr>
                <w:rFonts w:ascii="Arial"/>
                <w:color w:val="auto"/>
                <w:sz w:val="21"/>
                <w:highlight w:val="none"/>
              </w:rPr>
            </w:pPr>
          </w:p>
        </w:tc>
        <w:tc>
          <w:tcPr>
            <w:tcW w:w="806" w:type="dxa"/>
            <w:vAlign w:val="top"/>
          </w:tcPr>
          <w:p w14:paraId="3EE8AA4F">
            <w:pPr>
              <w:outlineLvl w:val="9"/>
              <w:rPr>
                <w:rFonts w:ascii="Arial"/>
                <w:color w:val="auto"/>
                <w:sz w:val="21"/>
                <w:highlight w:val="none"/>
              </w:rPr>
            </w:pPr>
          </w:p>
        </w:tc>
        <w:tc>
          <w:tcPr>
            <w:tcW w:w="1320" w:type="dxa"/>
            <w:vAlign w:val="top"/>
          </w:tcPr>
          <w:p w14:paraId="0575417A">
            <w:pPr>
              <w:outlineLvl w:val="9"/>
              <w:rPr>
                <w:rFonts w:ascii="Arial"/>
                <w:color w:val="auto"/>
                <w:sz w:val="21"/>
                <w:highlight w:val="none"/>
              </w:rPr>
            </w:pPr>
          </w:p>
        </w:tc>
        <w:tc>
          <w:tcPr>
            <w:tcW w:w="1802" w:type="dxa"/>
            <w:vAlign w:val="top"/>
          </w:tcPr>
          <w:p w14:paraId="40152ED7">
            <w:pPr>
              <w:outlineLvl w:val="9"/>
              <w:rPr>
                <w:rFonts w:ascii="Arial"/>
                <w:color w:val="auto"/>
                <w:sz w:val="21"/>
                <w:highlight w:val="none"/>
              </w:rPr>
            </w:pPr>
          </w:p>
        </w:tc>
        <w:tc>
          <w:tcPr>
            <w:tcW w:w="753" w:type="dxa"/>
            <w:vAlign w:val="top"/>
          </w:tcPr>
          <w:p w14:paraId="50623657">
            <w:pPr>
              <w:outlineLvl w:val="9"/>
              <w:rPr>
                <w:rFonts w:ascii="Arial"/>
                <w:color w:val="auto"/>
                <w:sz w:val="21"/>
                <w:highlight w:val="none"/>
              </w:rPr>
            </w:pPr>
          </w:p>
        </w:tc>
      </w:tr>
      <w:tr w14:paraId="76501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4D994DBC">
            <w:pPr>
              <w:outlineLvl w:val="9"/>
              <w:rPr>
                <w:rFonts w:ascii="Arial"/>
                <w:color w:val="auto"/>
                <w:sz w:val="21"/>
                <w:highlight w:val="none"/>
              </w:rPr>
            </w:pPr>
          </w:p>
        </w:tc>
        <w:tc>
          <w:tcPr>
            <w:tcW w:w="1182" w:type="dxa"/>
            <w:vAlign w:val="top"/>
          </w:tcPr>
          <w:p w14:paraId="3F101474">
            <w:pPr>
              <w:outlineLvl w:val="9"/>
              <w:rPr>
                <w:rFonts w:ascii="Arial"/>
                <w:color w:val="auto"/>
                <w:sz w:val="21"/>
                <w:highlight w:val="none"/>
              </w:rPr>
            </w:pPr>
          </w:p>
        </w:tc>
        <w:tc>
          <w:tcPr>
            <w:tcW w:w="830" w:type="dxa"/>
            <w:vAlign w:val="top"/>
          </w:tcPr>
          <w:p w14:paraId="36C26246">
            <w:pPr>
              <w:outlineLvl w:val="9"/>
              <w:rPr>
                <w:rFonts w:ascii="Arial"/>
                <w:color w:val="auto"/>
                <w:sz w:val="21"/>
                <w:highlight w:val="none"/>
              </w:rPr>
            </w:pPr>
          </w:p>
        </w:tc>
        <w:tc>
          <w:tcPr>
            <w:tcW w:w="1079" w:type="dxa"/>
            <w:vAlign w:val="top"/>
          </w:tcPr>
          <w:p w14:paraId="2CE9D053">
            <w:pPr>
              <w:outlineLvl w:val="9"/>
              <w:rPr>
                <w:rFonts w:ascii="Arial"/>
                <w:color w:val="auto"/>
                <w:sz w:val="21"/>
                <w:highlight w:val="none"/>
              </w:rPr>
            </w:pPr>
          </w:p>
        </w:tc>
        <w:tc>
          <w:tcPr>
            <w:tcW w:w="732" w:type="dxa"/>
            <w:vAlign w:val="top"/>
          </w:tcPr>
          <w:p w14:paraId="2D5650DF">
            <w:pPr>
              <w:outlineLvl w:val="9"/>
              <w:rPr>
                <w:rFonts w:ascii="Arial"/>
                <w:color w:val="auto"/>
                <w:sz w:val="21"/>
                <w:highlight w:val="none"/>
              </w:rPr>
            </w:pPr>
          </w:p>
        </w:tc>
        <w:tc>
          <w:tcPr>
            <w:tcW w:w="806" w:type="dxa"/>
            <w:vAlign w:val="top"/>
          </w:tcPr>
          <w:p w14:paraId="0BF005CD">
            <w:pPr>
              <w:outlineLvl w:val="9"/>
              <w:rPr>
                <w:rFonts w:ascii="Arial"/>
                <w:color w:val="auto"/>
                <w:sz w:val="21"/>
                <w:highlight w:val="none"/>
              </w:rPr>
            </w:pPr>
          </w:p>
        </w:tc>
        <w:tc>
          <w:tcPr>
            <w:tcW w:w="1320" w:type="dxa"/>
            <w:vAlign w:val="top"/>
          </w:tcPr>
          <w:p w14:paraId="5AAB735A">
            <w:pPr>
              <w:outlineLvl w:val="9"/>
              <w:rPr>
                <w:rFonts w:ascii="Arial"/>
                <w:color w:val="auto"/>
                <w:sz w:val="21"/>
                <w:highlight w:val="none"/>
              </w:rPr>
            </w:pPr>
          </w:p>
        </w:tc>
        <w:tc>
          <w:tcPr>
            <w:tcW w:w="1802" w:type="dxa"/>
            <w:vAlign w:val="top"/>
          </w:tcPr>
          <w:p w14:paraId="3816DC3C">
            <w:pPr>
              <w:outlineLvl w:val="9"/>
              <w:rPr>
                <w:rFonts w:ascii="Arial"/>
                <w:color w:val="auto"/>
                <w:sz w:val="21"/>
                <w:highlight w:val="none"/>
              </w:rPr>
            </w:pPr>
          </w:p>
        </w:tc>
        <w:tc>
          <w:tcPr>
            <w:tcW w:w="753" w:type="dxa"/>
            <w:vAlign w:val="top"/>
          </w:tcPr>
          <w:p w14:paraId="667112CF">
            <w:pPr>
              <w:outlineLvl w:val="9"/>
              <w:rPr>
                <w:rFonts w:ascii="Arial"/>
                <w:color w:val="auto"/>
                <w:sz w:val="21"/>
                <w:highlight w:val="none"/>
              </w:rPr>
            </w:pPr>
          </w:p>
        </w:tc>
      </w:tr>
      <w:tr w14:paraId="394B5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14:paraId="111D6E65">
            <w:pPr>
              <w:outlineLvl w:val="9"/>
              <w:rPr>
                <w:rFonts w:ascii="Arial"/>
                <w:color w:val="auto"/>
                <w:sz w:val="21"/>
                <w:highlight w:val="none"/>
              </w:rPr>
            </w:pPr>
          </w:p>
        </w:tc>
        <w:tc>
          <w:tcPr>
            <w:tcW w:w="1182" w:type="dxa"/>
            <w:vAlign w:val="top"/>
          </w:tcPr>
          <w:p w14:paraId="20BCEA6A">
            <w:pPr>
              <w:outlineLvl w:val="9"/>
              <w:rPr>
                <w:rFonts w:ascii="Arial"/>
                <w:color w:val="auto"/>
                <w:sz w:val="21"/>
                <w:highlight w:val="none"/>
              </w:rPr>
            </w:pPr>
          </w:p>
        </w:tc>
        <w:tc>
          <w:tcPr>
            <w:tcW w:w="830" w:type="dxa"/>
            <w:vAlign w:val="top"/>
          </w:tcPr>
          <w:p w14:paraId="17CEE6A2">
            <w:pPr>
              <w:outlineLvl w:val="9"/>
              <w:rPr>
                <w:rFonts w:ascii="Arial"/>
                <w:color w:val="auto"/>
                <w:sz w:val="21"/>
                <w:highlight w:val="none"/>
              </w:rPr>
            </w:pPr>
          </w:p>
        </w:tc>
        <w:tc>
          <w:tcPr>
            <w:tcW w:w="1079" w:type="dxa"/>
            <w:vAlign w:val="top"/>
          </w:tcPr>
          <w:p w14:paraId="3259D5E7">
            <w:pPr>
              <w:outlineLvl w:val="9"/>
              <w:rPr>
                <w:rFonts w:ascii="Arial"/>
                <w:color w:val="auto"/>
                <w:sz w:val="21"/>
                <w:highlight w:val="none"/>
              </w:rPr>
            </w:pPr>
          </w:p>
        </w:tc>
        <w:tc>
          <w:tcPr>
            <w:tcW w:w="732" w:type="dxa"/>
            <w:vAlign w:val="top"/>
          </w:tcPr>
          <w:p w14:paraId="37FFBDEB">
            <w:pPr>
              <w:outlineLvl w:val="9"/>
              <w:rPr>
                <w:rFonts w:ascii="Arial"/>
                <w:color w:val="auto"/>
                <w:sz w:val="21"/>
                <w:highlight w:val="none"/>
              </w:rPr>
            </w:pPr>
          </w:p>
        </w:tc>
        <w:tc>
          <w:tcPr>
            <w:tcW w:w="806" w:type="dxa"/>
            <w:vAlign w:val="top"/>
          </w:tcPr>
          <w:p w14:paraId="1CA9B8F4">
            <w:pPr>
              <w:outlineLvl w:val="9"/>
              <w:rPr>
                <w:rFonts w:ascii="Arial"/>
                <w:color w:val="auto"/>
                <w:sz w:val="21"/>
                <w:highlight w:val="none"/>
              </w:rPr>
            </w:pPr>
          </w:p>
        </w:tc>
        <w:tc>
          <w:tcPr>
            <w:tcW w:w="1320" w:type="dxa"/>
            <w:vAlign w:val="top"/>
          </w:tcPr>
          <w:p w14:paraId="50C0216E">
            <w:pPr>
              <w:outlineLvl w:val="9"/>
              <w:rPr>
                <w:rFonts w:ascii="Arial"/>
                <w:color w:val="auto"/>
                <w:sz w:val="21"/>
                <w:highlight w:val="none"/>
              </w:rPr>
            </w:pPr>
          </w:p>
        </w:tc>
        <w:tc>
          <w:tcPr>
            <w:tcW w:w="1802" w:type="dxa"/>
            <w:vAlign w:val="top"/>
          </w:tcPr>
          <w:p w14:paraId="3C27EA27">
            <w:pPr>
              <w:outlineLvl w:val="9"/>
              <w:rPr>
                <w:rFonts w:ascii="Arial"/>
                <w:color w:val="auto"/>
                <w:sz w:val="21"/>
                <w:highlight w:val="none"/>
              </w:rPr>
            </w:pPr>
          </w:p>
        </w:tc>
        <w:tc>
          <w:tcPr>
            <w:tcW w:w="753" w:type="dxa"/>
            <w:vAlign w:val="top"/>
          </w:tcPr>
          <w:p w14:paraId="3CFCC56F">
            <w:pPr>
              <w:outlineLvl w:val="9"/>
              <w:rPr>
                <w:rFonts w:ascii="Arial"/>
                <w:color w:val="auto"/>
                <w:sz w:val="21"/>
                <w:highlight w:val="none"/>
              </w:rPr>
            </w:pPr>
          </w:p>
        </w:tc>
      </w:tr>
      <w:tr w14:paraId="2081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14:paraId="5B68F661">
            <w:pPr>
              <w:outlineLvl w:val="9"/>
              <w:rPr>
                <w:rFonts w:ascii="Arial"/>
                <w:color w:val="auto"/>
                <w:sz w:val="21"/>
                <w:highlight w:val="none"/>
              </w:rPr>
            </w:pPr>
          </w:p>
        </w:tc>
        <w:tc>
          <w:tcPr>
            <w:tcW w:w="1182" w:type="dxa"/>
            <w:vAlign w:val="top"/>
          </w:tcPr>
          <w:p w14:paraId="56CB052B">
            <w:pPr>
              <w:outlineLvl w:val="9"/>
              <w:rPr>
                <w:rFonts w:ascii="Arial"/>
                <w:color w:val="auto"/>
                <w:sz w:val="21"/>
                <w:highlight w:val="none"/>
              </w:rPr>
            </w:pPr>
          </w:p>
        </w:tc>
        <w:tc>
          <w:tcPr>
            <w:tcW w:w="830" w:type="dxa"/>
            <w:vAlign w:val="top"/>
          </w:tcPr>
          <w:p w14:paraId="628D0F11">
            <w:pPr>
              <w:outlineLvl w:val="9"/>
              <w:rPr>
                <w:rFonts w:ascii="Arial"/>
                <w:color w:val="auto"/>
                <w:sz w:val="21"/>
                <w:highlight w:val="none"/>
              </w:rPr>
            </w:pPr>
          </w:p>
        </w:tc>
        <w:tc>
          <w:tcPr>
            <w:tcW w:w="1079" w:type="dxa"/>
            <w:vAlign w:val="top"/>
          </w:tcPr>
          <w:p w14:paraId="048E64D6">
            <w:pPr>
              <w:outlineLvl w:val="9"/>
              <w:rPr>
                <w:rFonts w:ascii="Arial"/>
                <w:color w:val="auto"/>
                <w:sz w:val="21"/>
                <w:highlight w:val="none"/>
              </w:rPr>
            </w:pPr>
          </w:p>
        </w:tc>
        <w:tc>
          <w:tcPr>
            <w:tcW w:w="732" w:type="dxa"/>
            <w:vAlign w:val="top"/>
          </w:tcPr>
          <w:p w14:paraId="41B46007">
            <w:pPr>
              <w:outlineLvl w:val="9"/>
              <w:rPr>
                <w:rFonts w:ascii="Arial"/>
                <w:color w:val="auto"/>
                <w:sz w:val="21"/>
                <w:highlight w:val="none"/>
              </w:rPr>
            </w:pPr>
          </w:p>
        </w:tc>
        <w:tc>
          <w:tcPr>
            <w:tcW w:w="806" w:type="dxa"/>
            <w:vAlign w:val="top"/>
          </w:tcPr>
          <w:p w14:paraId="5AC16E22">
            <w:pPr>
              <w:outlineLvl w:val="9"/>
              <w:rPr>
                <w:rFonts w:ascii="Arial"/>
                <w:color w:val="auto"/>
                <w:sz w:val="21"/>
                <w:highlight w:val="none"/>
              </w:rPr>
            </w:pPr>
          </w:p>
        </w:tc>
        <w:tc>
          <w:tcPr>
            <w:tcW w:w="1320" w:type="dxa"/>
            <w:vAlign w:val="top"/>
          </w:tcPr>
          <w:p w14:paraId="41274B46">
            <w:pPr>
              <w:outlineLvl w:val="9"/>
              <w:rPr>
                <w:rFonts w:ascii="Arial"/>
                <w:color w:val="auto"/>
                <w:sz w:val="21"/>
                <w:highlight w:val="none"/>
              </w:rPr>
            </w:pPr>
          </w:p>
        </w:tc>
        <w:tc>
          <w:tcPr>
            <w:tcW w:w="1802" w:type="dxa"/>
            <w:vAlign w:val="top"/>
          </w:tcPr>
          <w:p w14:paraId="54C830C7">
            <w:pPr>
              <w:outlineLvl w:val="9"/>
              <w:rPr>
                <w:rFonts w:ascii="Arial"/>
                <w:color w:val="auto"/>
                <w:sz w:val="21"/>
                <w:highlight w:val="none"/>
              </w:rPr>
            </w:pPr>
          </w:p>
        </w:tc>
        <w:tc>
          <w:tcPr>
            <w:tcW w:w="753" w:type="dxa"/>
            <w:vAlign w:val="top"/>
          </w:tcPr>
          <w:p w14:paraId="38F0002E">
            <w:pPr>
              <w:outlineLvl w:val="9"/>
              <w:rPr>
                <w:rFonts w:ascii="Arial"/>
                <w:color w:val="auto"/>
                <w:sz w:val="21"/>
                <w:highlight w:val="none"/>
              </w:rPr>
            </w:pPr>
          </w:p>
        </w:tc>
      </w:tr>
      <w:tr w14:paraId="1A20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14:paraId="4DA1B352">
            <w:pPr>
              <w:outlineLvl w:val="9"/>
              <w:rPr>
                <w:rFonts w:ascii="Arial"/>
                <w:color w:val="auto"/>
                <w:sz w:val="21"/>
                <w:highlight w:val="none"/>
              </w:rPr>
            </w:pPr>
          </w:p>
        </w:tc>
        <w:tc>
          <w:tcPr>
            <w:tcW w:w="1182" w:type="dxa"/>
            <w:vAlign w:val="top"/>
          </w:tcPr>
          <w:p w14:paraId="4500A2EE">
            <w:pPr>
              <w:outlineLvl w:val="9"/>
              <w:rPr>
                <w:rFonts w:ascii="Arial"/>
                <w:color w:val="auto"/>
                <w:sz w:val="21"/>
                <w:highlight w:val="none"/>
              </w:rPr>
            </w:pPr>
          </w:p>
        </w:tc>
        <w:tc>
          <w:tcPr>
            <w:tcW w:w="830" w:type="dxa"/>
            <w:vAlign w:val="top"/>
          </w:tcPr>
          <w:p w14:paraId="67C93E2B">
            <w:pPr>
              <w:outlineLvl w:val="9"/>
              <w:rPr>
                <w:rFonts w:ascii="Arial"/>
                <w:color w:val="auto"/>
                <w:sz w:val="21"/>
                <w:highlight w:val="none"/>
              </w:rPr>
            </w:pPr>
          </w:p>
        </w:tc>
        <w:tc>
          <w:tcPr>
            <w:tcW w:w="1079" w:type="dxa"/>
            <w:vAlign w:val="top"/>
          </w:tcPr>
          <w:p w14:paraId="28C83D02">
            <w:pPr>
              <w:outlineLvl w:val="9"/>
              <w:rPr>
                <w:rFonts w:ascii="Arial"/>
                <w:color w:val="auto"/>
                <w:sz w:val="21"/>
                <w:highlight w:val="none"/>
              </w:rPr>
            </w:pPr>
          </w:p>
        </w:tc>
        <w:tc>
          <w:tcPr>
            <w:tcW w:w="732" w:type="dxa"/>
            <w:vAlign w:val="top"/>
          </w:tcPr>
          <w:p w14:paraId="56FA72C4">
            <w:pPr>
              <w:outlineLvl w:val="9"/>
              <w:rPr>
                <w:rFonts w:ascii="Arial"/>
                <w:color w:val="auto"/>
                <w:sz w:val="21"/>
                <w:highlight w:val="none"/>
              </w:rPr>
            </w:pPr>
          </w:p>
        </w:tc>
        <w:tc>
          <w:tcPr>
            <w:tcW w:w="806" w:type="dxa"/>
            <w:vAlign w:val="top"/>
          </w:tcPr>
          <w:p w14:paraId="6452E9AB">
            <w:pPr>
              <w:outlineLvl w:val="9"/>
              <w:rPr>
                <w:rFonts w:ascii="Arial"/>
                <w:color w:val="auto"/>
                <w:sz w:val="21"/>
                <w:highlight w:val="none"/>
              </w:rPr>
            </w:pPr>
          </w:p>
        </w:tc>
        <w:tc>
          <w:tcPr>
            <w:tcW w:w="1320" w:type="dxa"/>
            <w:vAlign w:val="top"/>
          </w:tcPr>
          <w:p w14:paraId="7E8904DB">
            <w:pPr>
              <w:outlineLvl w:val="9"/>
              <w:rPr>
                <w:rFonts w:ascii="Arial"/>
                <w:color w:val="auto"/>
                <w:sz w:val="21"/>
                <w:highlight w:val="none"/>
              </w:rPr>
            </w:pPr>
          </w:p>
        </w:tc>
        <w:tc>
          <w:tcPr>
            <w:tcW w:w="1802" w:type="dxa"/>
            <w:vAlign w:val="top"/>
          </w:tcPr>
          <w:p w14:paraId="1E9120B9">
            <w:pPr>
              <w:outlineLvl w:val="9"/>
              <w:rPr>
                <w:rFonts w:ascii="Arial"/>
                <w:color w:val="auto"/>
                <w:sz w:val="21"/>
                <w:highlight w:val="none"/>
              </w:rPr>
            </w:pPr>
          </w:p>
        </w:tc>
        <w:tc>
          <w:tcPr>
            <w:tcW w:w="753" w:type="dxa"/>
            <w:vAlign w:val="top"/>
          </w:tcPr>
          <w:p w14:paraId="726F85C1">
            <w:pPr>
              <w:outlineLvl w:val="9"/>
              <w:rPr>
                <w:rFonts w:ascii="Arial"/>
                <w:color w:val="auto"/>
                <w:sz w:val="21"/>
                <w:highlight w:val="none"/>
              </w:rPr>
            </w:pPr>
          </w:p>
        </w:tc>
      </w:tr>
      <w:tr w14:paraId="5C77C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0" w:type="dxa"/>
            <w:vAlign w:val="top"/>
          </w:tcPr>
          <w:p w14:paraId="03EB6614">
            <w:pPr>
              <w:outlineLvl w:val="9"/>
              <w:rPr>
                <w:rFonts w:ascii="Arial"/>
                <w:color w:val="auto"/>
                <w:sz w:val="21"/>
                <w:highlight w:val="none"/>
              </w:rPr>
            </w:pPr>
          </w:p>
        </w:tc>
        <w:tc>
          <w:tcPr>
            <w:tcW w:w="1182" w:type="dxa"/>
            <w:vAlign w:val="top"/>
          </w:tcPr>
          <w:p w14:paraId="316E5E5D">
            <w:pPr>
              <w:outlineLvl w:val="9"/>
              <w:rPr>
                <w:rFonts w:ascii="Arial"/>
                <w:color w:val="auto"/>
                <w:sz w:val="21"/>
                <w:highlight w:val="none"/>
              </w:rPr>
            </w:pPr>
          </w:p>
        </w:tc>
        <w:tc>
          <w:tcPr>
            <w:tcW w:w="830" w:type="dxa"/>
            <w:vAlign w:val="top"/>
          </w:tcPr>
          <w:p w14:paraId="4A0764BF">
            <w:pPr>
              <w:outlineLvl w:val="9"/>
              <w:rPr>
                <w:rFonts w:ascii="Arial"/>
                <w:color w:val="auto"/>
                <w:sz w:val="21"/>
                <w:highlight w:val="none"/>
              </w:rPr>
            </w:pPr>
          </w:p>
        </w:tc>
        <w:tc>
          <w:tcPr>
            <w:tcW w:w="1079" w:type="dxa"/>
            <w:vAlign w:val="top"/>
          </w:tcPr>
          <w:p w14:paraId="14D1EE82">
            <w:pPr>
              <w:outlineLvl w:val="9"/>
              <w:rPr>
                <w:rFonts w:ascii="Arial"/>
                <w:color w:val="auto"/>
                <w:sz w:val="21"/>
                <w:highlight w:val="none"/>
              </w:rPr>
            </w:pPr>
          </w:p>
        </w:tc>
        <w:tc>
          <w:tcPr>
            <w:tcW w:w="732" w:type="dxa"/>
            <w:vAlign w:val="top"/>
          </w:tcPr>
          <w:p w14:paraId="4BD3C2A2">
            <w:pPr>
              <w:outlineLvl w:val="9"/>
              <w:rPr>
                <w:rFonts w:ascii="Arial"/>
                <w:color w:val="auto"/>
                <w:sz w:val="21"/>
                <w:highlight w:val="none"/>
              </w:rPr>
            </w:pPr>
          </w:p>
        </w:tc>
        <w:tc>
          <w:tcPr>
            <w:tcW w:w="806" w:type="dxa"/>
            <w:vAlign w:val="top"/>
          </w:tcPr>
          <w:p w14:paraId="457A654D">
            <w:pPr>
              <w:outlineLvl w:val="9"/>
              <w:rPr>
                <w:rFonts w:ascii="Arial"/>
                <w:color w:val="auto"/>
                <w:sz w:val="21"/>
                <w:highlight w:val="none"/>
              </w:rPr>
            </w:pPr>
          </w:p>
        </w:tc>
        <w:tc>
          <w:tcPr>
            <w:tcW w:w="1320" w:type="dxa"/>
            <w:vAlign w:val="top"/>
          </w:tcPr>
          <w:p w14:paraId="40ABD60F">
            <w:pPr>
              <w:outlineLvl w:val="9"/>
              <w:rPr>
                <w:rFonts w:ascii="Arial"/>
                <w:color w:val="auto"/>
                <w:sz w:val="21"/>
                <w:highlight w:val="none"/>
              </w:rPr>
            </w:pPr>
          </w:p>
        </w:tc>
        <w:tc>
          <w:tcPr>
            <w:tcW w:w="1802" w:type="dxa"/>
            <w:vAlign w:val="top"/>
          </w:tcPr>
          <w:p w14:paraId="231B7A5C">
            <w:pPr>
              <w:outlineLvl w:val="9"/>
              <w:rPr>
                <w:rFonts w:ascii="Arial"/>
                <w:color w:val="auto"/>
                <w:sz w:val="21"/>
                <w:highlight w:val="none"/>
              </w:rPr>
            </w:pPr>
          </w:p>
        </w:tc>
        <w:tc>
          <w:tcPr>
            <w:tcW w:w="753" w:type="dxa"/>
            <w:vAlign w:val="top"/>
          </w:tcPr>
          <w:p w14:paraId="37AEAE66">
            <w:pPr>
              <w:outlineLvl w:val="9"/>
              <w:rPr>
                <w:rFonts w:ascii="Arial"/>
                <w:color w:val="auto"/>
                <w:sz w:val="21"/>
                <w:highlight w:val="none"/>
              </w:rPr>
            </w:pPr>
          </w:p>
        </w:tc>
      </w:tr>
    </w:tbl>
    <w:p w14:paraId="10B58335">
      <w:pPr>
        <w:outlineLvl w:val="9"/>
        <w:rPr>
          <w:rFonts w:ascii="Arial"/>
          <w:color w:val="auto"/>
          <w:sz w:val="21"/>
          <w:highlight w:val="none"/>
        </w:rPr>
      </w:pPr>
    </w:p>
    <w:p w14:paraId="6CB5D975">
      <w:pPr>
        <w:spacing w:before="56" w:line="219" w:lineRule="auto"/>
        <w:ind w:left="3345"/>
        <w:outlineLvl w:val="9"/>
        <w:rPr>
          <w:rFonts w:ascii="宋体" w:hAnsi="宋体" w:eastAsia="宋体" w:cs="宋体"/>
          <w:b/>
          <w:bCs/>
          <w:color w:val="auto"/>
          <w:spacing w:val="-7"/>
          <w:sz w:val="28"/>
          <w:szCs w:val="28"/>
          <w:highlight w:val="none"/>
        </w:rPr>
      </w:pPr>
    </w:p>
    <w:p w14:paraId="05BC191B">
      <w:pPr>
        <w:spacing w:before="56" w:line="219" w:lineRule="auto"/>
        <w:ind w:left="3345"/>
        <w:outlineLvl w:val="9"/>
        <w:rPr>
          <w:rFonts w:ascii="宋体" w:hAnsi="宋体" w:eastAsia="宋体" w:cs="宋体"/>
          <w:b/>
          <w:bCs/>
          <w:color w:val="auto"/>
          <w:spacing w:val="-7"/>
          <w:sz w:val="28"/>
          <w:szCs w:val="28"/>
          <w:highlight w:val="none"/>
        </w:rPr>
      </w:pPr>
    </w:p>
    <w:p w14:paraId="0978DE30">
      <w:pPr>
        <w:spacing w:before="56" w:line="219" w:lineRule="auto"/>
        <w:ind w:left="3345"/>
        <w:outlineLvl w:val="9"/>
        <w:rPr>
          <w:rFonts w:ascii="宋体" w:hAnsi="宋体" w:eastAsia="宋体" w:cs="宋体"/>
          <w:b/>
          <w:bCs/>
          <w:color w:val="auto"/>
          <w:spacing w:val="-7"/>
          <w:sz w:val="28"/>
          <w:szCs w:val="28"/>
          <w:highlight w:val="none"/>
        </w:rPr>
      </w:pPr>
    </w:p>
    <w:p w14:paraId="4C24898F">
      <w:pPr>
        <w:spacing w:before="56" w:line="219" w:lineRule="auto"/>
        <w:ind w:left="3345"/>
        <w:outlineLvl w:val="9"/>
        <w:rPr>
          <w:rFonts w:ascii="宋体" w:hAnsi="宋体" w:eastAsia="宋体" w:cs="宋体"/>
          <w:b/>
          <w:bCs/>
          <w:color w:val="auto"/>
          <w:spacing w:val="-7"/>
          <w:sz w:val="28"/>
          <w:szCs w:val="28"/>
          <w:highlight w:val="none"/>
        </w:rPr>
      </w:pPr>
    </w:p>
    <w:p w14:paraId="6153F4CA">
      <w:pPr>
        <w:spacing w:before="56" w:line="219" w:lineRule="auto"/>
        <w:ind w:left="3345"/>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附表三：劳动力计划表</w:t>
      </w:r>
    </w:p>
    <w:p w14:paraId="3F1B4481">
      <w:pPr>
        <w:spacing w:before="161" w:line="221" w:lineRule="auto"/>
        <w:jc w:val="right"/>
        <w:outlineLvl w:val="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单位：人</w:t>
      </w:r>
    </w:p>
    <w:p w14:paraId="5650BF18">
      <w:pPr>
        <w:spacing w:line="16" w:lineRule="exact"/>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1420"/>
        <w:gridCol w:w="1159"/>
        <w:gridCol w:w="1161"/>
        <w:gridCol w:w="1161"/>
        <w:gridCol w:w="1161"/>
        <w:gridCol w:w="1159"/>
        <w:gridCol w:w="1163"/>
      </w:tblGrid>
      <w:tr w14:paraId="0B42A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07" w:type="dxa"/>
            <w:vAlign w:val="top"/>
          </w:tcPr>
          <w:p w14:paraId="13B2A7ED">
            <w:pPr>
              <w:pStyle w:val="27"/>
              <w:spacing w:before="178" w:line="221" w:lineRule="auto"/>
              <w:ind w:left="250"/>
              <w:outlineLvl w:val="9"/>
              <w:rPr>
                <w:color w:val="auto"/>
                <w:highlight w:val="none"/>
              </w:rPr>
            </w:pPr>
            <w:r>
              <w:rPr>
                <w:color w:val="auto"/>
                <w:spacing w:val="-3"/>
                <w:highlight w:val="none"/>
              </w:rPr>
              <w:t>工种</w:t>
            </w:r>
          </w:p>
        </w:tc>
        <w:tc>
          <w:tcPr>
            <w:tcW w:w="8384" w:type="dxa"/>
            <w:gridSpan w:val="7"/>
            <w:vAlign w:val="top"/>
          </w:tcPr>
          <w:p w14:paraId="4B8CA601">
            <w:pPr>
              <w:pStyle w:val="27"/>
              <w:spacing w:before="177" w:line="221" w:lineRule="auto"/>
              <w:ind w:left="2724"/>
              <w:outlineLvl w:val="9"/>
              <w:rPr>
                <w:color w:val="auto"/>
                <w:highlight w:val="none"/>
              </w:rPr>
            </w:pPr>
            <w:r>
              <w:rPr>
                <w:color w:val="auto"/>
                <w:spacing w:val="-1"/>
                <w:highlight w:val="none"/>
              </w:rPr>
              <w:t>按工程施工阶段投入劳动力情况</w:t>
            </w:r>
          </w:p>
        </w:tc>
      </w:tr>
      <w:tr w14:paraId="72380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14:paraId="4358061F">
            <w:pPr>
              <w:outlineLvl w:val="9"/>
              <w:rPr>
                <w:rFonts w:ascii="Arial"/>
                <w:color w:val="auto"/>
                <w:sz w:val="21"/>
                <w:highlight w:val="none"/>
              </w:rPr>
            </w:pPr>
          </w:p>
        </w:tc>
        <w:tc>
          <w:tcPr>
            <w:tcW w:w="1420" w:type="dxa"/>
            <w:vAlign w:val="top"/>
          </w:tcPr>
          <w:p w14:paraId="67ECE6AA">
            <w:pPr>
              <w:outlineLvl w:val="9"/>
              <w:rPr>
                <w:rFonts w:ascii="Arial"/>
                <w:color w:val="auto"/>
                <w:sz w:val="21"/>
                <w:highlight w:val="none"/>
              </w:rPr>
            </w:pPr>
          </w:p>
        </w:tc>
        <w:tc>
          <w:tcPr>
            <w:tcW w:w="1159" w:type="dxa"/>
            <w:vAlign w:val="top"/>
          </w:tcPr>
          <w:p w14:paraId="40028024">
            <w:pPr>
              <w:outlineLvl w:val="9"/>
              <w:rPr>
                <w:rFonts w:ascii="Arial"/>
                <w:color w:val="auto"/>
                <w:sz w:val="21"/>
                <w:highlight w:val="none"/>
              </w:rPr>
            </w:pPr>
          </w:p>
        </w:tc>
        <w:tc>
          <w:tcPr>
            <w:tcW w:w="1161" w:type="dxa"/>
            <w:vAlign w:val="top"/>
          </w:tcPr>
          <w:p w14:paraId="4160E3B9">
            <w:pPr>
              <w:outlineLvl w:val="9"/>
              <w:rPr>
                <w:rFonts w:ascii="Arial"/>
                <w:color w:val="auto"/>
                <w:sz w:val="21"/>
                <w:highlight w:val="none"/>
              </w:rPr>
            </w:pPr>
          </w:p>
        </w:tc>
        <w:tc>
          <w:tcPr>
            <w:tcW w:w="1161" w:type="dxa"/>
            <w:vAlign w:val="top"/>
          </w:tcPr>
          <w:p w14:paraId="340177FD">
            <w:pPr>
              <w:outlineLvl w:val="9"/>
              <w:rPr>
                <w:rFonts w:ascii="Arial"/>
                <w:color w:val="auto"/>
                <w:sz w:val="21"/>
                <w:highlight w:val="none"/>
              </w:rPr>
            </w:pPr>
          </w:p>
        </w:tc>
        <w:tc>
          <w:tcPr>
            <w:tcW w:w="1161" w:type="dxa"/>
            <w:vAlign w:val="top"/>
          </w:tcPr>
          <w:p w14:paraId="4AAEE65F">
            <w:pPr>
              <w:outlineLvl w:val="9"/>
              <w:rPr>
                <w:rFonts w:ascii="Arial"/>
                <w:color w:val="auto"/>
                <w:sz w:val="21"/>
                <w:highlight w:val="none"/>
              </w:rPr>
            </w:pPr>
          </w:p>
        </w:tc>
        <w:tc>
          <w:tcPr>
            <w:tcW w:w="1159" w:type="dxa"/>
            <w:vAlign w:val="top"/>
          </w:tcPr>
          <w:p w14:paraId="65C1AF3E">
            <w:pPr>
              <w:outlineLvl w:val="9"/>
              <w:rPr>
                <w:rFonts w:ascii="Arial"/>
                <w:color w:val="auto"/>
                <w:sz w:val="21"/>
                <w:highlight w:val="none"/>
              </w:rPr>
            </w:pPr>
          </w:p>
        </w:tc>
        <w:tc>
          <w:tcPr>
            <w:tcW w:w="1163" w:type="dxa"/>
            <w:vAlign w:val="top"/>
          </w:tcPr>
          <w:p w14:paraId="2A199343">
            <w:pPr>
              <w:outlineLvl w:val="9"/>
              <w:rPr>
                <w:rFonts w:ascii="Arial"/>
                <w:color w:val="auto"/>
                <w:sz w:val="21"/>
                <w:highlight w:val="none"/>
              </w:rPr>
            </w:pPr>
          </w:p>
        </w:tc>
      </w:tr>
      <w:tr w14:paraId="71D0F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066E230B">
            <w:pPr>
              <w:outlineLvl w:val="9"/>
              <w:rPr>
                <w:rFonts w:ascii="Arial"/>
                <w:color w:val="auto"/>
                <w:sz w:val="21"/>
                <w:highlight w:val="none"/>
              </w:rPr>
            </w:pPr>
          </w:p>
        </w:tc>
        <w:tc>
          <w:tcPr>
            <w:tcW w:w="1420" w:type="dxa"/>
            <w:vAlign w:val="top"/>
          </w:tcPr>
          <w:p w14:paraId="48541547">
            <w:pPr>
              <w:outlineLvl w:val="9"/>
              <w:rPr>
                <w:rFonts w:ascii="Arial"/>
                <w:color w:val="auto"/>
                <w:sz w:val="21"/>
                <w:highlight w:val="none"/>
              </w:rPr>
            </w:pPr>
          </w:p>
        </w:tc>
        <w:tc>
          <w:tcPr>
            <w:tcW w:w="1159" w:type="dxa"/>
            <w:vAlign w:val="top"/>
          </w:tcPr>
          <w:p w14:paraId="67DD8457">
            <w:pPr>
              <w:outlineLvl w:val="9"/>
              <w:rPr>
                <w:rFonts w:ascii="Arial"/>
                <w:color w:val="auto"/>
                <w:sz w:val="21"/>
                <w:highlight w:val="none"/>
              </w:rPr>
            </w:pPr>
          </w:p>
        </w:tc>
        <w:tc>
          <w:tcPr>
            <w:tcW w:w="1161" w:type="dxa"/>
            <w:vAlign w:val="top"/>
          </w:tcPr>
          <w:p w14:paraId="2F8FBE2A">
            <w:pPr>
              <w:outlineLvl w:val="9"/>
              <w:rPr>
                <w:rFonts w:ascii="Arial"/>
                <w:color w:val="auto"/>
                <w:sz w:val="21"/>
                <w:highlight w:val="none"/>
              </w:rPr>
            </w:pPr>
          </w:p>
        </w:tc>
        <w:tc>
          <w:tcPr>
            <w:tcW w:w="1161" w:type="dxa"/>
            <w:vAlign w:val="top"/>
          </w:tcPr>
          <w:p w14:paraId="22EA152A">
            <w:pPr>
              <w:outlineLvl w:val="9"/>
              <w:rPr>
                <w:rFonts w:ascii="Arial"/>
                <w:color w:val="auto"/>
                <w:sz w:val="21"/>
                <w:highlight w:val="none"/>
              </w:rPr>
            </w:pPr>
          </w:p>
        </w:tc>
        <w:tc>
          <w:tcPr>
            <w:tcW w:w="1161" w:type="dxa"/>
            <w:vAlign w:val="top"/>
          </w:tcPr>
          <w:p w14:paraId="12B639D0">
            <w:pPr>
              <w:outlineLvl w:val="9"/>
              <w:rPr>
                <w:rFonts w:ascii="Arial"/>
                <w:color w:val="auto"/>
                <w:sz w:val="21"/>
                <w:highlight w:val="none"/>
              </w:rPr>
            </w:pPr>
          </w:p>
        </w:tc>
        <w:tc>
          <w:tcPr>
            <w:tcW w:w="1159" w:type="dxa"/>
            <w:vAlign w:val="top"/>
          </w:tcPr>
          <w:p w14:paraId="036C448A">
            <w:pPr>
              <w:outlineLvl w:val="9"/>
              <w:rPr>
                <w:rFonts w:ascii="Arial"/>
                <w:color w:val="auto"/>
                <w:sz w:val="21"/>
                <w:highlight w:val="none"/>
              </w:rPr>
            </w:pPr>
          </w:p>
        </w:tc>
        <w:tc>
          <w:tcPr>
            <w:tcW w:w="1163" w:type="dxa"/>
            <w:vAlign w:val="top"/>
          </w:tcPr>
          <w:p w14:paraId="0A65A0F0">
            <w:pPr>
              <w:outlineLvl w:val="9"/>
              <w:rPr>
                <w:rFonts w:ascii="Arial"/>
                <w:color w:val="auto"/>
                <w:sz w:val="21"/>
                <w:highlight w:val="none"/>
              </w:rPr>
            </w:pPr>
          </w:p>
        </w:tc>
      </w:tr>
      <w:tr w14:paraId="53833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14:paraId="312ABDFD">
            <w:pPr>
              <w:outlineLvl w:val="9"/>
              <w:rPr>
                <w:rFonts w:ascii="Arial"/>
                <w:color w:val="auto"/>
                <w:sz w:val="21"/>
                <w:highlight w:val="none"/>
              </w:rPr>
            </w:pPr>
          </w:p>
        </w:tc>
        <w:tc>
          <w:tcPr>
            <w:tcW w:w="1420" w:type="dxa"/>
            <w:vAlign w:val="top"/>
          </w:tcPr>
          <w:p w14:paraId="1C23CD3D">
            <w:pPr>
              <w:outlineLvl w:val="9"/>
              <w:rPr>
                <w:rFonts w:ascii="Arial"/>
                <w:color w:val="auto"/>
                <w:sz w:val="21"/>
                <w:highlight w:val="none"/>
              </w:rPr>
            </w:pPr>
          </w:p>
        </w:tc>
        <w:tc>
          <w:tcPr>
            <w:tcW w:w="1159" w:type="dxa"/>
            <w:vAlign w:val="top"/>
          </w:tcPr>
          <w:p w14:paraId="0A022FF3">
            <w:pPr>
              <w:outlineLvl w:val="9"/>
              <w:rPr>
                <w:rFonts w:ascii="Arial"/>
                <w:color w:val="auto"/>
                <w:sz w:val="21"/>
                <w:highlight w:val="none"/>
              </w:rPr>
            </w:pPr>
          </w:p>
        </w:tc>
        <w:tc>
          <w:tcPr>
            <w:tcW w:w="1161" w:type="dxa"/>
            <w:vAlign w:val="top"/>
          </w:tcPr>
          <w:p w14:paraId="25754120">
            <w:pPr>
              <w:outlineLvl w:val="9"/>
              <w:rPr>
                <w:rFonts w:ascii="Arial"/>
                <w:color w:val="auto"/>
                <w:sz w:val="21"/>
                <w:highlight w:val="none"/>
              </w:rPr>
            </w:pPr>
          </w:p>
        </w:tc>
        <w:tc>
          <w:tcPr>
            <w:tcW w:w="1161" w:type="dxa"/>
            <w:vAlign w:val="top"/>
          </w:tcPr>
          <w:p w14:paraId="64754F64">
            <w:pPr>
              <w:outlineLvl w:val="9"/>
              <w:rPr>
                <w:rFonts w:ascii="Arial"/>
                <w:color w:val="auto"/>
                <w:sz w:val="21"/>
                <w:highlight w:val="none"/>
              </w:rPr>
            </w:pPr>
          </w:p>
        </w:tc>
        <w:tc>
          <w:tcPr>
            <w:tcW w:w="1161" w:type="dxa"/>
            <w:vAlign w:val="top"/>
          </w:tcPr>
          <w:p w14:paraId="2F30DF44">
            <w:pPr>
              <w:outlineLvl w:val="9"/>
              <w:rPr>
                <w:rFonts w:ascii="Arial"/>
                <w:color w:val="auto"/>
                <w:sz w:val="21"/>
                <w:highlight w:val="none"/>
              </w:rPr>
            </w:pPr>
          </w:p>
        </w:tc>
        <w:tc>
          <w:tcPr>
            <w:tcW w:w="1159" w:type="dxa"/>
            <w:vAlign w:val="top"/>
          </w:tcPr>
          <w:p w14:paraId="0067CAFB">
            <w:pPr>
              <w:outlineLvl w:val="9"/>
              <w:rPr>
                <w:rFonts w:ascii="Arial"/>
                <w:color w:val="auto"/>
                <w:sz w:val="21"/>
                <w:highlight w:val="none"/>
              </w:rPr>
            </w:pPr>
          </w:p>
        </w:tc>
        <w:tc>
          <w:tcPr>
            <w:tcW w:w="1163" w:type="dxa"/>
            <w:vAlign w:val="top"/>
          </w:tcPr>
          <w:p w14:paraId="09A0EA6C">
            <w:pPr>
              <w:outlineLvl w:val="9"/>
              <w:rPr>
                <w:rFonts w:ascii="Arial"/>
                <w:color w:val="auto"/>
                <w:sz w:val="21"/>
                <w:highlight w:val="none"/>
              </w:rPr>
            </w:pPr>
          </w:p>
        </w:tc>
      </w:tr>
      <w:tr w14:paraId="54D24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612D5932">
            <w:pPr>
              <w:outlineLvl w:val="9"/>
              <w:rPr>
                <w:rFonts w:ascii="Arial"/>
                <w:color w:val="auto"/>
                <w:sz w:val="21"/>
                <w:highlight w:val="none"/>
              </w:rPr>
            </w:pPr>
          </w:p>
        </w:tc>
        <w:tc>
          <w:tcPr>
            <w:tcW w:w="1420" w:type="dxa"/>
            <w:vAlign w:val="top"/>
          </w:tcPr>
          <w:p w14:paraId="6C9AFDC7">
            <w:pPr>
              <w:outlineLvl w:val="9"/>
              <w:rPr>
                <w:rFonts w:ascii="Arial"/>
                <w:color w:val="auto"/>
                <w:sz w:val="21"/>
                <w:highlight w:val="none"/>
              </w:rPr>
            </w:pPr>
          </w:p>
        </w:tc>
        <w:tc>
          <w:tcPr>
            <w:tcW w:w="1159" w:type="dxa"/>
            <w:vAlign w:val="top"/>
          </w:tcPr>
          <w:p w14:paraId="5028DD5D">
            <w:pPr>
              <w:outlineLvl w:val="9"/>
              <w:rPr>
                <w:rFonts w:ascii="Arial"/>
                <w:color w:val="auto"/>
                <w:sz w:val="21"/>
                <w:highlight w:val="none"/>
              </w:rPr>
            </w:pPr>
          </w:p>
        </w:tc>
        <w:tc>
          <w:tcPr>
            <w:tcW w:w="1161" w:type="dxa"/>
            <w:vAlign w:val="top"/>
          </w:tcPr>
          <w:p w14:paraId="64551945">
            <w:pPr>
              <w:outlineLvl w:val="9"/>
              <w:rPr>
                <w:rFonts w:ascii="Arial"/>
                <w:color w:val="auto"/>
                <w:sz w:val="21"/>
                <w:highlight w:val="none"/>
              </w:rPr>
            </w:pPr>
          </w:p>
        </w:tc>
        <w:tc>
          <w:tcPr>
            <w:tcW w:w="1161" w:type="dxa"/>
            <w:vAlign w:val="top"/>
          </w:tcPr>
          <w:p w14:paraId="60B6CC32">
            <w:pPr>
              <w:outlineLvl w:val="9"/>
              <w:rPr>
                <w:rFonts w:ascii="Arial"/>
                <w:color w:val="auto"/>
                <w:sz w:val="21"/>
                <w:highlight w:val="none"/>
              </w:rPr>
            </w:pPr>
          </w:p>
        </w:tc>
        <w:tc>
          <w:tcPr>
            <w:tcW w:w="1161" w:type="dxa"/>
            <w:vAlign w:val="top"/>
          </w:tcPr>
          <w:p w14:paraId="374896CD">
            <w:pPr>
              <w:outlineLvl w:val="9"/>
              <w:rPr>
                <w:rFonts w:ascii="Arial"/>
                <w:color w:val="auto"/>
                <w:sz w:val="21"/>
                <w:highlight w:val="none"/>
              </w:rPr>
            </w:pPr>
          </w:p>
        </w:tc>
        <w:tc>
          <w:tcPr>
            <w:tcW w:w="1159" w:type="dxa"/>
            <w:vAlign w:val="top"/>
          </w:tcPr>
          <w:p w14:paraId="3C62E69E">
            <w:pPr>
              <w:outlineLvl w:val="9"/>
              <w:rPr>
                <w:rFonts w:ascii="Arial"/>
                <w:color w:val="auto"/>
                <w:sz w:val="21"/>
                <w:highlight w:val="none"/>
              </w:rPr>
            </w:pPr>
          </w:p>
        </w:tc>
        <w:tc>
          <w:tcPr>
            <w:tcW w:w="1163" w:type="dxa"/>
            <w:vAlign w:val="top"/>
          </w:tcPr>
          <w:p w14:paraId="5C67B9CB">
            <w:pPr>
              <w:outlineLvl w:val="9"/>
              <w:rPr>
                <w:rFonts w:ascii="Arial"/>
                <w:color w:val="auto"/>
                <w:sz w:val="21"/>
                <w:highlight w:val="none"/>
              </w:rPr>
            </w:pPr>
          </w:p>
        </w:tc>
      </w:tr>
      <w:tr w14:paraId="64340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14:paraId="2DD55CF1">
            <w:pPr>
              <w:outlineLvl w:val="9"/>
              <w:rPr>
                <w:rFonts w:ascii="Arial"/>
                <w:color w:val="auto"/>
                <w:sz w:val="21"/>
                <w:highlight w:val="none"/>
              </w:rPr>
            </w:pPr>
          </w:p>
        </w:tc>
        <w:tc>
          <w:tcPr>
            <w:tcW w:w="1420" w:type="dxa"/>
            <w:vAlign w:val="top"/>
          </w:tcPr>
          <w:p w14:paraId="056C10D4">
            <w:pPr>
              <w:outlineLvl w:val="9"/>
              <w:rPr>
                <w:rFonts w:ascii="Arial"/>
                <w:color w:val="auto"/>
                <w:sz w:val="21"/>
                <w:highlight w:val="none"/>
              </w:rPr>
            </w:pPr>
          </w:p>
        </w:tc>
        <w:tc>
          <w:tcPr>
            <w:tcW w:w="1159" w:type="dxa"/>
            <w:vAlign w:val="top"/>
          </w:tcPr>
          <w:p w14:paraId="2A01AD21">
            <w:pPr>
              <w:outlineLvl w:val="9"/>
              <w:rPr>
                <w:rFonts w:ascii="Arial"/>
                <w:color w:val="auto"/>
                <w:sz w:val="21"/>
                <w:highlight w:val="none"/>
              </w:rPr>
            </w:pPr>
          </w:p>
        </w:tc>
        <w:tc>
          <w:tcPr>
            <w:tcW w:w="1161" w:type="dxa"/>
            <w:vAlign w:val="top"/>
          </w:tcPr>
          <w:p w14:paraId="5194102F">
            <w:pPr>
              <w:outlineLvl w:val="9"/>
              <w:rPr>
                <w:rFonts w:ascii="Arial"/>
                <w:color w:val="auto"/>
                <w:sz w:val="21"/>
                <w:highlight w:val="none"/>
              </w:rPr>
            </w:pPr>
          </w:p>
        </w:tc>
        <w:tc>
          <w:tcPr>
            <w:tcW w:w="1161" w:type="dxa"/>
            <w:vAlign w:val="top"/>
          </w:tcPr>
          <w:p w14:paraId="3D1E57B1">
            <w:pPr>
              <w:outlineLvl w:val="9"/>
              <w:rPr>
                <w:rFonts w:ascii="Arial"/>
                <w:color w:val="auto"/>
                <w:sz w:val="21"/>
                <w:highlight w:val="none"/>
              </w:rPr>
            </w:pPr>
          </w:p>
        </w:tc>
        <w:tc>
          <w:tcPr>
            <w:tcW w:w="1161" w:type="dxa"/>
            <w:vAlign w:val="top"/>
          </w:tcPr>
          <w:p w14:paraId="1A93D5F8">
            <w:pPr>
              <w:outlineLvl w:val="9"/>
              <w:rPr>
                <w:rFonts w:ascii="Arial"/>
                <w:color w:val="auto"/>
                <w:sz w:val="21"/>
                <w:highlight w:val="none"/>
              </w:rPr>
            </w:pPr>
          </w:p>
        </w:tc>
        <w:tc>
          <w:tcPr>
            <w:tcW w:w="1159" w:type="dxa"/>
            <w:vAlign w:val="top"/>
          </w:tcPr>
          <w:p w14:paraId="30127C31">
            <w:pPr>
              <w:outlineLvl w:val="9"/>
              <w:rPr>
                <w:rFonts w:ascii="Arial"/>
                <w:color w:val="auto"/>
                <w:sz w:val="21"/>
                <w:highlight w:val="none"/>
              </w:rPr>
            </w:pPr>
          </w:p>
        </w:tc>
        <w:tc>
          <w:tcPr>
            <w:tcW w:w="1163" w:type="dxa"/>
            <w:vAlign w:val="top"/>
          </w:tcPr>
          <w:p w14:paraId="6F90ECB0">
            <w:pPr>
              <w:outlineLvl w:val="9"/>
              <w:rPr>
                <w:rFonts w:ascii="Arial"/>
                <w:color w:val="auto"/>
                <w:sz w:val="21"/>
                <w:highlight w:val="none"/>
              </w:rPr>
            </w:pPr>
          </w:p>
        </w:tc>
      </w:tr>
      <w:tr w14:paraId="447B8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27BAA04A">
            <w:pPr>
              <w:outlineLvl w:val="9"/>
              <w:rPr>
                <w:rFonts w:ascii="Arial"/>
                <w:color w:val="auto"/>
                <w:sz w:val="21"/>
                <w:highlight w:val="none"/>
              </w:rPr>
            </w:pPr>
          </w:p>
        </w:tc>
        <w:tc>
          <w:tcPr>
            <w:tcW w:w="1420" w:type="dxa"/>
            <w:vAlign w:val="top"/>
          </w:tcPr>
          <w:p w14:paraId="0C9C1BD2">
            <w:pPr>
              <w:outlineLvl w:val="9"/>
              <w:rPr>
                <w:rFonts w:ascii="Arial"/>
                <w:color w:val="auto"/>
                <w:sz w:val="21"/>
                <w:highlight w:val="none"/>
              </w:rPr>
            </w:pPr>
          </w:p>
        </w:tc>
        <w:tc>
          <w:tcPr>
            <w:tcW w:w="1159" w:type="dxa"/>
            <w:vAlign w:val="top"/>
          </w:tcPr>
          <w:p w14:paraId="51F548C2">
            <w:pPr>
              <w:outlineLvl w:val="9"/>
              <w:rPr>
                <w:rFonts w:ascii="Arial"/>
                <w:color w:val="auto"/>
                <w:sz w:val="21"/>
                <w:highlight w:val="none"/>
              </w:rPr>
            </w:pPr>
          </w:p>
        </w:tc>
        <w:tc>
          <w:tcPr>
            <w:tcW w:w="1161" w:type="dxa"/>
            <w:vAlign w:val="top"/>
          </w:tcPr>
          <w:p w14:paraId="4AA3FA87">
            <w:pPr>
              <w:outlineLvl w:val="9"/>
              <w:rPr>
                <w:rFonts w:ascii="Arial"/>
                <w:color w:val="auto"/>
                <w:sz w:val="21"/>
                <w:highlight w:val="none"/>
              </w:rPr>
            </w:pPr>
          </w:p>
        </w:tc>
        <w:tc>
          <w:tcPr>
            <w:tcW w:w="1161" w:type="dxa"/>
            <w:vAlign w:val="top"/>
          </w:tcPr>
          <w:p w14:paraId="79C0BD72">
            <w:pPr>
              <w:outlineLvl w:val="9"/>
              <w:rPr>
                <w:rFonts w:ascii="Arial"/>
                <w:color w:val="auto"/>
                <w:sz w:val="21"/>
                <w:highlight w:val="none"/>
              </w:rPr>
            </w:pPr>
          </w:p>
        </w:tc>
        <w:tc>
          <w:tcPr>
            <w:tcW w:w="1161" w:type="dxa"/>
            <w:vAlign w:val="top"/>
          </w:tcPr>
          <w:p w14:paraId="20F3B4E5">
            <w:pPr>
              <w:outlineLvl w:val="9"/>
              <w:rPr>
                <w:rFonts w:ascii="Arial"/>
                <w:color w:val="auto"/>
                <w:sz w:val="21"/>
                <w:highlight w:val="none"/>
              </w:rPr>
            </w:pPr>
          </w:p>
        </w:tc>
        <w:tc>
          <w:tcPr>
            <w:tcW w:w="1159" w:type="dxa"/>
            <w:vAlign w:val="top"/>
          </w:tcPr>
          <w:p w14:paraId="0DD4CDCF">
            <w:pPr>
              <w:outlineLvl w:val="9"/>
              <w:rPr>
                <w:rFonts w:ascii="Arial"/>
                <w:color w:val="auto"/>
                <w:sz w:val="21"/>
                <w:highlight w:val="none"/>
              </w:rPr>
            </w:pPr>
          </w:p>
        </w:tc>
        <w:tc>
          <w:tcPr>
            <w:tcW w:w="1163" w:type="dxa"/>
            <w:vAlign w:val="top"/>
          </w:tcPr>
          <w:p w14:paraId="3332F22C">
            <w:pPr>
              <w:outlineLvl w:val="9"/>
              <w:rPr>
                <w:rFonts w:ascii="Arial"/>
                <w:color w:val="auto"/>
                <w:sz w:val="21"/>
                <w:highlight w:val="none"/>
              </w:rPr>
            </w:pPr>
          </w:p>
        </w:tc>
      </w:tr>
      <w:tr w14:paraId="118C1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0CEBA537">
            <w:pPr>
              <w:outlineLvl w:val="9"/>
              <w:rPr>
                <w:rFonts w:ascii="Arial"/>
                <w:color w:val="auto"/>
                <w:sz w:val="21"/>
                <w:highlight w:val="none"/>
              </w:rPr>
            </w:pPr>
          </w:p>
        </w:tc>
        <w:tc>
          <w:tcPr>
            <w:tcW w:w="1420" w:type="dxa"/>
            <w:vAlign w:val="top"/>
          </w:tcPr>
          <w:p w14:paraId="41C98840">
            <w:pPr>
              <w:outlineLvl w:val="9"/>
              <w:rPr>
                <w:rFonts w:ascii="Arial"/>
                <w:color w:val="auto"/>
                <w:sz w:val="21"/>
                <w:highlight w:val="none"/>
              </w:rPr>
            </w:pPr>
          </w:p>
        </w:tc>
        <w:tc>
          <w:tcPr>
            <w:tcW w:w="1159" w:type="dxa"/>
            <w:vAlign w:val="top"/>
          </w:tcPr>
          <w:p w14:paraId="07438027">
            <w:pPr>
              <w:outlineLvl w:val="9"/>
              <w:rPr>
                <w:rFonts w:ascii="Arial"/>
                <w:color w:val="auto"/>
                <w:sz w:val="21"/>
                <w:highlight w:val="none"/>
              </w:rPr>
            </w:pPr>
          </w:p>
        </w:tc>
        <w:tc>
          <w:tcPr>
            <w:tcW w:w="1161" w:type="dxa"/>
            <w:vAlign w:val="top"/>
          </w:tcPr>
          <w:p w14:paraId="63F0C112">
            <w:pPr>
              <w:outlineLvl w:val="9"/>
              <w:rPr>
                <w:rFonts w:ascii="Arial"/>
                <w:color w:val="auto"/>
                <w:sz w:val="21"/>
                <w:highlight w:val="none"/>
              </w:rPr>
            </w:pPr>
          </w:p>
        </w:tc>
        <w:tc>
          <w:tcPr>
            <w:tcW w:w="1161" w:type="dxa"/>
            <w:vAlign w:val="top"/>
          </w:tcPr>
          <w:p w14:paraId="2E48416F">
            <w:pPr>
              <w:outlineLvl w:val="9"/>
              <w:rPr>
                <w:rFonts w:ascii="Arial"/>
                <w:color w:val="auto"/>
                <w:sz w:val="21"/>
                <w:highlight w:val="none"/>
              </w:rPr>
            </w:pPr>
          </w:p>
        </w:tc>
        <w:tc>
          <w:tcPr>
            <w:tcW w:w="1161" w:type="dxa"/>
            <w:vAlign w:val="top"/>
          </w:tcPr>
          <w:p w14:paraId="1B80B7A8">
            <w:pPr>
              <w:outlineLvl w:val="9"/>
              <w:rPr>
                <w:rFonts w:ascii="Arial"/>
                <w:color w:val="auto"/>
                <w:sz w:val="21"/>
                <w:highlight w:val="none"/>
              </w:rPr>
            </w:pPr>
          </w:p>
        </w:tc>
        <w:tc>
          <w:tcPr>
            <w:tcW w:w="1159" w:type="dxa"/>
            <w:vAlign w:val="top"/>
          </w:tcPr>
          <w:p w14:paraId="71FEBF69">
            <w:pPr>
              <w:outlineLvl w:val="9"/>
              <w:rPr>
                <w:rFonts w:ascii="Arial"/>
                <w:color w:val="auto"/>
                <w:sz w:val="21"/>
                <w:highlight w:val="none"/>
              </w:rPr>
            </w:pPr>
          </w:p>
        </w:tc>
        <w:tc>
          <w:tcPr>
            <w:tcW w:w="1163" w:type="dxa"/>
            <w:vAlign w:val="top"/>
          </w:tcPr>
          <w:p w14:paraId="66BDD39F">
            <w:pPr>
              <w:outlineLvl w:val="9"/>
              <w:rPr>
                <w:rFonts w:ascii="Arial"/>
                <w:color w:val="auto"/>
                <w:sz w:val="21"/>
                <w:highlight w:val="none"/>
              </w:rPr>
            </w:pPr>
          </w:p>
        </w:tc>
      </w:tr>
      <w:tr w14:paraId="405C5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1E95A8CD">
            <w:pPr>
              <w:outlineLvl w:val="9"/>
              <w:rPr>
                <w:rFonts w:ascii="Arial"/>
                <w:color w:val="auto"/>
                <w:sz w:val="21"/>
                <w:highlight w:val="none"/>
              </w:rPr>
            </w:pPr>
          </w:p>
        </w:tc>
        <w:tc>
          <w:tcPr>
            <w:tcW w:w="1420" w:type="dxa"/>
            <w:vAlign w:val="top"/>
          </w:tcPr>
          <w:p w14:paraId="6775943C">
            <w:pPr>
              <w:outlineLvl w:val="9"/>
              <w:rPr>
                <w:rFonts w:ascii="Arial"/>
                <w:color w:val="auto"/>
                <w:sz w:val="21"/>
                <w:highlight w:val="none"/>
              </w:rPr>
            </w:pPr>
          </w:p>
        </w:tc>
        <w:tc>
          <w:tcPr>
            <w:tcW w:w="1159" w:type="dxa"/>
            <w:vAlign w:val="top"/>
          </w:tcPr>
          <w:p w14:paraId="2AF49D9E">
            <w:pPr>
              <w:outlineLvl w:val="9"/>
              <w:rPr>
                <w:rFonts w:ascii="Arial"/>
                <w:color w:val="auto"/>
                <w:sz w:val="21"/>
                <w:highlight w:val="none"/>
              </w:rPr>
            </w:pPr>
          </w:p>
        </w:tc>
        <w:tc>
          <w:tcPr>
            <w:tcW w:w="1161" w:type="dxa"/>
            <w:vAlign w:val="top"/>
          </w:tcPr>
          <w:p w14:paraId="1C63E385">
            <w:pPr>
              <w:outlineLvl w:val="9"/>
              <w:rPr>
                <w:rFonts w:ascii="Arial"/>
                <w:color w:val="auto"/>
                <w:sz w:val="21"/>
                <w:highlight w:val="none"/>
              </w:rPr>
            </w:pPr>
          </w:p>
        </w:tc>
        <w:tc>
          <w:tcPr>
            <w:tcW w:w="1161" w:type="dxa"/>
            <w:vAlign w:val="top"/>
          </w:tcPr>
          <w:p w14:paraId="3BB34E9F">
            <w:pPr>
              <w:outlineLvl w:val="9"/>
              <w:rPr>
                <w:rFonts w:ascii="Arial"/>
                <w:color w:val="auto"/>
                <w:sz w:val="21"/>
                <w:highlight w:val="none"/>
              </w:rPr>
            </w:pPr>
          </w:p>
        </w:tc>
        <w:tc>
          <w:tcPr>
            <w:tcW w:w="1161" w:type="dxa"/>
            <w:vAlign w:val="top"/>
          </w:tcPr>
          <w:p w14:paraId="05EFEEEE">
            <w:pPr>
              <w:outlineLvl w:val="9"/>
              <w:rPr>
                <w:rFonts w:ascii="Arial"/>
                <w:color w:val="auto"/>
                <w:sz w:val="21"/>
                <w:highlight w:val="none"/>
              </w:rPr>
            </w:pPr>
          </w:p>
        </w:tc>
        <w:tc>
          <w:tcPr>
            <w:tcW w:w="1159" w:type="dxa"/>
            <w:vAlign w:val="top"/>
          </w:tcPr>
          <w:p w14:paraId="2FCC28C6">
            <w:pPr>
              <w:outlineLvl w:val="9"/>
              <w:rPr>
                <w:rFonts w:ascii="Arial"/>
                <w:color w:val="auto"/>
                <w:sz w:val="21"/>
                <w:highlight w:val="none"/>
              </w:rPr>
            </w:pPr>
          </w:p>
        </w:tc>
        <w:tc>
          <w:tcPr>
            <w:tcW w:w="1163" w:type="dxa"/>
            <w:vAlign w:val="top"/>
          </w:tcPr>
          <w:p w14:paraId="37428C73">
            <w:pPr>
              <w:outlineLvl w:val="9"/>
              <w:rPr>
                <w:rFonts w:ascii="Arial"/>
                <w:color w:val="auto"/>
                <w:sz w:val="21"/>
                <w:highlight w:val="none"/>
              </w:rPr>
            </w:pPr>
          </w:p>
        </w:tc>
      </w:tr>
      <w:tr w14:paraId="65E08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7B4258F0">
            <w:pPr>
              <w:outlineLvl w:val="9"/>
              <w:rPr>
                <w:rFonts w:ascii="Arial"/>
                <w:color w:val="auto"/>
                <w:sz w:val="21"/>
                <w:highlight w:val="none"/>
              </w:rPr>
            </w:pPr>
          </w:p>
        </w:tc>
        <w:tc>
          <w:tcPr>
            <w:tcW w:w="1420" w:type="dxa"/>
            <w:vAlign w:val="top"/>
          </w:tcPr>
          <w:p w14:paraId="4B1CD6AA">
            <w:pPr>
              <w:outlineLvl w:val="9"/>
              <w:rPr>
                <w:rFonts w:ascii="Arial"/>
                <w:color w:val="auto"/>
                <w:sz w:val="21"/>
                <w:highlight w:val="none"/>
              </w:rPr>
            </w:pPr>
          </w:p>
        </w:tc>
        <w:tc>
          <w:tcPr>
            <w:tcW w:w="1159" w:type="dxa"/>
            <w:vAlign w:val="top"/>
          </w:tcPr>
          <w:p w14:paraId="34BC461E">
            <w:pPr>
              <w:outlineLvl w:val="9"/>
              <w:rPr>
                <w:rFonts w:ascii="Arial"/>
                <w:color w:val="auto"/>
                <w:sz w:val="21"/>
                <w:highlight w:val="none"/>
              </w:rPr>
            </w:pPr>
          </w:p>
        </w:tc>
        <w:tc>
          <w:tcPr>
            <w:tcW w:w="1161" w:type="dxa"/>
            <w:vAlign w:val="top"/>
          </w:tcPr>
          <w:p w14:paraId="2E45E6FE">
            <w:pPr>
              <w:outlineLvl w:val="9"/>
              <w:rPr>
                <w:rFonts w:ascii="Arial"/>
                <w:color w:val="auto"/>
                <w:sz w:val="21"/>
                <w:highlight w:val="none"/>
              </w:rPr>
            </w:pPr>
          </w:p>
        </w:tc>
        <w:tc>
          <w:tcPr>
            <w:tcW w:w="1161" w:type="dxa"/>
            <w:vAlign w:val="top"/>
          </w:tcPr>
          <w:p w14:paraId="6B737FD5">
            <w:pPr>
              <w:outlineLvl w:val="9"/>
              <w:rPr>
                <w:rFonts w:ascii="Arial"/>
                <w:color w:val="auto"/>
                <w:sz w:val="21"/>
                <w:highlight w:val="none"/>
              </w:rPr>
            </w:pPr>
          </w:p>
        </w:tc>
        <w:tc>
          <w:tcPr>
            <w:tcW w:w="1161" w:type="dxa"/>
            <w:vAlign w:val="top"/>
          </w:tcPr>
          <w:p w14:paraId="72DD6FB0">
            <w:pPr>
              <w:outlineLvl w:val="9"/>
              <w:rPr>
                <w:rFonts w:ascii="Arial"/>
                <w:color w:val="auto"/>
                <w:sz w:val="21"/>
                <w:highlight w:val="none"/>
              </w:rPr>
            </w:pPr>
          </w:p>
        </w:tc>
        <w:tc>
          <w:tcPr>
            <w:tcW w:w="1159" w:type="dxa"/>
            <w:vAlign w:val="top"/>
          </w:tcPr>
          <w:p w14:paraId="1054D11A">
            <w:pPr>
              <w:outlineLvl w:val="9"/>
              <w:rPr>
                <w:rFonts w:ascii="Arial"/>
                <w:color w:val="auto"/>
                <w:sz w:val="21"/>
                <w:highlight w:val="none"/>
              </w:rPr>
            </w:pPr>
          </w:p>
        </w:tc>
        <w:tc>
          <w:tcPr>
            <w:tcW w:w="1163" w:type="dxa"/>
            <w:vAlign w:val="top"/>
          </w:tcPr>
          <w:p w14:paraId="0EF0123E">
            <w:pPr>
              <w:outlineLvl w:val="9"/>
              <w:rPr>
                <w:rFonts w:ascii="Arial"/>
                <w:color w:val="auto"/>
                <w:sz w:val="21"/>
                <w:highlight w:val="none"/>
              </w:rPr>
            </w:pPr>
          </w:p>
        </w:tc>
      </w:tr>
      <w:tr w14:paraId="3B058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0C40A5FB">
            <w:pPr>
              <w:outlineLvl w:val="9"/>
              <w:rPr>
                <w:rFonts w:ascii="Arial"/>
                <w:color w:val="auto"/>
                <w:sz w:val="21"/>
                <w:highlight w:val="none"/>
              </w:rPr>
            </w:pPr>
          </w:p>
        </w:tc>
        <w:tc>
          <w:tcPr>
            <w:tcW w:w="1420" w:type="dxa"/>
            <w:vAlign w:val="top"/>
          </w:tcPr>
          <w:p w14:paraId="2A406DD3">
            <w:pPr>
              <w:outlineLvl w:val="9"/>
              <w:rPr>
                <w:rFonts w:ascii="Arial"/>
                <w:color w:val="auto"/>
                <w:sz w:val="21"/>
                <w:highlight w:val="none"/>
              </w:rPr>
            </w:pPr>
          </w:p>
        </w:tc>
        <w:tc>
          <w:tcPr>
            <w:tcW w:w="1159" w:type="dxa"/>
            <w:vAlign w:val="top"/>
          </w:tcPr>
          <w:p w14:paraId="024AFFFC">
            <w:pPr>
              <w:outlineLvl w:val="9"/>
              <w:rPr>
                <w:rFonts w:ascii="Arial"/>
                <w:color w:val="auto"/>
                <w:sz w:val="21"/>
                <w:highlight w:val="none"/>
              </w:rPr>
            </w:pPr>
          </w:p>
        </w:tc>
        <w:tc>
          <w:tcPr>
            <w:tcW w:w="1161" w:type="dxa"/>
            <w:vAlign w:val="top"/>
          </w:tcPr>
          <w:p w14:paraId="711FB063">
            <w:pPr>
              <w:outlineLvl w:val="9"/>
              <w:rPr>
                <w:rFonts w:ascii="Arial"/>
                <w:color w:val="auto"/>
                <w:sz w:val="21"/>
                <w:highlight w:val="none"/>
              </w:rPr>
            </w:pPr>
          </w:p>
        </w:tc>
        <w:tc>
          <w:tcPr>
            <w:tcW w:w="1161" w:type="dxa"/>
            <w:vAlign w:val="top"/>
          </w:tcPr>
          <w:p w14:paraId="7FCE7A2C">
            <w:pPr>
              <w:outlineLvl w:val="9"/>
              <w:rPr>
                <w:rFonts w:ascii="Arial"/>
                <w:color w:val="auto"/>
                <w:sz w:val="21"/>
                <w:highlight w:val="none"/>
              </w:rPr>
            </w:pPr>
          </w:p>
        </w:tc>
        <w:tc>
          <w:tcPr>
            <w:tcW w:w="1161" w:type="dxa"/>
            <w:vAlign w:val="top"/>
          </w:tcPr>
          <w:p w14:paraId="0CA6760F">
            <w:pPr>
              <w:outlineLvl w:val="9"/>
              <w:rPr>
                <w:rFonts w:ascii="Arial"/>
                <w:color w:val="auto"/>
                <w:sz w:val="21"/>
                <w:highlight w:val="none"/>
              </w:rPr>
            </w:pPr>
          </w:p>
        </w:tc>
        <w:tc>
          <w:tcPr>
            <w:tcW w:w="1159" w:type="dxa"/>
            <w:vAlign w:val="top"/>
          </w:tcPr>
          <w:p w14:paraId="126DF721">
            <w:pPr>
              <w:outlineLvl w:val="9"/>
              <w:rPr>
                <w:rFonts w:ascii="Arial"/>
                <w:color w:val="auto"/>
                <w:sz w:val="21"/>
                <w:highlight w:val="none"/>
              </w:rPr>
            </w:pPr>
          </w:p>
        </w:tc>
        <w:tc>
          <w:tcPr>
            <w:tcW w:w="1163" w:type="dxa"/>
            <w:vAlign w:val="top"/>
          </w:tcPr>
          <w:p w14:paraId="11FE9DA7">
            <w:pPr>
              <w:outlineLvl w:val="9"/>
              <w:rPr>
                <w:rFonts w:ascii="Arial"/>
                <w:color w:val="auto"/>
                <w:sz w:val="21"/>
                <w:highlight w:val="none"/>
              </w:rPr>
            </w:pPr>
          </w:p>
        </w:tc>
      </w:tr>
      <w:tr w14:paraId="35C8C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69CAEA55">
            <w:pPr>
              <w:outlineLvl w:val="9"/>
              <w:rPr>
                <w:rFonts w:ascii="Arial"/>
                <w:color w:val="auto"/>
                <w:sz w:val="21"/>
                <w:highlight w:val="none"/>
              </w:rPr>
            </w:pPr>
          </w:p>
        </w:tc>
        <w:tc>
          <w:tcPr>
            <w:tcW w:w="1420" w:type="dxa"/>
            <w:vAlign w:val="top"/>
          </w:tcPr>
          <w:p w14:paraId="43AD95AF">
            <w:pPr>
              <w:outlineLvl w:val="9"/>
              <w:rPr>
                <w:rFonts w:ascii="Arial"/>
                <w:color w:val="auto"/>
                <w:sz w:val="21"/>
                <w:highlight w:val="none"/>
              </w:rPr>
            </w:pPr>
          </w:p>
        </w:tc>
        <w:tc>
          <w:tcPr>
            <w:tcW w:w="1159" w:type="dxa"/>
            <w:vAlign w:val="top"/>
          </w:tcPr>
          <w:p w14:paraId="728840B1">
            <w:pPr>
              <w:outlineLvl w:val="9"/>
              <w:rPr>
                <w:rFonts w:ascii="Arial"/>
                <w:color w:val="auto"/>
                <w:sz w:val="21"/>
                <w:highlight w:val="none"/>
              </w:rPr>
            </w:pPr>
          </w:p>
        </w:tc>
        <w:tc>
          <w:tcPr>
            <w:tcW w:w="1161" w:type="dxa"/>
            <w:vAlign w:val="top"/>
          </w:tcPr>
          <w:p w14:paraId="67D039E2">
            <w:pPr>
              <w:outlineLvl w:val="9"/>
              <w:rPr>
                <w:rFonts w:ascii="Arial"/>
                <w:color w:val="auto"/>
                <w:sz w:val="21"/>
                <w:highlight w:val="none"/>
              </w:rPr>
            </w:pPr>
          </w:p>
        </w:tc>
        <w:tc>
          <w:tcPr>
            <w:tcW w:w="1161" w:type="dxa"/>
            <w:vAlign w:val="top"/>
          </w:tcPr>
          <w:p w14:paraId="401A8A34">
            <w:pPr>
              <w:outlineLvl w:val="9"/>
              <w:rPr>
                <w:rFonts w:ascii="Arial"/>
                <w:color w:val="auto"/>
                <w:sz w:val="21"/>
                <w:highlight w:val="none"/>
              </w:rPr>
            </w:pPr>
          </w:p>
        </w:tc>
        <w:tc>
          <w:tcPr>
            <w:tcW w:w="1161" w:type="dxa"/>
            <w:vAlign w:val="top"/>
          </w:tcPr>
          <w:p w14:paraId="167A72FD">
            <w:pPr>
              <w:outlineLvl w:val="9"/>
              <w:rPr>
                <w:rFonts w:ascii="Arial"/>
                <w:color w:val="auto"/>
                <w:sz w:val="21"/>
                <w:highlight w:val="none"/>
              </w:rPr>
            </w:pPr>
          </w:p>
        </w:tc>
        <w:tc>
          <w:tcPr>
            <w:tcW w:w="1159" w:type="dxa"/>
            <w:vAlign w:val="top"/>
          </w:tcPr>
          <w:p w14:paraId="68CAD747">
            <w:pPr>
              <w:outlineLvl w:val="9"/>
              <w:rPr>
                <w:rFonts w:ascii="Arial"/>
                <w:color w:val="auto"/>
                <w:sz w:val="21"/>
                <w:highlight w:val="none"/>
              </w:rPr>
            </w:pPr>
          </w:p>
        </w:tc>
        <w:tc>
          <w:tcPr>
            <w:tcW w:w="1163" w:type="dxa"/>
            <w:vAlign w:val="top"/>
          </w:tcPr>
          <w:p w14:paraId="0DB6E710">
            <w:pPr>
              <w:outlineLvl w:val="9"/>
              <w:rPr>
                <w:rFonts w:ascii="Arial"/>
                <w:color w:val="auto"/>
                <w:sz w:val="21"/>
                <w:highlight w:val="none"/>
              </w:rPr>
            </w:pPr>
          </w:p>
        </w:tc>
      </w:tr>
      <w:tr w14:paraId="54E89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791847C7">
            <w:pPr>
              <w:outlineLvl w:val="9"/>
              <w:rPr>
                <w:rFonts w:ascii="Arial"/>
                <w:color w:val="auto"/>
                <w:sz w:val="21"/>
                <w:highlight w:val="none"/>
              </w:rPr>
            </w:pPr>
          </w:p>
        </w:tc>
        <w:tc>
          <w:tcPr>
            <w:tcW w:w="1420" w:type="dxa"/>
            <w:vAlign w:val="top"/>
          </w:tcPr>
          <w:p w14:paraId="63CBEB26">
            <w:pPr>
              <w:outlineLvl w:val="9"/>
              <w:rPr>
                <w:rFonts w:ascii="Arial"/>
                <w:color w:val="auto"/>
                <w:sz w:val="21"/>
                <w:highlight w:val="none"/>
              </w:rPr>
            </w:pPr>
          </w:p>
        </w:tc>
        <w:tc>
          <w:tcPr>
            <w:tcW w:w="1159" w:type="dxa"/>
            <w:vAlign w:val="top"/>
          </w:tcPr>
          <w:p w14:paraId="77DDE2D3">
            <w:pPr>
              <w:outlineLvl w:val="9"/>
              <w:rPr>
                <w:rFonts w:ascii="Arial"/>
                <w:color w:val="auto"/>
                <w:sz w:val="21"/>
                <w:highlight w:val="none"/>
              </w:rPr>
            </w:pPr>
          </w:p>
        </w:tc>
        <w:tc>
          <w:tcPr>
            <w:tcW w:w="1161" w:type="dxa"/>
            <w:vAlign w:val="top"/>
          </w:tcPr>
          <w:p w14:paraId="09718839">
            <w:pPr>
              <w:outlineLvl w:val="9"/>
              <w:rPr>
                <w:rFonts w:ascii="Arial"/>
                <w:color w:val="auto"/>
                <w:sz w:val="21"/>
                <w:highlight w:val="none"/>
              </w:rPr>
            </w:pPr>
          </w:p>
        </w:tc>
        <w:tc>
          <w:tcPr>
            <w:tcW w:w="1161" w:type="dxa"/>
            <w:vAlign w:val="top"/>
          </w:tcPr>
          <w:p w14:paraId="1B98FE86">
            <w:pPr>
              <w:outlineLvl w:val="9"/>
              <w:rPr>
                <w:rFonts w:ascii="Arial"/>
                <w:color w:val="auto"/>
                <w:sz w:val="21"/>
                <w:highlight w:val="none"/>
              </w:rPr>
            </w:pPr>
          </w:p>
        </w:tc>
        <w:tc>
          <w:tcPr>
            <w:tcW w:w="1161" w:type="dxa"/>
            <w:vAlign w:val="top"/>
          </w:tcPr>
          <w:p w14:paraId="26FE198A">
            <w:pPr>
              <w:outlineLvl w:val="9"/>
              <w:rPr>
                <w:rFonts w:ascii="Arial"/>
                <w:color w:val="auto"/>
                <w:sz w:val="21"/>
                <w:highlight w:val="none"/>
              </w:rPr>
            </w:pPr>
          </w:p>
        </w:tc>
        <w:tc>
          <w:tcPr>
            <w:tcW w:w="1159" w:type="dxa"/>
            <w:vAlign w:val="top"/>
          </w:tcPr>
          <w:p w14:paraId="6BCDA039">
            <w:pPr>
              <w:outlineLvl w:val="9"/>
              <w:rPr>
                <w:rFonts w:ascii="Arial"/>
                <w:color w:val="auto"/>
                <w:sz w:val="21"/>
                <w:highlight w:val="none"/>
              </w:rPr>
            </w:pPr>
          </w:p>
        </w:tc>
        <w:tc>
          <w:tcPr>
            <w:tcW w:w="1163" w:type="dxa"/>
            <w:vAlign w:val="top"/>
          </w:tcPr>
          <w:p w14:paraId="043720C0">
            <w:pPr>
              <w:outlineLvl w:val="9"/>
              <w:rPr>
                <w:rFonts w:ascii="Arial"/>
                <w:color w:val="auto"/>
                <w:sz w:val="21"/>
                <w:highlight w:val="none"/>
              </w:rPr>
            </w:pPr>
          </w:p>
        </w:tc>
      </w:tr>
      <w:tr w14:paraId="0D609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0AC82EC0">
            <w:pPr>
              <w:outlineLvl w:val="9"/>
              <w:rPr>
                <w:rFonts w:ascii="Arial"/>
                <w:color w:val="auto"/>
                <w:sz w:val="21"/>
                <w:highlight w:val="none"/>
              </w:rPr>
            </w:pPr>
          </w:p>
        </w:tc>
        <w:tc>
          <w:tcPr>
            <w:tcW w:w="1420" w:type="dxa"/>
            <w:vAlign w:val="top"/>
          </w:tcPr>
          <w:p w14:paraId="742F4786">
            <w:pPr>
              <w:outlineLvl w:val="9"/>
              <w:rPr>
                <w:rFonts w:ascii="Arial"/>
                <w:color w:val="auto"/>
                <w:sz w:val="21"/>
                <w:highlight w:val="none"/>
              </w:rPr>
            </w:pPr>
          </w:p>
        </w:tc>
        <w:tc>
          <w:tcPr>
            <w:tcW w:w="1159" w:type="dxa"/>
            <w:vAlign w:val="top"/>
          </w:tcPr>
          <w:p w14:paraId="1C5DF7CC">
            <w:pPr>
              <w:outlineLvl w:val="9"/>
              <w:rPr>
                <w:rFonts w:ascii="Arial"/>
                <w:color w:val="auto"/>
                <w:sz w:val="21"/>
                <w:highlight w:val="none"/>
              </w:rPr>
            </w:pPr>
          </w:p>
        </w:tc>
        <w:tc>
          <w:tcPr>
            <w:tcW w:w="1161" w:type="dxa"/>
            <w:vAlign w:val="top"/>
          </w:tcPr>
          <w:p w14:paraId="243AEEF6">
            <w:pPr>
              <w:outlineLvl w:val="9"/>
              <w:rPr>
                <w:rFonts w:ascii="Arial"/>
                <w:color w:val="auto"/>
                <w:sz w:val="21"/>
                <w:highlight w:val="none"/>
              </w:rPr>
            </w:pPr>
          </w:p>
        </w:tc>
        <w:tc>
          <w:tcPr>
            <w:tcW w:w="1161" w:type="dxa"/>
            <w:vAlign w:val="top"/>
          </w:tcPr>
          <w:p w14:paraId="3F4F7DCB">
            <w:pPr>
              <w:outlineLvl w:val="9"/>
              <w:rPr>
                <w:rFonts w:ascii="Arial"/>
                <w:color w:val="auto"/>
                <w:sz w:val="21"/>
                <w:highlight w:val="none"/>
              </w:rPr>
            </w:pPr>
          </w:p>
        </w:tc>
        <w:tc>
          <w:tcPr>
            <w:tcW w:w="1161" w:type="dxa"/>
            <w:vAlign w:val="top"/>
          </w:tcPr>
          <w:p w14:paraId="73DEC342">
            <w:pPr>
              <w:outlineLvl w:val="9"/>
              <w:rPr>
                <w:rFonts w:ascii="Arial"/>
                <w:color w:val="auto"/>
                <w:sz w:val="21"/>
                <w:highlight w:val="none"/>
              </w:rPr>
            </w:pPr>
          </w:p>
        </w:tc>
        <w:tc>
          <w:tcPr>
            <w:tcW w:w="1159" w:type="dxa"/>
            <w:vAlign w:val="top"/>
          </w:tcPr>
          <w:p w14:paraId="2946D10A">
            <w:pPr>
              <w:outlineLvl w:val="9"/>
              <w:rPr>
                <w:rFonts w:ascii="Arial"/>
                <w:color w:val="auto"/>
                <w:sz w:val="21"/>
                <w:highlight w:val="none"/>
              </w:rPr>
            </w:pPr>
          </w:p>
        </w:tc>
        <w:tc>
          <w:tcPr>
            <w:tcW w:w="1163" w:type="dxa"/>
            <w:vAlign w:val="top"/>
          </w:tcPr>
          <w:p w14:paraId="3D075389">
            <w:pPr>
              <w:outlineLvl w:val="9"/>
              <w:rPr>
                <w:rFonts w:ascii="Arial"/>
                <w:color w:val="auto"/>
                <w:sz w:val="21"/>
                <w:highlight w:val="none"/>
              </w:rPr>
            </w:pPr>
          </w:p>
        </w:tc>
      </w:tr>
      <w:tr w14:paraId="38E8C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7A8A5D00">
            <w:pPr>
              <w:outlineLvl w:val="9"/>
              <w:rPr>
                <w:rFonts w:ascii="Arial"/>
                <w:color w:val="auto"/>
                <w:sz w:val="21"/>
                <w:highlight w:val="none"/>
              </w:rPr>
            </w:pPr>
          </w:p>
        </w:tc>
        <w:tc>
          <w:tcPr>
            <w:tcW w:w="1420" w:type="dxa"/>
            <w:vAlign w:val="top"/>
          </w:tcPr>
          <w:p w14:paraId="0EDAB861">
            <w:pPr>
              <w:outlineLvl w:val="9"/>
              <w:rPr>
                <w:rFonts w:ascii="Arial"/>
                <w:color w:val="auto"/>
                <w:sz w:val="21"/>
                <w:highlight w:val="none"/>
              </w:rPr>
            </w:pPr>
          </w:p>
        </w:tc>
        <w:tc>
          <w:tcPr>
            <w:tcW w:w="1159" w:type="dxa"/>
            <w:vAlign w:val="top"/>
          </w:tcPr>
          <w:p w14:paraId="1B801C16">
            <w:pPr>
              <w:outlineLvl w:val="9"/>
              <w:rPr>
                <w:rFonts w:ascii="Arial"/>
                <w:color w:val="auto"/>
                <w:sz w:val="21"/>
                <w:highlight w:val="none"/>
              </w:rPr>
            </w:pPr>
          </w:p>
        </w:tc>
        <w:tc>
          <w:tcPr>
            <w:tcW w:w="1161" w:type="dxa"/>
            <w:vAlign w:val="top"/>
          </w:tcPr>
          <w:p w14:paraId="665373AD">
            <w:pPr>
              <w:outlineLvl w:val="9"/>
              <w:rPr>
                <w:rFonts w:ascii="Arial"/>
                <w:color w:val="auto"/>
                <w:sz w:val="21"/>
                <w:highlight w:val="none"/>
              </w:rPr>
            </w:pPr>
          </w:p>
        </w:tc>
        <w:tc>
          <w:tcPr>
            <w:tcW w:w="1161" w:type="dxa"/>
            <w:vAlign w:val="top"/>
          </w:tcPr>
          <w:p w14:paraId="2A798ADC">
            <w:pPr>
              <w:outlineLvl w:val="9"/>
              <w:rPr>
                <w:rFonts w:ascii="Arial"/>
                <w:color w:val="auto"/>
                <w:sz w:val="21"/>
                <w:highlight w:val="none"/>
              </w:rPr>
            </w:pPr>
          </w:p>
        </w:tc>
        <w:tc>
          <w:tcPr>
            <w:tcW w:w="1161" w:type="dxa"/>
            <w:vAlign w:val="top"/>
          </w:tcPr>
          <w:p w14:paraId="0480A72B">
            <w:pPr>
              <w:outlineLvl w:val="9"/>
              <w:rPr>
                <w:rFonts w:ascii="Arial"/>
                <w:color w:val="auto"/>
                <w:sz w:val="21"/>
                <w:highlight w:val="none"/>
              </w:rPr>
            </w:pPr>
          </w:p>
        </w:tc>
        <w:tc>
          <w:tcPr>
            <w:tcW w:w="1159" w:type="dxa"/>
            <w:vAlign w:val="top"/>
          </w:tcPr>
          <w:p w14:paraId="20C9B93E">
            <w:pPr>
              <w:outlineLvl w:val="9"/>
              <w:rPr>
                <w:rFonts w:ascii="Arial"/>
                <w:color w:val="auto"/>
                <w:sz w:val="21"/>
                <w:highlight w:val="none"/>
              </w:rPr>
            </w:pPr>
          </w:p>
        </w:tc>
        <w:tc>
          <w:tcPr>
            <w:tcW w:w="1163" w:type="dxa"/>
            <w:vAlign w:val="top"/>
          </w:tcPr>
          <w:p w14:paraId="50364C4B">
            <w:pPr>
              <w:outlineLvl w:val="9"/>
              <w:rPr>
                <w:rFonts w:ascii="Arial"/>
                <w:color w:val="auto"/>
                <w:sz w:val="21"/>
                <w:highlight w:val="none"/>
              </w:rPr>
            </w:pPr>
          </w:p>
        </w:tc>
      </w:tr>
      <w:tr w14:paraId="3354D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575A6696">
            <w:pPr>
              <w:outlineLvl w:val="9"/>
              <w:rPr>
                <w:rFonts w:ascii="Arial"/>
                <w:color w:val="auto"/>
                <w:sz w:val="21"/>
                <w:highlight w:val="none"/>
              </w:rPr>
            </w:pPr>
          </w:p>
        </w:tc>
        <w:tc>
          <w:tcPr>
            <w:tcW w:w="1420" w:type="dxa"/>
            <w:vAlign w:val="top"/>
          </w:tcPr>
          <w:p w14:paraId="1F727EBC">
            <w:pPr>
              <w:outlineLvl w:val="9"/>
              <w:rPr>
                <w:rFonts w:ascii="Arial"/>
                <w:color w:val="auto"/>
                <w:sz w:val="21"/>
                <w:highlight w:val="none"/>
              </w:rPr>
            </w:pPr>
          </w:p>
        </w:tc>
        <w:tc>
          <w:tcPr>
            <w:tcW w:w="1159" w:type="dxa"/>
            <w:vAlign w:val="top"/>
          </w:tcPr>
          <w:p w14:paraId="673C5BF5">
            <w:pPr>
              <w:outlineLvl w:val="9"/>
              <w:rPr>
                <w:rFonts w:ascii="Arial"/>
                <w:color w:val="auto"/>
                <w:sz w:val="21"/>
                <w:highlight w:val="none"/>
              </w:rPr>
            </w:pPr>
          </w:p>
        </w:tc>
        <w:tc>
          <w:tcPr>
            <w:tcW w:w="1161" w:type="dxa"/>
            <w:vAlign w:val="top"/>
          </w:tcPr>
          <w:p w14:paraId="0C256F5D">
            <w:pPr>
              <w:outlineLvl w:val="9"/>
              <w:rPr>
                <w:rFonts w:ascii="Arial"/>
                <w:color w:val="auto"/>
                <w:sz w:val="21"/>
                <w:highlight w:val="none"/>
              </w:rPr>
            </w:pPr>
          </w:p>
        </w:tc>
        <w:tc>
          <w:tcPr>
            <w:tcW w:w="1161" w:type="dxa"/>
            <w:vAlign w:val="top"/>
          </w:tcPr>
          <w:p w14:paraId="371A5CC7">
            <w:pPr>
              <w:outlineLvl w:val="9"/>
              <w:rPr>
                <w:rFonts w:ascii="Arial"/>
                <w:color w:val="auto"/>
                <w:sz w:val="21"/>
                <w:highlight w:val="none"/>
              </w:rPr>
            </w:pPr>
          </w:p>
        </w:tc>
        <w:tc>
          <w:tcPr>
            <w:tcW w:w="1161" w:type="dxa"/>
            <w:vAlign w:val="top"/>
          </w:tcPr>
          <w:p w14:paraId="3DE9CA3B">
            <w:pPr>
              <w:outlineLvl w:val="9"/>
              <w:rPr>
                <w:rFonts w:ascii="Arial"/>
                <w:color w:val="auto"/>
                <w:sz w:val="21"/>
                <w:highlight w:val="none"/>
              </w:rPr>
            </w:pPr>
          </w:p>
        </w:tc>
        <w:tc>
          <w:tcPr>
            <w:tcW w:w="1159" w:type="dxa"/>
            <w:vAlign w:val="top"/>
          </w:tcPr>
          <w:p w14:paraId="4E87B548">
            <w:pPr>
              <w:outlineLvl w:val="9"/>
              <w:rPr>
                <w:rFonts w:ascii="Arial"/>
                <w:color w:val="auto"/>
                <w:sz w:val="21"/>
                <w:highlight w:val="none"/>
              </w:rPr>
            </w:pPr>
          </w:p>
        </w:tc>
        <w:tc>
          <w:tcPr>
            <w:tcW w:w="1163" w:type="dxa"/>
            <w:vAlign w:val="top"/>
          </w:tcPr>
          <w:p w14:paraId="5C4864F2">
            <w:pPr>
              <w:outlineLvl w:val="9"/>
              <w:rPr>
                <w:rFonts w:ascii="Arial"/>
                <w:color w:val="auto"/>
                <w:sz w:val="21"/>
                <w:highlight w:val="none"/>
              </w:rPr>
            </w:pPr>
          </w:p>
        </w:tc>
      </w:tr>
      <w:tr w14:paraId="417CB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0F9E9305">
            <w:pPr>
              <w:outlineLvl w:val="9"/>
              <w:rPr>
                <w:rFonts w:ascii="Arial"/>
                <w:color w:val="auto"/>
                <w:sz w:val="21"/>
                <w:highlight w:val="none"/>
              </w:rPr>
            </w:pPr>
          </w:p>
        </w:tc>
        <w:tc>
          <w:tcPr>
            <w:tcW w:w="1420" w:type="dxa"/>
            <w:vAlign w:val="top"/>
          </w:tcPr>
          <w:p w14:paraId="40FEFEDE">
            <w:pPr>
              <w:outlineLvl w:val="9"/>
              <w:rPr>
                <w:rFonts w:ascii="Arial"/>
                <w:color w:val="auto"/>
                <w:sz w:val="21"/>
                <w:highlight w:val="none"/>
              </w:rPr>
            </w:pPr>
          </w:p>
        </w:tc>
        <w:tc>
          <w:tcPr>
            <w:tcW w:w="1159" w:type="dxa"/>
            <w:vAlign w:val="top"/>
          </w:tcPr>
          <w:p w14:paraId="296086F6">
            <w:pPr>
              <w:outlineLvl w:val="9"/>
              <w:rPr>
                <w:rFonts w:ascii="Arial"/>
                <w:color w:val="auto"/>
                <w:sz w:val="21"/>
                <w:highlight w:val="none"/>
              </w:rPr>
            </w:pPr>
          </w:p>
        </w:tc>
        <w:tc>
          <w:tcPr>
            <w:tcW w:w="1161" w:type="dxa"/>
            <w:vAlign w:val="top"/>
          </w:tcPr>
          <w:p w14:paraId="21C45510">
            <w:pPr>
              <w:outlineLvl w:val="9"/>
              <w:rPr>
                <w:rFonts w:ascii="Arial"/>
                <w:color w:val="auto"/>
                <w:sz w:val="21"/>
                <w:highlight w:val="none"/>
              </w:rPr>
            </w:pPr>
          </w:p>
        </w:tc>
        <w:tc>
          <w:tcPr>
            <w:tcW w:w="1161" w:type="dxa"/>
            <w:vAlign w:val="top"/>
          </w:tcPr>
          <w:p w14:paraId="36F02954">
            <w:pPr>
              <w:outlineLvl w:val="9"/>
              <w:rPr>
                <w:rFonts w:ascii="Arial"/>
                <w:color w:val="auto"/>
                <w:sz w:val="21"/>
                <w:highlight w:val="none"/>
              </w:rPr>
            </w:pPr>
          </w:p>
        </w:tc>
        <w:tc>
          <w:tcPr>
            <w:tcW w:w="1161" w:type="dxa"/>
            <w:vAlign w:val="top"/>
          </w:tcPr>
          <w:p w14:paraId="662EC5B0">
            <w:pPr>
              <w:outlineLvl w:val="9"/>
              <w:rPr>
                <w:rFonts w:ascii="Arial"/>
                <w:color w:val="auto"/>
                <w:sz w:val="21"/>
                <w:highlight w:val="none"/>
              </w:rPr>
            </w:pPr>
          </w:p>
        </w:tc>
        <w:tc>
          <w:tcPr>
            <w:tcW w:w="1159" w:type="dxa"/>
            <w:vAlign w:val="top"/>
          </w:tcPr>
          <w:p w14:paraId="50D73205">
            <w:pPr>
              <w:outlineLvl w:val="9"/>
              <w:rPr>
                <w:rFonts w:ascii="Arial"/>
                <w:color w:val="auto"/>
                <w:sz w:val="21"/>
                <w:highlight w:val="none"/>
              </w:rPr>
            </w:pPr>
          </w:p>
        </w:tc>
        <w:tc>
          <w:tcPr>
            <w:tcW w:w="1163" w:type="dxa"/>
            <w:vAlign w:val="top"/>
          </w:tcPr>
          <w:p w14:paraId="4AFADDCE">
            <w:pPr>
              <w:outlineLvl w:val="9"/>
              <w:rPr>
                <w:rFonts w:ascii="Arial"/>
                <w:color w:val="auto"/>
                <w:sz w:val="21"/>
                <w:highlight w:val="none"/>
              </w:rPr>
            </w:pPr>
          </w:p>
        </w:tc>
      </w:tr>
      <w:tr w14:paraId="1F784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25015071">
            <w:pPr>
              <w:outlineLvl w:val="9"/>
              <w:rPr>
                <w:rFonts w:ascii="Arial"/>
                <w:color w:val="auto"/>
                <w:sz w:val="21"/>
                <w:highlight w:val="none"/>
              </w:rPr>
            </w:pPr>
          </w:p>
        </w:tc>
        <w:tc>
          <w:tcPr>
            <w:tcW w:w="1420" w:type="dxa"/>
            <w:vAlign w:val="top"/>
          </w:tcPr>
          <w:p w14:paraId="4010F200">
            <w:pPr>
              <w:outlineLvl w:val="9"/>
              <w:rPr>
                <w:rFonts w:ascii="Arial"/>
                <w:color w:val="auto"/>
                <w:sz w:val="21"/>
                <w:highlight w:val="none"/>
              </w:rPr>
            </w:pPr>
          </w:p>
        </w:tc>
        <w:tc>
          <w:tcPr>
            <w:tcW w:w="1159" w:type="dxa"/>
            <w:vAlign w:val="top"/>
          </w:tcPr>
          <w:p w14:paraId="32A8A75C">
            <w:pPr>
              <w:outlineLvl w:val="9"/>
              <w:rPr>
                <w:rFonts w:ascii="Arial"/>
                <w:color w:val="auto"/>
                <w:sz w:val="21"/>
                <w:highlight w:val="none"/>
              </w:rPr>
            </w:pPr>
          </w:p>
        </w:tc>
        <w:tc>
          <w:tcPr>
            <w:tcW w:w="1161" w:type="dxa"/>
            <w:vAlign w:val="top"/>
          </w:tcPr>
          <w:p w14:paraId="7155C9BE">
            <w:pPr>
              <w:outlineLvl w:val="9"/>
              <w:rPr>
                <w:rFonts w:ascii="Arial"/>
                <w:color w:val="auto"/>
                <w:sz w:val="21"/>
                <w:highlight w:val="none"/>
              </w:rPr>
            </w:pPr>
          </w:p>
        </w:tc>
        <w:tc>
          <w:tcPr>
            <w:tcW w:w="1161" w:type="dxa"/>
            <w:vAlign w:val="top"/>
          </w:tcPr>
          <w:p w14:paraId="3B757C4E">
            <w:pPr>
              <w:outlineLvl w:val="9"/>
              <w:rPr>
                <w:rFonts w:ascii="Arial"/>
                <w:color w:val="auto"/>
                <w:sz w:val="21"/>
                <w:highlight w:val="none"/>
              </w:rPr>
            </w:pPr>
          </w:p>
        </w:tc>
        <w:tc>
          <w:tcPr>
            <w:tcW w:w="1161" w:type="dxa"/>
            <w:vAlign w:val="top"/>
          </w:tcPr>
          <w:p w14:paraId="2F594EB5">
            <w:pPr>
              <w:outlineLvl w:val="9"/>
              <w:rPr>
                <w:rFonts w:ascii="Arial"/>
                <w:color w:val="auto"/>
                <w:sz w:val="21"/>
                <w:highlight w:val="none"/>
              </w:rPr>
            </w:pPr>
          </w:p>
        </w:tc>
        <w:tc>
          <w:tcPr>
            <w:tcW w:w="1159" w:type="dxa"/>
            <w:vAlign w:val="top"/>
          </w:tcPr>
          <w:p w14:paraId="641053E4">
            <w:pPr>
              <w:outlineLvl w:val="9"/>
              <w:rPr>
                <w:rFonts w:ascii="Arial"/>
                <w:color w:val="auto"/>
                <w:sz w:val="21"/>
                <w:highlight w:val="none"/>
              </w:rPr>
            </w:pPr>
          </w:p>
        </w:tc>
        <w:tc>
          <w:tcPr>
            <w:tcW w:w="1163" w:type="dxa"/>
            <w:vAlign w:val="top"/>
          </w:tcPr>
          <w:p w14:paraId="67315F24">
            <w:pPr>
              <w:outlineLvl w:val="9"/>
              <w:rPr>
                <w:rFonts w:ascii="Arial"/>
                <w:color w:val="auto"/>
                <w:sz w:val="21"/>
                <w:highlight w:val="none"/>
              </w:rPr>
            </w:pPr>
          </w:p>
        </w:tc>
      </w:tr>
      <w:tr w14:paraId="1F4D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004BA348">
            <w:pPr>
              <w:outlineLvl w:val="9"/>
              <w:rPr>
                <w:rFonts w:ascii="Arial"/>
                <w:color w:val="auto"/>
                <w:sz w:val="21"/>
                <w:highlight w:val="none"/>
              </w:rPr>
            </w:pPr>
          </w:p>
        </w:tc>
        <w:tc>
          <w:tcPr>
            <w:tcW w:w="1420" w:type="dxa"/>
            <w:vAlign w:val="top"/>
          </w:tcPr>
          <w:p w14:paraId="392DB4A3">
            <w:pPr>
              <w:outlineLvl w:val="9"/>
              <w:rPr>
                <w:rFonts w:ascii="Arial"/>
                <w:color w:val="auto"/>
                <w:sz w:val="21"/>
                <w:highlight w:val="none"/>
              </w:rPr>
            </w:pPr>
          </w:p>
        </w:tc>
        <w:tc>
          <w:tcPr>
            <w:tcW w:w="1159" w:type="dxa"/>
            <w:vAlign w:val="top"/>
          </w:tcPr>
          <w:p w14:paraId="1A3473A6">
            <w:pPr>
              <w:outlineLvl w:val="9"/>
              <w:rPr>
                <w:rFonts w:ascii="Arial"/>
                <w:color w:val="auto"/>
                <w:sz w:val="21"/>
                <w:highlight w:val="none"/>
              </w:rPr>
            </w:pPr>
          </w:p>
        </w:tc>
        <w:tc>
          <w:tcPr>
            <w:tcW w:w="1161" w:type="dxa"/>
            <w:vAlign w:val="top"/>
          </w:tcPr>
          <w:p w14:paraId="7016BAE1">
            <w:pPr>
              <w:outlineLvl w:val="9"/>
              <w:rPr>
                <w:rFonts w:ascii="Arial"/>
                <w:color w:val="auto"/>
                <w:sz w:val="21"/>
                <w:highlight w:val="none"/>
              </w:rPr>
            </w:pPr>
          </w:p>
        </w:tc>
        <w:tc>
          <w:tcPr>
            <w:tcW w:w="1161" w:type="dxa"/>
            <w:vAlign w:val="top"/>
          </w:tcPr>
          <w:p w14:paraId="30DF529F">
            <w:pPr>
              <w:outlineLvl w:val="9"/>
              <w:rPr>
                <w:rFonts w:ascii="Arial"/>
                <w:color w:val="auto"/>
                <w:sz w:val="21"/>
                <w:highlight w:val="none"/>
              </w:rPr>
            </w:pPr>
          </w:p>
        </w:tc>
        <w:tc>
          <w:tcPr>
            <w:tcW w:w="1161" w:type="dxa"/>
            <w:vAlign w:val="top"/>
          </w:tcPr>
          <w:p w14:paraId="3D962E07">
            <w:pPr>
              <w:outlineLvl w:val="9"/>
              <w:rPr>
                <w:rFonts w:ascii="Arial"/>
                <w:color w:val="auto"/>
                <w:sz w:val="21"/>
                <w:highlight w:val="none"/>
              </w:rPr>
            </w:pPr>
          </w:p>
        </w:tc>
        <w:tc>
          <w:tcPr>
            <w:tcW w:w="1159" w:type="dxa"/>
            <w:vAlign w:val="top"/>
          </w:tcPr>
          <w:p w14:paraId="7BD81347">
            <w:pPr>
              <w:outlineLvl w:val="9"/>
              <w:rPr>
                <w:rFonts w:ascii="Arial"/>
                <w:color w:val="auto"/>
                <w:sz w:val="21"/>
                <w:highlight w:val="none"/>
              </w:rPr>
            </w:pPr>
          </w:p>
        </w:tc>
        <w:tc>
          <w:tcPr>
            <w:tcW w:w="1163" w:type="dxa"/>
            <w:vAlign w:val="top"/>
          </w:tcPr>
          <w:p w14:paraId="211E397A">
            <w:pPr>
              <w:outlineLvl w:val="9"/>
              <w:rPr>
                <w:rFonts w:ascii="Arial"/>
                <w:color w:val="auto"/>
                <w:sz w:val="21"/>
                <w:highlight w:val="none"/>
              </w:rPr>
            </w:pPr>
          </w:p>
        </w:tc>
      </w:tr>
      <w:tr w14:paraId="16A5B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5ABE8B0B">
            <w:pPr>
              <w:outlineLvl w:val="9"/>
              <w:rPr>
                <w:rFonts w:ascii="Arial"/>
                <w:color w:val="auto"/>
                <w:sz w:val="21"/>
                <w:highlight w:val="none"/>
              </w:rPr>
            </w:pPr>
          </w:p>
        </w:tc>
        <w:tc>
          <w:tcPr>
            <w:tcW w:w="1420" w:type="dxa"/>
            <w:vAlign w:val="top"/>
          </w:tcPr>
          <w:p w14:paraId="56391009">
            <w:pPr>
              <w:outlineLvl w:val="9"/>
              <w:rPr>
                <w:rFonts w:ascii="Arial"/>
                <w:color w:val="auto"/>
                <w:sz w:val="21"/>
                <w:highlight w:val="none"/>
              </w:rPr>
            </w:pPr>
          </w:p>
        </w:tc>
        <w:tc>
          <w:tcPr>
            <w:tcW w:w="1159" w:type="dxa"/>
            <w:vAlign w:val="top"/>
          </w:tcPr>
          <w:p w14:paraId="3FFB9207">
            <w:pPr>
              <w:outlineLvl w:val="9"/>
              <w:rPr>
                <w:rFonts w:ascii="Arial"/>
                <w:color w:val="auto"/>
                <w:sz w:val="21"/>
                <w:highlight w:val="none"/>
              </w:rPr>
            </w:pPr>
          </w:p>
        </w:tc>
        <w:tc>
          <w:tcPr>
            <w:tcW w:w="1161" w:type="dxa"/>
            <w:vAlign w:val="top"/>
          </w:tcPr>
          <w:p w14:paraId="2720A516">
            <w:pPr>
              <w:outlineLvl w:val="9"/>
              <w:rPr>
                <w:rFonts w:ascii="Arial"/>
                <w:color w:val="auto"/>
                <w:sz w:val="21"/>
                <w:highlight w:val="none"/>
              </w:rPr>
            </w:pPr>
          </w:p>
        </w:tc>
        <w:tc>
          <w:tcPr>
            <w:tcW w:w="1161" w:type="dxa"/>
            <w:vAlign w:val="top"/>
          </w:tcPr>
          <w:p w14:paraId="38C327DE">
            <w:pPr>
              <w:outlineLvl w:val="9"/>
              <w:rPr>
                <w:rFonts w:ascii="Arial"/>
                <w:color w:val="auto"/>
                <w:sz w:val="21"/>
                <w:highlight w:val="none"/>
              </w:rPr>
            </w:pPr>
          </w:p>
        </w:tc>
        <w:tc>
          <w:tcPr>
            <w:tcW w:w="1161" w:type="dxa"/>
            <w:vAlign w:val="top"/>
          </w:tcPr>
          <w:p w14:paraId="6CDE1AE2">
            <w:pPr>
              <w:outlineLvl w:val="9"/>
              <w:rPr>
                <w:rFonts w:ascii="Arial"/>
                <w:color w:val="auto"/>
                <w:sz w:val="21"/>
                <w:highlight w:val="none"/>
              </w:rPr>
            </w:pPr>
          </w:p>
        </w:tc>
        <w:tc>
          <w:tcPr>
            <w:tcW w:w="1159" w:type="dxa"/>
            <w:vAlign w:val="top"/>
          </w:tcPr>
          <w:p w14:paraId="78D45044">
            <w:pPr>
              <w:outlineLvl w:val="9"/>
              <w:rPr>
                <w:rFonts w:ascii="Arial"/>
                <w:color w:val="auto"/>
                <w:sz w:val="21"/>
                <w:highlight w:val="none"/>
              </w:rPr>
            </w:pPr>
          </w:p>
        </w:tc>
        <w:tc>
          <w:tcPr>
            <w:tcW w:w="1163" w:type="dxa"/>
            <w:vAlign w:val="top"/>
          </w:tcPr>
          <w:p w14:paraId="3BB20173">
            <w:pPr>
              <w:outlineLvl w:val="9"/>
              <w:rPr>
                <w:rFonts w:ascii="Arial"/>
                <w:color w:val="auto"/>
                <w:sz w:val="21"/>
                <w:highlight w:val="none"/>
              </w:rPr>
            </w:pPr>
          </w:p>
        </w:tc>
      </w:tr>
      <w:tr w14:paraId="657A8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03941B04">
            <w:pPr>
              <w:outlineLvl w:val="9"/>
              <w:rPr>
                <w:rFonts w:ascii="Arial"/>
                <w:color w:val="auto"/>
                <w:sz w:val="21"/>
                <w:highlight w:val="none"/>
              </w:rPr>
            </w:pPr>
          </w:p>
        </w:tc>
        <w:tc>
          <w:tcPr>
            <w:tcW w:w="1420" w:type="dxa"/>
            <w:vAlign w:val="top"/>
          </w:tcPr>
          <w:p w14:paraId="1E13A16D">
            <w:pPr>
              <w:outlineLvl w:val="9"/>
              <w:rPr>
                <w:rFonts w:ascii="Arial"/>
                <w:color w:val="auto"/>
                <w:sz w:val="21"/>
                <w:highlight w:val="none"/>
              </w:rPr>
            </w:pPr>
          </w:p>
        </w:tc>
        <w:tc>
          <w:tcPr>
            <w:tcW w:w="1159" w:type="dxa"/>
            <w:vAlign w:val="top"/>
          </w:tcPr>
          <w:p w14:paraId="12B609DD">
            <w:pPr>
              <w:outlineLvl w:val="9"/>
              <w:rPr>
                <w:rFonts w:ascii="Arial"/>
                <w:color w:val="auto"/>
                <w:sz w:val="21"/>
                <w:highlight w:val="none"/>
              </w:rPr>
            </w:pPr>
          </w:p>
        </w:tc>
        <w:tc>
          <w:tcPr>
            <w:tcW w:w="1161" w:type="dxa"/>
            <w:vAlign w:val="top"/>
          </w:tcPr>
          <w:p w14:paraId="403046A1">
            <w:pPr>
              <w:outlineLvl w:val="9"/>
              <w:rPr>
                <w:rFonts w:ascii="Arial"/>
                <w:color w:val="auto"/>
                <w:sz w:val="21"/>
                <w:highlight w:val="none"/>
              </w:rPr>
            </w:pPr>
          </w:p>
        </w:tc>
        <w:tc>
          <w:tcPr>
            <w:tcW w:w="1161" w:type="dxa"/>
            <w:vAlign w:val="top"/>
          </w:tcPr>
          <w:p w14:paraId="4241702F">
            <w:pPr>
              <w:outlineLvl w:val="9"/>
              <w:rPr>
                <w:rFonts w:ascii="Arial"/>
                <w:color w:val="auto"/>
                <w:sz w:val="21"/>
                <w:highlight w:val="none"/>
              </w:rPr>
            </w:pPr>
          </w:p>
        </w:tc>
        <w:tc>
          <w:tcPr>
            <w:tcW w:w="1161" w:type="dxa"/>
            <w:vAlign w:val="top"/>
          </w:tcPr>
          <w:p w14:paraId="31EDF2ED">
            <w:pPr>
              <w:outlineLvl w:val="9"/>
              <w:rPr>
                <w:rFonts w:ascii="Arial"/>
                <w:color w:val="auto"/>
                <w:sz w:val="21"/>
                <w:highlight w:val="none"/>
              </w:rPr>
            </w:pPr>
          </w:p>
        </w:tc>
        <w:tc>
          <w:tcPr>
            <w:tcW w:w="1159" w:type="dxa"/>
            <w:vAlign w:val="top"/>
          </w:tcPr>
          <w:p w14:paraId="7F31225B">
            <w:pPr>
              <w:outlineLvl w:val="9"/>
              <w:rPr>
                <w:rFonts w:ascii="Arial"/>
                <w:color w:val="auto"/>
                <w:sz w:val="21"/>
                <w:highlight w:val="none"/>
              </w:rPr>
            </w:pPr>
          </w:p>
        </w:tc>
        <w:tc>
          <w:tcPr>
            <w:tcW w:w="1163" w:type="dxa"/>
            <w:vAlign w:val="top"/>
          </w:tcPr>
          <w:p w14:paraId="4C29F3E0">
            <w:pPr>
              <w:outlineLvl w:val="9"/>
              <w:rPr>
                <w:rFonts w:ascii="Arial"/>
                <w:color w:val="auto"/>
                <w:sz w:val="21"/>
                <w:highlight w:val="none"/>
              </w:rPr>
            </w:pPr>
          </w:p>
        </w:tc>
      </w:tr>
      <w:tr w14:paraId="5BD01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14:paraId="29EF2E25">
            <w:pPr>
              <w:outlineLvl w:val="9"/>
              <w:rPr>
                <w:rFonts w:ascii="Arial"/>
                <w:color w:val="auto"/>
                <w:sz w:val="21"/>
                <w:highlight w:val="none"/>
              </w:rPr>
            </w:pPr>
          </w:p>
        </w:tc>
        <w:tc>
          <w:tcPr>
            <w:tcW w:w="1420" w:type="dxa"/>
            <w:vAlign w:val="top"/>
          </w:tcPr>
          <w:p w14:paraId="51FC8958">
            <w:pPr>
              <w:outlineLvl w:val="9"/>
              <w:rPr>
                <w:rFonts w:ascii="Arial"/>
                <w:color w:val="auto"/>
                <w:sz w:val="21"/>
                <w:highlight w:val="none"/>
              </w:rPr>
            </w:pPr>
          </w:p>
        </w:tc>
        <w:tc>
          <w:tcPr>
            <w:tcW w:w="1159" w:type="dxa"/>
            <w:vAlign w:val="top"/>
          </w:tcPr>
          <w:p w14:paraId="58649E71">
            <w:pPr>
              <w:outlineLvl w:val="9"/>
              <w:rPr>
                <w:rFonts w:ascii="Arial"/>
                <w:color w:val="auto"/>
                <w:sz w:val="21"/>
                <w:highlight w:val="none"/>
              </w:rPr>
            </w:pPr>
          </w:p>
        </w:tc>
        <w:tc>
          <w:tcPr>
            <w:tcW w:w="1161" w:type="dxa"/>
            <w:vAlign w:val="top"/>
          </w:tcPr>
          <w:p w14:paraId="66E4A3A4">
            <w:pPr>
              <w:outlineLvl w:val="9"/>
              <w:rPr>
                <w:rFonts w:ascii="Arial"/>
                <w:color w:val="auto"/>
                <w:sz w:val="21"/>
                <w:highlight w:val="none"/>
              </w:rPr>
            </w:pPr>
          </w:p>
        </w:tc>
        <w:tc>
          <w:tcPr>
            <w:tcW w:w="1161" w:type="dxa"/>
            <w:vAlign w:val="top"/>
          </w:tcPr>
          <w:p w14:paraId="0817FE91">
            <w:pPr>
              <w:outlineLvl w:val="9"/>
              <w:rPr>
                <w:rFonts w:ascii="Arial"/>
                <w:color w:val="auto"/>
                <w:sz w:val="21"/>
                <w:highlight w:val="none"/>
              </w:rPr>
            </w:pPr>
          </w:p>
        </w:tc>
        <w:tc>
          <w:tcPr>
            <w:tcW w:w="1161" w:type="dxa"/>
            <w:vAlign w:val="top"/>
          </w:tcPr>
          <w:p w14:paraId="17C72BE1">
            <w:pPr>
              <w:outlineLvl w:val="9"/>
              <w:rPr>
                <w:rFonts w:ascii="Arial"/>
                <w:color w:val="auto"/>
                <w:sz w:val="21"/>
                <w:highlight w:val="none"/>
              </w:rPr>
            </w:pPr>
          </w:p>
        </w:tc>
        <w:tc>
          <w:tcPr>
            <w:tcW w:w="1159" w:type="dxa"/>
            <w:vAlign w:val="top"/>
          </w:tcPr>
          <w:p w14:paraId="14B6FFAA">
            <w:pPr>
              <w:outlineLvl w:val="9"/>
              <w:rPr>
                <w:rFonts w:ascii="Arial"/>
                <w:color w:val="auto"/>
                <w:sz w:val="21"/>
                <w:highlight w:val="none"/>
              </w:rPr>
            </w:pPr>
          </w:p>
        </w:tc>
        <w:tc>
          <w:tcPr>
            <w:tcW w:w="1163" w:type="dxa"/>
            <w:vAlign w:val="top"/>
          </w:tcPr>
          <w:p w14:paraId="67D80AF1">
            <w:pPr>
              <w:outlineLvl w:val="9"/>
              <w:rPr>
                <w:rFonts w:ascii="Arial"/>
                <w:color w:val="auto"/>
                <w:sz w:val="21"/>
                <w:highlight w:val="none"/>
              </w:rPr>
            </w:pPr>
          </w:p>
        </w:tc>
      </w:tr>
      <w:tr w14:paraId="692E3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50F866E6">
            <w:pPr>
              <w:outlineLvl w:val="9"/>
              <w:rPr>
                <w:rFonts w:ascii="Arial"/>
                <w:color w:val="auto"/>
                <w:sz w:val="21"/>
                <w:highlight w:val="none"/>
              </w:rPr>
            </w:pPr>
          </w:p>
        </w:tc>
        <w:tc>
          <w:tcPr>
            <w:tcW w:w="1420" w:type="dxa"/>
            <w:vAlign w:val="top"/>
          </w:tcPr>
          <w:p w14:paraId="7BB2DED0">
            <w:pPr>
              <w:outlineLvl w:val="9"/>
              <w:rPr>
                <w:rFonts w:ascii="Arial"/>
                <w:color w:val="auto"/>
                <w:sz w:val="21"/>
                <w:highlight w:val="none"/>
              </w:rPr>
            </w:pPr>
          </w:p>
        </w:tc>
        <w:tc>
          <w:tcPr>
            <w:tcW w:w="1159" w:type="dxa"/>
            <w:vAlign w:val="top"/>
          </w:tcPr>
          <w:p w14:paraId="1BBEEA0B">
            <w:pPr>
              <w:outlineLvl w:val="9"/>
              <w:rPr>
                <w:rFonts w:ascii="Arial"/>
                <w:color w:val="auto"/>
                <w:sz w:val="21"/>
                <w:highlight w:val="none"/>
              </w:rPr>
            </w:pPr>
          </w:p>
        </w:tc>
        <w:tc>
          <w:tcPr>
            <w:tcW w:w="1161" w:type="dxa"/>
            <w:vAlign w:val="top"/>
          </w:tcPr>
          <w:p w14:paraId="2FDCA426">
            <w:pPr>
              <w:outlineLvl w:val="9"/>
              <w:rPr>
                <w:rFonts w:ascii="Arial"/>
                <w:color w:val="auto"/>
                <w:sz w:val="21"/>
                <w:highlight w:val="none"/>
              </w:rPr>
            </w:pPr>
          </w:p>
        </w:tc>
        <w:tc>
          <w:tcPr>
            <w:tcW w:w="1161" w:type="dxa"/>
            <w:vAlign w:val="top"/>
          </w:tcPr>
          <w:p w14:paraId="7D755C69">
            <w:pPr>
              <w:outlineLvl w:val="9"/>
              <w:rPr>
                <w:rFonts w:ascii="Arial"/>
                <w:color w:val="auto"/>
                <w:sz w:val="21"/>
                <w:highlight w:val="none"/>
              </w:rPr>
            </w:pPr>
          </w:p>
        </w:tc>
        <w:tc>
          <w:tcPr>
            <w:tcW w:w="1161" w:type="dxa"/>
            <w:vAlign w:val="top"/>
          </w:tcPr>
          <w:p w14:paraId="0FBC0902">
            <w:pPr>
              <w:outlineLvl w:val="9"/>
              <w:rPr>
                <w:rFonts w:ascii="Arial"/>
                <w:color w:val="auto"/>
                <w:sz w:val="21"/>
                <w:highlight w:val="none"/>
              </w:rPr>
            </w:pPr>
          </w:p>
        </w:tc>
        <w:tc>
          <w:tcPr>
            <w:tcW w:w="1159" w:type="dxa"/>
            <w:vAlign w:val="top"/>
          </w:tcPr>
          <w:p w14:paraId="5D0DEA8B">
            <w:pPr>
              <w:outlineLvl w:val="9"/>
              <w:rPr>
                <w:rFonts w:ascii="Arial"/>
                <w:color w:val="auto"/>
                <w:sz w:val="21"/>
                <w:highlight w:val="none"/>
              </w:rPr>
            </w:pPr>
          </w:p>
        </w:tc>
        <w:tc>
          <w:tcPr>
            <w:tcW w:w="1163" w:type="dxa"/>
            <w:vAlign w:val="top"/>
          </w:tcPr>
          <w:p w14:paraId="4AD48CD1">
            <w:pPr>
              <w:outlineLvl w:val="9"/>
              <w:rPr>
                <w:rFonts w:ascii="Arial"/>
                <w:color w:val="auto"/>
                <w:sz w:val="21"/>
                <w:highlight w:val="none"/>
              </w:rPr>
            </w:pPr>
          </w:p>
        </w:tc>
      </w:tr>
      <w:tr w14:paraId="78659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14:paraId="67459C44">
            <w:pPr>
              <w:outlineLvl w:val="9"/>
              <w:rPr>
                <w:rFonts w:ascii="Arial"/>
                <w:color w:val="auto"/>
                <w:sz w:val="21"/>
                <w:highlight w:val="none"/>
              </w:rPr>
            </w:pPr>
          </w:p>
        </w:tc>
        <w:tc>
          <w:tcPr>
            <w:tcW w:w="1420" w:type="dxa"/>
            <w:vAlign w:val="top"/>
          </w:tcPr>
          <w:p w14:paraId="57A2B278">
            <w:pPr>
              <w:outlineLvl w:val="9"/>
              <w:rPr>
                <w:rFonts w:ascii="Arial"/>
                <w:color w:val="auto"/>
                <w:sz w:val="21"/>
                <w:highlight w:val="none"/>
              </w:rPr>
            </w:pPr>
          </w:p>
        </w:tc>
        <w:tc>
          <w:tcPr>
            <w:tcW w:w="1159" w:type="dxa"/>
            <w:vAlign w:val="top"/>
          </w:tcPr>
          <w:p w14:paraId="5416E41E">
            <w:pPr>
              <w:outlineLvl w:val="9"/>
              <w:rPr>
                <w:rFonts w:ascii="Arial"/>
                <w:color w:val="auto"/>
                <w:sz w:val="21"/>
                <w:highlight w:val="none"/>
              </w:rPr>
            </w:pPr>
          </w:p>
        </w:tc>
        <w:tc>
          <w:tcPr>
            <w:tcW w:w="1161" w:type="dxa"/>
            <w:vAlign w:val="top"/>
          </w:tcPr>
          <w:p w14:paraId="66EBEE87">
            <w:pPr>
              <w:outlineLvl w:val="9"/>
              <w:rPr>
                <w:rFonts w:ascii="Arial"/>
                <w:color w:val="auto"/>
                <w:sz w:val="21"/>
                <w:highlight w:val="none"/>
              </w:rPr>
            </w:pPr>
          </w:p>
        </w:tc>
        <w:tc>
          <w:tcPr>
            <w:tcW w:w="1161" w:type="dxa"/>
            <w:vAlign w:val="top"/>
          </w:tcPr>
          <w:p w14:paraId="47E871C8">
            <w:pPr>
              <w:outlineLvl w:val="9"/>
              <w:rPr>
                <w:rFonts w:ascii="Arial"/>
                <w:color w:val="auto"/>
                <w:sz w:val="21"/>
                <w:highlight w:val="none"/>
              </w:rPr>
            </w:pPr>
          </w:p>
        </w:tc>
        <w:tc>
          <w:tcPr>
            <w:tcW w:w="1161" w:type="dxa"/>
            <w:vAlign w:val="top"/>
          </w:tcPr>
          <w:p w14:paraId="4BB676EA">
            <w:pPr>
              <w:outlineLvl w:val="9"/>
              <w:rPr>
                <w:rFonts w:ascii="Arial"/>
                <w:color w:val="auto"/>
                <w:sz w:val="21"/>
                <w:highlight w:val="none"/>
              </w:rPr>
            </w:pPr>
          </w:p>
        </w:tc>
        <w:tc>
          <w:tcPr>
            <w:tcW w:w="1159" w:type="dxa"/>
            <w:vAlign w:val="top"/>
          </w:tcPr>
          <w:p w14:paraId="26BB0AD6">
            <w:pPr>
              <w:outlineLvl w:val="9"/>
              <w:rPr>
                <w:rFonts w:ascii="Arial"/>
                <w:color w:val="auto"/>
                <w:sz w:val="21"/>
                <w:highlight w:val="none"/>
              </w:rPr>
            </w:pPr>
          </w:p>
        </w:tc>
        <w:tc>
          <w:tcPr>
            <w:tcW w:w="1163" w:type="dxa"/>
            <w:vAlign w:val="top"/>
          </w:tcPr>
          <w:p w14:paraId="2D1DB92C">
            <w:pPr>
              <w:outlineLvl w:val="9"/>
              <w:rPr>
                <w:rFonts w:ascii="Arial"/>
                <w:color w:val="auto"/>
                <w:sz w:val="21"/>
                <w:highlight w:val="none"/>
              </w:rPr>
            </w:pPr>
          </w:p>
        </w:tc>
      </w:tr>
      <w:tr w14:paraId="41B4A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14:paraId="7EBD47EA">
            <w:pPr>
              <w:outlineLvl w:val="9"/>
              <w:rPr>
                <w:rFonts w:ascii="Arial"/>
                <w:color w:val="auto"/>
                <w:sz w:val="21"/>
                <w:highlight w:val="none"/>
              </w:rPr>
            </w:pPr>
          </w:p>
        </w:tc>
        <w:tc>
          <w:tcPr>
            <w:tcW w:w="1420" w:type="dxa"/>
            <w:vAlign w:val="top"/>
          </w:tcPr>
          <w:p w14:paraId="4DED8A96">
            <w:pPr>
              <w:outlineLvl w:val="9"/>
              <w:rPr>
                <w:rFonts w:ascii="Arial"/>
                <w:color w:val="auto"/>
                <w:sz w:val="21"/>
                <w:highlight w:val="none"/>
              </w:rPr>
            </w:pPr>
          </w:p>
        </w:tc>
        <w:tc>
          <w:tcPr>
            <w:tcW w:w="1159" w:type="dxa"/>
            <w:vAlign w:val="top"/>
          </w:tcPr>
          <w:p w14:paraId="2EE0E36E">
            <w:pPr>
              <w:outlineLvl w:val="9"/>
              <w:rPr>
                <w:rFonts w:ascii="Arial"/>
                <w:color w:val="auto"/>
                <w:sz w:val="21"/>
                <w:highlight w:val="none"/>
              </w:rPr>
            </w:pPr>
          </w:p>
        </w:tc>
        <w:tc>
          <w:tcPr>
            <w:tcW w:w="1161" w:type="dxa"/>
            <w:vAlign w:val="top"/>
          </w:tcPr>
          <w:p w14:paraId="77100853">
            <w:pPr>
              <w:outlineLvl w:val="9"/>
              <w:rPr>
                <w:rFonts w:ascii="Arial"/>
                <w:color w:val="auto"/>
                <w:sz w:val="21"/>
                <w:highlight w:val="none"/>
              </w:rPr>
            </w:pPr>
          </w:p>
        </w:tc>
        <w:tc>
          <w:tcPr>
            <w:tcW w:w="1161" w:type="dxa"/>
            <w:vAlign w:val="top"/>
          </w:tcPr>
          <w:p w14:paraId="34CE3083">
            <w:pPr>
              <w:outlineLvl w:val="9"/>
              <w:rPr>
                <w:rFonts w:ascii="Arial"/>
                <w:color w:val="auto"/>
                <w:sz w:val="21"/>
                <w:highlight w:val="none"/>
              </w:rPr>
            </w:pPr>
          </w:p>
        </w:tc>
        <w:tc>
          <w:tcPr>
            <w:tcW w:w="1161" w:type="dxa"/>
            <w:vAlign w:val="top"/>
          </w:tcPr>
          <w:p w14:paraId="7A6C11E3">
            <w:pPr>
              <w:outlineLvl w:val="9"/>
              <w:rPr>
                <w:rFonts w:ascii="Arial"/>
                <w:color w:val="auto"/>
                <w:sz w:val="21"/>
                <w:highlight w:val="none"/>
              </w:rPr>
            </w:pPr>
          </w:p>
        </w:tc>
        <w:tc>
          <w:tcPr>
            <w:tcW w:w="1159" w:type="dxa"/>
            <w:vAlign w:val="top"/>
          </w:tcPr>
          <w:p w14:paraId="2495E3CE">
            <w:pPr>
              <w:outlineLvl w:val="9"/>
              <w:rPr>
                <w:rFonts w:ascii="Arial"/>
                <w:color w:val="auto"/>
                <w:sz w:val="21"/>
                <w:highlight w:val="none"/>
              </w:rPr>
            </w:pPr>
          </w:p>
        </w:tc>
        <w:tc>
          <w:tcPr>
            <w:tcW w:w="1163" w:type="dxa"/>
            <w:vAlign w:val="top"/>
          </w:tcPr>
          <w:p w14:paraId="0E94D036">
            <w:pPr>
              <w:outlineLvl w:val="9"/>
              <w:rPr>
                <w:rFonts w:ascii="Arial"/>
                <w:color w:val="auto"/>
                <w:sz w:val="21"/>
                <w:highlight w:val="none"/>
              </w:rPr>
            </w:pPr>
          </w:p>
        </w:tc>
      </w:tr>
      <w:tr w14:paraId="7C2F2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07" w:type="dxa"/>
            <w:vAlign w:val="top"/>
          </w:tcPr>
          <w:p w14:paraId="67FD5B58">
            <w:pPr>
              <w:outlineLvl w:val="9"/>
              <w:rPr>
                <w:rFonts w:ascii="Arial"/>
                <w:color w:val="auto"/>
                <w:sz w:val="21"/>
                <w:highlight w:val="none"/>
              </w:rPr>
            </w:pPr>
          </w:p>
        </w:tc>
        <w:tc>
          <w:tcPr>
            <w:tcW w:w="1420" w:type="dxa"/>
            <w:vAlign w:val="top"/>
          </w:tcPr>
          <w:p w14:paraId="689CF11B">
            <w:pPr>
              <w:outlineLvl w:val="9"/>
              <w:rPr>
                <w:rFonts w:ascii="Arial"/>
                <w:color w:val="auto"/>
                <w:sz w:val="21"/>
                <w:highlight w:val="none"/>
              </w:rPr>
            </w:pPr>
          </w:p>
        </w:tc>
        <w:tc>
          <w:tcPr>
            <w:tcW w:w="1159" w:type="dxa"/>
            <w:vAlign w:val="top"/>
          </w:tcPr>
          <w:p w14:paraId="4598CE6F">
            <w:pPr>
              <w:outlineLvl w:val="9"/>
              <w:rPr>
                <w:rFonts w:ascii="Arial"/>
                <w:color w:val="auto"/>
                <w:sz w:val="21"/>
                <w:highlight w:val="none"/>
              </w:rPr>
            </w:pPr>
          </w:p>
        </w:tc>
        <w:tc>
          <w:tcPr>
            <w:tcW w:w="1161" w:type="dxa"/>
            <w:vAlign w:val="top"/>
          </w:tcPr>
          <w:p w14:paraId="1B2F9D05">
            <w:pPr>
              <w:outlineLvl w:val="9"/>
              <w:rPr>
                <w:rFonts w:ascii="Arial"/>
                <w:color w:val="auto"/>
                <w:sz w:val="21"/>
                <w:highlight w:val="none"/>
              </w:rPr>
            </w:pPr>
          </w:p>
        </w:tc>
        <w:tc>
          <w:tcPr>
            <w:tcW w:w="1161" w:type="dxa"/>
            <w:vAlign w:val="top"/>
          </w:tcPr>
          <w:p w14:paraId="666E678E">
            <w:pPr>
              <w:outlineLvl w:val="9"/>
              <w:rPr>
                <w:rFonts w:ascii="Arial"/>
                <w:color w:val="auto"/>
                <w:sz w:val="21"/>
                <w:highlight w:val="none"/>
              </w:rPr>
            </w:pPr>
          </w:p>
        </w:tc>
        <w:tc>
          <w:tcPr>
            <w:tcW w:w="1161" w:type="dxa"/>
            <w:vAlign w:val="top"/>
          </w:tcPr>
          <w:p w14:paraId="4CD67510">
            <w:pPr>
              <w:outlineLvl w:val="9"/>
              <w:rPr>
                <w:rFonts w:ascii="Arial"/>
                <w:color w:val="auto"/>
                <w:sz w:val="21"/>
                <w:highlight w:val="none"/>
              </w:rPr>
            </w:pPr>
          </w:p>
        </w:tc>
        <w:tc>
          <w:tcPr>
            <w:tcW w:w="1159" w:type="dxa"/>
            <w:vAlign w:val="top"/>
          </w:tcPr>
          <w:p w14:paraId="6A87CBD4">
            <w:pPr>
              <w:outlineLvl w:val="9"/>
              <w:rPr>
                <w:rFonts w:ascii="Arial"/>
                <w:color w:val="auto"/>
                <w:sz w:val="21"/>
                <w:highlight w:val="none"/>
              </w:rPr>
            </w:pPr>
          </w:p>
        </w:tc>
        <w:tc>
          <w:tcPr>
            <w:tcW w:w="1163" w:type="dxa"/>
            <w:vAlign w:val="top"/>
          </w:tcPr>
          <w:p w14:paraId="181D2639">
            <w:pPr>
              <w:outlineLvl w:val="9"/>
              <w:rPr>
                <w:rFonts w:ascii="Arial"/>
                <w:color w:val="auto"/>
                <w:sz w:val="21"/>
                <w:highlight w:val="none"/>
              </w:rPr>
            </w:pPr>
          </w:p>
        </w:tc>
      </w:tr>
    </w:tbl>
    <w:p w14:paraId="387538ED">
      <w:pPr>
        <w:outlineLvl w:val="9"/>
        <w:rPr>
          <w:rFonts w:ascii="Arial"/>
          <w:color w:val="auto"/>
          <w:sz w:val="21"/>
          <w:highlight w:val="none"/>
        </w:rPr>
      </w:pPr>
    </w:p>
    <w:p w14:paraId="77274357">
      <w:pPr>
        <w:spacing w:before="56" w:line="219" w:lineRule="auto"/>
        <w:ind w:left="1817"/>
        <w:outlineLvl w:val="9"/>
        <w:rPr>
          <w:rFonts w:ascii="宋体" w:hAnsi="宋体" w:eastAsia="宋体" w:cs="宋体"/>
          <w:b/>
          <w:bCs/>
          <w:color w:val="auto"/>
          <w:spacing w:val="-4"/>
          <w:sz w:val="28"/>
          <w:szCs w:val="28"/>
          <w:highlight w:val="none"/>
        </w:rPr>
      </w:pPr>
    </w:p>
    <w:p w14:paraId="5A336BFB">
      <w:pPr>
        <w:spacing w:before="56" w:line="219" w:lineRule="auto"/>
        <w:ind w:left="1817"/>
        <w:outlineLvl w:val="9"/>
        <w:rPr>
          <w:rFonts w:ascii="宋体" w:hAnsi="宋体" w:eastAsia="宋体" w:cs="宋体"/>
          <w:b/>
          <w:bCs/>
          <w:color w:val="auto"/>
          <w:spacing w:val="-4"/>
          <w:sz w:val="28"/>
          <w:szCs w:val="28"/>
          <w:highlight w:val="none"/>
        </w:rPr>
      </w:pPr>
    </w:p>
    <w:p w14:paraId="31FD74EF">
      <w:pPr>
        <w:spacing w:before="56" w:line="219" w:lineRule="auto"/>
        <w:ind w:left="1817"/>
        <w:outlineLvl w:val="9"/>
        <w:rPr>
          <w:rFonts w:ascii="宋体" w:hAnsi="宋体" w:eastAsia="宋体" w:cs="宋体"/>
          <w:b/>
          <w:bCs/>
          <w:color w:val="auto"/>
          <w:spacing w:val="-4"/>
          <w:sz w:val="28"/>
          <w:szCs w:val="28"/>
          <w:highlight w:val="none"/>
        </w:rPr>
      </w:pPr>
    </w:p>
    <w:p w14:paraId="22B04580">
      <w:pPr>
        <w:spacing w:before="56" w:line="219" w:lineRule="auto"/>
        <w:ind w:left="1817"/>
        <w:outlineLvl w:val="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附表四：计划开、竣工日期和施工进度网络图</w:t>
      </w:r>
    </w:p>
    <w:p w14:paraId="58CCA552">
      <w:pPr>
        <w:spacing w:line="265" w:lineRule="auto"/>
        <w:outlineLvl w:val="9"/>
        <w:rPr>
          <w:rFonts w:ascii="Arial"/>
          <w:color w:val="auto"/>
          <w:sz w:val="21"/>
          <w:highlight w:val="none"/>
        </w:rPr>
      </w:pPr>
    </w:p>
    <w:p w14:paraId="7B0FB224">
      <w:pPr>
        <w:spacing w:line="265" w:lineRule="auto"/>
        <w:outlineLvl w:val="9"/>
        <w:rPr>
          <w:rFonts w:ascii="Arial"/>
          <w:color w:val="auto"/>
          <w:sz w:val="21"/>
          <w:highlight w:val="none"/>
        </w:rPr>
      </w:pPr>
    </w:p>
    <w:p w14:paraId="6DB8C606">
      <w:pPr>
        <w:spacing w:before="68" w:line="304" w:lineRule="auto"/>
        <w:ind w:firstLine="436"/>
        <w:outlineLvl w:val="9"/>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  </w:t>
      </w:r>
      <w:r>
        <w:rPr>
          <w:rFonts w:ascii="宋体" w:hAnsi="宋体" w:eastAsia="宋体" w:cs="宋体"/>
          <w:color w:val="auto"/>
          <w:spacing w:val="-1"/>
          <w:sz w:val="21"/>
          <w:szCs w:val="21"/>
          <w:highlight w:val="none"/>
        </w:rPr>
        <w:t>投标人应递交施工进度网络图或施工进度表，说明按招标文件要求的计划工期进行施工的各</w:t>
      </w:r>
      <w:r>
        <w:rPr>
          <w:rFonts w:ascii="宋体" w:hAnsi="宋体" w:eastAsia="宋体" w:cs="宋体"/>
          <w:color w:val="auto"/>
          <w:spacing w:val="9"/>
          <w:sz w:val="21"/>
          <w:szCs w:val="21"/>
          <w:highlight w:val="none"/>
        </w:rPr>
        <w:t xml:space="preserve"> </w:t>
      </w:r>
      <w:r>
        <w:rPr>
          <w:rFonts w:ascii="宋体" w:hAnsi="宋体" w:eastAsia="宋体" w:cs="宋体"/>
          <w:color w:val="auto"/>
          <w:spacing w:val="-1"/>
          <w:sz w:val="21"/>
          <w:szCs w:val="21"/>
          <w:highlight w:val="none"/>
        </w:rPr>
        <w:t>个关键日期。</w:t>
      </w:r>
    </w:p>
    <w:p w14:paraId="5473F67B">
      <w:pPr>
        <w:spacing w:before="188" w:line="220" w:lineRule="auto"/>
        <w:ind w:left="416"/>
        <w:outlineLvl w:val="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  </w:t>
      </w:r>
      <w:r>
        <w:rPr>
          <w:rFonts w:ascii="宋体" w:hAnsi="宋体" w:eastAsia="宋体" w:cs="宋体"/>
          <w:color w:val="auto"/>
          <w:sz w:val="21"/>
          <w:szCs w:val="21"/>
          <w:highlight w:val="none"/>
        </w:rPr>
        <w:t>施工进度表可采用网络图（或横道图）</w:t>
      </w:r>
      <w:r>
        <w:rPr>
          <w:rFonts w:ascii="宋体" w:hAnsi="宋体" w:eastAsia="宋体" w:cs="宋体"/>
          <w:color w:val="auto"/>
          <w:spacing w:val="-1"/>
          <w:sz w:val="21"/>
          <w:szCs w:val="21"/>
          <w:highlight w:val="none"/>
        </w:rPr>
        <w:t>表示。</w:t>
      </w:r>
    </w:p>
    <w:p w14:paraId="76771A62">
      <w:pPr>
        <w:spacing w:before="56" w:line="219" w:lineRule="auto"/>
        <w:ind w:left="3224"/>
        <w:outlineLvl w:val="9"/>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附表五：施工总平面图</w:t>
      </w:r>
    </w:p>
    <w:p w14:paraId="281384E6">
      <w:pPr>
        <w:spacing w:line="265" w:lineRule="auto"/>
        <w:outlineLvl w:val="9"/>
        <w:rPr>
          <w:rFonts w:ascii="Arial"/>
          <w:color w:val="auto"/>
          <w:sz w:val="21"/>
          <w:highlight w:val="none"/>
        </w:rPr>
      </w:pPr>
    </w:p>
    <w:p w14:paraId="4CF8F086">
      <w:pPr>
        <w:spacing w:line="265" w:lineRule="auto"/>
        <w:outlineLvl w:val="9"/>
        <w:rPr>
          <w:rFonts w:ascii="Arial"/>
          <w:color w:val="auto"/>
          <w:sz w:val="21"/>
          <w:highlight w:val="none"/>
        </w:rPr>
      </w:pPr>
    </w:p>
    <w:p w14:paraId="0359019C">
      <w:pPr>
        <w:spacing w:before="68" w:line="374" w:lineRule="auto"/>
        <w:ind w:firstLine="422"/>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投标人应递交一份施工总平面图，绘出现场临时设施布置图表并附文字说明，说明临时设施、 加工车间、现场办公、设备及仓储、供电、供水、卫生、生活、道路、消防等设施的情况和布置。</w:t>
      </w:r>
    </w:p>
    <w:p w14:paraId="0A00A3EB">
      <w:pPr>
        <w:spacing w:before="56" w:line="219" w:lineRule="auto"/>
        <w:ind w:left="3486"/>
        <w:outlineLvl w:val="9"/>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附表六：临时用地表</w:t>
      </w:r>
    </w:p>
    <w:p w14:paraId="5B29845E">
      <w:pPr>
        <w:spacing w:before="188"/>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4"/>
        <w:gridCol w:w="2320"/>
        <w:gridCol w:w="2322"/>
        <w:gridCol w:w="2325"/>
      </w:tblGrid>
      <w:tr w14:paraId="5B8C1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324" w:type="dxa"/>
            <w:vAlign w:val="top"/>
          </w:tcPr>
          <w:p w14:paraId="4EB0F9AF">
            <w:pPr>
              <w:pStyle w:val="27"/>
              <w:spacing w:before="178" w:line="222" w:lineRule="auto"/>
              <w:ind w:left="907"/>
              <w:outlineLvl w:val="9"/>
              <w:rPr>
                <w:color w:val="auto"/>
                <w:highlight w:val="none"/>
              </w:rPr>
            </w:pPr>
            <w:r>
              <w:rPr>
                <w:color w:val="auto"/>
                <w:spacing w:val="-5"/>
                <w:highlight w:val="none"/>
              </w:rPr>
              <w:t>用</w:t>
            </w:r>
            <w:r>
              <w:rPr>
                <w:color w:val="auto"/>
                <w:spacing w:val="9"/>
                <w:highlight w:val="none"/>
              </w:rPr>
              <w:t xml:space="preserve"> </w:t>
            </w:r>
            <w:r>
              <w:rPr>
                <w:color w:val="auto"/>
                <w:spacing w:val="-5"/>
                <w:highlight w:val="none"/>
              </w:rPr>
              <w:t>途</w:t>
            </w:r>
          </w:p>
        </w:tc>
        <w:tc>
          <w:tcPr>
            <w:tcW w:w="2320" w:type="dxa"/>
            <w:vAlign w:val="top"/>
          </w:tcPr>
          <w:p w14:paraId="3EB694BB">
            <w:pPr>
              <w:pStyle w:val="27"/>
              <w:spacing w:before="177" w:line="221" w:lineRule="auto"/>
              <w:ind w:left="378"/>
              <w:outlineLvl w:val="9"/>
              <w:rPr>
                <w:color w:val="auto"/>
                <w:highlight w:val="none"/>
              </w:rPr>
            </w:pPr>
            <w:r>
              <w:rPr>
                <w:color w:val="auto"/>
                <w:spacing w:val="-1"/>
                <w:highlight w:val="none"/>
              </w:rPr>
              <w:t>面 积（平方米）</w:t>
            </w:r>
          </w:p>
        </w:tc>
        <w:tc>
          <w:tcPr>
            <w:tcW w:w="2322" w:type="dxa"/>
            <w:vAlign w:val="top"/>
          </w:tcPr>
          <w:p w14:paraId="36F4B2DA">
            <w:pPr>
              <w:pStyle w:val="27"/>
              <w:spacing w:before="178" w:line="222" w:lineRule="auto"/>
              <w:ind w:left="904"/>
              <w:outlineLvl w:val="9"/>
              <w:rPr>
                <w:color w:val="auto"/>
                <w:highlight w:val="none"/>
              </w:rPr>
            </w:pPr>
            <w:r>
              <w:rPr>
                <w:color w:val="auto"/>
                <w:spacing w:val="-4"/>
                <w:highlight w:val="none"/>
              </w:rPr>
              <w:t>位</w:t>
            </w:r>
            <w:r>
              <w:rPr>
                <w:color w:val="auto"/>
                <w:spacing w:val="7"/>
                <w:highlight w:val="none"/>
              </w:rPr>
              <w:t xml:space="preserve"> </w:t>
            </w:r>
            <w:r>
              <w:rPr>
                <w:color w:val="auto"/>
                <w:spacing w:val="-4"/>
                <w:highlight w:val="none"/>
              </w:rPr>
              <w:t>置</w:t>
            </w:r>
          </w:p>
        </w:tc>
        <w:tc>
          <w:tcPr>
            <w:tcW w:w="2325" w:type="dxa"/>
            <w:vAlign w:val="top"/>
          </w:tcPr>
          <w:p w14:paraId="1EA1A2AF">
            <w:pPr>
              <w:pStyle w:val="27"/>
              <w:spacing w:before="178" w:line="221" w:lineRule="auto"/>
              <w:ind w:left="756"/>
              <w:outlineLvl w:val="9"/>
              <w:rPr>
                <w:color w:val="auto"/>
                <w:highlight w:val="none"/>
              </w:rPr>
            </w:pPr>
            <w:r>
              <w:rPr>
                <w:color w:val="auto"/>
                <w:spacing w:val="-4"/>
                <w:highlight w:val="none"/>
              </w:rPr>
              <w:t>需用时间</w:t>
            </w:r>
          </w:p>
        </w:tc>
      </w:tr>
      <w:tr w14:paraId="366C4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14:paraId="7B5A3D3F">
            <w:pPr>
              <w:outlineLvl w:val="9"/>
              <w:rPr>
                <w:rFonts w:ascii="Arial"/>
                <w:color w:val="auto"/>
                <w:sz w:val="21"/>
                <w:highlight w:val="none"/>
              </w:rPr>
            </w:pPr>
          </w:p>
        </w:tc>
        <w:tc>
          <w:tcPr>
            <w:tcW w:w="2320" w:type="dxa"/>
            <w:vAlign w:val="top"/>
          </w:tcPr>
          <w:p w14:paraId="6F491715">
            <w:pPr>
              <w:outlineLvl w:val="9"/>
              <w:rPr>
                <w:rFonts w:ascii="Arial"/>
                <w:color w:val="auto"/>
                <w:sz w:val="21"/>
                <w:highlight w:val="none"/>
              </w:rPr>
            </w:pPr>
          </w:p>
        </w:tc>
        <w:tc>
          <w:tcPr>
            <w:tcW w:w="2322" w:type="dxa"/>
            <w:vAlign w:val="top"/>
          </w:tcPr>
          <w:p w14:paraId="285503F3">
            <w:pPr>
              <w:outlineLvl w:val="9"/>
              <w:rPr>
                <w:rFonts w:ascii="Arial"/>
                <w:color w:val="auto"/>
                <w:sz w:val="21"/>
                <w:highlight w:val="none"/>
              </w:rPr>
            </w:pPr>
          </w:p>
        </w:tc>
        <w:tc>
          <w:tcPr>
            <w:tcW w:w="2325" w:type="dxa"/>
            <w:vAlign w:val="top"/>
          </w:tcPr>
          <w:p w14:paraId="0EEA2A7A">
            <w:pPr>
              <w:outlineLvl w:val="9"/>
              <w:rPr>
                <w:rFonts w:ascii="Arial"/>
                <w:color w:val="auto"/>
                <w:sz w:val="21"/>
                <w:highlight w:val="none"/>
              </w:rPr>
            </w:pPr>
          </w:p>
        </w:tc>
      </w:tr>
      <w:tr w14:paraId="23091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193FB918">
            <w:pPr>
              <w:outlineLvl w:val="9"/>
              <w:rPr>
                <w:rFonts w:ascii="Arial"/>
                <w:color w:val="auto"/>
                <w:sz w:val="21"/>
                <w:highlight w:val="none"/>
              </w:rPr>
            </w:pPr>
          </w:p>
        </w:tc>
        <w:tc>
          <w:tcPr>
            <w:tcW w:w="2320" w:type="dxa"/>
            <w:vAlign w:val="top"/>
          </w:tcPr>
          <w:p w14:paraId="1F7B178E">
            <w:pPr>
              <w:outlineLvl w:val="9"/>
              <w:rPr>
                <w:rFonts w:ascii="Arial"/>
                <w:color w:val="auto"/>
                <w:sz w:val="21"/>
                <w:highlight w:val="none"/>
              </w:rPr>
            </w:pPr>
          </w:p>
        </w:tc>
        <w:tc>
          <w:tcPr>
            <w:tcW w:w="2322" w:type="dxa"/>
            <w:vAlign w:val="top"/>
          </w:tcPr>
          <w:p w14:paraId="64766A1E">
            <w:pPr>
              <w:outlineLvl w:val="9"/>
              <w:rPr>
                <w:rFonts w:ascii="Arial"/>
                <w:color w:val="auto"/>
                <w:sz w:val="21"/>
                <w:highlight w:val="none"/>
              </w:rPr>
            </w:pPr>
          </w:p>
        </w:tc>
        <w:tc>
          <w:tcPr>
            <w:tcW w:w="2325" w:type="dxa"/>
            <w:vAlign w:val="top"/>
          </w:tcPr>
          <w:p w14:paraId="076DC4B4">
            <w:pPr>
              <w:outlineLvl w:val="9"/>
              <w:rPr>
                <w:rFonts w:ascii="Arial"/>
                <w:color w:val="auto"/>
                <w:sz w:val="21"/>
                <w:highlight w:val="none"/>
              </w:rPr>
            </w:pPr>
          </w:p>
        </w:tc>
      </w:tr>
      <w:tr w14:paraId="4C9BE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14:paraId="5A5F256D">
            <w:pPr>
              <w:outlineLvl w:val="9"/>
              <w:rPr>
                <w:rFonts w:ascii="Arial"/>
                <w:color w:val="auto"/>
                <w:sz w:val="21"/>
                <w:highlight w:val="none"/>
              </w:rPr>
            </w:pPr>
          </w:p>
        </w:tc>
        <w:tc>
          <w:tcPr>
            <w:tcW w:w="2320" w:type="dxa"/>
            <w:vAlign w:val="top"/>
          </w:tcPr>
          <w:p w14:paraId="6ADE73B9">
            <w:pPr>
              <w:outlineLvl w:val="9"/>
              <w:rPr>
                <w:rFonts w:ascii="Arial"/>
                <w:color w:val="auto"/>
                <w:sz w:val="21"/>
                <w:highlight w:val="none"/>
              </w:rPr>
            </w:pPr>
          </w:p>
        </w:tc>
        <w:tc>
          <w:tcPr>
            <w:tcW w:w="2322" w:type="dxa"/>
            <w:vAlign w:val="top"/>
          </w:tcPr>
          <w:p w14:paraId="180C97DB">
            <w:pPr>
              <w:outlineLvl w:val="9"/>
              <w:rPr>
                <w:rFonts w:ascii="Arial"/>
                <w:color w:val="auto"/>
                <w:sz w:val="21"/>
                <w:highlight w:val="none"/>
              </w:rPr>
            </w:pPr>
          </w:p>
        </w:tc>
        <w:tc>
          <w:tcPr>
            <w:tcW w:w="2325" w:type="dxa"/>
            <w:vAlign w:val="top"/>
          </w:tcPr>
          <w:p w14:paraId="023F7373">
            <w:pPr>
              <w:outlineLvl w:val="9"/>
              <w:rPr>
                <w:rFonts w:ascii="Arial"/>
                <w:color w:val="auto"/>
                <w:sz w:val="21"/>
                <w:highlight w:val="none"/>
              </w:rPr>
            </w:pPr>
          </w:p>
        </w:tc>
      </w:tr>
      <w:tr w14:paraId="4EBD3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19DC5673">
            <w:pPr>
              <w:outlineLvl w:val="9"/>
              <w:rPr>
                <w:rFonts w:ascii="Arial"/>
                <w:color w:val="auto"/>
                <w:sz w:val="21"/>
                <w:highlight w:val="none"/>
              </w:rPr>
            </w:pPr>
          </w:p>
        </w:tc>
        <w:tc>
          <w:tcPr>
            <w:tcW w:w="2320" w:type="dxa"/>
            <w:vAlign w:val="top"/>
          </w:tcPr>
          <w:p w14:paraId="67E5AFE7">
            <w:pPr>
              <w:outlineLvl w:val="9"/>
              <w:rPr>
                <w:rFonts w:ascii="Arial"/>
                <w:color w:val="auto"/>
                <w:sz w:val="21"/>
                <w:highlight w:val="none"/>
              </w:rPr>
            </w:pPr>
          </w:p>
        </w:tc>
        <w:tc>
          <w:tcPr>
            <w:tcW w:w="2322" w:type="dxa"/>
            <w:vAlign w:val="top"/>
          </w:tcPr>
          <w:p w14:paraId="12FDCD12">
            <w:pPr>
              <w:outlineLvl w:val="9"/>
              <w:rPr>
                <w:rFonts w:ascii="Arial"/>
                <w:color w:val="auto"/>
                <w:sz w:val="21"/>
                <w:highlight w:val="none"/>
              </w:rPr>
            </w:pPr>
          </w:p>
        </w:tc>
        <w:tc>
          <w:tcPr>
            <w:tcW w:w="2325" w:type="dxa"/>
            <w:vAlign w:val="top"/>
          </w:tcPr>
          <w:p w14:paraId="3D60D080">
            <w:pPr>
              <w:outlineLvl w:val="9"/>
              <w:rPr>
                <w:rFonts w:ascii="Arial"/>
                <w:color w:val="auto"/>
                <w:sz w:val="21"/>
                <w:highlight w:val="none"/>
              </w:rPr>
            </w:pPr>
          </w:p>
        </w:tc>
      </w:tr>
      <w:tr w14:paraId="3BD64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14:paraId="4CCF0249">
            <w:pPr>
              <w:outlineLvl w:val="9"/>
              <w:rPr>
                <w:rFonts w:ascii="Arial"/>
                <w:color w:val="auto"/>
                <w:sz w:val="21"/>
                <w:highlight w:val="none"/>
              </w:rPr>
            </w:pPr>
          </w:p>
        </w:tc>
        <w:tc>
          <w:tcPr>
            <w:tcW w:w="2320" w:type="dxa"/>
            <w:vAlign w:val="top"/>
          </w:tcPr>
          <w:p w14:paraId="5B7B5F57">
            <w:pPr>
              <w:outlineLvl w:val="9"/>
              <w:rPr>
                <w:rFonts w:ascii="Arial"/>
                <w:color w:val="auto"/>
                <w:sz w:val="21"/>
                <w:highlight w:val="none"/>
              </w:rPr>
            </w:pPr>
          </w:p>
        </w:tc>
        <w:tc>
          <w:tcPr>
            <w:tcW w:w="2322" w:type="dxa"/>
            <w:vAlign w:val="top"/>
          </w:tcPr>
          <w:p w14:paraId="5FFB6C7D">
            <w:pPr>
              <w:outlineLvl w:val="9"/>
              <w:rPr>
                <w:rFonts w:ascii="Arial"/>
                <w:color w:val="auto"/>
                <w:sz w:val="21"/>
                <w:highlight w:val="none"/>
              </w:rPr>
            </w:pPr>
          </w:p>
        </w:tc>
        <w:tc>
          <w:tcPr>
            <w:tcW w:w="2325" w:type="dxa"/>
            <w:vAlign w:val="top"/>
          </w:tcPr>
          <w:p w14:paraId="689E6303">
            <w:pPr>
              <w:outlineLvl w:val="9"/>
              <w:rPr>
                <w:rFonts w:ascii="Arial"/>
                <w:color w:val="auto"/>
                <w:sz w:val="21"/>
                <w:highlight w:val="none"/>
              </w:rPr>
            </w:pPr>
          </w:p>
        </w:tc>
      </w:tr>
      <w:tr w14:paraId="25E2C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27078935">
            <w:pPr>
              <w:outlineLvl w:val="9"/>
              <w:rPr>
                <w:rFonts w:ascii="Arial"/>
                <w:color w:val="auto"/>
                <w:sz w:val="21"/>
                <w:highlight w:val="none"/>
              </w:rPr>
            </w:pPr>
          </w:p>
        </w:tc>
        <w:tc>
          <w:tcPr>
            <w:tcW w:w="2320" w:type="dxa"/>
            <w:vAlign w:val="top"/>
          </w:tcPr>
          <w:p w14:paraId="03BC2A27">
            <w:pPr>
              <w:outlineLvl w:val="9"/>
              <w:rPr>
                <w:rFonts w:ascii="Arial"/>
                <w:color w:val="auto"/>
                <w:sz w:val="21"/>
                <w:highlight w:val="none"/>
              </w:rPr>
            </w:pPr>
          </w:p>
        </w:tc>
        <w:tc>
          <w:tcPr>
            <w:tcW w:w="2322" w:type="dxa"/>
            <w:vAlign w:val="top"/>
          </w:tcPr>
          <w:p w14:paraId="13D158DB">
            <w:pPr>
              <w:outlineLvl w:val="9"/>
              <w:rPr>
                <w:rFonts w:ascii="Arial"/>
                <w:color w:val="auto"/>
                <w:sz w:val="21"/>
                <w:highlight w:val="none"/>
              </w:rPr>
            </w:pPr>
          </w:p>
        </w:tc>
        <w:tc>
          <w:tcPr>
            <w:tcW w:w="2325" w:type="dxa"/>
            <w:vAlign w:val="top"/>
          </w:tcPr>
          <w:p w14:paraId="0D8E0E7F">
            <w:pPr>
              <w:outlineLvl w:val="9"/>
              <w:rPr>
                <w:rFonts w:ascii="Arial"/>
                <w:color w:val="auto"/>
                <w:sz w:val="21"/>
                <w:highlight w:val="none"/>
              </w:rPr>
            </w:pPr>
          </w:p>
        </w:tc>
      </w:tr>
      <w:tr w14:paraId="21895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2CEC91B8">
            <w:pPr>
              <w:outlineLvl w:val="9"/>
              <w:rPr>
                <w:rFonts w:ascii="Arial"/>
                <w:color w:val="auto"/>
                <w:sz w:val="21"/>
                <w:highlight w:val="none"/>
              </w:rPr>
            </w:pPr>
          </w:p>
        </w:tc>
        <w:tc>
          <w:tcPr>
            <w:tcW w:w="2320" w:type="dxa"/>
            <w:vAlign w:val="top"/>
          </w:tcPr>
          <w:p w14:paraId="3BBA6874">
            <w:pPr>
              <w:outlineLvl w:val="9"/>
              <w:rPr>
                <w:rFonts w:ascii="Arial"/>
                <w:color w:val="auto"/>
                <w:sz w:val="21"/>
                <w:highlight w:val="none"/>
              </w:rPr>
            </w:pPr>
          </w:p>
        </w:tc>
        <w:tc>
          <w:tcPr>
            <w:tcW w:w="2322" w:type="dxa"/>
            <w:vAlign w:val="top"/>
          </w:tcPr>
          <w:p w14:paraId="56BC2AF8">
            <w:pPr>
              <w:outlineLvl w:val="9"/>
              <w:rPr>
                <w:rFonts w:ascii="Arial"/>
                <w:color w:val="auto"/>
                <w:sz w:val="21"/>
                <w:highlight w:val="none"/>
              </w:rPr>
            </w:pPr>
          </w:p>
        </w:tc>
        <w:tc>
          <w:tcPr>
            <w:tcW w:w="2325" w:type="dxa"/>
            <w:vAlign w:val="top"/>
          </w:tcPr>
          <w:p w14:paraId="0EEF1D82">
            <w:pPr>
              <w:outlineLvl w:val="9"/>
              <w:rPr>
                <w:rFonts w:ascii="Arial"/>
                <w:color w:val="auto"/>
                <w:sz w:val="21"/>
                <w:highlight w:val="none"/>
              </w:rPr>
            </w:pPr>
          </w:p>
        </w:tc>
      </w:tr>
      <w:tr w14:paraId="71D07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23F37A8C">
            <w:pPr>
              <w:outlineLvl w:val="9"/>
              <w:rPr>
                <w:rFonts w:ascii="Arial"/>
                <w:color w:val="auto"/>
                <w:sz w:val="21"/>
                <w:highlight w:val="none"/>
              </w:rPr>
            </w:pPr>
          </w:p>
        </w:tc>
        <w:tc>
          <w:tcPr>
            <w:tcW w:w="2320" w:type="dxa"/>
            <w:vAlign w:val="top"/>
          </w:tcPr>
          <w:p w14:paraId="5E6FB6A8">
            <w:pPr>
              <w:outlineLvl w:val="9"/>
              <w:rPr>
                <w:rFonts w:ascii="Arial"/>
                <w:color w:val="auto"/>
                <w:sz w:val="21"/>
                <w:highlight w:val="none"/>
              </w:rPr>
            </w:pPr>
          </w:p>
        </w:tc>
        <w:tc>
          <w:tcPr>
            <w:tcW w:w="2322" w:type="dxa"/>
            <w:vAlign w:val="top"/>
          </w:tcPr>
          <w:p w14:paraId="60592B3F">
            <w:pPr>
              <w:outlineLvl w:val="9"/>
              <w:rPr>
                <w:rFonts w:ascii="Arial"/>
                <w:color w:val="auto"/>
                <w:sz w:val="21"/>
                <w:highlight w:val="none"/>
              </w:rPr>
            </w:pPr>
          </w:p>
        </w:tc>
        <w:tc>
          <w:tcPr>
            <w:tcW w:w="2325" w:type="dxa"/>
            <w:vAlign w:val="top"/>
          </w:tcPr>
          <w:p w14:paraId="75C82214">
            <w:pPr>
              <w:outlineLvl w:val="9"/>
              <w:rPr>
                <w:rFonts w:ascii="Arial"/>
                <w:color w:val="auto"/>
                <w:sz w:val="21"/>
                <w:highlight w:val="none"/>
              </w:rPr>
            </w:pPr>
          </w:p>
        </w:tc>
      </w:tr>
      <w:tr w14:paraId="01F57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383BF667">
            <w:pPr>
              <w:outlineLvl w:val="9"/>
              <w:rPr>
                <w:rFonts w:ascii="Arial"/>
                <w:color w:val="auto"/>
                <w:sz w:val="21"/>
                <w:highlight w:val="none"/>
              </w:rPr>
            </w:pPr>
          </w:p>
        </w:tc>
        <w:tc>
          <w:tcPr>
            <w:tcW w:w="2320" w:type="dxa"/>
            <w:vAlign w:val="top"/>
          </w:tcPr>
          <w:p w14:paraId="1830A4DF">
            <w:pPr>
              <w:outlineLvl w:val="9"/>
              <w:rPr>
                <w:rFonts w:ascii="Arial"/>
                <w:color w:val="auto"/>
                <w:sz w:val="21"/>
                <w:highlight w:val="none"/>
              </w:rPr>
            </w:pPr>
          </w:p>
        </w:tc>
        <w:tc>
          <w:tcPr>
            <w:tcW w:w="2322" w:type="dxa"/>
            <w:vAlign w:val="top"/>
          </w:tcPr>
          <w:p w14:paraId="735C7E4A">
            <w:pPr>
              <w:outlineLvl w:val="9"/>
              <w:rPr>
                <w:rFonts w:ascii="Arial"/>
                <w:color w:val="auto"/>
                <w:sz w:val="21"/>
                <w:highlight w:val="none"/>
              </w:rPr>
            </w:pPr>
          </w:p>
        </w:tc>
        <w:tc>
          <w:tcPr>
            <w:tcW w:w="2325" w:type="dxa"/>
            <w:vAlign w:val="top"/>
          </w:tcPr>
          <w:p w14:paraId="28D76F76">
            <w:pPr>
              <w:outlineLvl w:val="9"/>
              <w:rPr>
                <w:rFonts w:ascii="Arial"/>
                <w:color w:val="auto"/>
                <w:sz w:val="21"/>
                <w:highlight w:val="none"/>
              </w:rPr>
            </w:pPr>
          </w:p>
        </w:tc>
      </w:tr>
      <w:tr w14:paraId="0FCF1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03D20CB7">
            <w:pPr>
              <w:outlineLvl w:val="9"/>
              <w:rPr>
                <w:rFonts w:ascii="Arial"/>
                <w:color w:val="auto"/>
                <w:sz w:val="21"/>
                <w:highlight w:val="none"/>
              </w:rPr>
            </w:pPr>
          </w:p>
        </w:tc>
        <w:tc>
          <w:tcPr>
            <w:tcW w:w="2320" w:type="dxa"/>
            <w:vAlign w:val="top"/>
          </w:tcPr>
          <w:p w14:paraId="5B30AA07">
            <w:pPr>
              <w:outlineLvl w:val="9"/>
              <w:rPr>
                <w:rFonts w:ascii="Arial"/>
                <w:color w:val="auto"/>
                <w:sz w:val="21"/>
                <w:highlight w:val="none"/>
              </w:rPr>
            </w:pPr>
          </w:p>
        </w:tc>
        <w:tc>
          <w:tcPr>
            <w:tcW w:w="2322" w:type="dxa"/>
            <w:vAlign w:val="top"/>
          </w:tcPr>
          <w:p w14:paraId="0CBB1388">
            <w:pPr>
              <w:outlineLvl w:val="9"/>
              <w:rPr>
                <w:rFonts w:ascii="Arial"/>
                <w:color w:val="auto"/>
                <w:sz w:val="21"/>
                <w:highlight w:val="none"/>
              </w:rPr>
            </w:pPr>
          </w:p>
        </w:tc>
        <w:tc>
          <w:tcPr>
            <w:tcW w:w="2325" w:type="dxa"/>
            <w:vAlign w:val="top"/>
          </w:tcPr>
          <w:p w14:paraId="1B5393C8">
            <w:pPr>
              <w:outlineLvl w:val="9"/>
              <w:rPr>
                <w:rFonts w:ascii="Arial"/>
                <w:color w:val="auto"/>
                <w:sz w:val="21"/>
                <w:highlight w:val="none"/>
              </w:rPr>
            </w:pPr>
          </w:p>
        </w:tc>
      </w:tr>
      <w:tr w14:paraId="0E97D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20F90FB9">
            <w:pPr>
              <w:outlineLvl w:val="9"/>
              <w:rPr>
                <w:rFonts w:ascii="Arial"/>
                <w:color w:val="auto"/>
                <w:sz w:val="21"/>
                <w:highlight w:val="none"/>
              </w:rPr>
            </w:pPr>
          </w:p>
        </w:tc>
        <w:tc>
          <w:tcPr>
            <w:tcW w:w="2320" w:type="dxa"/>
            <w:vAlign w:val="top"/>
          </w:tcPr>
          <w:p w14:paraId="007D050D">
            <w:pPr>
              <w:outlineLvl w:val="9"/>
              <w:rPr>
                <w:rFonts w:ascii="Arial"/>
                <w:color w:val="auto"/>
                <w:sz w:val="21"/>
                <w:highlight w:val="none"/>
              </w:rPr>
            </w:pPr>
          </w:p>
        </w:tc>
        <w:tc>
          <w:tcPr>
            <w:tcW w:w="2322" w:type="dxa"/>
            <w:vAlign w:val="top"/>
          </w:tcPr>
          <w:p w14:paraId="2BA1B3CC">
            <w:pPr>
              <w:outlineLvl w:val="9"/>
              <w:rPr>
                <w:rFonts w:ascii="Arial"/>
                <w:color w:val="auto"/>
                <w:sz w:val="21"/>
                <w:highlight w:val="none"/>
              </w:rPr>
            </w:pPr>
          </w:p>
        </w:tc>
        <w:tc>
          <w:tcPr>
            <w:tcW w:w="2325" w:type="dxa"/>
            <w:vAlign w:val="top"/>
          </w:tcPr>
          <w:p w14:paraId="7D1FA9F9">
            <w:pPr>
              <w:outlineLvl w:val="9"/>
              <w:rPr>
                <w:rFonts w:ascii="Arial"/>
                <w:color w:val="auto"/>
                <w:sz w:val="21"/>
                <w:highlight w:val="none"/>
              </w:rPr>
            </w:pPr>
          </w:p>
        </w:tc>
      </w:tr>
      <w:tr w14:paraId="67F1E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7F0F922F">
            <w:pPr>
              <w:outlineLvl w:val="9"/>
              <w:rPr>
                <w:rFonts w:ascii="Arial"/>
                <w:color w:val="auto"/>
                <w:sz w:val="21"/>
                <w:highlight w:val="none"/>
              </w:rPr>
            </w:pPr>
          </w:p>
        </w:tc>
        <w:tc>
          <w:tcPr>
            <w:tcW w:w="2320" w:type="dxa"/>
            <w:vAlign w:val="top"/>
          </w:tcPr>
          <w:p w14:paraId="0D757047">
            <w:pPr>
              <w:outlineLvl w:val="9"/>
              <w:rPr>
                <w:rFonts w:ascii="Arial"/>
                <w:color w:val="auto"/>
                <w:sz w:val="21"/>
                <w:highlight w:val="none"/>
              </w:rPr>
            </w:pPr>
          </w:p>
        </w:tc>
        <w:tc>
          <w:tcPr>
            <w:tcW w:w="2322" w:type="dxa"/>
            <w:vAlign w:val="top"/>
          </w:tcPr>
          <w:p w14:paraId="2EF27136">
            <w:pPr>
              <w:outlineLvl w:val="9"/>
              <w:rPr>
                <w:rFonts w:ascii="Arial"/>
                <w:color w:val="auto"/>
                <w:sz w:val="21"/>
                <w:highlight w:val="none"/>
              </w:rPr>
            </w:pPr>
          </w:p>
        </w:tc>
        <w:tc>
          <w:tcPr>
            <w:tcW w:w="2325" w:type="dxa"/>
            <w:vAlign w:val="top"/>
          </w:tcPr>
          <w:p w14:paraId="489588CF">
            <w:pPr>
              <w:outlineLvl w:val="9"/>
              <w:rPr>
                <w:rFonts w:ascii="Arial"/>
                <w:color w:val="auto"/>
                <w:sz w:val="21"/>
                <w:highlight w:val="none"/>
              </w:rPr>
            </w:pPr>
          </w:p>
        </w:tc>
      </w:tr>
      <w:tr w14:paraId="0697C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03520B15">
            <w:pPr>
              <w:outlineLvl w:val="9"/>
              <w:rPr>
                <w:rFonts w:ascii="Arial"/>
                <w:color w:val="auto"/>
                <w:sz w:val="21"/>
                <w:highlight w:val="none"/>
              </w:rPr>
            </w:pPr>
          </w:p>
        </w:tc>
        <w:tc>
          <w:tcPr>
            <w:tcW w:w="2320" w:type="dxa"/>
            <w:vAlign w:val="top"/>
          </w:tcPr>
          <w:p w14:paraId="65600B87">
            <w:pPr>
              <w:outlineLvl w:val="9"/>
              <w:rPr>
                <w:rFonts w:ascii="Arial"/>
                <w:color w:val="auto"/>
                <w:sz w:val="21"/>
                <w:highlight w:val="none"/>
              </w:rPr>
            </w:pPr>
          </w:p>
        </w:tc>
        <w:tc>
          <w:tcPr>
            <w:tcW w:w="2322" w:type="dxa"/>
            <w:vAlign w:val="top"/>
          </w:tcPr>
          <w:p w14:paraId="602BFA84">
            <w:pPr>
              <w:outlineLvl w:val="9"/>
              <w:rPr>
                <w:rFonts w:ascii="Arial"/>
                <w:color w:val="auto"/>
                <w:sz w:val="21"/>
                <w:highlight w:val="none"/>
              </w:rPr>
            </w:pPr>
          </w:p>
        </w:tc>
        <w:tc>
          <w:tcPr>
            <w:tcW w:w="2325" w:type="dxa"/>
            <w:vAlign w:val="top"/>
          </w:tcPr>
          <w:p w14:paraId="7CA02A5F">
            <w:pPr>
              <w:outlineLvl w:val="9"/>
              <w:rPr>
                <w:rFonts w:ascii="Arial"/>
                <w:color w:val="auto"/>
                <w:sz w:val="21"/>
                <w:highlight w:val="none"/>
              </w:rPr>
            </w:pPr>
          </w:p>
        </w:tc>
      </w:tr>
      <w:tr w14:paraId="1AA4D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0D65DCAF">
            <w:pPr>
              <w:outlineLvl w:val="9"/>
              <w:rPr>
                <w:rFonts w:ascii="Arial"/>
                <w:color w:val="auto"/>
                <w:sz w:val="21"/>
                <w:highlight w:val="none"/>
              </w:rPr>
            </w:pPr>
          </w:p>
        </w:tc>
        <w:tc>
          <w:tcPr>
            <w:tcW w:w="2320" w:type="dxa"/>
            <w:vAlign w:val="top"/>
          </w:tcPr>
          <w:p w14:paraId="4EEE83E6">
            <w:pPr>
              <w:outlineLvl w:val="9"/>
              <w:rPr>
                <w:rFonts w:ascii="Arial"/>
                <w:color w:val="auto"/>
                <w:sz w:val="21"/>
                <w:highlight w:val="none"/>
              </w:rPr>
            </w:pPr>
          </w:p>
        </w:tc>
        <w:tc>
          <w:tcPr>
            <w:tcW w:w="2322" w:type="dxa"/>
            <w:vAlign w:val="top"/>
          </w:tcPr>
          <w:p w14:paraId="38425FEA">
            <w:pPr>
              <w:outlineLvl w:val="9"/>
              <w:rPr>
                <w:rFonts w:ascii="Arial"/>
                <w:color w:val="auto"/>
                <w:sz w:val="21"/>
                <w:highlight w:val="none"/>
              </w:rPr>
            </w:pPr>
          </w:p>
        </w:tc>
        <w:tc>
          <w:tcPr>
            <w:tcW w:w="2325" w:type="dxa"/>
            <w:vAlign w:val="top"/>
          </w:tcPr>
          <w:p w14:paraId="7847DEAD">
            <w:pPr>
              <w:outlineLvl w:val="9"/>
              <w:rPr>
                <w:rFonts w:ascii="Arial"/>
                <w:color w:val="auto"/>
                <w:sz w:val="21"/>
                <w:highlight w:val="none"/>
              </w:rPr>
            </w:pPr>
          </w:p>
        </w:tc>
      </w:tr>
      <w:tr w14:paraId="655E7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5D95603D">
            <w:pPr>
              <w:outlineLvl w:val="9"/>
              <w:rPr>
                <w:rFonts w:ascii="Arial"/>
                <w:color w:val="auto"/>
                <w:sz w:val="21"/>
                <w:highlight w:val="none"/>
              </w:rPr>
            </w:pPr>
          </w:p>
        </w:tc>
        <w:tc>
          <w:tcPr>
            <w:tcW w:w="2320" w:type="dxa"/>
            <w:vAlign w:val="top"/>
          </w:tcPr>
          <w:p w14:paraId="110E62AF">
            <w:pPr>
              <w:outlineLvl w:val="9"/>
              <w:rPr>
                <w:rFonts w:ascii="Arial"/>
                <w:color w:val="auto"/>
                <w:sz w:val="21"/>
                <w:highlight w:val="none"/>
              </w:rPr>
            </w:pPr>
          </w:p>
        </w:tc>
        <w:tc>
          <w:tcPr>
            <w:tcW w:w="2322" w:type="dxa"/>
            <w:vAlign w:val="top"/>
          </w:tcPr>
          <w:p w14:paraId="460D3A81">
            <w:pPr>
              <w:outlineLvl w:val="9"/>
              <w:rPr>
                <w:rFonts w:ascii="Arial"/>
                <w:color w:val="auto"/>
                <w:sz w:val="21"/>
                <w:highlight w:val="none"/>
              </w:rPr>
            </w:pPr>
          </w:p>
        </w:tc>
        <w:tc>
          <w:tcPr>
            <w:tcW w:w="2325" w:type="dxa"/>
            <w:vAlign w:val="top"/>
          </w:tcPr>
          <w:p w14:paraId="42CE5334">
            <w:pPr>
              <w:outlineLvl w:val="9"/>
              <w:rPr>
                <w:rFonts w:ascii="Arial"/>
                <w:color w:val="auto"/>
                <w:sz w:val="21"/>
                <w:highlight w:val="none"/>
              </w:rPr>
            </w:pPr>
          </w:p>
        </w:tc>
      </w:tr>
      <w:tr w14:paraId="26112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3A2A7540">
            <w:pPr>
              <w:outlineLvl w:val="9"/>
              <w:rPr>
                <w:rFonts w:ascii="Arial"/>
                <w:color w:val="auto"/>
                <w:sz w:val="21"/>
                <w:highlight w:val="none"/>
              </w:rPr>
            </w:pPr>
          </w:p>
        </w:tc>
        <w:tc>
          <w:tcPr>
            <w:tcW w:w="2320" w:type="dxa"/>
            <w:vAlign w:val="top"/>
          </w:tcPr>
          <w:p w14:paraId="7E1BAF01">
            <w:pPr>
              <w:outlineLvl w:val="9"/>
              <w:rPr>
                <w:rFonts w:ascii="Arial"/>
                <w:color w:val="auto"/>
                <w:sz w:val="21"/>
                <w:highlight w:val="none"/>
              </w:rPr>
            </w:pPr>
          </w:p>
        </w:tc>
        <w:tc>
          <w:tcPr>
            <w:tcW w:w="2322" w:type="dxa"/>
            <w:vAlign w:val="top"/>
          </w:tcPr>
          <w:p w14:paraId="49C7B005">
            <w:pPr>
              <w:outlineLvl w:val="9"/>
              <w:rPr>
                <w:rFonts w:ascii="Arial"/>
                <w:color w:val="auto"/>
                <w:sz w:val="21"/>
                <w:highlight w:val="none"/>
              </w:rPr>
            </w:pPr>
          </w:p>
        </w:tc>
        <w:tc>
          <w:tcPr>
            <w:tcW w:w="2325" w:type="dxa"/>
            <w:vAlign w:val="top"/>
          </w:tcPr>
          <w:p w14:paraId="388AD85B">
            <w:pPr>
              <w:outlineLvl w:val="9"/>
              <w:rPr>
                <w:rFonts w:ascii="Arial"/>
                <w:color w:val="auto"/>
                <w:sz w:val="21"/>
                <w:highlight w:val="none"/>
              </w:rPr>
            </w:pPr>
          </w:p>
        </w:tc>
      </w:tr>
      <w:tr w14:paraId="4A12B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14:paraId="6060833F">
            <w:pPr>
              <w:outlineLvl w:val="9"/>
              <w:rPr>
                <w:rFonts w:ascii="Arial"/>
                <w:color w:val="auto"/>
                <w:sz w:val="21"/>
                <w:highlight w:val="none"/>
              </w:rPr>
            </w:pPr>
          </w:p>
        </w:tc>
        <w:tc>
          <w:tcPr>
            <w:tcW w:w="2320" w:type="dxa"/>
            <w:vAlign w:val="top"/>
          </w:tcPr>
          <w:p w14:paraId="6BB56487">
            <w:pPr>
              <w:outlineLvl w:val="9"/>
              <w:rPr>
                <w:rFonts w:ascii="Arial"/>
                <w:color w:val="auto"/>
                <w:sz w:val="21"/>
                <w:highlight w:val="none"/>
              </w:rPr>
            </w:pPr>
          </w:p>
        </w:tc>
        <w:tc>
          <w:tcPr>
            <w:tcW w:w="2322" w:type="dxa"/>
            <w:vAlign w:val="top"/>
          </w:tcPr>
          <w:p w14:paraId="20191223">
            <w:pPr>
              <w:outlineLvl w:val="9"/>
              <w:rPr>
                <w:rFonts w:ascii="Arial"/>
                <w:color w:val="auto"/>
                <w:sz w:val="21"/>
                <w:highlight w:val="none"/>
              </w:rPr>
            </w:pPr>
          </w:p>
        </w:tc>
        <w:tc>
          <w:tcPr>
            <w:tcW w:w="2325" w:type="dxa"/>
            <w:vAlign w:val="top"/>
          </w:tcPr>
          <w:p w14:paraId="6EA6C4B7">
            <w:pPr>
              <w:outlineLvl w:val="9"/>
              <w:rPr>
                <w:rFonts w:ascii="Arial"/>
                <w:color w:val="auto"/>
                <w:sz w:val="21"/>
                <w:highlight w:val="none"/>
              </w:rPr>
            </w:pPr>
          </w:p>
        </w:tc>
      </w:tr>
      <w:tr w14:paraId="7CB34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14:paraId="67DB984E">
            <w:pPr>
              <w:outlineLvl w:val="9"/>
              <w:rPr>
                <w:rFonts w:ascii="Arial"/>
                <w:color w:val="auto"/>
                <w:sz w:val="21"/>
                <w:highlight w:val="none"/>
              </w:rPr>
            </w:pPr>
          </w:p>
        </w:tc>
        <w:tc>
          <w:tcPr>
            <w:tcW w:w="2320" w:type="dxa"/>
            <w:vAlign w:val="top"/>
          </w:tcPr>
          <w:p w14:paraId="395A49F3">
            <w:pPr>
              <w:outlineLvl w:val="9"/>
              <w:rPr>
                <w:rFonts w:ascii="Arial"/>
                <w:color w:val="auto"/>
                <w:sz w:val="21"/>
                <w:highlight w:val="none"/>
              </w:rPr>
            </w:pPr>
          </w:p>
        </w:tc>
        <w:tc>
          <w:tcPr>
            <w:tcW w:w="2322" w:type="dxa"/>
            <w:vAlign w:val="top"/>
          </w:tcPr>
          <w:p w14:paraId="6616A293">
            <w:pPr>
              <w:outlineLvl w:val="9"/>
              <w:rPr>
                <w:rFonts w:ascii="Arial"/>
                <w:color w:val="auto"/>
                <w:sz w:val="21"/>
                <w:highlight w:val="none"/>
              </w:rPr>
            </w:pPr>
          </w:p>
        </w:tc>
        <w:tc>
          <w:tcPr>
            <w:tcW w:w="2325" w:type="dxa"/>
            <w:vAlign w:val="top"/>
          </w:tcPr>
          <w:p w14:paraId="4044AA3E">
            <w:pPr>
              <w:outlineLvl w:val="9"/>
              <w:rPr>
                <w:rFonts w:ascii="Arial"/>
                <w:color w:val="auto"/>
                <w:sz w:val="21"/>
                <w:highlight w:val="none"/>
              </w:rPr>
            </w:pPr>
          </w:p>
        </w:tc>
      </w:tr>
    </w:tbl>
    <w:p w14:paraId="7561681B">
      <w:pPr>
        <w:outlineLvl w:val="9"/>
        <w:rPr>
          <w:rFonts w:ascii="Arial"/>
          <w:color w:val="auto"/>
          <w:sz w:val="21"/>
          <w:highlight w:val="none"/>
        </w:rPr>
      </w:pPr>
    </w:p>
    <w:p w14:paraId="46B62EDD">
      <w:pPr>
        <w:spacing w:before="64" w:line="224" w:lineRule="auto"/>
        <w:ind w:left="3474"/>
        <w:outlineLvl w:val="9"/>
        <w:rPr>
          <w:rFonts w:ascii="宋体" w:hAnsi="宋体" w:eastAsia="宋体" w:cs="宋体"/>
          <w:color w:val="auto"/>
          <w:sz w:val="31"/>
          <w:szCs w:val="31"/>
          <w:highlight w:val="none"/>
        </w:rPr>
      </w:pPr>
      <w:bookmarkStart w:id="429" w:name="bookmark295"/>
      <w:bookmarkEnd w:id="429"/>
      <w:bookmarkStart w:id="430" w:name="_Toc8921"/>
      <w:r>
        <w:rPr>
          <w:rFonts w:ascii="宋体" w:hAnsi="宋体" w:eastAsia="宋体" w:cs="宋体"/>
          <w:b/>
          <w:bCs/>
          <w:color w:val="auto"/>
          <w:spacing w:val="6"/>
          <w:sz w:val="31"/>
          <w:szCs w:val="31"/>
          <w:highlight w:val="none"/>
        </w:rPr>
        <w:t>七、项目管理机构</w:t>
      </w:r>
      <w:bookmarkEnd w:id="430"/>
    </w:p>
    <w:p w14:paraId="194FB2E6">
      <w:pPr>
        <w:spacing w:before="278" w:line="219" w:lineRule="auto"/>
        <w:ind w:left="47"/>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（一）项目机构组成表</w:t>
      </w:r>
    </w:p>
    <w:p w14:paraId="2FAE514E">
      <w:pPr>
        <w:spacing w:before="14"/>
        <w:outlineLvl w:val="9"/>
        <w:rPr>
          <w:color w:val="auto"/>
          <w:highlight w:val="none"/>
        </w:rPr>
      </w:pPr>
    </w:p>
    <w:p w14:paraId="4DFA59F2">
      <w:pPr>
        <w:spacing w:before="14"/>
        <w:outlineLvl w:val="9"/>
        <w:rPr>
          <w:color w:val="auto"/>
          <w:highlight w:val="none"/>
        </w:rPr>
      </w:pPr>
    </w:p>
    <w:tbl>
      <w:tblPr>
        <w:tblStyle w:val="26"/>
        <w:tblW w:w="88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70"/>
        <w:gridCol w:w="1080"/>
        <w:gridCol w:w="1144"/>
        <w:gridCol w:w="1144"/>
        <w:gridCol w:w="1142"/>
        <w:gridCol w:w="1144"/>
        <w:gridCol w:w="1447"/>
      </w:tblGrid>
      <w:tr w14:paraId="30C8C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679" w:type="dxa"/>
            <w:vMerge w:val="restart"/>
            <w:tcBorders>
              <w:bottom w:val="nil"/>
            </w:tcBorders>
            <w:vAlign w:val="top"/>
          </w:tcPr>
          <w:p w14:paraId="6649AB44">
            <w:pPr>
              <w:spacing w:line="390" w:lineRule="auto"/>
              <w:outlineLvl w:val="9"/>
              <w:rPr>
                <w:rFonts w:ascii="Arial"/>
                <w:color w:val="auto"/>
                <w:sz w:val="21"/>
                <w:highlight w:val="none"/>
              </w:rPr>
            </w:pPr>
          </w:p>
          <w:p w14:paraId="1C59C873">
            <w:pPr>
              <w:pStyle w:val="27"/>
              <w:spacing w:before="68" w:line="221" w:lineRule="auto"/>
              <w:ind w:left="133"/>
              <w:outlineLvl w:val="9"/>
              <w:rPr>
                <w:color w:val="auto"/>
                <w:highlight w:val="none"/>
              </w:rPr>
            </w:pPr>
            <w:r>
              <w:rPr>
                <w:color w:val="auto"/>
                <w:spacing w:val="-2"/>
                <w:highlight w:val="none"/>
              </w:rPr>
              <w:t>职务</w:t>
            </w:r>
          </w:p>
        </w:tc>
        <w:tc>
          <w:tcPr>
            <w:tcW w:w="1070" w:type="dxa"/>
            <w:vMerge w:val="restart"/>
            <w:tcBorders>
              <w:bottom w:val="nil"/>
            </w:tcBorders>
            <w:vAlign w:val="top"/>
          </w:tcPr>
          <w:p w14:paraId="7CAE2890">
            <w:pPr>
              <w:spacing w:line="390" w:lineRule="auto"/>
              <w:outlineLvl w:val="9"/>
              <w:rPr>
                <w:rFonts w:ascii="Arial"/>
                <w:color w:val="auto"/>
                <w:sz w:val="21"/>
                <w:highlight w:val="none"/>
              </w:rPr>
            </w:pPr>
          </w:p>
          <w:p w14:paraId="4EE61731">
            <w:pPr>
              <w:pStyle w:val="27"/>
              <w:spacing w:before="68" w:line="221" w:lineRule="auto"/>
              <w:ind w:left="327"/>
              <w:outlineLvl w:val="9"/>
              <w:rPr>
                <w:color w:val="auto"/>
                <w:highlight w:val="none"/>
              </w:rPr>
            </w:pPr>
            <w:r>
              <w:rPr>
                <w:color w:val="auto"/>
                <w:spacing w:val="-2"/>
                <w:highlight w:val="none"/>
              </w:rPr>
              <w:t>姓名</w:t>
            </w:r>
          </w:p>
        </w:tc>
        <w:tc>
          <w:tcPr>
            <w:tcW w:w="1080" w:type="dxa"/>
            <w:vMerge w:val="restart"/>
            <w:tcBorders>
              <w:bottom w:val="nil"/>
            </w:tcBorders>
            <w:vAlign w:val="top"/>
          </w:tcPr>
          <w:p w14:paraId="4F1D1A9B">
            <w:pPr>
              <w:spacing w:line="390" w:lineRule="auto"/>
              <w:outlineLvl w:val="9"/>
              <w:rPr>
                <w:rFonts w:ascii="Arial"/>
                <w:color w:val="auto"/>
                <w:sz w:val="21"/>
                <w:highlight w:val="none"/>
              </w:rPr>
            </w:pPr>
          </w:p>
          <w:p w14:paraId="011C0965">
            <w:pPr>
              <w:pStyle w:val="27"/>
              <w:spacing w:before="68" w:line="223" w:lineRule="auto"/>
              <w:ind w:left="333"/>
              <w:outlineLvl w:val="9"/>
              <w:rPr>
                <w:color w:val="auto"/>
                <w:highlight w:val="none"/>
              </w:rPr>
            </w:pPr>
            <w:r>
              <w:rPr>
                <w:color w:val="auto"/>
                <w:spacing w:val="-2"/>
                <w:highlight w:val="none"/>
              </w:rPr>
              <w:t>职称</w:t>
            </w:r>
          </w:p>
        </w:tc>
        <w:tc>
          <w:tcPr>
            <w:tcW w:w="4574" w:type="dxa"/>
            <w:gridSpan w:val="4"/>
            <w:vAlign w:val="top"/>
          </w:tcPr>
          <w:p w14:paraId="1F2679E9">
            <w:pPr>
              <w:pStyle w:val="27"/>
              <w:spacing w:before="175" w:line="221" w:lineRule="auto"/>
              <w:ind w:left="1557"/>
              <w:outlineLvl w:val="9"/>
              <w:rPr>
                <w:color w:val="auto"/>
                <w:highlight w:val="none"/>
              </w:rPr>
            </w:pPr>
            <w:r>
              <w:rPr>
                <w:color w:val="auto"/>
                <w:spacing w:val="-1"/>
                <w:highlight w:val="none"/>
              </w:rPr>
              <w:t>执业或职业资格证明</w:t>
            </w:r>
          </w:p>
        </w:tc>
        <w:tc>
          <w:tcPr>
            <w:tcW w:w="1447" w:type="dxa"/>
            <w:vMerge w:val="restart"/>
            <w:tcBorders>
              <w:bottom w:val="nil"/>
            </w:tcBorders>
            <w:vAlign w:val="top"/>
          </w:tcPr>
          <w:p w14:paraId="7C0073F8">
            <w:pPr>
              <w:spacing w:line="390" w:lineRule="auto"/>
              <w:outlineLvl w:val="9"/>
              <w:rPr>
                <w:rFonts w:ascii="Arial"/>
                <w:color w:val="auto"/>
                <w:sz w:val="21"/>
                <w:highlight w:val="none"/>
              </w:rPr>
            </w:pPr>
          </w:p>
          <w:p w14:paraId="0BB1A96A">
            <w:pPr>
              <w:pStyle w:val="27"/>
              <w:spacing w:before="69" w:line="222" w:lineRule="auto"/>
              <w:ind w:left="521"/>
              <w:outlineLvl w:val="9"/>
              <w:rPr>
                <w:color w:val="auto"/>
                <w:highlight w:val="none"/>
              </w:rPr>
            </w:pPr>
            <w:r>
              <w:rPr>
                <w:color w:val="auto"/>
                <w:spacing w:val="-3"/>
                <w:highlight w:val="none"/>
              </w:rPr>
              <w:t>备注</w:t>
            </w:r>
          </w:p>
        </w:tc>
      </w:tr>
      <w:tr w14:paraId="7F676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Merge w:val="continue"/>
            <w:tcBorders>
              <w:top w:val="nil"/>
            </w:tcBorders>
            <w:vAlign w:val="top"/>
          </w:tcPr>
          <w:p w14:paraId="1F0A042B">
            <w:pPr>
              <w:outlineLvl w:val="9"/>
              <w:rPr>
                <w:rFonts w:ascii="Arial"/>
                <w:color w:val="auto"/>
                <w:sz w:val="21"/>
                <w:highlight w:val="none"/>
              </w:rPr>
            </w:pPr>
          </w:p>
        </w:tc>
        <w:tc>
          <w:tcPr>
            <w:tcW w:w="1070" w:type="dxa"/>
            <w:vMerge w:val="continue"/>
            <w:tcBorders>
              <w:top w:val="nil"/>
            </w:tcBorders>
            <w:vAlign w:val="top"/>
          </w:tcPr>
          <w:p w14:paraId="2191D6E6">
            <w:pPr>
              <w:outlineLvl w:val="9"/>
              <w:rPr>
                <w:rFonts w:ascii="Arial"/>
                <w:color w:val="auto"/>
                <w:sz w:val="21"/>
                <w:highlight w:val="none"/>
              </w:rPr>
            </w:pPr>
          </w:p>
        </w:tc>
        <w:tc>
          <w:tcPr>
            <w:tcW w:w="1080" w:type="dxa"/>
            <w:vMerge w:val="continue"/>
            <w:tcBorders>
              <w:top w:val="nil"/>
            </w:tcBorders>
            <w:vAlign w:val="top"/>
          </w:tcPr>
          <w:p w14:paraId="76C10E06">
            <w:pPr>
              <w:outlineLvl w:val="9"/>
              <w:rPr>
                <w:rFonts w:ascii="Arial"/>
                <w:color w:val="auto"/>
                <w:sz w:val="21"/>
                <w:highlight w:val="none"/>
              </w:rPr>
            </w:pPr>
          </w:p>
        </w:tc>
        <w:tc>
          <w:tcPr>
            <w:tcW w:w="1144" w:type="dxa"/>
            <w:vAlign w:val="top"/>
          </w:tcPr>
          <w:p w14:paraId="7FD19DDB">
            <w:pPr>
              <w:pStyle w:val="27"/>
              <w:spacing w:before="174" w:line="220" w:lineRule="auto"/>
              <w:ind w:left="155"/>
              <w:outlineLvl w:val="9"/>
              <w:rPr>
                <w:color w:val="auto"/>
                <w:highlight w:val="none"/>
              </w:rPr>
            </w:pPr>
            <w:r>
              <w:rPr>
                <w:color w:val="auto"/>
                <w:spacing w:val="-2"/>
                <w:highlight w:val="none"/>
              </w:rPr>
              <w:t>证书名称</w:t>
            </w:r>
          </w:p>
        </w:tc>
        <w:tc>
          <w:tcPr>
            <w:tcW w:w="1144" w:type="dxa"/>
            <w:vAlign w:val="top"/>
          </w:tcPr>
          <w:p w14:paraId="1D82C41B">
            <w:pPr>
              <w:pStyle w:val="27"/>
              <w:spacing w:before="174" w:line="221" w:lineRule="auto"/>
              <w:ind w:left="370"/>
              <w:outlineLvl w:val="9"/>
              <w:rPr>
                <w:color w:val="auto"/>
                <w:highlight w:val="none"/>
              </w:rPr>
            </w:pPr>
            <w:r>
              <w:rPr>
                <w:color w:val="auto"/>
                <w:spacing w:val="-3"/>
                <w:highlight w:val="none"/>
              </w:rPr>
              <w:t>级别</w:t>
            </w:r>
          </w:p>
        </w:tc>
        <w:tc>
          <w:tcPr>
            <w:tcW w:w="1142" w:type="dxa"/>
            <w:vAlign w:val="top"/>
          </w:tcPr>
          <w:p w14:paraId="0FCF3A86">
            <w:pPr>
              <w:pStyle w:val="27"/>
              <w:spacing w:before="174" w:line="222" w:lineRule="auto"/>
              <w:ind w:left="366"/>
              <w:outlineLvl w:val="9"/>
              <w:rPr>
                <w:color w:val="auto"/>
                <w:highlight w:val="none"/>
              </w:rPr>
            </w:pPr>
            <w:r>
              <w:rPr>
                <w:color w:val="auto"/>
                <w:spacing w:val="-2"/>
                <w:highlight w:val="none"/>
              </w:rPr>
              <w:t>证号</w:t>
            </w:r>
          </w:p>
        </w:tc>
        <w:tc>
          <w:tcPr>
            <w:tcW w:w="1144" w:type="dxa"/>
            <w:vAlign w:val="top"/>
          </w:tcPr>
          <w:p w14:paraId="5DB719F9">
            <w:pPr>
              <w:pStyle w:val="27"/>
              <w:spacing w:before="112" w:line="221" w:lineRule="auto"/>
              <w:ind w:left="370"/>
              <w:outlineLvl w:val="9"/>
              <w:rPr>
                <w:color w:val="auto"/>
                <w:highlight w:val="none"/>
              </w:rPr>
            </w:pPr>
            <w:r>
              <w:rPr>
                <w:color w:val="auto"/>
                <w:spacing w:val="-2"/>
                <w:highlight w:val="none"/>
              </w:rPr>
              <w:t>专业</w:t>
            </w:r>
          </w:p>
        </w:tc>
        <w:tc>
          <w:tcPr>
            <w:tcW w:w="1447" w:type="dxa"/>
            <w:vMerge w:val="continue"/>
            <w:tcBorders>
              <w:top w:val="nil"/>
            </w:tcBorders>
            <w:vAlign w:val="top"/>
          </w:tcPr>
          <w:p w14:paraId="5407822D">
            <w:pPr>
              <w:outlineLvl w:val="9"/>
              <w:rPr>
                <w:rFonts w:ascii="Arial"/>
                <w:color w:val="auto"/>
                <w:sz w:val="21"/>
                <w:highlight w:val="none"/>
              </w:rPr>
            </w:pPr>
          </w:p>
        </w:tc>
      </w:tr>
      <w:tr w14:paraId="124B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14:paraId="4F3FA745">
            <w:pPr>
              <w:outlineLvl w:val="9"/>
              <w:rPr>
                <w:rFonts w:ascii="Arial"/>
                <w:color w:val="auto"/>
                <w:sz w:val="21"/>
                <w:highlight w:val="none"/>
              </w:rPr>
            </w:pPr>
          </w:p>
        </w:tc>
        <w:tc>
          <w:tcPr>
            <w:tcW w:w="1070" w:type="dxa"/>
            <w:vAlign w:val="top"/>
          </w:tcPr>
          <w:p w14:paraId="6AC3F772">
            <w:pPr>
              <w:outlineLvl w:val="9"/>
              <w:rPr>
                <w:rFonts w:ascii="Arial"/>
                <w:color w:val="auto"/>
                <w:sz w:val="21"/>
                <w:highlight w:val="none"/>
              </w:rPr>
            </w:pPr>
          </w:p>
        </w:tc>
        <w:tc>
          <w:tcPr>
            <w:tcW w:w="1080" w:type="dxa"/>
            <w:vAlign w:val="top"/>
          </w:tcPr>
          <w:p w14:paraId="6E71F1C3">
            <w:pPr>
              <w:outlineLvl w:val="9"/>
              <w:rPr>
                <w:rFonts w:ascii="Arial"/>
                <w:color w:val="auto"/>
                <w:sz w:val="21"/>
                <w:highlight w:val="none"/>
              </w:rPr>
            </w:pPr>
          </w:p>
        </w:tc>
        <w:tc>
          <w:tcPr>
            <w:tcW w:w="1144" w:type="dxa"/>
            <w:vAlign w:val="top"/>
          </w:tcPr>
          <w:p w14:paraId="1EBC7747">
            <w:pPr>
              <w:outlineLvl w:val="9"/>
              <w:rPr>
                <w:rFonts w:ascii="Arial"/>
                <w:color w:val="auto"/>
                <w:sz w:val="21"/>
                <w:highlight w:val="none"/>
              </w:rPr>
            </w:pPr>
          </w:p>
        </w:tc>
        <w:tc>
          <w:tcPr>
            <w:tcW w:w="1144" w:type="dxa"/>
            <w:vAlign w:val="top"/>
          </w:tcPr>
          <w:p w14:paraId="441AAB00">
            <w:pPr>
              <w:outlineLvl w:val="9"/>
              <w:rPr>
                <w:rFonts w:ascii="Arial"/>
                <w:color w:val="auto"/>
                <w:sz w:val="21"/>
                <w:highlight w:val="none"/>
              </w:rPr>
            </w:pPr>
          </w:p>
        </w:tc>
        <w:tc>
          <w:tcPr>
            <w:tcW w:w="1142" w:type="dxa"/>
            <w:vAlign w:val="top"/>
          </w:tcPr>
          <w:p w14:paraId="3AE0723E">
            <w:pPr>
              <w:outlineLvl w:val="9"/>
              <w:rPr>
                <w:rFonts w:ascii="Arial"/>
                <w:color w:val="auto"/>
                <w:sz w:val="21"/>
                <w:highlight w:val="none"/>
              </w:rPr>
            </w:pPr>
          </w:p>
        </w:tc>
        <w:tc>
          <w:tcPr>
            <w:tcW w:w="1144" w:type="dxa"/>
            <w:vAlign w:val="top"/>
          </w:tcPr>
          <w:p w14:paraId="62EECD54">
            <w:pPr>
              <w:outlineLvl w:val="9"/>
              <w:rPr>
                <w:rFonts w:ascii="Arial"/>
                <w:color w:val="auto"/>
                <w:sz w:val="21"/>
                <w:highlight w:val="none"/>
              </w:rPr>
            </w:pPr>
          </w:p>
        </w:tc>
        <w:tc>
          <w:tcPr>
            <w:tcW w:w="1447" w:type="dxa"/>
            <w:vAlign w:val="top"/>
          </w:tcPr>
          <w:p w14:paraId="59664FDA">
            <w:pPr>
              <w:outlineLvl w:val="9"/>
              <w:rPr>
                <w:rFonts w:ascii="Arial"/>
                <w:color w:val="auto"/>
                <w:sz w:val="21"/>
                <w:highlight w:val="none"/>
              </w:rPr>
            </w:pPr>
          </w:p>
        </w:tc>
      </w:tr>
      <w:tr w14:paraId="22CC8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001EE4AC">
            <w:pPr>
              <w:outlineLvl w:val="9"/>
              <w:rPr>
                <w:rFonts w:ascii="Arial"/>
                <w:color w:val="auto"/>
                <w:sz w:val="21"/>
                <w:highlight w:val="none"/>
              </w:rPr>
            </w:pPr>
          </w:p>
        </w:tc>
        <w:tc>
          <w:tcPr>
            <w:tcW w:w="1070" w:type="dxa"/>
            <w:vAlign w:val="top"/>
          </w:tcPr>
          <w:p w14:paraId="6D333B32">
            <w:pPr>
              <w:outlineLvl w:val="9"/>
              <w:rPr>
                <w:rFonts w:ascii="Arial"/>
                <w:color w:val="auto"/>
                <w:sz w:val="21"/>
                <w:highlight w:val="none"/>
              </w:rPr>
            </w:pPr>
          </w:p>
        </w:tc>
        <w:tc>
          <w:tcPr>
            <w:tcW w:w="1080" w:type="dxa"/>
            <w:vAlign w:val="top"/>
          </w:tcPr>
          <w:p w14:paraId="7BF98CFC">
            <w:pPr>
              <w:outlineLvl w:val="9"/>
              <w:rPr>
                <w:rFonts w:ascii="Arial"/>
                <w:color w:val="auto"/>
                <w:sz w:val="21"/>
                <w:highlight w:val="none"/>
              </w:rPr>
            </w:pPr>
          </w:p>
        </w:tc>
        <w:tc>
          <w:tcPr>
            <w:tcW w:w="1144" w:type="dxa"/>
            <w:vAlign w:val="top"/>
          </w:tcPr>
          <w:p w14:paraId="01B4AE86">
            <w:pPr>
              <w:outlineLvl w:val="9"/>
              <w:rPr>
                <w:rFonts w:ascii="Arial"/>
                <w:color w:val="auto"/>
                <w:sz w:val="21"/>
                <w:highlight w:val="none"/>
              </w:rPr>
            </w:pPr>
          </w:p>
        </w:tc>
        <w:tc>
          <w:tcPr>
            <w:tcW w:w="1144" w:type="dxa"/>
            <w:vAlign w:val="top"/>
          </w:tcPr>
          <w:p w14:paraId="0C96A5A2">
            <w:pPr>
              <w:outlineLvl w:val="9"/>
              <w:rPr>
                <w:rFonts w:ascii="Arial"/>
                <w:color w:val="auto"/>
                <w:sz w:val="21"/>
                <w:highlight w:val="none"/>
              </w:rPr>
            </w:pPr>
          </w:p>
        </w:tc>
        <w:tc>
          <w:tcPr>
            <w:tcW w:w="1142" w:type="dxa"/>
            <w:vAlign w:val="top"/>
          </w:tcPr>
          <w:p w14:paraId="79B7E8E1">
            <w:pPr>
              <w:outlineLvl w:val="9"/>
              <w:rPr>
                <w:rFonts w:ascii="Arial"/>
                <w:color w:val="auto"/>
                <w:sz w:val="21"/>
                <w:highlight w:val="none"/>
              </w:rPr>
            </w:pPr>
          </w:p>
        </w:tc>
        <w:tc>
          <w:tcPr>
            <w:tcW w:w="1144" w:type="dxa"/>
            <w:vAlign w:val="top"/>
          </w:tcPr>
          <w:p w14:paraId="7D11AA1A">
            <w:pPr>
              <w:outlineLvl w:val="9"/>
              <w:rPr>
                <w:rFonts w:ascii="Arial"/>
                <w:color w:val="auto"/>
                <w:sz w:val="21"/>
                <w:highlight w:val="none"/>
              </w:rPr>
            </w:pPr>
          </w:p>
        </w:tc>
        <w:tc>
          <w:tcPr>
            <w:tcW w:w="1447" w:type="dxa"/>
            <w:vAlign w:val="top"/>
          </w:tcPr>
          <w:p w14:paraId="00E30B5E">
            <w:pPr>
              <w:outlineLvl w:val="9"/>
              <w:rPr>
                <w:rFonts w:ascii="Arial"/>
                <w:color w:val="auto"/>
                <w:sz w:val="21"/>
                <w:highlight w:val="none"/>
              </w:rPr>
            </w:pPr>
          </w:p>
        </w:tc>
      </w:tr>
      <w:tr w14:paraId="10EA7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2567DB89">
            <w:pPr>
              <w:outlineLvl w:val="9"/>
              <w:rPr>
                <w:rFonts w:ascii="Arial"/>
                <w:color w:val="auto"/>
                <w:sz w:val="21"/>
                <w:highlight w:val="none"/>
              </w:rPr>
            </w:pPr>
          </w:p>
        </w:tc>
        <w:tc>
          <w:tcPr>
            <w:tcW w:w="1070" w:type="dxa"/>
            <w:vAlign w:val="top"/>
          </w:tcPr>
          <w:p w14:paraId="50F09BD3">
            <w:pPr>
              <w:outlineLvl w:val="9"/>
              <w:rPr>
                <w:rFonts w:ascii="Arial"/>
                <w:color w:val="auto"/>
                <w:sz w:val="21"/>
                <w:highlight w:val="none"/>
              </w:rPr>
            </w:pPr>
          </w:p>
        </w:tc>
        <w:tc>
          <w:tcPr>
            <w:tcW w:w="1080" w:type="dxa"/>
            <w:vAlign w:val="top"/>
          </w:tcPr>
          <w:p w14:paraId="791AFD16">
            <w:pPr>
              <w:outlineLvl w:val="9"/>
              <w:rPr>
                <w:rFonts w:ascii="Arial"/>
                <w:color w:val="auto"/>
                <w:sz w:val="21"/>
                <w:highlight w:val="none"/>
              </w:rPr>
            </w:pPr>
          </w:p>
        </w:tc>
        <w:tc>
          <w:tcPr>
            <w:tcW w:w="1144" w:type="dxa"/>
            <w:vAlign w:val="top"/>
          </w:tcPr>
          <w:p w14:paraId="558A1A43">
            <w:pPr>
              <w:outlineLvl w:val="9"/>
              <w:rPr>
                <w:rFonts w:ascii="Arial"/>
                <w:color w:val="auto"/>
                <w:sz w:val="21"/>
                <w:highlight w:val="none"/>
              </w:rPr>
            </w:pPr>
          </w:p>
        </w:tc>
        <w:tc>
          <w:tcPr>
            <w:tcW w:w="1144" w:type="dxa"/>
            <w:vAlign w:val="top"/>
          </w:tcPr>
          <w:p w14:paraId="1E738151">
            <w:pPr>
              <w:outlineLvl w:val="9"/>
              <w:rPr>
                <w:rFonts w:ascii="Arial"/>
                <w:color w:val="auto"/>
                <w:sz w:val="21"/>
                <w:highlight w:val="none"/>
              </w:rPr>
            </w:pPr>
          </w:p>
        </w:tc>
        <w:tc>
          <w:tcPr>
            <w:tcW w:w="1142" w:type="dxa"/>
            <w:vAlign w:val="top"/>
          </w:tcPr>
          <w:p w14:paraId="78E50776">
            <w:pPr>
              <w:outlineLvl w:val="9"/>
              <w:rPr>
                <w:rFonts w:ascii="Arial"/>
                <w:color w:val="auto"/>
                <w:sz w:val="21"/>
                <w:highlight w:val="none"/>
              </w:rPr>
            </w:pPr>
          </w:p>
        </w:tc>
        <w:tc>
          <w:tcPr>
            <w:tcW w:w="1144" w:type="dxa"/>
            <w:vAlign w:val="top"/>
          </w:tcPr>
          <w:p w14:paraId="275938FE">
            <w:pPr>
              <w:outlineLvl w:val="9"/>
              <w:rPr>
                <w:rFonts w:ascii="Arial"/>
                <w:color w:val="auto"/>
                <w:sz w:val="21"/>
                <w:highlight w:val="none"/>
              </w:rPr>
            </w:pPr>
          </w:p>
        </w:tc>
        <w:tc>
          <w:tcPr>
            <w:tcW w:w="1447" w:type="dxa"/>
            <w:vAlign w:val="top"/>
          </w:tcPr>
          <w:p w14:paraId="32CB5124">
            <w:pPr>
              <w:outlineLvl w:val="9"/>
              <w:rPr>
                <w:rFonts w:ascii="Arial"/>
                <w:color w:val="auto"/>
                <w:sz w:val="21"/>
                <w:highlight w:val="none"/>
              </w:rPr>
            </w:pPr>
          </w:p>
        </w:tc>
      </w:tr>
      <w:tr w14:paraId="5B28F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39760CB4">
            <w:pPr>
              <w:outlineLvl w:val="9"/>
              <w:rPr>
                <w:rFonts w:ascii="Arial"/>
                <w:color w:val="auto"/>
                <w:sz w:val="21"/>
                <w:highlight w:val="none"/>
              </w:rPr>
            </w:pPr>
          </w:p>
        </w:tc>
        <w:tc>
          <w:tcPr>
            <w:tcW w:w="1070" w:type="dxa"/>
            <w:vAlign w:val="top"/>
          </w:tcPr>
          <w:p w14:paraId="77E11CED">
            <w:pPr>
              <w:outlineLvl w:val="9"/>
              <w:rPr>
                <w:rFonts w:ascii="Arial"/>
                <w:color w:val="auto"/>
                <w:sz w:val="21"/>
                <w:highlight w:val="none"/>
              </w:rPr>
            </w:pPr>
          </w:p>
        </w:tc>
        <w:tc>
          <w:tcPr>
            <w:tcW w:w="1080" w:type="dxa"/>
            <w:vAlign w:val="top"/>
          </w:tcPr>
          <w:p w14:paraId="4AA268DF">
            <w:pPr>
              <w:outlineLvl w:val="9"/>
              <w:rPr>
                <w:rFonts w:ascii="Arial"/>
                <w:color w:val="auto"/>
                <w:sz w:val="21"/>
                <w:highlight w:val="none"/>
              </w:rPr>
            </w:pPr>
          </w:p>
        </w:tc>
        <w:tc>
          <w:tcPr>
            <w:tcW w:w="1144" w:type="dxa"/>
            <w:vAlign w:val="top"/>
          </w:tcPr>
          <w:p w14:paraId="3A7D32A1">
            <w:pPr>
              <w:outlineLvl w:val="9"/>
              <w:rPr>
                <w:rFonts w:ascii="Arial"/>
                <w:color w:val="auto"/>
                <w:sz w:val="21"/>
                <w:highlight w:val="none"/>
              </w:rPr>
            </w:pPr>
          </w:p>
        </w:tc>
        <w:tc>
          <w:tcPr>
            <w:tcW w:w="1144" w:type="dxa"/>
            <w:vAlign w:val="top"/>
          </w:tcPr>
          <w:p w14:paraId="10089034">
            <w:pPr>
              <w:outlineLvl w:val="9"/>
              <w:rPr>
                <w:rFonts w:ascii="Arial"/>
                <w:color w:val="auto"/>
                <w:sz w:val="21"/>
                <w:highlight w:val="none"/>
              </w:rPr>
            </w:pPr>
          </w:p>
        </w:tc>
        <w:tc>
          <w:tcPr>
            <w:tcW w:w="1142" w:type="dxa"/>
            <w:vAlign w:val="top"/>
          </w:tcPr>
          <w:p w14:paraId="098088A4">
            <w:pPr>
              <w:outlineLvl w:val="9"/>
              <w:rPr>
                <w:rFonts w:ascii="Arial"/>
                <w:color w:val="auto"/>
                <w:sz w:val="21"/>
                <w:highlight w:val="none"/>
              </w:rPr>
            </w:pPr>
          </w:p>
        </w:tc>
        <w:tc>
          <w:tcPr>
            <w:tcW w:w="1144" w:type="dxa"/>
            <w:vAlign w:val="top"/>
          </w:tcPr>
          <w:p w14:paraId="0A601F30">
            <w:pPr>
              <w:outlineLvl w:val="9"/>
              <w:rPr>
                <w:rFonts w:ascii="Arial"/>
                <w:color w:val="auto"/>
                <w:sz w:val="21"/>
                <w:highlight w:val="none"/>
              </w:rPr>
            </w:pPr>
          </w:p>
        </w:tc>
        <w:tc>
          <w:tcPr>
            <w:tcW w:w="1447" w:type="dxa"/>
            <w:vAlign w:val="top"/>
          </w:tcPr>
          <w:p w14:paraId="7A1D3FF8">
            <w:pPr>
              <w:outlineLvl w:val="9"/>
              <w:rPr>
                <w:rFonts w:ascii="Arial"/>
                <w:color w:val="auto"/>
                <w:sz w:val="21"/>
                <w:highlight w:val="none"/>
              </w:rPr>
            </w:pPr>
          </w:p>
        </w:tc>
      </w:tr>
      <w:tr w14:paraId="3ADCA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2A852129">
            <w:pPr>
              <w:outlineLvl w:val="9"/>
              <w:rPr>
                <w:rFonts w:ascii="Arial"/>
                <w:color w:val="auto"/>
                <w:sz w:val="21"/>
                <w:highlight w:val="none"/>
              </w:rPr>
            </w:pPr>
          </w:p>
        </w:tc>
        <w:tc>
          <w:tcPr>
            <w:tcW w:w="1070" w:type="dxa"/>
            <w:vAlign w:val="top"/>
          </w:tcPr>
          <w:p w14:paraId="6046A80D">
            <w:pPr>
              <w:outlineLvl w:val="9"/>
              <w:rPr>
                <w:rFonts w:ascii="Arial"/>
                <w:color w:val="auto"/>
                <w:sz w:val="21"/>
                <w:highlight w:val="none"/>
              </w:rPr>
            </w:pPr>
          </w:p>
        </w:tc>
        <w:tc>
          <w:tcPr>
            <w:tcW w:w="1080" w:type="dxa"/>
            <w:vAlign w:val="top"/>
          </w:tcPr>
          <w:p w14:paraId="45F5AF9A">
            <w:pPr>
              <w:outlineLvl w:val="9"/>
              <w:rPr>
                <w:rFonts w:ascii="Arial"/>
                <w:color w:val="auto"/>
                <w:sz w:val="21"/>
                <w:highlight w:val="none"/>
              </w:rPr>
            </w:pPr>
          </w:p>
        </w:tc>
        <w:tc>
          <w:tcPr>
            <w:tcW w:w="1144" w:type="dxa"/>
            <w:vAlign w:val="top"/>
          </w:tcPr>
          <w:p w14:paraId="442824B9">
            <w:pPr>
              <w:outlineLvl w:val="9"/>
              <w:rPr>
                <w:rFonts w:ascii="Arial"/>
                <w:color w:val="auto"/>
                <w:sz w:val="21"/>
                <w:highlight w:val="none"/>
              </w:rPr>
            </w:pPr>
          </w:p>
        </w:tc>
        <w:tc>
          <w:tcPr>
            <w:tcW w:w="1144" w:type="dxa"/>
            <w:vAlign w:val="top"/>
          </w:tcPr>
          <w:p w14:paraId="651D9B7A">
            <w:pPr>
              <w:outlineLvl w:val="9"/>
              <w:rPr>
                <w:rFonts w:ascii="Arial"/>
                <w:color w:val="auto"/>
                <w:sz w:val="21"/>
                <w:highlight w:val="none"/>
              </w:rPr>
            </w:pPr>
          </w:p>
        </w:tc>
        <w:tc>
          <w:tcPr>
            <w:tcW w:w="1142" w:type="dxa"/>
            <w:vAlign w:val="top"/>
          </w:tcPr>
          <w:p w14:paraId="75C221EA">
            <w:pPr>
              <w:outlineLvl w:val="9"/>
              <w:rPr>
                <w:rFonts w:ascii="Arial"/>
                <w:color w:val="auto"/>
                <w:sz w:val="21"/>
                <w:highlight w:val="none"/>
              </w:rPr>
            </w:pPr>
          </w:p>
        </w:tc>
        <w:tc>
          <w:tcPr>
            <w:tcW w:w="1144" w:type="dxa"/>
            <w:vAlign w:val="top"/>
          </w:tcPr>
          <w:p w14:paraId="17349627">
            <w:pPr>
              <w:outlineLvl w:val="9"/>
              <w:rPr>
                <w:rFonts w:ascii="Arial"/>
                <w:color w:val="auto"/>
                <w:sz w:val="21"/>
                <w:highlight w:val="none"/>
              </w:rPr>
            </w:pPr>
          </w:p>
        </w:tc>
        <w:tc>
          <w:tcPr>
            <w:tcW w:w="1447" w:type="dxa"/>
            <w:vAlign w:val="top"/>
          </w:tcPr>
          <w:p w14:paraId="0A540B89">
            <w:pPr>
              <w:outlineLvl w:val="9"/>
              <w:rPr>
                <w:rFonts w:ascii="Arial"/>
                <w:color w:val="auto"/>
                <w:sz w:val="21"/>
                <w:highlight w:val="none"/>
              </w:rPr>
            </w:pPr>
          </w:p>
        </w:tc>
      </w:tr>
      <w:tr w14:paraId="2A0D0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63C6626B">
            <w:pPr>
              <w:outlineLvl w:val="9"/>
              <w:rPr>
                <w:rFonts w:ascii="Arial"/>
                <w:color w:val="auto"/>
                <w:sz w:val="21"/>
                <w:highlight w:val="none"/>
              </w:rPr>
            </w:pPr>
          </w:p>
        </w:tc>
        <w:tc>
          <w:tcPr>
            <w:tcW w:w="1070" w:type="dxa"/>
            <w:vAlign w:val="top"/>
          </w:tcPr>
          <w:p w14:paraId="76809EF8">
            <w:pPr>
              <w:outlineLvl w:val="9"/>
              <w:rPr>
                <w:rFonts w:ascii="Arial"/>
                <w:color w:val="auto"/>
                <w:sz w:val="21"/>
                <w:highlight w:val="none"/>
              </w:rPr>
            </w:pPr>
          </w:p>
        </w:tc>
        <w:tc>
          <w:tcPr>
            <w:tcW w:w="1080" w:type="dxa"/>
            <w:vAlign w:val="top"/>
          </w:tcPr>
          <w:p w14:paraId="4D87290B">
            <w:pPr>
              <w:outlineLvl w:val="9"/>
              <w:rPr>
                <w:rFonts w:ascii="Arial"/>
                <w:color w:val="auto"/>
                <w:sz w:val="21"/>
                <w:highlight w:val="none"/>
              </w:rPr>
            </w:pPr>
          </w:p>
        </w:tc>
        <w:tc>
          <w:tcPr>
            <w:tcW w:w="1144" w:type="dxa"/>
            <w:vAlign w:val="top"/>
          </w:tcPr>
          <w:p w14:paraId="3934F2BD">
            <w:pPr>
              <w:outlineLvl w:val="9"/>
              <w:rPr>
                <w:rFonts w:ascii="Arial"/>
                <w:color w:val="auto"/>
                <w:sz w:val="21"/>
                <w:highlight w:val="none"/>
              </w:rPr>
            </w:pPr>
          </w:p>
        </w:tc>
        <w:tc>
          <w:tcPr>
            <w:tcW w:w="1144" w:type="dxa"/>
            <w:vAlign w:val="top"/>
          </w:tcPr>
          <w:p w14:paraId="01FDD09C">
            <w:pPr>
              <w:outlineLvl w:val="9"/>
              <w:rPr>
                <w:rFonts w:ascii="Arial"/>
                <w:color w:val="auto"/>
                <w:sz w:val="21"/>
                <w:highlight w:val="none"/>
              </w:rPr>
            </w:pPr>
          </w:p>
        </w:tc>
        <w:tc>
          <w:tcPr>
            <w:tcW w:w="1142" w:type="dxa"/>
            <w:vAlign w:val="top"/>
          </w:tcPr>
          <w:p w14:paraId="43561519">
            <w:pPr>
              <w:outlineLvl w:val="9"/>
              <w:rPr>
                <w:rFonts w:ascii="Arial"/>
                <w:color w:val="auto"/>
                <w:sz w:val="21"/>
                <w:highlight w:val="none"/>
              </w:rPr>
            </w:pPr>
          </w:p>
        </w:tc>
        <w:tc>
          <w:tcPr>
            <w:tcW w:w="1144" w:type="dxa"/>
            <w:vAlign w:val="top"/>
          </w:tcPr>
          <w:p w14:paraId="7D22ABDA">
            <w:pPr>
              <w:outlineLvl w:val="9"/>
              <w:rPr>
                <w:rFonts w:ascii="Arial"/>
                <w:color w:val="auto"/>
                <w:sz w:val="21"/>
                <w:highlight w:val="none"/>
              </w:rPr>
            </w:pPr>
          </w:p>
        </w:tc>
        <w:tc>
          <w:tcPr>
            <w:tcW w:w="1447" w:type="dxa"/>
            <w:vAlign w:val="top"/>
          </w:tcPr>
          <w:p w14:paraId="0C13DD5E">
            <w:pPr>
              <w:outlineLvl w:val="9"/>
              <w:rPr>
                <w:rFonts w:ascii="Arial"/>
                <w:color w:val="auto"/>
                <w:sz w:val="21"/>
                <w:highlight w:val="none"/>
              </w:rPr>
            </w:pPr>
          </w:p>
        </w:tc>
      </w:tr>
      <w:tr w14:paraId="6993D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10025EB6">
            <w:pPr>
              <w:outlineLvl w:val="9"/>
              <w:rPr>
                <w:rFonts w:ascii="Arial"/>
                <w:color w:val="auto"/>
                <w:sz w:val="21"/>
                <w:highlight w:val="none"/>
              </w:rPr>
            </w:pPr>
          </w:p>
        </w:tc>
        <w:tc>
          <w:tcPr>
            <w:tcW w:w="1070" w:type="dxa"/>
            <w:vAlign w:val="top"/>
          </w:tcPr>
          <w:p w14:paraId="1005AA84">
            <w:pPr>
              <w:outlineLvl w:val="9"/>
              <w:rPr>
                <w:rFonts w:ascii="Arial"/>
                <w:color w:val="auto"/>
                <w:sz w:val="21"/>
                <w:highlight w:val="none"/>
              </w:rPr>
            </w:pPr>
          </w:p>
        </w:tc>
        <w:tc>
          <w:tcPr>
            <w:tcW w:w="1080" w:type="dxa"/>
            <w:vAlign w:val="top"/>
          </w:tcPr>
          <w:p w14:paraId="0BB21E33">
            <w:pPr>
              <w:outlineLvl w:val="9"/>
              <w:rPr>
                <w:rFonts w:ascii="Arial"/>
                <w:color w:val="auto"/>
                <w:sz w:val="21"/>
                <w:highlight w:val="none"/>
              </w:rPr>
            </w:pPr>
          </w:p>
        </w:tc>
        <w:tc>
          <w:tcPr>
            <w:tcW w:w="1144" w:type="dxa"/>
            <w:vAlign w:val="top"/>
          </w:tcPr>
          <w:p w14:paraId="0C7B8815">
            <w:pPr>
              <w:outlineLvl w:val="9"/>
              <w:rPr>
                <w:rFonts w:ascii="Arial"/>
                <w:color w:val="auto"/>
                <w:sz w:val="21"/>
                <w:highlight w:val="none"/>
              </w:rPr>
            </w:pPr>
          </w:p>
        </w:tc>
        <w:tc>
          <w:tcPr>
            <w:tcW w:w="1144" w:type="dxa"/>
            <w:vAlign w:val="top"/>
          </w:tcPr>
          <w:p w14:paraId="47701F4D">
            <w:pPr>
              <w:outlineLvl w:val="9"/>
              <w:rPr>
                <w:rFonts w:ascii="Arial"/>
                <w:color w:val="auto"/>
                <w:sz w:val="21"/>
                <w:highlight w:val="none"/>
              </w:rPr>
            </w:pPr>
          </w:p>
        </w:tc>
        <w:tc>
          <w:tcPr>
            <w:tcW w:w="1142" w:type="dxa"/>
            <w:vAlign w:val="top"/>
          </w:tcPr>
          <w:p w14:paraId="702E0B63">
            <w:pPr>
              <w:outlineLvl w:val="9"/>
              <w:rPr>
                <w:rFonts w:ascii="Arial"/>
                <w:color w:val="auto"/>
                <w:sz w:val="21"/>
                <w:highlight w:val="none"/>
              </w:rPr>
            </w:pPr>
          </w:p>
        </w:tc>
        <w:tc>
          <w:tcPr>
            <w:tcW w:w="1144" w:type="dxa"/>
            <w:vAlign w:val="top"/>
          </w:tcPr>
          <w:p w14:paraId="6E3214C5">
            <w:pPr>
              <w:outlineLvl w:val="9"/>
              <w:rPr>
                <w:rFonts w:ascii="Arial"/>
                <w:color w:val="auto"/>
                <w:sz w:val="21"/>
                <w:highlight w:val="none"/>
              </w:rPr>
            </w:pPr>
          </w:p>
        </w:tc>
        <w:tc>
          <w:tcPr>
            <w:tcW w:w="1447" w:type="dxa"/>
            <w:vAlign w:val="top"/>
          </w:tcPr>
          <w:p w14:paraId="3380BFE9">
            <w:pPr>
              <w:outlineLvl w:val="9"/>
              <w:rPr>
                <w:rFonts w:ascii="Arial"/>
                <w:color w:val="auto"/>
                <w:sz w:val="21"/>
                <w:highlight w:val="none"/>
              </w:rPr>
            </w:pPr>
          </w:p>
        </w:tc>
      </w:tr>
      <w:tr w14:paraId="39B78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43FF1C1D">
            <w:pPr>
              <w:outlineLvl w:val="9"/>
              <w:rPr>
                <w:rFonts w:ascii="Arial"/>
                <w:color w:val="auto"/>
                <w:sz w:val="21"/>
                <w:highlight w:val="none"/>
              </w:rPr>
            </w:pPr>
          </w:p>
        </w:tc>
        <w:tc>
          <w:tcPr>
            <w:tcW w:w="1070" w:type="dxa"/>
            <w:vAlign w:val="top"/>
          </w:tcPr>
          <w:p w14:paraId="2FB5D7A4">
            <w:pPr>
              <w:outlineLvl w:val="9"/>
              <w:rPr>
                <w:rFonts w:ascii="Arial"/>
                <w:color w:val="auto"/>
                <w:sz w:val="21"/>
                <w:highlight w:val="none"/>
              </w:rPr>
            </w:pPr>
          </w:p>
        </w:tc>
        <w:tc>
          <w:tcPr>
            <w:tcW w:w="1080" w:type="dxa"/>
            <w:vAlign w:val="top"/>
          </w:tcPr>
          <w:p w14:paraId="0FB03847">
            <w:pPr>
              <w:outlineLvl w:val="9"/>
              <w:rPr>
                <w:rFonts w:ascii="Arial"/>
                <w:color w:val="auto"/>
                <w:sz w:val="21"/>
                <w:highlight w:val="none"/>
              </w:rPr>
            </w:pPr>
          </w:p>
        </w:tc>
        <w:tc>
          <w:tcPr>
            <w:tcW w:w="1144" w:type="dxa"/>
            <w:vAlign w:val="top"/>
          </w:tcPr>
          <w:p w14:paraId="6D968858">
            <w:pPr>
              <w:outlineLvl w:val="9"/>
              <w:rPr>
                <w:rFonts w:ascii="Arial"/>
                <w:color w:val="auto"/>
                <w:sz w:val="21"/>
                <w:highlight w:val="none"/>
              </w:rPr>
            </w:pPr>
          </w:p>
        </w:tc>
        <w:tc>
          <w:tcPr>
            <w:tcW w:w="1144" w:type="dxa"/>
            <w:vAlign w:val="top"/>
          </w:tcPr>
          <w:p w14:paraId="6DBE30E4">
            <w:pPr>
              <w:outlineLvl w:val="9"/>
              <w:rPr>
                <w:rFonts w:ascii="Arial"/>
                <w:color w:val="auto"/>
                <w:sz w:val="21"/>
                <w:highlight w:val="none"/>
              </w:rPr>
            </w:pPr>
          </w:p>
        </w:tc>
        <w:tc>
          <w:tcPr>
            <w:tcW w:w="1142" w:type="dxa"/>
            <w:vAlign w:val="top"/>
          </w:tcPr>
          <w:p w14:paraId="29D146B1">
            <w:pPr>
              <w:outlineLvl w:val="9"/>
              <w:rPr>
                <w:rFonts w:ascii="Arial"/>
                <w:color w:val="auto"/>
                <w:sz w:val="21"/>
                <w:highlight w:val="none"/>
              </w:rPr>
            </w:pPr>
          </w:p>
        </w:tc>
        <w:tc>
          <w:tcPr>
            <w:tcW w:w="1144" w:type="dxa"/>
            <w:vAlign w:val="top"/>
          </w:tcPr>
          <w:p w14:paraId="2AFC330A">
            <w:pPr>
              <w:outlineLvl w:val="9"/>
              <w:rPr>
                <w:rFonts w:ascii="Arial"/>
                <w:color w:val="auto"/>
                <w:sz w:val="21"/>
                <w:highlight w:val="none"/>
              </w:rPr>
            </w:pPr>
          </w:p>
        </w:tc>
        <w:tc>
          <w:tcPr>
            <w:tcW w:w="1447" w:type="dxa"/>
            <w:vAlign w:val="top"/>
          </w:tcPr>
          <w:p w14:paraId="0A9B258E">
            <w:pPr>
              <w:outlineLvl w:val="9"/>
              <w:rPr>
                <w:rFonts w:ascii="Arial"/>
                <w:color w:val="auto"/>
                <w:sz w:val="21"/>
                <w:highlight w:val="none"/>
              </w:rPr>
            </w:pPr>
          </w:p>
        </w:tc>
      </w:tr>
      <w:tr w14:paraId="624CE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3BC87199">
            <w:pPr>
              <w:outlineLvl w:val="9"/>
              <w:rPr>
                <w:rFonts w:ascii="Arial"/>
                <w:color w:val="auto"/>
                <w:sz w:val="21"/>
                <w:highlight w:val="none"/>
              </w:rPr>
            </w:pPr>
          </w:p>
        </w:tc>
        <w:tc>
          <w:tcPr>
            <w:tcW w:w="1070" w:type="dxa"/>
            <w:vAlign w:val="top"/>
          </w:tcPr>
          <w:p w14:paraId="168A3879">
            <w:pPr>
              <w:outlineLvl w:val="9"/>
              <w:rPr>
                <w:rFonts w:ascii="Arial"/>
                <w:color w:val="auto"/>
                <w:sz w:val="21"/>
                <w:highlight w:val="none"/>
              </w:rPr>
            </w:pPr>
          </w:p>
        </w:tc>
        <w:tc>
          <w:tcPr>
            <w:tcW w:w="1080" w:type="dxa"/>
            <w:vAlign w:val="top"/>
          </w:tcPr>
          <w:p w14:paraId="700E9424">
            <w:pPr>
              <w:outlineLvl w:val="9"/>
              <w:rPr>
                <w:rFonts w:ascii="Arial"/>
                <w:color w:val="auto"/>
                <w:sz w:val="21"/>
                <w:highlight w:val="none"/>
              </w:rPr>
            </w:pPr>
          </w:p>
        </w:tc>
        <w:tc>
          <w:tcPr>
            <w:tcW w:w="1144" w:type="dxa"/>
            <w:vAlign w:val="top"/>
          </w:tcPr>
          <w:p w14:paraId="3E05D7B9">
            <w:pPr>
              <w:outlineLvl w:val="9"/>
              <w:rPr>
                <w:rFonts w:ascii="Arial"/>
                <w:color w:val="auto"/>
                <w:sz w:val="21"/>
                <w:highlight w:val="none"/>
              </w:rPr>
            </w:pPr>
          </w:p>
        </w:tc>
        <w:tc>
          <w:tcPr>
            <w:tcW w:w="1144" w:type="dxa"/>
            <w:vAlign w:val="top"/>
          </w:tcPr>
          <w:p w14:paraId="73907322">
            <w:pPr>
              <w:outlineLvl w:val="9"/>
              <w:rPr>
                <w:rFonts w:ascii="Arial"/>
                <w:color w:val="auto"/>
                <w:sz w:val="21"/>
                <w:highlight w:val="none"/>
              </w:rPr>
            </w:pPr>
          </w:p>
        </w:tc>
        <w:tc>
          <w:tcPr>
            <w:tcW w:w="1142" w:type="dxa"/>
            <w:vAlign w:val="top"/>
          </w:tcPr>
          <w:p w14:paraId="7DFD0B5A">
            <w:pPr>
              <w:outlineLvl w:val="9"/>
              <w:rPr>
                <w:rFonts w:ascii="Arial"/>
                <w:color w:val="auto"/>
                <w:sz w:val="21"/>
                <w:highlight w:val="none"/>
              </w:rPr>
            </w:pPr>
          </w:p>
        </w:tc>
        <w:tc>
          <w:tcPr>
            <w:tcW w:w="1144" w:type="dxa"/>
            <w:vAlign w:val="top"/>
          </w:tcPr>
          <w:p w14:paraId="50B1475F">
            <w:pPr>
              <w:outlineLvl w:val="9"/>
              <w:rPr>
                <w:rFonts w:ascii="Arial"/>
                <w:color w:val="auto"/>
                <w:sz w:val="21"/>
                <w:highlight w:val="none"/>
              </w:rPr>
            </w:pPr>
          </w:p>
        </w:tc>
        <w:tc>
          <w:tcPr>
            <w:tcW w:w="1447" w:type="dxa"/>
            <w:vAlign w:val="top"/>
          </w:tcPr>
          <w:p w14:paraId="06E702E7">
            <w:pPr>
              <w:outlineLvl w:val="9"/>
              <w:rPr>
                <w:rFonts w:ascii="Arial"/>
                <w:color w:val="auto"/>
                <w:sz w:val="21"/>
                <w:highlight w:val="none"/>
              </w:rPr>
            </w:pPr>
          </w:p>
        </w:tc>
      </w:tr>
      <w:tr w14:paraId="179AA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222ABE17">
            <w:pPr>
              <w:outlineLvl w:val="9"/>
              <w:rPr>
                <w:rFonts w:ascii="Arial"/>
                <w:color w:val="auto"/>
                <w:sz w:val="21"/>
                <w:highlight w:val="none"/>
              </w:rPr>
            </w:pPr>
          </w:p>
        </w:tc>
        <w:tc>
          <w:tcPr>
            <w:tcW w:w="1070" w:type="dxa"/>
            <w:vAlign w:val="top"/>
          </w:tcPr>
          <w:p w14:paraId="5A37DB57">
            <w:pPr>
              <w:outlineLvl w:val="9"/>
              <w:rPr>
                <w:rFonts w:ascii="Arial"/>
                <w:color w:val="auto"/>
                <w:sz w:val="21"/>
                <w:highlight w:val="none"/>
              </w:rPr>
            </w:pPr>
          </w:p>
        </w:tc>
        <w:tc>
          <w:tcPr>
            <w:tcW w:w="1080" w:type="dxa"/>
            <w:vAlign w:val="top"/>
          </w:tcPr>
          <w:p w14:paraId="3098E2E6">
            <w:pPr>
              <w:outlineLvl w:val="9"/>
              <w:rPr>
                <w:rFonts w:ascii="Arial"/>
                <w:color w:val="auto"/>
                <w:sz w:val="21"/>
                <w:highlight w:val="none"/>
              </w:rPr>
            </w:pPr>
          </w:p>
        </w:tc>
        <w:tc>
          <w:tcPr>
            <w:tcW w:w="1144" w:type="dxa"/>
            <w:vAlign w:val="top"/>
          </w:tcPr>
          <w:p w14:paraId="048FC04C">
            <w:pPr>
              <w:outlineLvl w:val="9"/>
              <w:rPr>
                <w:rFonts w:ascii="Arial"/>
                <w:color w:val="auto"/>
                <w:sz w:val="21"/>
                <w:highlight w:val="none"/>
              </w:rPr>
            </w:pPr>
          </w:p>
        </w:tc>
        <w:tc>
          <w:tcPr>
            <w:tcW w:w="1144" w:type="dxa"/>
            <w:vAlign w:val="top"/>
          </w:tcPr>
          <w:p w14:paraId="1A03FC63">
            <w:pPr>
              <w:outlineLvl w:val="9"/>
              <w:rPr>
                <w:rFonts w:ascii="Arial"/>
                <w:color w:val="auto"/>
                <w:sz w:val="21"/>
                <w:highlight w:val="none"/>
              </w:rPr>
            </w:pPr>
          </w:p>
        </w:tc>
        <w:tc>
          <w:tcPr>
            <w:tcW w:w="1142" w:type="dxa"/>
            <w:vAlign w:val="top"/>
          </w:tcPr>
          <w:p w14:paraId="3E250232">
            <w:pPr>
              <w:outlineLvl w:val="9"/>
              <w:rPr>
                <w:rFonts w:ascii="Arial"/>
                <w:color w:val="auto"/>
                <w:sz w:val="21"/>
                <w:highlight w:val="none"/>
              </w:rPr>
            </w:pPr>
          </w:p>
        </w:tc>
        <w:tc>
          <w:tcPr>
            <w:tcW w:w="1144" w:type="dxa"/>
            <w:vAlign w:val="top"/>
          </w:tcPr>
          <w:p w14:paraId="07C89E44">
            <w:pPr>
              <w:outlineLvl w:val="9"/>
              <w:rPr>
                <w:rFonts w:ascii="Arial"/>
                <w:color w:val="auto"/>
                <w:sz w:val="21"/>
                <w:highlight w:val="none"/>
              </w:rPr>
            </w:pPr>
          </w:p>
        </w:tc>
        <w:tc>
          <w:tcPr>
            <w:tcW w:w="1447" w:type="dxa"/>
            <w:vAlign w:val="top"/>
          </w:tcPr>
          <w:p w14:paraId="156A94B4">
            <w:pPr>
              <w:outlineLvl w:val="9"/>
              <w:rPr>
                <w:rFonts w:ascii="Arial"/>
                <w:color w:val="auto"/>
                <w:sz w:val="21"/>
                <w:highlight w:val="none"/>
              </w:rPr>
            </w:pPr>
          </w:p>
        </w:tc>
      </w:tr>
      <w:tr w14:paraId="1068A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6E76FFF0">
            <w:pPr>
              <w:outlineLvl w:val="9"/>
              <w:rPr>
                <w:rFonts w:ascii="Arial"/>
                <w:color w:val="auto"/>
                <w:sz w:val="21"/>
                <w:highlight w:val="none"/>
              </w:rPr>
            </w:pPr>
          </w:p>
        </w:tc>
        <w:tc>
          <w:tcPr>
            <w:tcW w:w="1070" w:type="dxa"/>
            <w:vAlign w:val="top"/>
          </w:tcPr>
          <w:p w14:paraId="2E6DB89F">
            <w:pPr>
              <w:outlineLvl w:val="9"/>
              <w:rPr>
                <w:rFonts w:ascii="Arial"/>
                <w:color w:val="auto"/>
                <w:sz w:val="21"/>
                <w:highlight w:val="none"/>
              </w:rPr>
            </w:pPr>
          </w:p>
        </w:tc>
        <w:tc>
          <w:tcPr>
            <w:tcW w:w="1080" w:type="dxa"/>
            <w:vAlign w:val="top"/>
          </w:tcPr>
          <w:p w14:paraId="5DCFF522">
            <w:pPr>
              <w:outlineLvl w:val="9"/>
              <w:rPr>
                <w:rFonts w:ascii="Arial"/>
                <w:color w:val="auto"/>
                <w:sz w:val="21"/>
                <w:highlight w:val="none"/>
              </w:rPr>
            </w:pPr>
          </w:p>
        </w:tc>
        <w:tc>
          <w:tcPr>
            <w:tcW w:w="1144" w:type="dxa"/>
            <w:vAlign w:val="top"/>
          </w:tcPr>
          <w:p w14:paraId="49710601">
            <w:pPr>
              <w:outlineLvl w:val="9"/>
              <w:rPr>
                <w:rFonts w:ascii="Arial"/>
                <w:color w:val="auto"/>
                <w:sz w:val="21"/>
                <w:highlight w:val="none"/>
              </w:rPr>
            </w:pPr>
          </w:p>
        </w:tc>
        <w:tc>
          <w:tcPr>
            <w:tcW w:w="1144" w:type="dxa"/>
            <w:vAlign w:val="top"/>
          </w:tcPr>
          <w:p w14:paraId="26A9EE0E">
            <w:pPr>
              <w:outlineLvl w:val="9"/>
              <w:rPr>
                <w:rFonts w:ascii="Arial"/>
                <w:color w:val="auto"/>
                <w:sz w:val="21"/>
                <w:highlight w:val="none"/>
              </w:rPr>
            </w:pPr>
          </w:p>
        </w:tc>
        <w:tc>
          <w:tcPr>
            <w:tcW w:w="1142" w:type="dxa"/>
            <w:vAlign w:val="top"/>
          </w:tcPr>
          <w:p w14:paraId="3DC01853">
            <w:pPr>
              <w:outlineLvl w:val="9"/>
              <w:rPr>
                <w:rFonts w:ascii="Arial"/>
                <w:color w:val="auto"/>
                <w:sz w:val="21"/>
                <w:highlight w:val="none"/>
              </w:rPr>
            </w:pPr>
          </w:p>
        </w:tc>
        <w:tc>
          <w:tcPr>
            <w:tcW w:w="1144" w:type="dxa"/>
            <w:vAlign w:val="top"/>
          </w:tcPr>
          <w:p w14:paraId="25ECD087">
            <w:pPr>
              <w:outlineLvl w:val="9"/>
              <w:rPr>
                <w:rFonts w:ascii="Arial"/>
                <w:color w:val="auto"/>
                <w:sz w:val="21"/>
                <w:highlight w:val="none"/>
              </w:rPr>
            </w:pPr>
          </w:p>
        </w:tc>
        <w:tc>
          <w:tcPr>
            <w:tcW w:w="1447" w:type="dxa"/>
            <w:vAlign w:val="top"/>
          </w:tcPr>
          <w:p w14:paraId="7D38F324">
            <w:pPr>
              <w:outlineLvl w:val="9"/>
              <w:rPr>
                <w:rFonts w:ascii="Arial"/>
                <w:color w:val="auto"/>
                <w:sz w:val="21"/>
                <w:highlight w:val="none"/>
              </w:rPr>
            </w:pPr>
          </w:p>
        </w:tc>
      </w:tr>
      <w:tr w14:paraId="0B637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7A1BC8F6">
            <w:pPr>
              <w:outlineLvl w:val="9"/>
              <w:rPr>
                <w:rFonts w:ascii="Arial"/>
                <w:color w:val="auto"/>
                <w:sz w:val="21"/>
                <w:highlight w:val="none"/>
              </w:rPr>
            </w:pPr>
          </w:p>
        </w:tc>
        <w:tc>
          <w:tcPr>
            <w:tcW w:w="1070" w:type="dxa"/>
            <w:vAlign w:val="top"/>
          </w:tcPr>
          <w:p w14:paraId="0613F2E6">
            <w:pPr>
              <w:outlineLvl w:val="9"/>
              <w:rPr>
                <w:rFonts w:ascii="Arial"/>
                <w:color w:val="auto"/>
                <w:sz w:val="21"/>
                <w:highlight w:val="none"/>
              </w:rPr>
            </w:pPr>
          </w:p>
        </w:tc>
        <w:tc>
          <w:tcPr>
            <w:tcW w:w="1080" w:type="dxa"/>
            <w:vAlign w:val="top"/>
          </w:tcPr>
          <w:p w14:paraId="75830017">
            <w:pPr>
              <w:outlineLvl w:val="9"/>
              <w:rPr>
                <w:rFonts w:ascii="Arial"/>
                <w:color w:val="auto"/>
                <w:sz w:val="21"/>
                <w:highlight w:val="none"/>
              </w:rPr>
            </w:pPr>
          </w:p>
        </w:tc>
        <w:tc>
          <w:tcPr>
            <w:tcW w:w="1144" w:type="dxa"/>
            <w:vAlign w:val="top"/>
          </w:tcPr>
          <w:p w14:paraId="52742FA3">
            <w:pPr>
              <w:outlineLvl w:val="9"/>
              <w:rPr>
                <w:rFonts w:ascii="Arial"/>
                <w:color w:val="auto"/>
                <w:sz w:val="21"/>
                <w:highlight w:val="none"/>
              </w:rPr>
            </w:pPr>
          </w:p>
        </w:tc>
        <w:tc>
          <w:tcPr>
            <w:tcW w:w="1144" w:type="dxa"/>
            <w:vAlign w:val="top"/>
          </w:tcPr>
          <w:p w14:paraId="78DE5807">
            <w:pPr>
              <w:outlineLvl w:val="9"/>
              <w:rPr>
                <w:rFonts w:ascii="Arial"/>
                <w:color w:val="auto"/>
                <w:sz w:val="21"/>
                <w:highlight w:val="none"/>
              </w:rPr>
            </w:pPr>
          </w:p>
        </w:tc>
        <w:tc>
          <w:tcPr>
            <w:tcW w:w="1142" w:type="dxa"/>
            <w:vAlign w:val="top"/>
          </w:tcPr>
          <w:p w14:paraId="4C31CEC5">
            <w:pPr>
              <w:outlineLvl w:val="9"/>
              <w:rPr>
                <w:rFonts w:ascii="Arial"/>
                <w:color w:val="auto"/>
                <w:sz w:val="21"/>
                <w:highlight w:val="none"/>
              </w:rPr>
            </w:pPr>
          </w:p>
        </w:tc>
        <w:tc>
          <w:tcPr>
            <w:tcW w:w="1144" w:type="dxa"/>
            <w:vAlign w:val="top"/>
          </w:tcPr>
          <w:p w14:paraId="32D31426">
            <w:pPr>
              <w:outlineLvl w:val="9"/>
              <w:rPr>
                <w:rFonts w:ascii="Arial"/>
                <w:color w:val="auto"/>
                <w:sz w:val="21"/>
                <w:highlight w:val="none"/>
              </w:rPr>
            </w:pPr>
          </w:p>
        </w:tc>
        <w:tc>
          <w:tcPr>
            <w:tcW w:w="1447" w:type="dxa"/>
            <w:vAlign w:val="top"/>
          </w:tcPr>
          <w:p w14:paraId="450B7A4F">
            <w:pPr>
              <w:outlineLvl w:val="9"/>
              <w:rPr>
                <w:rFonts w:ascii="Arial"/>
                <w:color w:val="auto"/>
                <w:sz w:val="21"/>
                <w:highlight w:val="none"/>
              </w:rPr>
            </w:pPr>
          </w:p>
        </w:tc>
      </w:tr>
      <w:tr w14:paraId="6A792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14:paraId="3E5394AD">
            <w:pPr>
              <w:outlineLvl w:val="9"/>
              <w:rPr>
                <w:rFonts w:ascii="Arial"/>
                <w:color w:val="auto"/>
                <w:sz w:val="21"/>
                <w:highlight w:val="none"/>
              </w:rPr>
            </w:pPr>
          </w:p>
        </w:tc>
        <w:tc>
          <w:tcPr>
            <w:tcW w:w="1070" w:type="dxa"/>
            <w:vAlign w:val="top"/>
          </w:tcPr>
          <w:p w14:paraId="2578260B">
            <w:pPr>
              <w:outlineLvl w:val="9"/>
              <w:rPr>
                <w:rFonts w:ascii="Arial"/>
                <w:color w:val="auto"/>
                <w:sz w:val="21"/>
                <w:highlight w:val="none"/>
              </w:rPr>
            </w:pPr>
          </w:p>
        </w:tc>
        <w:tc>
          <w:tcPr>
            <w:tcW w:w="1080" w:type="dxa"/>
            <w:vAlign w:val="top"/>
          </w:tcPr>
          <w:p w14:paraId="37FC45AF">
            <w:pPr>
              <w:outlineLvl w:val="9"/>
              <w:rPr>
                <w:rFonts w:ascii="Arial"/>
                <w:color w:val="auto"/>
                <w:sz w:val="21"/>
                <w:highlight w:val="none"/>
              </w:rPr>
            </w:pPr>
          </w:p>
        </w:tc>
        <w:tc>
          <w:tcPr>
            <w:tcW w:w="1144" w:type="dxa"/>
            <w:vAlign w:val="top"/>
          </w:tcPr>
          <w:p w14:paraId="45E66443">
            <w:pPr>
              <w:outlineLvl w:val="9"/>
              <w:rPr>
                <w:rFonts w:ascii="Arial"/>
                <w:color w:val="auto"/>
                <w:sz w:val="21"/>
                <w:highlight w:val="none"/>
              </w:rPr>
            </w:pPr>
          </w:p>
        </w:tc>
        <w:tc>
          <w:tcPr>
            <w:tcW w:w="1144" w:type="dxa"/>
            <w:vAlign w:val="top"/>
          </w:tcPr>
          <w:p w14:paraId="57C9B9A9">
            <w:pPr>
              <w:outlineLvl w:val="9"/>
              <w:rPr>
                <w:rFonts w:ascii="Arial"/>
                <w:color w:val="auto"/>
                <w:sz w:val="21"/>
                <w:highlight w:val="none"/>
              </w:rPr>
            </w:pPr>
          </w:p>
        </w:tc>
        <w:tc>
          <w:tcPr>
            <w:tcW w:w="1142" w:type="dxa"/>
            <w:vAlign w:val="top"/>
          </w:tcPr>
          <w:p w14:paraId="17A73291">
            <w:pPr>
              <w:outlineLvl w:val="9"/>
              <w:rPr>
                <w:rFonts w:ascii="Arial"/>
                <w:color w:val="auto"/>
                <w:sz w:val="21"/>
                <w:highlight w:val="none"/>
              </w:rPr>
            </w:pPr>
          </w:p>
        </w:tc>
        <w:tc>
          <w:tcPr>
            <w:tcW w:w="1144" w:type="dxa"/>
            <w:vAlign w:val="top"/>
          </w:tcPr>
          <w:p w14:paraId="0C5CA1A5">
            <w:pPr>
              <w:outlineLvl w:val="9"/>
              <w:rPr>
                <w:rFonts w:ascii="Arial"/>
                <w:color w:val="auto"/>
                <w:sz w:val="21"/>
                <w:highlight w:val="none"/>
              </w:rPr>
            </w:pPr>
          </w:p>
        </w:tc>
        <w:tc>
          <w:tcPr>
            <w:tcW w:w="1447" w:type="dxa"/>
            <w:vAlign w:val="top"/>
          </w:tcPr>
          <w:p w14:paraId="67721D4C">
            <w:pPr>
              <w:outlineLvl w:val="9"/>
              <w:rPr>
                <w:rFonts w:ascii="Arial"/>
                <w:color w:val="auto"/>
                <w:sz w:val="21"/>
                <w:highlight w:val="none"/>
              </w:rPr>
            </w:pPr>
          </w:p>
        </w:tc>
      </w:tr>
      <w:tr w14:paraId="2C3B1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63E00401">
            <w:pPr>
              <w:outlineLvl w:val="9"/>
              <w:rPr>
                <w:rFonts w:ascii="Arial"/>
                <w:color w:val="auto"/>
                <w:sz w:val="21"/>
                <w:highlight w:val="none"/>
              </w:rPr>
            </w:pPr>
          </w:p>
        </w:tc>
        <w:tc>
          <w:tcPr>
            <w:tcW w:w="1070" w:type="dxa"/>
            <w:vAlign w:val="top"/>
          </w:tcPr>
          <w:p w14:paraId="240AF47A">
            <w:pPr>
              <w:outlineLvl w:val="9"/>
              <w:rPr>
                <w:rFonts w:ascii="Arial"/>
                <w:color w:val="auto"/>
                <w:sz w:val="21"/>
                <w:highlight w:val="none"/>
              </w:rPr>
            </w:pPr>
          </w:p>
        </w:tc>
        <w:tc>
          <w:tcPr>
            <w:tcW w:w="1080" w:type="dxa"/>
            <w:vAlign w:val="top"/>
          </w:tcPr>
          <w:p w14:paraId="6C7C9BB5">
            <w:pPr>
              <w:outlineLvl w:val="9"/>
              <w:rPr>
                <w:rFonts w:ascii="Arial"/>
                <w:color w:val="auto"/>
                <w:sz w:val="21"/>
                <w:highlight w:val="none"/>
              </w:rPr>
            </w:pPr>
          </w:p>
        </w:tc>
        <w:tc>
          <w:tcPr>
            <w:tcW w:w="1144" w:type="dxa"/>
            <w:vAlign w:val="top"/>
          </w:tcPr>
          <w:p w14:paraId="36100C2F">
            <w:pPr>
              <w:outlineLvl w:val="9"/>
              <w:rPr>
                <w:rFonts w:ascii="Arial"/>
                <w:color w:val="auto"/>
                <w:sz w:val="21"/>
                <w:highlight w:val="none"/>
              </w:rPr>
            </w:pPr>
          </w:p>
        </w:tc>
        <w:tc>
          <w:tcPr>
            <w:tcW w:w="1144" w:type="dxa"/>
            <w:vAlign w:val="top"/>
          </w:tcPr>
          <w:p w14:paraId="12C3C0D5">
            <w:pPr>
              <w:outlineLvl w:val="9"/>
              <w:rPr>
                <w:rFonts w:ascii="Arial"/>
                <w:color w:val="auto"/>
                <w:sz w:val="21"/>
                <w:highlight w:val="none"/>
              </w:rPr>
            </w:pPr>
          </w:p>
        </w:tc>
        <w:tc>
          <w:tcPr>
            <w:tcW w:w="1142" w:type="dxa"/>
            <w:vAlign w:val="top"/>
          </w:tcPr>
          <w:p w14:paraId="38E3B996">
            <w:pPr>
              <w:outlineLvl w:val="9"/>
              <w:rPr>
                <w:rFonts w:ascii="Arial"/>
                <w:color w:val="auto"/>
                <w:sz w:val="21"/>
                <w:highlight w:val="none"/>
              </w:rPr>
            </w:pPr>
          </w:p>
        </w:tc>
        <w:tc>
          <w:tcPr>
            <w:tcW w:w="1144" w:type="dxa"/>
            <w:vAlign w:val="top"/>
          </w:tcPr>
          <w:p w14:paraId="4961F182">
            <w:pPr>
              <w:outlineLvl w:val="9"/>
              <w:rPr>
                <w:rFonts w:ascii="Arial"/>
                <w:color w:val="auto"/>
                <w:sz w:val="21"/>
                <w:highlight w:val="none"/>
              </w:rPr>
            </w:pPr>
          </w:p>
        </w:tc>
        <w:tc>
          <w:tcPr>
            <w:tcW w:w="1447" w:type="dxa"/>
            <w:vAlign w:val="top"/>
          </w:tcPr>
          <w:p w14:paraId="3404E567">
            <w:pPr>
              <w:outlineLvl w:val="9"/>
              <w:rPr>
                <w:rFonts w:ascii="Arial"/>
                <w:color w:val="auto"/>
                <w:sz w:val="21"/>
                <w:highlight w:val="none"/>
              </w:rPr>
            </w:pPr>
          </w:p>
        </w:tc>
      </w:tr>
      <w:tr w14:paraId="11B21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14:paraId="3D64BB49">
            <w:pPr>
              <w:outlineLvl w:val="9"/>
              <w:rPr>
                <w:rFonts w:ascii="Arial"/>
                <w:color w:val="auto"/>
                <w:sz w:val="21"/>
                <w:highlight w:val="none"/>
              </w:rPr>
            </w:pPr>
          </w:p>
        </w:tc>
        <w:tc>
          <w:tcPr>
            <w:tcW w:w="1070" w:type="dxa"/>
            <w:vAlign w:val="top"/>
          </w:tcPr>
          <w:p w14:paraId="3C17285D">
            <w:pPr>
              <w:outlineLvl w:val="9"/>
              <w:rPr>
                <w:rFonts w:ascii="Arial"/>
                <w:color w:val="auto"/>
                <w:sz w:val="21"/>
                <w:highlight w:val="none"/>
              </w:rPr>
            </w:pPr>
          </w:p>
        </w:tc>
        <w:tc>
          <w:tcPr>
            <w:tcW w:w="1080" w:type="dxa"/>
            <w:vAlign w:val="top"/>
          </w:tcPr>
          <w:p w14:paraId="45424EA4">
            <w:pPr>
              <w:outlineLvl w:val="9"/>
              <w:rPr>
                <w:rFonts w:ascii="Arial"/>
                <w:color w:val="auto"/>
                <w:sz w:val="21"/>
                <w:highlight w:val="none"/>
              </w:rPr>
            </w:pPr>
          </w:p>
        </w:tc>
        <w:tc>
          <w:tcPr>
            <w:tcW w:w="1144" w:type="dxa"/>
            <w:vAlign w:val="top"/>
          </w:tcPr>
          <w:p w14:paraId="325DAE0B">
            <w:pPr>
              <w:outlineLvl w:val="9"/>
              <w:rPr>
                <w:rFonts w:ascii="Arial"/>
                <w:color w:val="auto"/>
                <w:sz w:val="21"/>
                <w:highlight w:val="none"/>
              </w:rPr>
            </w:pPr>
          </w:p>
        </w:tc>
        <w:tc>
          <w:tcPr>
            <w:tcW w:w="1144" w:type="dxa"/>
            <w:vAlign w:val="top"/>
          </w:tcPr>
          <w:p w14:paraId="17B95CC8">
            <w:pPr>
              <w:outlineLvl w:val="9"/>
              <w:rPr>
                <w:rFonts w:ascii="Arial"/>
                <w:color w:val="auto"/>
                <w:sz w:val="21"/>
                <w:highlight w:val="none"/>
              </w:rPr>
            </w:pPr>
          </w:p>
        </w:tc>
        <w:tc>
          <w:tcPr>
            <w:tcW w:w="1142" w:type="dxa"/>
            <w:vAlign w:val="top"/>
          </w:tcPr>
          <w:p w14:paraId="4633A5CD">
            <w:pPr>
              <w:outlineLvl w:val="9"/>
              <w:rPr>
                <w:rFonts w:ascii="Arial"/>
                <w:color w:val="auto"/>
                <w:sz w:val="21"/>
                <w:highlight w:val="none"/>
              </w:rPr>
            </w:pPr>
          </w:p>
        </w:tc>
        <w:tc>
          <w:tcPr>
            <w:tcW w:w="1144" w:type="dxa"/>
            <w:vAlign w:val="top"/>
          </w:tcPr>
          <w:p w14:paraId="5284327E">
            <w:pPr>
              <w:outlineLvl w:val="9"/>
              <w:rPr>
                <w:rFonts w:ascii="Arial"/>
                <w:color w:val="auto"/>
                <w:sz w:val="21"/>
                <w:highlight w:val="none"/>
              </w:rPr>
            </w:pPr>
          </w:p>
        </w:tc>
        <w:tc>
          <w:tcPr>
            <w:tcW w:w="1447" w:type="dxa"/>
            <w:vAlign w:val="top"/>
          </w:tcPr>
          <w:p w14:paraId="028A2A56">
            <w:pPr>
              <w:outlineLvl w:val="9"/>
              <w:rPr>
                <w:rFonts w:ascii="Arial"/>
                <w:color w:val="auto"/>
                <w:sz w:val="21"/>
                <w:highlight w:val="none"/>
              </w:rPr>
            </w:pPr>
          </w:p>
        </w:tc>
      </w:tr>
      <w:tr w14:paraId="11D6D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14:paraId="5A3CAC09">
            <w:pPr>
              <w:outlineLvl w:val="9"/>
              <w:rPr>
                <w:rFonts w:ascii="Arial"/>
                <w:color w:val="auto"/>
                <w:sz w:val="21"/>
                <w:highlight w:val="none"/>
              </w:rPr>
            </w:pPr>
          </w:p>
        </w:tc>
        <w:tc>
          <w:tcPr>
            <w:tcW w:w="1070" w:type="dxa"/>
            <w:vAlign w:val="top"/>
          </w:tcPr>
          <w:p w14:paraId="0E58997C">
            <w:pPr>
              <w:outlineLvl w:val="9"/>
              <w:rPr>
                <w:rFonts w:ascii="Arial"/>
                <w:color w:val="auto"/>
                <w:sz w:val="21"/>
                <w:highlight w:val="none"/>
              </w:rPr>
            </w:pPr>
          </w:p>
        </w:tc>
        <w:tc>
          <w:tcPr>
            <w:tcW w:w="1080" w:type="dxa"/>
            <w:vAlign w:val="top"/>
          </w:tcPr>
          <w:p w14:paraId="15316578">
            <w:pPr>
              <w:outlineLvl w:val="9"/>
              <w:rPr>
                <w:rFonts w:ascii="Arial"/>
                <w:color w:val="auto"/>
                <w:sz w:val="21"/>
                <w:highlight w:val="none"/>
              </w:rPr>
            </w:pPr>
          </w:p>
        </w:tc>
        <w:tc>
          <w:tcPr>
            <w:tcW w:w="1144" w:type="dxa"/>
            <w:vAlign w:val="top"/>
          </w:tcPr>
          <w:p w14:paraId="4B8D7BCF">
            <w:pPr>
              <w:outlineLvl w:val="9"/>
              <w:rPr>
                <w:rFonts w:ascii="Arial"/>
                <w:color w:val="auto"/>
                <w:sz w:val="21"/>
                <w:highlight w:val="none"/>
              </w:rPr>
            </w:pPr>
          </w:p>
        </w:tc>
        <w:tc>
          <w:tcPr>
            <w:tcW w:w="1144" w:type="dxa"/>
            <w:vAlign w:val="top"/>
          </w:tcPr>
          <w:p w14:paraId="307BCC6F">
            <w:pPr>
              <w:outlineLvl w:val="9"/>
              <w:rPr>
                <w:rFonts w:ascii="Arial"/>
                <w:color w:val="auto"/>
                <w:sz w:val="21"/>
                <w:highlight w:val="none"/>
              </w:rPr>
            </w:pPr>
          </w:p>
        </w:tc>
        <w:tc>
          <w:tcPr>
            <w:tcW w:w="1142" w:type="dxa"/>
            <w:vAlign w:val="top"/>
          </w:tcPr>
          <w:p w14:paraId="207D2293">
            <w:pPr>
              <w:outlineLvl w:val="9"/>
              <w:rPr>
                <w:rFonts w:ascii="Arial"/>
                <w:color w:val="auto"/>
                <w:sz w:val="21"/>
                <w:highlight w:val="none"/>
              </w:rPr>
            </w:pPr>
          </w:p>
        </w:tc>
        <w:tc>
          <w:tcPr>
            <w:tcW w:w="1144" w:type="dxa"/>
            <w:vAlign w:val="top"/>
          </w:tcPr>
          <w:p w14:paraId="0D832E41">
            <w:pPr>
              <w:outlineLvl w:val="9"/>
              <w:rPr>
                <w:rFonts w:ascii="Arial"/>
                <w:color w:val="auto"/>
                <w:sz w:val="21"/>
                <w:highlight w:val="none"/>
              </w:rPr>
            </w:pPr>
          </w:p>
        </w:tc>
        <w:tc>
          <w:tcPr>
            <w:tcW w:w="1447" w:type="dxa"/>
            <w:vAlign w:val="top"/>
          </w:tcPr>
          <w:p w14:paraId="7D97DCAE">
            <w:pPr>
              <w:outlineLvl w:val="9"/>
              <w:rPr>
                <w:rFonts w:ascii="Arial"/>
                <w:color w:val="auto"/>
                <w:sz w:val="21"/>
                <w:highlight w:val="none"/>
              </w:rPr>
            </w:pPr>
          </w:p>
        </w:tc>
      </w:tr>
      <w:tr w14:paraId="0D4C5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14:paraId="054C77AF">
            <w:pPr>
              <w:outlineLvl w:val="9"/>
              <w:rPr>
                <w:rFonts w:ascii="Arial"/>
                <w:color w:val="auto"/>
                <w:sz w:val="21"/>
                <w:highlight w:val="none"/>
              </w:rPr>
            </w:pPr>
          </w:p>
        </w:tc>
        <w:tc>
          <w:tcPr>
            <w:tcW w:w="1070" w:type="dxa"/>
            <w:vAlign w:val="top"/>
          </w:tcPr>
          <w:p w14:paraId="7EB43AEB">
            <w:pPr>
              <w:outlineLvl w:val="9"/>
              <w:rPr>
                <w:rFonts w:ascii="Arial"/>
                <w:color w:val="auto"/>
                <w:sz w:val="21"/>
                <w:highlight w:val="none"/>
              </w:rPr>
            </w:pPr>
          </w:p>
        </w:tc>
        <w:tc>
          <w:tcPr>
            <w:tcW w:w="1080" w:type="dxa"/>
            <w:vAlign w:val="top"/>
          </w:tcPr>
          <w:p w14:paraId="44E69108">
            <w:pPr>
              <w:outlineLvl w:val="9"/>
              <w:rPr>
                <w:rFonts w:ascii="Arial"/>
                <w:color w:val="auto"/>
                <w:sz w:val="21"/>
                <w:highlight w:val="none"/>
              </w:rPr>
            </w:pPr>
          </w:p>
        </w:tc>
        <w:tc>
          <w:tcPr>
            <w:tcW w:w="1144" w:type="dxa"/>
            <w:vAlign w:val="top"/>
          </w:tcPr>
          <w:p w14:paraId="21E2A5A7">
            <w:pPr>
              <w:outlineLvl w:val="9"/>
              <w:rPr>
                <w:rFonts w:ascii="Arial"/>
                <w:color w:val="auto"/>
                <w:sz w:val="21"/>
                <w:highlight w:val="none"/>
              </w:rPr>
            </w:pPr>
          </w:p>
        </w:tc>
        <w:tc>
          <w:tcPr>
            <w:tcW w:w="1144" w:type="dxa"/>
            <w:vAlign w:val="top"/>
          </w:tcPr>
          <w:p w14:paraId="47216DD7">
            <w:pPr>
              <w:outlineLvl w:val="9"/>
              <w:rPr>
                <w:rFonts w:ascii="Arial"/>
                <w:color w:val="auto"/>
                <w:sz w:val="21"/>
                <w:highlight w:val="none"/>
              </w:rPr>
            </w:pPr>
          </w:p>
        </w:tc>
        <w:tc>
          <w:tcPr>
            <w:tcW w:w="1142" w:type="dxa"/>
            <w:vAlign w:val="top"/>
          </w:tcPr>
          <w:p w14:paraId="0E4F3BB5">
            <w:pPr>
              <w:outlineLvl w:val="9"/>
              <w:rPr>
                <w:rFonts w:ascii="Arial"/>
                <w:color w:val="auto"/>
                <w:sz w:val="21"/>
                <w:highlight w:val="none"/>
              </w:rPr>
            </w:pPr>
          </w:p>
        </w:tc>
        <w:tc>
          <w:tcPr>
            <w:tcW w:w="1144" w:type="dxa"/>
            <w:vAlign w:val="top"/>
          </w:tcPr>
          <w:p w14:paraId="2C4B6D69">
            <w:pPr>
              <w:outlineLvl w:val="9"/>
              <w:rPr>
                <w:rFonts w:ascii="Arial"/>
                <w:color w:val="auto"/>
                <w:sz w:val="21"/>
                <w:highlight w:val="none"/>
              </w:rPr>
            </w:pPr>
          </w:p>
        </w:tc>
        <w:tc>
          <w:tcPr>
            <w:tcW w:w="1447" w:type="dxa"/>
            <w:vAlign w:val="top"/>
          </w:tcPr>
          <w:p w14:paraId="0C0A5669">
            <w:pPr>
              <w:outlineLvl w:val="9"/>
              <w:rPr>
                <w:rFonts w:ascii="Arial"/>
                <w:color w:val="auto"/>
                <w:sz w:val="21"/>
                <w:highlight w:val="none"/>
              </w:rPr>
            </w:pPr>
          </w:p>
        </w:tc>
      </w:tr>
      <w:tr w14:paraId="139A5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79" w:type="dxa"/>
            <w:vAlign w:val="top"/>
          </w:tcPr>
          <w:p w14:paraId="04E6B8FD">
            <w:pPr>
              <w:outlineLvl w:val="9"/>
              <w:rPr>
                <w:rFonts w:ascii="Arial"/>
                <w:color w:val="auto"/>
                <w:sz w:val="21"/>
                <w:highlight w:val="none"/>
              </w:rPr>
            </w:pPr>
          </w:p>
        </w:tc>
        <w:tc>
          <w:tcPr>
            <w:tcW w:w="1070" w:type="dxa"/>
            <w:vAlign w:val="top"/>
          </w:tcPr>
          <w:p w14:paraId="241B09A7">
            <w:pPr>
              <w:outlineLvl w:val="9"/>
              <w:rPr>
                <w:rFonts w:ascii="Arial"/>
                <w:color w:val="auto"/>
                <w:sz w:val="21"/>
                <w:highlight w:val="none"/>
              </w:rPr>
            </w:pPr>
          </w:p>
        </w:tc>
        <w:tc>
          <w:tcPr>
            <w:tcW w:w="1080" w:type="dxa"/>
            <w:vAlign w:val="top"/>
          </w:tcPr>
          <w:p w14:paraId="15DBC6FC">
            <w:pPr>
              <w:outlineLvl w:val="9"/>
              <w:rPr>
                <w:rFonts w:ascii="Arial"/>
                <w:color w:val="auto"/>
                <w:sz w:val="21"/>
                <w:highlight w:val="none"/>
              </w:rPr>
            </w:pPr>
          </w:p>
        </w:tc>
        <w:tc>
          <w:tcPr>
            <w:tcW w:w="1144" w:type="dxa"/>
            <w:vAlign w:val="top"/>
          </w:tcPr>
          <w:p w14:paraId="04F1A7D5">
            <w:pPr>
              <w:outlineLvl w:val="9"/>
              <w:rPr>
                <w:rFonts w:ascii="Arial"/>
                <w:color w:val="auto"/>
                <w:sz w:val="21"/>
                <w:highlight w:val="none"/>
              </w:rPr>
            </w:pPr>
          </w:p>
        </w:tc>
        <w:tc>
          <w:tcPr>
            <w:tcW w:w="1144" w:type="dxa"/>
            <w:vAlign w:val="top"/>
          </w:tcPr>
          <w:p w14:paraId="7F6770BF">
            <w:pPr>
              <w:outlineLvl w:val="9"/>
              <w:rPr>
                <w:rFonts w:ascii="Arial"/>
                <w:color w:val="auto"/>
                <w:sz w:val="21"/>
                <w:highlight w:val="none"/>
              </w:rPr>
            </w:pPr>
          </w:p>
        </w:tc>
        <w:tc>
          <w:tcPr>
            <w:tcW w:w="1142" w:type="dxa"/>
            <w:vAlign w:val="top"/>
          </w:tcPr>
          <w:p w14:paraId="429B375D">
            <w:pPr>
              <w:outlineLvl w:val="9"/>
              <w:rPr>
                <w:rFonts w:ascii="Arial"/>
                <w:color w:val="auto"/>
                <w:sz w:val="21"/>
                <w:highlight w:val="none"/>
              </w:rPr>
            </w:pPr>
          </w:p>
        </w:tc>
        <w:tc>
          <w:tcPr>
            <w:tcW w:w="1144" w:type="dxa"/>
            <w:vAlign w:val="top"/>
          </w:tcPr>
          <w:p w14:paraId="3573FE19">
            <w:pPr>
              <w:outlineLvl w:val="9"/>
              <w:rPr>
                <w:rFonts w:ascii="Arial"/>
                <w:color w:val="auto"/>
                <w:sz w:val="21"/>
                <w:highlight w:val="none"/>
              </w:rPr>
            </w:pPr>
          </w:p>
        </w:tc>
        <w:tc>
          <w:tcPr>
            <w:tcW w:w="1447" w:type="dxa"/>
            <w:vAlign w:val="top"/>
          </w:tcPr>
          <w:p w14:paraId="04378BEB">
            <w:pPr>
              <w:outlineLvl w:val="9"/>
              <w:rPr>
                <w:rFonts w:ascii="Arial"/>
                <w:color w:val="auto"/>
                <w:sz w:val="21"/>
                <w:highlight w:val="none"/>
              </w:rPr>
            </w:pPr>
          </w:p>
        </w:tc>
      </w:tr>
    </w:tbl>
    <w:p w14:paraId="3474FFA8">
      <w:pPr>
        <w:outlineLvl w:val="9"/>
        <w:rPr>
          <w:rFonts w:ascii="Arial"/>
          <w:color w:val="auto"/>
          <w:sz w:val="21"/>
          <w:highlight w:val="none"/>
        </w:rPr>
      </w:pPr>
    </w:p>
    <w:p w14:paraId="1247F3F5">
      <w:pPr>
        <w:spacing w:before="56" w:line="219" w:lineRule="auto"/>
        <w:ind w:left="268"/>
        <w:outlineLvl w:val="9"/>
        <w:rPr>
          <w:rFonts w:ascii="宋体" w:hAnsi="宋体" w:eastAsia="宋体" w:cs="宋体"/>
          <w:b/>
          <w:bCs/>
          <w:color w:val="auto"/>
          <w:spacing w:val="-5"/>
          <w:sz w:val="28"/>
          <w:szCs w:val="28"/>
          <w:highlight w:val="none"/>
        </w:rPr>
      </w:pPr>
    </w:p>
    <w:p w14:paraId="5451D2AD">
      <w:pPr>
        <w:spacing w:before="56" w:line="219" w:lineRule="auto"/>
        <w:ind w:left="268"/>
        <w:outlineLvl w:val="9"/>
        <w:rPr>
          <w:rFonts w:ascii="宋体" w:hAnsi="宋体" w:eastAsia="宋体" w:cs="宋体"/>
          <w:b/>
          <w:bCs/>
          <w:color w:val="auto"/>
          <w:spacing w:val="-5"/>
          <w:sz w:val="28"/>
          <w:szCs w:val="28"/>
          <w:highlight w:val="none"/>
        </w:rPr>
      </w:pPr>
    </w:p>
    <w:p w14:paraId="79F5DC4E">
      <w:pPr>
        <w:spacing w:before="56" w:line="219" w:lineRule="auto"/>
        <w:ind w:left="268"/>
        <w:outlineLvl w:val="9"/>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（二）主要人员简历表</w:t>
      </w:r>
    </w:p>
    <w:p w14:paraId="240CC2AA">
      <w:pPr>
        <w:spacing w:before="14"/>
        <w:outlineLvl w:val="9"/>
        <w:rPr>
          <w:color w:val="auto"/>
          <w:highlight w:val="none"/>
        </w:rPr>
      </w:pPr>
    </w:p>
    <w:p w14:paraId="407D6137">
      <w:pPr>
        <w:spacing w:before="14"/>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2"/>
        <w:gridCol w:w="1545"/>
        <w:gridCol w:w="1547"/>
        <w:gridCol w:w="1548"/>
        <w:gridCol w:w="1547"/>
        <w:gridCol w:w="1552"/>
      </w:tblGrid>
      <w:tr w14:paraId="00E35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552" w:type="dxa"/>
            <w:vAlign w:val="top"/>
          </w:tcPr>
          <w:p w14:paraId="75C78A09">
            <w:pPr>
              <w:pStyle w:val="27"/>
              <w:spacing w:before="249" w:line="220" w:lineRule="auto"/>
              <w:ind w:left="541"/>
              <w:outlineLvl w:val="9"/>
              <w:rPr>
                <w:color w:val="auto"/>
                <w:sz w:val="24"/>
                <w:szCs w:val="24"/>
                <w:highlight w:val="none"/>
              </w:rPr>
            </w:pPr>
            <w:r>
              <w:rPr>
                <w:color w:val="auto"/>
                <w:spacing w:val="-3"/>
                <w:sz w:val="24"/>
                <w:szCs w:val="24"/>
                <w:highlight w:val="none"/>
              </w:rPr>
              <w:t>姓名</w:t>
            </w:r>
          </w:p>
        </w:tc>
        <w:tc>
          <w:tcPr>
            <w:tcW w:w="1545" w:type="dxa"/>
            <w:vAlign w:val="top"/>
          </w:tcPr>
          <w:p w14:paraId="248CE22F">
            <w:pPr>
              <w:outlineLvl w:val="9"/>
              <w:rPr>
                <w:rFonts w:ascii="Arial"/>
                <w:color w:val="auto"/>
                <w:sz w:val="21"/>
                <w:highlight w:val="none"/>
              </w:rPr>
            </w:pPr>
          </w:p>
        </w:tc>
        <w:tc>
          <w:tcPr>
            <w:tcW w:w="1547" w:type="dxa"/>
            <w:vAlign w:val="top"/>
          </w:tcPr>
          <w:p w14:paraId="419DA0EE">
            <w:pPr>
              <w:pStyle w:val="27"/>
              <w:spacing w:before="249" w:line="220" w:lineRule="auto"/>
              <w:ind w:left="540"/>
              <w:outlineLvl w:val="9"/>
              <w:rPr>
                <w:color w:val="auto"/>
                <w:sz w:val="24"/>
                <w:szCs w:val="24"/>
                <w:highlight w:val="none"/>
              </w:rPr>
            </w:pPr>
            <w:r>
              <w:rPr>
                <w:color w:val="auto"/>
                <w:spacing w:val="-3"/>
                <w:sz w:val="24"/>
                <w:szCs w:val="24"/>
                <w:highlight w:val="none"/>
              </w:rPr>
              <w:t>年龄</w:t>
            </w:r>
          </w:p>
        </w:tc>
        <w:tc>
          <w:tcPr>
            <w:tcW w:w="1548" w:type="dxa"/>
            <w:vAlign w:val="top"/>
          </w:tcPr>
          <w:p w14:paraId="0DD78150">
            <w:pPr>
              <w:outlineLvl w:val="9"/>
              <w:rPr>
                <w:rFonts w:ascii="Arial"/>
                <w:color w:val="auto"/>
                <w:sz w:val="21"/>
                <w:highlight w:val="none"/>
              </w:rPr>
            </w:pPr>
          </w:p>
        </w:tc>
        <w:tc>
          <w:tcPr>
            <w:tcW w:w="1547" w:type="dxa"/>
            <w:vAlign w:val="top"/>
          </w:tcPr>
          <w:p w14:paraId="7D7A21C8">
            <w:pPr>
              <w:pStyle w:val="27"/>
              <w:spacing w:before="249" w:line="221" w:lineRule="auto"/>
              <w:ind w:left="545"/>
              <w:outlineLvl w:val="9"/>
              <w:rPr>
                <w:color w:val="auto"/>
                <w:sz w:val="24"/>
                <w:szCs w:val="24"/>
                <w:highlight w:val="none"/>
              </w:rPr>
            </w:pPr>
            <w:r>
              <w:rPr>
                <w:color w:val="auto"/>
                <w:spacing w:val="-4"/>
                <w:sz w:val="24"/>
                <w:szCs w:val="24"/>
                <w:highlight w:val="none"/>
              </w:rPr>
              <w:t>学历</w:t>
            </w:r>
          </w:p>
        </w:tc>
        <w:tc>
          <w:tcPr>
            <w:tcW w:w="1552" w:type="dxa"/>
            <w:vAlign w:val="top"/>
          </w:tcPr>
          <w:p w14:paraId="4D04020D">
            <w:pPr>
              <w:outlineLvl w:val="9"/>
              <w:rPr>
                <w:rFonts w:ascii="Arial"/>
                <w:color w:val="auto"/>
                <w:sz w:val="21"/>
                <w:highlight w:val="none"/>
              </w:rPr>
            </w:pPr>
          </w:p>
        </w:tc>
      </w:tr>
      <w:tr w14:paraId="3500B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1552" w:type="dxa"/>
            <w:vAlign w:val="center"/>
          </w:tcPr>
          <w:p w14:paraId="060B2F8B">
            <w:pPr>
              <w:spacing w:line="253" w:lineRule="auto"/>
              <w:jc w:val="center"/>
              <w:outlineLvl w:val="9"/>
              <w:rPr>
                <w:rFonts w:ascii="Arial"/>
                <w:color w:val="auto"/>
                <w:sz w:val="21"/>
                <w:highlight w:val="none"/>
              </w:rPr>
            </w:pPr>
          </w:p>
          <w:p w14:paraId="08FA8DE8">
            <w:pPr>
              <w:spacing w:line="253" w:lineRule="auto"/>
              <w:jc w:val="center"/>
              <w:outlineLvl w:val="9"/>
              <w:rPr>
                <w:rFonts w:ascii="Arial"/>
                <w:color w:val="auto"/>
                <w:sz w:val="21"/>
                <w:highlight w:val="none"/>
              </w:rPr>
            </w:pPr>
          </w:p>
          <w:p w14:paraId="1E913D7D">
            <w:pPr>
              <w:pStyle w:val="27"/>
              <w:spacing w:before="78" w:line="220" w:lineRule="auto"/>
              <w:ind w:left="301"/>
              <w:jc w:val="center"/>
              <w:outlineLvl w:val="9"/>
              <w:rPr>
                <w:color w:val="auto"/>
                <w:sz w:val="24"/>
                <w:szCs w:val="24"/>
                <w:highlight w:val="none"/>
              </w:rPr>
            </w:pPr>
            <w:r>
              <w:rPr>
                <w:color w:val="auto"/>
                <w:spacing w:val="-2"/>
                <w:sz w:val="24"/>
                <w:szCs w:val="24"/>
                <w:highlight w:val="none"/>
              </w:rPr>
              <w:t>执业资格</w:t>
            </w:r>
          </w:p>
        </w:tc>
        <w:tc>
          <w:tcPr>
            <w:tcW w:w="4640" w:type="dxa"/>
            <w:gridSpan w:val="3"/>
            <w:vAlign w:val="center"/>
          </w:tcPr>
          <w:p w14:paraId="73A115C9">
            <w:pPr>
              <w:jc w:val="center"/>
              <w:outlineLvl w:val="9"/>
              <w:rPr>
                <w:rFonts w:ascii="Arial"/>
                <w:color w:val="auto"/>
                <w:sz w:val="21"/>
                <w:highlight w:val="none"/>
              </w:rPr>
            </w:pPr>
          </w:p>
        </w:tc>
        <w:tc>
          <w:tcPr>
            <w:tcW w:w="1547" w:type="dxa"/>
            <w:vAlign w:val="center"/>
          </w:tcPr>
          <w:p w14:paraId="761519F5">
            <w:pPr>
              <w:pStyle w:val="27"/>
              <w:spacing w:before="65" w:line="247" w:lineRule="auto"/>
              <w:ind w:right="170"/>
              <w:jc w:val="center"/>
              <w:outlineLvl w:val="9"/>
              <w:rPr>
                <w:color w:val="auto"/>
                <w:sz w:val="24"/>
                <w:szCs w:val="24"/>
                <w:highlight w:val="none"/>
              </w:rPr>
            </w:pPr>
            <w:r>
              <w:rPr>
                <w:color w:val="auto"/>
                <w:spacing w:val="-5"/>
                <w:sz w:val="24"/>
                <w:szCs w:val="24"/>
                <w:highlight w:val="none"/>
              </w:rPr>
              <w:t>安全生</w:t>
            </w:r>
            <w:r>
              <w:rPr>
                <w:color w:val="auto"/>
                <w:sz w:val="24"/>
                <w:szCs w:val="24"/>
                <w:highlight w:val="none"/>
              </w:rPr>
              <w:t>产</w:t>
            </w:r>
            <w:r>
              <w:rPr>
                <w:color w:val="auto"/>
                <w:spacing w:val="-4"/>
                <w:sz w:val="24"/>
                <w:szCs w:val="24"/>
                <w:highlight w:val="none"/>
              </w:rPr>
              <w:t>考核合</w:t>
            </w:r>
            <w:r>
              <w:rPr>
                <w:color w:val="auto"/>
                <w:spacing w:val="-3"/>
                <w:sz w:val="24"/>
                <w:szCs w:val="24"/>
                <w:highlight w:val="none"/>
              </w:rPr>
              <w:t>格证书</w:t>
            </w:r>
          </w:p>
        </w:tc>
        <w:tc>
          <w:tcPr>
            <w:tcW w:w="1552" w:type="dxa"/>
            <w:vAlign w:val="top"/>
          </w:tcPr>
          <w:p w14:paraId="429F4094">
            <w:pPr>
              <w:outlineLvl w:val="9"/>
              <w:rPr>
                <w:rFonts w:ascii="Arial"/>
                <w:color w:val="auto"/>
                <w:sz w:val="21"/>
                <w:highlight w:val="none"/>
              </w:rPr>
            </w:pPr>
          </w:p>
        </w:tc>
      </w:tr>
      <w:tr w14:paraId="1CBE1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52" w:type="dxa"/>
            <w:vAlign w:val="top"/>
          </w:tcPr>
          <w:p w14:paraId="361828D0">
            <w:pPr>
              <w:pStyle w:val="27"/>
              <w:spacing w:before="190" w:line="222" w:lineRule="auto"/>
              <w:ind w:left="542"/>
              <w:outlineLvl w:val="9"/>
              <w:rPr>
                <w:color w:val="auto"/>
                <w:sz w:val="24"/>
                <w:szCs w:val="24"/>
                <w:highlight w:val="none"/>
              </w:rPr>
            </w:pPr>
            <w:r>
              <w:rPr>
                <w:color w:val="auto"/>
                <w:spacing w:val="-3"/>
                <w:sz w:val="24"/>
                <w:szCs w:val="24"/>
                <w:highlight w:val="none"/>
              </w:rPr>
              <w:t>职称</w:t>
            </w:r>
          </w:p>
        </w:tc>
        <w:tc>
          <w:tcPr>
            <w:tcW w:w="1545" w:type="dxa"/>
            <w:vAlign w:val="top"/>
          </w:tcPr>
          <w:p w14:paraId="6ADF3C1B">
            <w:pPr>
              <w:outlineLvl w:val="9"/>
              <w:rPr>
                <w:rFonts w:ascii="Arial"/>
                <w:color w:val="auto"/>
                <w:sz w:val="21"/>
                <w:highlight w:val="none"/>
              </w:rPr>
            </w:pPr>
          </w:p>
        </w:tc>
        <w:tc>
          <w:tcPr>
            <w:tcW w:w="1547" w:type="dxa"/>
            <w:vAlign w:val="top"/>
          </w:tcPr>
          <w:p w14:paraId="081FB680">
            <w:pPr>
              <w:pStyle w:val="27"/>
              <w:spacing w:before="190" w:line="220" w:lineRule="auto"/>
              <w:ind w:left="540"/>
              <w:outlineLvl w:val="9"/>
              <w:rPr>
                <w:color w:val="auto"/>
                <w:sz w:val="24"/>
                <w:szCs w:val="24"/>
                <w:highlight w:val="none"/>
              </w:rPr>
            </w:pPr>
            <w:r>
              <w:rPr>
                <w:color w:val="auto"/>
                <w:spacing w:val="-3"/>
                <w:sz w:val="24"/>
                <w:szCs w:val="24"/>
                <w:highlight w:val="none"/>
              </w:rPr>
              <w:t>职务</w:t>
            </w:r>
          </w:p>
        </w:tc>
        <w:tc>
          <w:tcPr>
            <w:tcW w:w="1548" w:type="dxa"/>
            <w:vAlign w:val="top"/>
          </w:tcPr>
          <w:p w14:paraId="6FE604A8">
            <w:pPr>
              <w:outlineLvl w:val="9"/>
              <w:rPr>
                <w:rFonts w:ascii="Arial"/>
                <w:color w:val="auto"/>
                <w:sz w:val="21"/>
                <w:highlight w:val="none"/>
              </w:rPr>
            </w:pPr>
          </w:p>
        </w:tc>
        <w:tc>
          <w:tcPr>
            <w:tcW w:w="1547" w:type="dxa"/>
            <w:vAlign w:val="top"/>
          </w:tcPr>
          <w:p w14:paraId="09A345B4">
            <w:pPr>
              <w:pStyle w:val="27"/>
              <w:spacing w:before="33" w:line="224" w:lineRule="auto"/>
              <w:ind w:left="539" w:right="170" w:hanging="359"/>
              <w:outlineLvl w:val="9"/>
              <w:rPr>
                <w:color w:val="auto"/>
                <w:sz w:val="24"/>
                <w:szCs w:val="24"/>
                <w:highlight w:val="none"/>
              </w:rPr>
            </w:pPr>
            <w:r>
              <w:rPr>
                <w:color w:val="auto"/>
                <w:spacing w:val="-2"/>
                <w:sz w:val="24"/>
                <w:szCs w:val="24"/>
                <w:highlight w:val="none"/>
              </w:rPr>
              <w:t>拟在本合同</w:t>
            </w:r>
            <w:r>
              <w:rPr>
                <w:color w:val="auto"/>
                <w:sz w:val="24"/>
                <w:szCs w:val="24"/>
                <w:highlight w:val="none"/>
              </w:rPr>
              <w:t xml:space="preserve"> </w:t>
            </w:r>
            <w:r>
              <w:rPr>
                <w:color w:val="auto"/>
                <w:spacing w:val="-3"/>
                <w:sz w:val="24"/>
                <w:szCs w:val="24"/>
                <w:highlight w:val="none"/>
              </w:rPr>
              <w:t>任职</w:t>
            </w:r>
          </w:p>
        </w:tc>
        <w:tc>
          <w:tcPr>
            <w:tcW w:w="1552" w:type="dxa"/>
            <w:vAlign w:val="top"/>
          </w:tcPr>
          <w:p w14:paraId="5F9F3FCA">
            <w:pPr>
              <w:outlineLvl w:val="9"/>
              <w:rPr>
                <w:rFonts w:ascii="Arial"/>
                <w:color w:val="auto"/>
                <w:sz w:val="21"/>
                <w:highlight w:val="none"/>
              </w:rPr>
            </w:pPr>
          </w:p>
        </w:tc>
      </w:tr>
      <w:tr w14:paraId="710A3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552" w:type="dxa"/>
            <w:vAlign w:val="top"/>
          </w:tcPr>
          <w:p w14:paraId="1A601A27">
            <w:pPr>
              <w:pStyle w:val="27"/>
              <w:spacing w:before="212" w:line="220" w:lineRule="auto"/>
              <w:ind w:left="306"/>
              <w:outlineLvl w:val="9"/>
              <w:rPr>
                <w:color w:val="auto"/>
                <w:sz w:val="24"/>
                <w:szCs w:val="24"/>
                <w:highlight w:val="none"/>
              </w:rPr>
            </w:pPr>
            <w:r>
              <w:rPr>
                <w:color w:val="auto"/>
                <w:spacing w:val="-3"/>
                <w:sz w:val="24"/>
                <w:szCs w:val="24"/>
                <w:highlight w:val="none"/>
              </w:rPr>
              <w:t>毕业学校</w:t>
            </w:r>
          </w:p>
        </w:tc>
        <w:tc>
          <w:tcPr>
            <w:tcW w:w="7739" w:type="dxa"/>
            <w:gridSpan w:val="5"/>
            <w:vAlign w:val="top"/>
          </w:tcPr>
          <w:p w14:paraId="07A3C7B4">
            <w:pPr>
              <w:pStyle w:val="27"/>
              <w:spacing w:before="212" w:line="220" w:lineRule="auto"/>
              <w:ind w:left="2253"/>
              <w:outlineLvl w:val="9"/>
              <w:rPr>
                <w:color w:val="auto"/>
                <w:sz w:val="24"/>
                <w:szCs w:val="24"/>
                <w:highlight w:val="none"/>
              </w:rPr>
            </w:pPr>
            <w:r>
              <w:rPr>
                <w:color w:val="auto"/>
                <w:spacing w:val="-2"/>
                <w:sz w:val="24"/>
                <w:szCs w:val="24"/>
                <w:highlight w:val="none"/>
              </w:rPr>
              <w:t>年毕业于</w:t>
            </w:r>
            <w:r>
              <w:rPr>
                <w:color w:val="auto"/>
                <w:spacing w:val="4"/>
                <w:sz w:val="24"/>
                <w:szCs w:val="24"/>
                <w:highlight w:val="none"/>
              </w:rPr>
              <w:t xml:space="preserve">     </w:t>
            </w:r>
            <w:r>
              <w:rPr>
                <w:color w:val="auto"/>
                <w:spacing w:val="-2"/>
                <w:sz w:val="24"/>
                <w:szCs w:val="24"/>
                <w:highlight w:val="none"/>
              </w:rPr>
              <w:t>学校      专业</w:t>
            </w:r>
          </w:p>
        </w:tc>
      </w:tr>
      <w:tr w14:paraId="068FD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291" w:type="dxa"/>
            <w:gridSpan w:val="6"/>
            <w:vAlign w:val="top"/>
          </w:tcPr>
          <w:p w14:paraId="2D2FB779">
            <w:pPr>
              <w:pStyle w:val="27"/>
              <w:spacing w:before="231" w:line="220" w:lineRule="auto"/>
              <w:ind w:left="3693"/>
              <w:outlineLvl w:val="9"/>
              <w:rPr>
                <w:color w:val="auto"/>
                <w:sz w:val="24"/>
                <w:szCs w:val="24"/>
                <w:highlight w:val="none"/>
              </w:rPr>
            </w:pPr>
            <w:r>
              <w:rPr>
                <w:color w:val="auto"/>
                <w:spacing w:val="-2"/>
                <w:sz w:val="24"/>
                <w:szCs w:val="24"/>
                <w:highlight w:val="none"/>
              </w:rPr>
              <w:t>主要施工管理经历</w:t>
            </w:r>
          </w:p>
        </w:tc>
      </w:tr>
      <w:tr w14:paraId="2599D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52" w:type="dxa"/>
            <w:vAlign w:val="top"/>
          </w:tcPr>
          <w:p w14:paraId="05EF1568">
            <w:pPr>
              <w:pStyle w:val="27"/>
              <w:spacing w:before="191" w:line="222" w:lineRule="auto"/>
              <w:ind w:left="553"/>
              <w:outlineLvl w:val="9"/>
              <w:rPr>
                <w:color w:val="auto"/>
                <w:sz w:val="24"/>
                <w:szCs w:val="24"/>
                <w:highlight w:val="none"/>
              </w:rPr>
            </w:pPr>
            <w:r>
              <w:rPr>
                <w:color w:val="auto"/>
                <w:spacing w:val="-6"/>
                <w:sz w:val="24"/>
                <w:szCs w:val="24"/>
                <w:highlight w:val="none"/>
              </w:rPr>
              <w:t>时间</w:t>
            </w:r>
          </w:p>
        </w:tc>
        <w:tc>
          <w:tcPr>
            <w:tcW w:w="4640" w:type="dxa"/>
            <w:gridSpan w:val="3"/>
            <w:vAlign w:val="top"/>
          </w:tcPr>
          <w:p w14:paraId="3B22AC20">
            <w:pPr>
              <w:pStyle w:val="27"/>
              <w:spacing w:before="191" w:line="220" w:lineRule="auto"/>
              <w:ind w:left="1365"/>
              <w:outlineLvl w:val="9"/>
              <w:rPr>
                <w:color w:val="auto"/>
                <w:sz w:val="24"/>
                <w:szCs w:val="24"/>
                <w:highlight w:val="none"/>
              </w:rPr>
            </w:pPr>
            <w:r>
              <w:rPr>
                <w:color w:val="auto"/>
                <w:spacing w:val="-2"/>
                <w:sz w:val="24"/>
                <w:szCs w:val="24"/>
                <w:highlight w:val="none"/>
              </w:rPr>
              <w:t>参加过的类似项目</w:t>
            </w:r>
          </w:p>
        </w:tc>
        <w:tc>
          <w:tcPr>
            <w:tcW w:w="1547" w:type="dxa"/>
            <w:vAlign w:val="top"/>
          </w:tcPr>
          <w:p w14:paraId="3F233855">
            <w:pPr>
              <w:pStyle w:val="27"/>
              <w:spacing w:before="191" w:line="220" w:lineRule="auto"/>
              <w:ind w:left="301"/>
              <w:outlineLvl w:val="9"/>
              <w:rPr>
                <w:color w:val="auto"/>
                <w:sz w:val="24"/>
                <w:szCs w:val="24"/>
                <w:highlight w:val="none"/>
              </w:rPr>
            </w:pPr>
            <w:r>
              <w:rPr>
                <w:color w:val="auto"/>
                <w:spacing w:val="-2"/>
                <w:sz w:val="24"/>
                <w:szCs w:val="24"/>
                <w:highlight w:val="none"/>
              </w:rPr>
              <w:t>担任职务</w:t>
            </w:r>
          </w:p>
        </w:tc>
        <w:tc>
          <w:tcPr>
            <w:tcW w:w="1552" w:type="dxa"/>
            <w:vAlign w:val="top"/>
          </w:tcPr>
          <w:p w14:paraId="06E0A7F5">
            <w:pPr>
              <w:pStyle w:val="27"/>
              <w:spacing w:before="35" w:line="224" w:lineRule="auto"/>
              <w:ind w:left="426" w:right="174" w:hanging="241"/>
              <w:outlineLvl w:val="9"/>
              <w:rPr>
                <w:color w:val="auto"/>
                <w:sz w:val="24"/>
                <w:szCs w:val="24"/>
                <w:highlight w:val="none"/>
              </w:rPr>
            </w:pPr>
            <w:r>
              <w:rPr>
                <w:color w:val="auto"/>
                <w:spacing w:val="-3"/>
                <w:sz w:val="24"/>
                <w:szCs w:val="24"/>
                <w:highlight w:val="none"/>
              </w:rPr>
              <w:t>发包人及联</w:t>
            </w:r>
            <w:r>
              <w:rPr>
                <w:color w:val="auto"/>
                <w:sz w:val="24"/>
                <w:szCs w:val="24"/>
                <w:highlight w:val="none"/>
              </w:rPr>
              <w:t xml:space="preserve"> </w:t>
            </w:r>
            <w:r>
              <w:rPr>
                <w:color w:val="auto"/>
                <w:spacing w:val="-4"/>
                <w:sz w:val="24"/>
                <w:szCs w:val="24"/>
                <w:highlight w:val="none"/>
              </w:rPr>
              <w:t>系电话</w:t>
            </w:r>
          </w:p>
        </w:tc>
      </w:tr>
      <w:tr w14:paraId="6065B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14:paraId="6BA52115">
            <w:pPr>
              <w:outlineLvl w:val="9"/>
              <w:rPr>
                <w:rFonts w:ascii="Arial"/>
                <w:color w:val="auto"/>
                <w:sz w:val="21"/>
                <w:highlight w:val="none"/>
              </w:rPr>
            </w:pPr>
          </w:p>
        </w:tc>
        <w:tc>
          <w:tcPr>
            <w:tcW w:w="1545" w:type="dxa"/>
            <w:vAlign w:val="top"/>
          </w:tcPr>
          <w:p w14:paraId="229EC886">
            <w:pPr>
              <w:outlineLvl w:val="9"/>
              <w:rPr>
                <w:rFonts w:ascii="Arial"/>
                <w:color w:val="auto"/>
                <w:sz w:val="21"/>
                <w:highlight w:val="none"/>
              </w:rPr>
            </w:pPr>
          </w:p>
        </w:tc>
        <w:tc>
          <w:tcPr>
            <w:tcW w:w="1547" w:type="dxa"/>
            <w:vAlign w:val="top"/>
          </w:tcPr>
          <w:p w14:paraId="343EECE6">
            <w:pPr>
              <w:outlineLvl w:val="9"/>
              <w:rPr>
                <w:rFonts w:ascii="Arial"/>
                <w:color w:val="auto"/>
                <w:sz w:val="21"/>
                <w:highlight w:val="none"/>
              </w:rPr>
            </w:pPr>
          </w:p>
        </w:tc>
        <w:tc>
          <w:tcPr>
            <w:tcW w:w="1548" w:type="dxa"/>
            <w:vAlign w:val="top"/>
          </w:tcPr>
          <w:p w14:paraId="01D85420">
            <w:pPr>
              <w:outlineLvl w:val="9"/>
              <w:rPr>
                <w:rFonts w:ascii="Arial"/>
                <w:color w:val="auto"/>
                <w:sz w:val="21"/>
                <w:highlight w:val="none"/>
              </w:rPr>
            </w:pPr>
          </w:p>
        </w:tc>
        <w:tc>
          <w:tcPr>
            <w:tcW w:w="1547" w:type="dxa"/>
            <w:vAlign w:val="top"/>
          </w:tcPr>
          <w:p w14:paraId="54F177CB">
            <w:pPr>
              <w:outlineLvl w:val="9"/>
              <w:rPr>
                <w:rFonts w:ascii="Arial"/>
                <w:color w:val="auto"/>
                <w:sz w:val="21"/>
                <w:highlight w:val="none"/>
              </w:rPr>
            </w:pPr>
          </w:p>
        </w:tc>
        <w:tc>
          <w:tcPr>
            <w:tcW w:w="1552" w:type="dxa"/>
            <w:vAlign w:val="top"/>
          </w:tcPr>
          <w:p w14:paraId="1551AE9E">
            <w:pPr>
              <w:outlineLvl w:val="9"/>
              <w:rPr>
                <w:rFonts w:ascii="Arial"/>
                <w:color w:val="auto"/>
                <w:sz w:val="21"/>
                <w:highlight w:val="none"/>
              </w:rPr>
            </w:pPr>
          </w:p>
        </w:tc>
      </w:tr>
      <w:tr w14:paraId="28D38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4" w:hRule="atLeast"/>
        </w:trPr>
        <w:tc>
          <w:tcPr>
            <w:tcW w:w="1552" w:type="dxa"/>
            <w:vAlign w:val="top"/>
          </w:tcPr>
          <w:p w14:paraId="4A31DB9E">
            <w:pPr>
              <w:outlineLvl w:val="9"/>
              <w:rPr>
                <w:rFonts w:ascii="Arial"/>
                <w:color w:val="auto"/>
                <w:sz w:val="21"/>
                <w:highlight w:val="none"/>
              </w:rPr>
            </w:pPr>
          </w:p>
        </w:tc>
        <w:tc>
          <w:tcPr>
            <w:tcW w:w="1545" w:type="dxa"/>
            <w:vAlign w:val="top"/>
          </w:tcPr>
          <w:p w14:paraId="5318922F">
            <w:pPr>
              <w:outlineLvl w:val="9"/>
              <w:rPr>
                <w:rFonts w:ascii="Arial"/>
                <w:color w:val="auto"/>
                <w:sz w:val="21"/>
                <w:highlight w:val="none"/>
              </w:rPr>
            </w:pPr>
          </w:p>
        </w:tc>
        <w:tc>
          <w:tcPr>
            <w:tcW w:w="1547" w:type="dxa"/>
            <w:vAlign w:val="top"/>
          </w:tcPr>
          <w:p w14:paraId="1939BB47">
            <w:pPr>
              <w:outlineLvl w:val="9"/>
              <w:rPr>
                <w:rFonts w:ascii="Arial"/>
                <w:color w:val="auto"/>
                <w:sz w:val="21"/>
                <w:highlight w:val="none"/>
              </w:rPr>
            </w:pPr>
          </w:p>
        </w:tc>
        <w:tc>
          <w:tcPr>
            <w:tcW w:w="1548" w:type="dxa"/>
            <w:vAlign w:val="top"/>
          </w:tcPr>
          <w:p w14:paraId="568F18E9">
            <w:pPr>
              <w:outlineLvl w:val="9"/>
              <w:rPr>
                <w:rFonts w:ascii="Arial"/>
                <w:color w:val="auto"/>
                <w:sz w:val="21"/>
                <w:highlight w:val="none"/>
              </w:rPr>
            </w:pPr>
          </w:p>
        </w:tc>
        <w:tc>
          <w:tcPr>
            <w:tcW w:w="1547" w:type="dxa"/>
            <w:vAlign w:val="top"/>
          </w:tcPr>
          <w:p w14:paraId="32353C3A">
            <w:pPr>
              <w:outlineLvl w:val="9"/>
              <w:rPr>
                <w:rFonts w:ascii="Arial"/>
                <w:color w:val="auto"/>
                <w:sz w:val="21"/>
                <w:highlight w:val="none"/>
              </w:rPr>
            </w:pPr>
          </w:p>
        </w:tc>
        <w:tc>
          <w:tcPr>
            <w:tcW w:w="1552" w:type="dxa"/>
            <w:vAlign w:val="top"/>
          </w:tcPr>
          <w:p w14:paraId="1A295B4D">
            <w:pPr>
              <w:outlineLvl w:val="9"/>
              <w:rPr>
                <w:rFonts w:ascii="Arial"/>
                <w:color w:val="auto"/>
                <w:sz w:val="21"/>
                <w:highlight w:val="none"/>
              </w:rPr>
            </w:pPr>
          </w:p>
        </w:tc>
      </w:tr>
      <w:tr w14:paraId="65FE1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552" w:type="dxa"/>
            <w:vAlign w:val="top"/>
          </w:tcPr>
          <w:p w14:paraId="2C5E676E">
            <w:pPr>
              <w:outlineLvl w:val="9"/>
              <w:rPr>
                <w:rFonts w:ascii="Arial"/>
                <w:color w:val="auto"/>
                <w:sz w:val="21"/>
                <w:highlight w:val="none"/>
              </w:rPr>
            </w:pPr>
          </w:p>
        </w:tc>
        <w:tc>
          <w:tcPr>
            <w:tcW w:w="1545" w:type="dxa"/>
            <w:vAlign w:val="top"/>
          </w:tcPr>
          <w:p w14:paraId="2C86E39C">
            <w:pPr>
              <w:outlineLvl w:val="9"/>
              <w:rPr>
                <w:rFonts w:ascii="Arial"/>
                <w:color w:val="auto"/>
                <w:sz w:val="21"/>
                <w:highlight w:val="none"/>
              </w:rPr>
            </w:pPr>
          </w:p>
        </w:tc>
        <w:tc>
          <w:tcPr>
            <w:tcW w:w="1547" w:type="dxa"/>
            <w:vAlign w:val="top"/>
          </w:tcPr>
          <w:p w14:paraId="15A8C909">
            <w:pPr>
              <w:outlineLvl w:val="9"/>
              <w:rPr>
                <w:rFonts w:ascii="Arial"/>
                <w:color w:val="auto"/>
                <w:sz w:val="21"/>
                <w:highlight w:val="none"/>
              </w:rPr>
            </w:pPr>
          </w:p>
        </w:tc>
        <w:tc>
          <w:tcPr>
            <w:tcW w:w="1548" w:type="dxa"/>
            <w:vAlign w:val="top"/>
          </w:tcPr>
          <w:p w14:paraId="3AF64E17">
            <w:pPr>
              <w:outlineLvl w:val="9"/>
              <w:rPr>
                <w:rFonts w:ascii="Arial"/>
                <w:color w:val="auto"/>
                <w:sz w:val="21"/>
                <w:highlight w:val="none"/>
              </w:rPr>
            </w:pPr>
          </w:p>
        </w:tc>
        <w:tc>
          <w:tcPr>
            <w:tcW w:w="1547" w:type="dxa"/>
            <w:vAlign w:val="top"/>
          </w:tcPr>
          <w:p w14:paraId="41F55EF7">
            <w:pPr>
              <w:outlineLvl w:val="9"/>
              <w:rPr>
                <w:rFonts w:ascii="Arial"/>
                <w:color w:val="auto"/>
                <w:sz w:val="21"/>
                <w:highlight w:val="none"/>
              </w:rPr>
            </w:pPr>
          </w:p>
        </w:tc>
        <w:tc>
          <w:tcPr>
            <w:tcW w:w="1552" w:type="dxa"/>
            <w:vAlign w:val="top"/>
          </w:tcPr>
          <w:p w14:paraId="71F003A2">
            <w:pPr>
              <w:outlineLvl w:val="9"/>
              <w:rPr>
                <w:rFonts w:ascii="Arial"/>
                <w:color w:val="auto"/>
                <w:sz w:val="21"/>
                <w:highlight w:val="none"/>
              </w:rPr>
            </w:pPr>
          </w:p>
        </w:tc>
      </w:tr>
      <w:tr w14:paraId="2825E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4" w:hRule="atLeast"/>
        </w:trPr>
        <w:tc>
          <w:tcPr>
            <w:tcW w:w="1552" w:type="dxa"/>
            <w:vAlign w:val="top"/>
          </w:tcPr>
          <w:p w14:paraId="68CE1B63">
            <w:pPr>
              <w:outlineLvl w:val="9"/>
              <w:rPr>
                <w:rFonts w:ascii="Arial"/>
                <w:color w:val="auto"/>
                <w:sz w:val="21"/>
                <w:highlight w:val="none"/>
              </w:rPr>
            </w:pPr>
          </w:p>
        </w:tc>
        <w:tc>
          <w:tcPr>
            <w:tcW w:w="1545" w:type="dxa"/>
            <w:vAlign w:val="top"/>
          </w:tcPr>
          <w:p w14:paraId="57C4F8CC">
            <w:pPr>
              <w:outlineLvl w:val="9"/>
              <w:rPr>
                <w:rFonts w:ascii="Arial"/>
                <w:color w:val="auto"/>
                <w:sz w:val="21"/>
                <w:highlight w:val="none"/>
              </w:rPr>
            </w:pPr>
          </w:p>
        </w:tc>
        <w:tc>
          <w:tcPr>
            <w:tcW w:w="1547" w:type="dxa"/>
            <w:vAlign w:val="top"/>
          </w:tcPr>
          <w:p w14:paraId="5D970A33">
            <w:pPr>
              <w:outlineLvl w:val="9"/>
              <w:rPr>
                <w:rFonts w:ascii="Arial"/>
                <w:color w:val="auto"/>
                <w:sz w:val="21"/>
                <w:highlight w:val="none"/>
              </w:rPr>
            </w:pPr>
          </w:p>
        </w:tc>
        <w:tc>
          <w:tcPr>
            <w:tcW w:w="1548" w:type="dxa"/>
            <w:vAlign w:val="top"/>
          </w:tcPr>
          <w:p w14:paraId="68DA06FA">
            <w:pPr>
              <w:outlineLvl w:val="9"/>
              <w:rPr>
                <w:rFonts w:ascii="Arial"/>
                <w:color w:val="auto"/>
                <w:sz w:val="21"/>
                <w:highlight w:val="none"/>
              </w:rPr>
            </w:pPr>
          </w:p>
        </w:tc>
        <w:tc>
          <w:tcPr>
            <w:tcW w:w="1547" w:type="dxa"/>
            <w:vAlign w:val="top"/>
          </w:tcPr>
          <w:p w14:paraId="4FF32EDA">
            <w:pPr>
              <w:outlineLvl w:val="9"/>
              <w:rPr>
                <w:rFonts w:ascii="Arial"/>
                <w:color w:val="auto"/>
                <w:sz w:val="21"/>
                <w:highlight w:val="none"/>
              </w:rPr>
            </w:pPr>
          </w:p>
        </w:tc>
        <w:tc>
          <w:tcPr>
            <w:tcW w:w="1552" w:type="dxa"/>
            <w:vAlign w:val="top"/>
          </w:tcPr>
          <w:p w14:paraId="3D0ACDE9">
            <w:pPr>
              <w:outlineLvl w:val="9"/>
              <w:rPr>
                <w:rFonts w:ascii="Arial"/>
                <w:color w:val="auto"/>
                <w:sz w:val="21"/>
                <w:highlight w:val="none"/>
              </w:rPr>
            </w:pPr>
          </w:p>
        </w:tc>
      </w:tr>
      <w:tr w14:paraId="4E5CE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14:paraId="54A0E0B3">
            <w:pPr>
              <w:outlineLvl w:val="9"/>
              <w:rPr>
                <w:rFonts w:ascii="Arial"/>
                <w:color w:val="auto"/>
                <w:sz w:val="21"/>
                <w:highlight w:val="none"/>
              </w:rPr>
            </w:pPr>
          </w:p>
        </w:tc>
        <w:tc>
          <w:tcPr>
            <w:tcW w:w="1545" w:type="dxa"/>
            <w:vAlign w:val="top"/>
          </w:tcPr>
          <w:p w14:paraId="5340FCC8">
            <w:pPr>
              <w:outlineLvl w:val="9"/>
              <w:rPr>
                <w:rFonts w:ascii="Arial"/>
                <w:color w:val="auto"/>
                <w:sz w:val="21"/>
                <w:highlight w:val="none"/>
              </w:rPr>
            </w:pPr>
          </w:p>
        </w:tc>
        <w:tc>
          <w:tcPr>
            <w:tcW w:w="1547" w:type="dxa"/>
            <w:vAlign w:val="top"/>
          </w:tcPr>
          <w:p w14:paraId="24AEC00B">
            <w:pPr>
              <w:outlineLvl w:val="9"/>
              <w:rPr>
                <w:rFonts w:ascii="Arial"/>
                <w:color w:val="auto"/>
                <w:sz w:val="21"/>
                <w:highlight w:val="none"/>
              </w:rPr>
            </w:pPr>
          </w:p>
        </w:tc>
        <w:tc>
          <w:tcPr>
            <w:tcW w:w="1548" w:type="dxa"/>
            <w:vAlign w:val="top"/>
          </w:tcPr>
          <w:p w14:paraId="13BFACBF">
            <w:pPr>
              <w:outlineLvl w:val="9"/>
              <w:rPr>
                <w:rFonts w:ascii="Arial"/>
                <w:color w:val="auto"/>
                <w:sz w:val="21"/>
                <w:highlight w:val="none"/>
              </w:rPr>
            </w:pPr>
          </w:p>
        </w:tc>
        <w:tc>
          <w:tcPr>
            <w:tcW w:w="1547" w:type="dxa"/>
            <w:vAlign w:val="top"/>
          </w:tcPr>
          <w:p w14:paraId="29DD5A30">
            <w:pPr>
              <w:outlineLvl w:val="9"/>
              <w:rPr>
                <w:rFonts w:ascii="Arial"/>
                <w:color w:val="auto"/>
                <w:sz w:val="21"/>
                <w:highlight w:val="none"/>
              </w:rPr>
            </w:pPr>
          </w:p>
        </w:tc>
        <w:tc>
          <w:tcPr>
            <w:tcW w:w="1552" w:type="dxa"/>
            <w:vAlign w:val="top"/>
          </w:tcPr>
          <w:p w14:paraId="7378DB03">
            <w:pPr>
              <w:outlineLvl w:val="9"/>
              <w:rPr>
                <w:rFonts w:ascii="Arial"/>
                <w:color w:val="auto"/>
                <w:sz w:val="21"/>
                <w:highlight w:val="none"/>
              </w:rPr>
            </w:pPr>
          </w:p>
        </w:tc>
      </w:tr>
      <w:tr w14:paraId="3A35F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7" w:hRule="atLeast"/>
        </w:trPr>
        <w:tc>
          <w:tcPr>
            <w:tcW w:w="1552" w:type="dxa"/>
            <w:vAlign w:val="top"/>
          </w:tcPr>
          <w:p w14:paraId="452AB83B">
            <w:pPr>
              <w:outlineLvl w:val="9"/>
              <w:rPr>
                <w:rFonts w:ascii="Arial"/>
                <w:color w:val="auto"/>
                <w:sz w:val="21"/>
                <w:highlight w:val="none"/>
              </w:rPr>
            </w:pPr>
          </w:p>
        </w:tc>
        <w:tc>
          <w:tcPr>
            <w:tcW w:w="1545" w:type="dxa"/>
            <w:vAlign w:val="top"/>
          </w:tcPr>
          <w:p w14:paraId="3C0EDE27">
            <w:pPr>
              <w:outlineLvl w:val="9"/>
              <w:rPr>
                <w:rFonts w:ascii="Arial"/>
                <w:color w:val="auto"/>
                <w:sz w:val="21"/>
                <w:highlight w:val="none"/>
              </w:rPr>
            </w:pPr>
          </w:p>
        </w:tc>
        <w:tc>
          <w:tcPr>
            <w:tcW w:w="1547" w:type="dxa"/>
            <w:vAlign w:val="top"/>
          </w:tcPr>
          <w:p w14:paraId="7BB93ADB">
            <w:pPr>
              <w:outlineLvl w:val="9"/>
              <w:rPr>
                <w:rFonts w:ascii="Arial"/>
                <w:color w:val="auto"/>
                <w:sz w:val="21"/>
                <w:highlight w:val="none"/>
              </w:rPr>
            </w:pPr>
          </w:p>
        </w:tc>
        <w:tc>
          <w:tcPr>
            <w:tcW w:w="1548" w:type="dxa"/>
            <w:vAlign w:val="top"/>
          </w:tcPr>
          <w:p w14:paraId="2E7D060E">
            <w:pPr>
              <w:outlineLvl w:val="9"/>
              <w:rPr>
                <w:rFonts w:ascii="Arial"/>
                <w:color w:val="auto"/>
                <w:sz w:val="21"/>
                <w:highlight w:val="none"/>
              </w:rPr>
            </w:pPr>
          </w:p>
        </w:tc>
        <w:tc>
          <w:tcPr>
            <w:tcW w:w="1547" w:type="dxa"/>
            <w:vAlign w:val="top"/>
          </w:tcPr>
          <w:p w14:paraId="6DE0FF93">
            <w:pPr>
              <w:outlineLvl w:val="9"/>
              <w:rPr>
                <w:rFonts w:ascii="Arial"/>
                <w:color w:val="auto"/>
                <w:sz w:val="21"/>
                <w:highlight w:val="none"/>
              </w:rPr>
            </w:pPr>
          </w:p>
        </w:tc>
        <w:tc>
          <w:tcPr>
            <w:tcW w:w="1552" w:type="dxa"/>
            <w:vAlign w:val="top"/>
          </w:tcPr>
          <w:p w14:paraId="1186555E">
            <w:pPr>
              <w:outlineLvl w:val="9"/>
              <w:rPr>
                <w:rFonts w:ascii="Arial"/>
                <w:color w:val="auto"/>
                <w:sz w:val="21"/>
                <w:highlight w:val="none"/>
              </w:rPr>
            </w:pPr>
          </w:p>
        </w:tc>
      </w:tr>
      <w:tr w14:paraId="1BCA6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14:paraId="16CEEAB3">
            <w:pPr>
              <w:outlineLvl w:val="9"/>
              <w:rPr>
                <w:rFonts w:ascii="Arial"/>
                <w:color w:val="auto"/>
                <w:sz w:val="21"/>
                <w:highlight w:val="none"/>
              </w:rPr>
            </w:pPr>
          </w:p>
        </w:tc>
        <w:tc>
          <w:tcPr>
            <w:tcW w:w="1545" w:type="dxa"/>
            <w:vAlign w:val="top"/>
          </w:tcPr>
          <w:p w14:paraId="41339EAB">
            <w:pPr>
              <w:outlineLvl w:val="9"/>
              <w:rPr>
                <w:rFonts w:ascii="Arial"/>
                <w:color w:val="auto"/>
                <w:sz w:val="21"/>
                <w:highlight w:val="none"/>
              </w:rPr>
            </w:pPr>
          </w:p>
        </w:tc>
        <w:tc>
          <w:tcPr>
            <w:tcW w:w="1547" w:type="dxa"/>
            <w:vAlign w:val="top"/>
          </w:tcPr>
          <w:p w14:paraId="1E54F694">
            <w:pPr>
              <w:outlineLvl w:val="9"/>
              <w:rPr>
                <w:rFonts w:ascii="Arial"/>
                <w:color w:val="auto"/>
                <w:sz w:val="21"/>
                <w:highlight w:val="none"/>
              </w:rPr>
            </w:pPr>
          </w:p>
        </w:tc>
        <w:tc>
          <w:tcPr>
            <w:tcW w:w="1548" w:type="dxa"/>
            <w:vAlign w:val="top"/>
          </w:tcPr>
          <w:p w14:paraId="2CB5AC54">
            <w:pPr>
              <w:outlineLvl w:val="9"/>
              <w:rPr>
                <w:rFonts w:ascii="Arial"/>
                <w:color w:val="auto"/>
                <w:sz w:val="21"/>
                <w:highlight w:val="none"/>
              </w:rPr>
            </w:pPr>
          </w:p>
        </w:tc>
        <w:tc>
          <w:tcPr>
            <w:tcW w:w="1547" w:type="dxa"/>
            <w:vAlign w:val="top"/>
          </w:tcPr>
          <w:p w14:paraId="6F209E90">
            <w:pPr>
              <w:outlineLvl w:val="9"/>
              <w:rPr>
                <w:rFonts w:ascii="Arial"/>
                <w:color w:val="auto"/>
                <w:sz w:val="21"/>
                <w:highlight w:val="none"/>
              </w:rPr>
            </w:pPr>
          </w:p>
        </w:tc>
        <w:tc>
          <w:tcPr>
            <w:tcW w:w="1552" w:type="dxa"/>
            <w:vAlign w:val="top"/>
          </w:tcPr>
          <w:p w14:paraId="38E510CB">
            <w:pPr>
              <w:outlineLvl w:val="9"/>
              <w:rPr>
                <w:rFonts w:ascii="Arial"/>
                <w:color w:val="auto"/>
                <w:sz w:val="21"/>
                <w:highlight w:val="none"/>
              </w:rPr>
            </w:pPr>
          </w:p>
        </w:tc>
      </w:tr>
      <w:tr w14:paraId="767DE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552" w:type="dxa"/>
            <w:vAlign w:val="top"/>
          </w:tcPr>
          <w:p w14:paraId="636ECF4E">
            <w:pPr>
              <w:outlineLvl w:val="9"/>
              <w:rPr>
                <w:rFonts w:ascii="Arial"/>
                <w:color w:val="auto"/>
                <w:sz w:val="21"/>
                <w:highlight w:val="none"/>
              </w:rPr>
            </w:pPr>
          </w:p>
        </w:tc>
        <w:tc>
          <w:tcPr>
            <w:tcW w:w="1545" w:type="dxa"/>
            <w:vAlign w:val="top"/>
          </w:tcPr>
          <w:p w14:paraId="5F830854">
            <w:pPr>
              <w:outlineLvl w:val="9"/>
              <w:rPr>
                <w:rFonts w:ascii="Arial"/>
                <w:color w:val="auto"/>
                <w:sz w:val="21"/>
                <w:highlight w:val="none"/>
              </w:rPr>
            </w:pPr>
          </w:p>
        </w:tc>
        <w:tc>
          <w:tcPr>
            <w:tcW w:w="1547" w:type="dxa"/>
            <w:vAlign w:val="top"/>
          </w:tcPr>
          <w:p w14:paraId="227F7CDA">
            <w:pPr>
              <w:outlineLvl w:val="9"/>
              <w:rPr>
                <w:rFonts w:ascii="Arial"/>
                <w:color w:val="auto"/>
                <w:sz w:val="21"/>
                <w:highlight w:val="none"/>
              </w:rPr>
            </w:pPr>
          </w:p>
        </w:tc>
        <w:tc>
          <w:tcPr>
            <w:tcW w:w="1548" w:type="dxa"/>
            <w:vAlign w:val="top"/>
          </w:tcPr>
          <w:p w14:paraId="44BF3F44">
            <w:pPr>
              <w:outlineLvl w:val="9"/>
              <w:rPr>
                <w:rFonts w:ascii="Arial"/>
                <w:color w:val="auto"/>
                <w:sz w:val="21"/>
                <w:highlight w:val="none"/>
              </w:rPr>
            </w:pPr>
          </w:p>
        </w:tc>
        <w:tc>
          <w:tcPr>
            <w:tcW w:w="1547" w:type="dxa"/>
            <w:vAlign w:val="top"/>
          </w:tcPr>
          <w:p w14:paraId="49DAC441">
            <w:pPr>
              <w:outlineLvl w:val="9"/>
              <w:rPr>
                <w:rFonts w:ascii="Arial"/>
                <w:color w:val="auto"/>
                <w:sz w:val="21"/>
                <w:highlight w:val="none"/>
              </w:rPr>
            </w:pPr>
          </w:p>
        </w:tc>
        <w:tc>
          <w:tcPr>
            <w:tcW w:w="1552" w:type="dxa"/>
            <w:vAlign w:val="top"/>
          </w:tcPr>
          <w:p w14:paraId="4BDAAD64">
            <w:pPr>
              <w:outlineLvl w:val="9"/>
              <w:rPr>
                <w:rFonts w:ascii="Arial"/>
                <w:color w:val="auto"/>
                <w:sz w:val="21"/>
                <w:highlight w:val="none"/>
              </w:rPr>
            </w:pPr>
          </w:p>
        </w:tc>
      </w:tr>
    </w:tbl>
    <w:p w14:paraId="52E8CE12">
      <w:pPr>
        <w:spacing w:before="273" w:line="226" w:lineRule="auto"/>
        <w:ind w:left="121" w:right="118" w:firstLine="420"/>
        <w:outlineLvl w:val="9"/>
        <w:rPr>
          <w:rFonts w:ascii="宋体" w:hAnsi="宋体" w:eastAsia="宋体" w:cs="宋体"/>
          <w:color w:val="auto"/>
          <w:sz w:val="22"/>
          <w:szCs w:val="22"/>
          <w:highlight w:val="none"/>
        </w:rPr>
      </w:pPr>
      <w:r>
        <w:rPr>
          <w:rFonts w:ascii="宋体" w:hAnsi="宋体" w:eastAsia="宋体" w:cs="宋体"/>
          <w:color w:val="auto"/>
          <w:spacing w:val="-1"/>
          <w:sz w:val="21"/>
          <w:szCs w:val="21"/>
          <w:highlight w:val="none"/>
        </w:rPr>
        <w:t xml:space="preserve">注：主要人员指投标人须知前附表第 </w:t>
      </w:r>
      <w:r>
        <w:rPr>
          <w:rFonts w:ascii="Arial" w:hAnsi="Arial" w:eastAsia="Arial" w:cs="Arial"/>
          <w:color w:val="auto"/>
          <w:spacing w:val="-1"/>
          <w:sz w:val="21"/>
          <w:szCs w:val="21"/>
          <w:highlight w:val="none"/>
        </w:rPr>
        <w:t xml:space="preserve">1.4.1 </w:t>
      </w:r>
      <w:r>
        <w:rPr>
          <w:rFonts w:ascii="宋体" w:hAnsi="宋体" w:eastAsia="宋体" w:cs="宋体"/>
          <w:color w:val="auto"/>
          <w:spacing w:val="-1"/>
          <w:sz w:val="21"/>
          <w:szCs w:val="21"/>
          <w:highlight w:val="none"/>
        </w:rPr>
        <w:t>项要求的人员及其他主要人员。表后附项目经理：</w:t>
      </w:r>
      <w:r>
        <w:rPr>
          <w:rFonts w:ascii="宋体" w:hAnsi="宋体" w:eastAsia="宋体" w:cs="宋体"/>
          <w:color w:val="auto"/>
          <w:spacing w:val="13"/>
          <w:sz w:val="21"/>
          <w:szCs w:val="21"/>
          <w:highlight w:val="none"/>
        </w:rPr>
        <w:t xml:space="preserve"> </w:t>
      </w:r>
      <w:r>
        <w:rPr>
          <w:rFonts w:ascii="宋体" w:hAnsi="宋体" w:eastAsia="宋体" w:cs="宋体"/>
          <w:color w:val="auto"/>
          <w:spacing w:val="-1"/>
          <w:sz w:val="21"/>
          <w:szCs w:val="21"/>
          <w:highlight w:val="none"/>
        </w:rPr>
        <w:t>注册建造师证、安全生产考核合格证书、身份证、</w:t>
      </w:r>
      <w:r>
        <w:rPr>
          <w:rFonts w:ascii="宋体" w:hAnsi="宋体" w:eastAsia="宋体" w:cs="宋体"/>
          <w:color w:val="auto"/>
          <w:spacing w:val="-2"/>
          <w:sz w:val="21"/>
          <w:szCs w:val="21"/>
          <w:highlight w:val="none"/>
        </w:rPr>
        <w:t>职称证</w:t>
      </w:r>
      <w:r>
        <w:rPr>
          <w:rFonts w:ascii="宋体" w:hAnsi="宋体" w:eastAsia="宋体" w:cs="宋体"/>
          <w:i/>
          <w:iCs/>
          <w:color w:val="auto"/>
          <w:spacing w:val="-2"/>
          <w:sz w:val="22"/>
          <w:szCs w:val="22"/>
          <w:highlight w:val="none"/>
        </w:rPr>
        <w:t>（如要求）</w:t>
      </w:r>
      <w:r>
        <w:rPr>
          <w:rFonts w:ascii="宋体" w:hAnsi="宋体" w:eastAsia="宋体" w:cs="宋体"/>
          <w:color w:val="auto"/>
          <w:spacing w:val="-2"/>
          <w:sz w:val="21"/>
          <w:szCs w:val="21"/>
          <w:highlight w:val="none"/>
        </w:rPr>
        <w:t>、个人业绩</w:t>
      </w:r>
      <w:r>
        <w:rPr>
          <w:rFonts w:ascii="宋体" w:hAnsi="宋体" w:eastAsia="宋体" w:cs="宋体"/>
          <w:i/>
          <w:iCs/>
          <w:color w:val="auto"/>
          <w:spacing w:val="-2"/>
          <w:sz w:val="22"/>
          <w:szCs w:val="22"/>
          <w:highlight w:val="none"/>
        </w:rPr>
        <w:t>（如要求</w:t>
      </w:r>
      <w:r>
        <w:rPr>
          <w:rFonts w:ascii="宋体" w:hAnsi="宋体" w:eastAsia="宋体" w:cs="宋体"/>
          <w:i/>
          <w:iCs/>
          <w:color w:val="auto"/>
          <w:spacing w:val="-8"/>
          <w:sz w:val="22"/>
          <w:szCs w:val="22"/>
          <w:highlight w:val="none"/>
        </w:rPr>
        <w:t>）</w:t>
      </w:r>
      <w:r>
        <w:rPr>
          <w:rFonts w:ascii="宋体" w:hAnsi="宋体" w:eastAsia="宋体" w:cs="宋体"/>
          <w:color w:val="auto"/>
          <w:spacing w:val="-8"/>
          <w:sz w:val="21"/>
          <w:szCs w:val="21"/>
          <w:highlight w:val="none"/>
        </w:rPr>
        <w:t>；</w:t>
      </w:r>
      <w:r>
        <w:rPr>
          <w:rFonts w:ascii="宋体" w:hAnsi="宋体" w:eastAsia="宋体" w:cs="宋体"/>
          <w:color w:val="auto"/>
          <w:spacing w:val="-2"/>
          <w:sz w:val="21"/>
          <w:szCs w:val="21"/>
          <w:highlight w:val="none"/>
        </w:rPr>
        <w:t>主要</w:t>
      </w:r>
      <w:r>
        <w:rPr>
          <w:rFonts w:ascii="宋体" w:hAnsi="宋体" w:eastAsia="宋体" w:cs="宋体"/>
          <w:color w:val="auto"/>
          <w:spacing w:val="-4"/>
          <w:sz w:val="21"/>
          <w:szCs w:val="21"/>
          <w:highlight w:val="none"/>
        </w:rPr>
        <w:t>人员：身份证、职称证、个人业绩</w:t>
      </w:r>
      <w:r>
        <w:rPr>
          <w:rFonts w:ascii="宋体" w:hAnsi="宋体" w:eastAsia="宋体" w:cs="宋体"/>
          <w:i/>
          <w:iCs/>
          <w:color w:val="auto"/>
          <w:spacing w:val="-4"/>
          <w:sz w:val="22"/>
          <w:szCs w:val="22"/>
          <w:highlight w:val="none"/>
        </w:rPr>
        <w:t>（如要求）。（说明：以上资料仅为列举）</w:t>
      </w:r>
    </w:p>
    <w:p w14:paraId="19932D77">
      <w:pPr>
        <w:spacing w:before="153" w:line="224" w:lineRule="auto"/>
        <w:ind w:left="3380"/>
        <w:outlineLvl w:val="9"/>
        <w:rPr>
          <w:rFonts w:ascii="宋体" w:hAnsi="宋体" w:eastAsia="宋体" w:cs="宋体"/>
          <w:b/>
          <w:bCs/>
          <w:color w:val="auto"/>
          <w:spacing w:val="5"/>
          <w:sz w:val="31"/>
          <w:szCs w:val="31"/>
          <w:highlight w:val="none"/>
        </w:rPr>
      </w:pPr>
      <w:bookmarkStart w:id="431" w:name="bookmark296"/>
      <w:bookmarkEnd w:id="431"/>
    </w:p>
    <w:p w14:paraId="57A0C1B5">
      <w:pPr>
        <w:spacing w:before="64" w:line="224" w:lineRule="auto"/>
        <w:ind w:left="3474"/>
        <w:outlineLvl w:val="9"/>
        <w:rPr>
          <w:rFonts w:ascii="宋体" w:hAnsi="宋体" w:eastAsia="宋体" w:cs="宋体"/>
          <w:b/>
          <w:bCs/>
          <w:color w:val="auto"/>
          <w:spacing w:val="6"/>
          <w:sz w:val="31"/>
          <w:szCs w:val="31"/>
          <w:highlight w:val="none"/>
        </w:rPr>
      </w:pPr>
      <w:bookmarkStart w:id="432" w:name="_Toc625"/>
      <w:r>
        <w:rPr>
          <w:rFonts w:ascii="宋体" w:hAnsi="宋体" w:eastAsia="宋体" w:cs="宋体"/>
          <w:b/>
          <w:bCs/>
          <w:color w:val="auto"/>
          <w:spacing w:val="6"/>
          <w:sz w:val="31"/>
          <w:szCs w:val="31"/>
          <w:highlight w:val="none"/>
        </w:rPr>
        <w:t>八、拟分包项目情况表</w:t>
      </w:r>
      <w:bookmarkEnd w:id="432"/>
    </w:p>
    <w:p w14:paraId="2B497CA3">
      <w:pPr>
        <w:spacing w:before="169"/>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2"/>
        <w:gridCol w:w="2565"/>
        <w:gridCol w:w="1943"/>
        <w:gridCol w:w="2701"/>
      </w:tblGrid>
      <w:tr w14:paraId="220A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82" w:type="dxa"/>
            <w:vAlign w:val="top"/>
          </w:tcPr>
          <w:p w14:paraId="5B263799">
            <w:pPr>
              <w:pStyle w:val="27"/>
              <w:spacing w:before="178" w:line="220" w:lineRule="auto"/>
              <w:ind w:left="207"/>
              <w:outlineLvl w:val="9"/>
              <w:rPr>
                <w:color w:val="auto"/>
                <w:highlight w:val="none"/>
              </w:rPr>
            </w:pPr>
            <w:r>
              <w:rPr>
                <w:color w:val="auto"/>
                <w:spacing w:val="-1"/>
                <w:highlight w:val="none"/>
              </w:rPr>
              <w:t>拟分包的工程项目</w:t>
            </w:r>
          </w:p>
        </w:tc>
        <w:tc>
          <w:tcPr>
            <w:tcW w:w="2565" w:type="dxa"/>
            <w:vAlign w:val="top"/>
          </w:tcPr>
          <w:p w14:paraId="5DB21718">
            <w:pPr>
              <w:pStyle w:val="27"/>
              <w:spacing w:before="177" w:line="221" w:lineRule="auto"/>
              <w:ind w:left="659"/>
              <w:outlineLvl w:val="9"/>
              <w:rPr>
                <w:color w:val="auto"/>
                <w:highlight w:val="none"/>
              </w:rPr>
            </w:pPr>
            <w:r>
              <w:rPr>
                <w:color w:val="auto"/>
                <w:spacing w:val="-2"/>
                <w:highlight w:val="none"/>
              </w:rPr>
              <w:t>主要工程内容</w:t>
            </w:r>
          </w:p>
        </w:tc>
        <w:tc>
          <w:tcPr>
            <w:tcW w:w="1943" w:type="dxa"/>
            <w:vAlign w:val="top"/>
          </w:tcPr>
          <w:p w14:paraId="4D5BA31F">
            <w:pPr>
              <w:pStyle w:val="27"/>
              <w:spacing w:before="178" w:line="219" w:lineRule="auto"/>
              <w:ind w:left="136"/>
              <w:outlineLvl w:val="9"/>
              <w:rPr>
                <w:color w:val="auto"/>
                <w:highlight w:val="none"/>
              </w:rPr>
            </w:pPr>
            <w:r>
              <w:rPr>
                <w:color w:val="auto"/>
                <w:spacing w:val="-1"/>
                <w:highlight w:val="none"/>
              </w:rPr>
              <w:t>预计造价（万元）</w:t>
            </w:r>
          </w:p>
        </w:tc>
        <w:tc>
          <w:tcPr>
            <w:tcW w:w="2701" w:type="dxa"/>
            <w:vAlign w:val="top"/>
          </w:tcPr>
          <w:p w14:paraId="23F8E2D9">
            <w:pPr>
              <w:pStyle w:val="27"/>
              <w:spacing w:before="178" w:line="222" w:lineRule="auto"/>
              <w:ind w:left="1094"/>
              <w:outlineLvl w:val="9"/>
              <w:rPr>
                <w:color w:val="auto"/>
                <w:highlight w:val="none"/>
              </w:rPr>
            </w:pPr>
            <w:r>
              <w:rPr>
                <w:color w:val="auto"/>
                <w:spacing w:val="-5"/>
                <w:highlight w:val="none"/>
              </w:rPr>
              <w:t>备</w:t>
            </w:r>
            <w:r>
              <w:rPr>
                <w:color w:val="auto"/>
                <w:spacing w:val="9"/>
                <w:highlight w:val="none"/>
              </w:rPr>
              <w:t xml:space="preserve"> </w:t>
            </w:r>
            <w:r>
              <w:rPr>
                <w:color w:val="auto"/>
                <w:spacing w:val="-5"/>
                <w:highlight w:val="none"/>
              </w:rPr>
              <w:t>注</w:t>
            </w:r>
          </w:p>
        </w:tc>
      </w:tr>
      <w:tr w14:paraId="49F97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82" w:type="dxa"/>
            <w:vAlign w:val="top"/>
          </w:tcPr>
          <w:p w14:paraId="009CBCFB">
            <w:pPr>
              <w:outlineLvl w:val="9"/>
              <w:rPr>
                <w:rFonts w:ascii="Arial"/>
                <w:color w:val="auto"/>
                <w:sz w:val="21"/>
                <w:highlight w:val="none"/>
              </w:rPr>
            </w:pPr>
          </w:p>
        </w:tc>
        <w:tc>
          <w:tcPr>
            <w:tcW w:w="2565" w:type="dxa"/>
            <w:vAlign w:val="top"/>
          </w:tcPr>
          <w:p w14:paraId="7873CD71">
            <w:pPr>
              <w:outlineLvl w:val="9"/>
              <w:rPr>
                <w:rFonts w:ascii="Arial"/>
                <w:color w:val="auto"/>
                <w:sz w:val="21"/>
                <w:highlight w:val="none"/>
              </w:rPr>
            </w:pPr>
          </w:p>
        </w:tc>
        <w:tc>
          <w:tcPr>
            <w:tcW w:w="1943" w:type="dxa"/>
            <w:vAlign w:val="top"/>
          </w:tcPr>
          <w:p w14:paraId="57446EF4">
            <w:pPr>
              <w:outlineLvl w:val="9"/>
              <w:rPr>
                <w:rFonts w:ascii="Arial"/>
                <w:color w:val="auto"/>
                <w:sz w:val="21"/>
                <w:highlight w:val="none"/>
              </w:rPr>
            </w:pPr>
          </w:p>
        </w:tc>
        <w:tc>
          <w:tcPr>
            <w:tcW w:w="2701" w:type="dxa"/>
            <w:vMerge w:val="restart"/>
            <w:tcBorders>
              <w:bottom w:val="nil"/>
            </w:tcBorders>
            <w:vAlign w:val="top"/>
          </w:tcPr>
          <w:p w14:paraId="2A039F86">
            <w:pPr>
              <w:spacing w:line="241" w:lineRule="auto"/>
              <w:outlineLvl w:val="9"/>
              <w:rPr>
                <w:rFonts w:ascii="Arial"/>
                <w:color w:val="auto"/>
                <w:sz w:val="21"/>
                <w:highlight w:val="none"/>
              </w:rPr>
            </w:pPr>
          </w:p>
          <w:p w14:paraId="74C8CCC3">
            <w:pPr>
              <w:spacing w:line="241" w:lineRule="auto"/>
              <w:outlineLvl w:val="9"/>
              <w:rPr>
                <w:rFonts w:ascii="Arial"/>
                <w:color w:val="auto"/>
                <w:sz w:val="21"/>
                <w:highlight w:val="none"/>
              </w:rPr>
            </w:pPr>
          </w:p>
          <w:p w14:paraId="1ED08148">
            <w:pPr>
              <w:spacing w:line="241" w:lineRule="auto"/>
              <w:outlineLvl w:val="9"/>
              <w:rPr>
                <w:rFonts w:ascii="Arial"/>
                <w:color w:val="auto"/>
                <w:sz w:val="21"/>
                <w:highlight w:val="none"/>
              </w:rPr>
            </w:pPr>
          </w:p>
          <w:p w14:paraId="52C5A99E">
            <w:pPr>
              <w:spacing w:line="241" w:lineRule="auto"/>
              <w:outlineLvl w:val="9"/>
              <w:rPr>
                <w:rFonts w:ascii="Arial"/>
                <w:color w:val="auto"/>
                <w:sz w:val="21"/>
                <w:highlight w:val="none"/>
              </w:rPr>
            </w:pPr>
          </w:p>
          <w:p w14:paraId="3400D93F">
            <w:pPr>
              <w:spacing w:line="241" w:lineRule="auto"/>
              <w:outlineLvl w:val="9"/>
              <w:rPr>
                <w:rFonts w:ascii="Arial"/>
                <w:color w:val="auto"/>
                <w:sz w:val="21"/>
                <w:highlight w:val="none"/>
              </w:rPr>
            </w:pPr>
          </w:p>
          <w:p w14:paraId="7F7A4E80">
            <w:pPr>
              <w:spacing w:line="241" w:lineRule="auto"/>
              <w:outlineLvl w:val="9"/>
              <w:rPr>
                <w:rFonts w:ascii="Arial"/>
                <w:color w:val="auto"/>
                <w:sz w:val="21"/>
                <w:highlight w:val="none"/>
              </w:rPr>
            </w:pPr>
          </w:p>
          <w:p w14:paraId="7471BFD8">
            <w:pPr>
              <w:spacing w:line="241" w:lineRule="auto"/>
              <w:outlineLvl w:val="9"/>
              <w:rPr>
                <w:rFonts w:ascii="Arial"/>
                <w:color w:val="auto"/>
                <w:sz w:val="21"/>
                <w:highlight w:val="none"/>
              </w:rPr>
            </w:pPr>
          </w:p>
          <w:p w14:paraId="6C046940">
            <w:pPr>
              <w:spacing w:line="241" w:lineRule="auto"/>
              <w:outlineLvl w:val="9"/>
              <w:rPr>
                <w:rFonts w:ascii="Arial"/>
                <w:color w:val="auto"/>
                <w:sz w:val="21"/>
                <w:highlight w:val="none"/>
              </w:rPr>
            </w:pPr>
          </w:p>
          <w:p w14:paraId="2D08C2D5">
            <w:pPr>
              <w:spacing w:line="241" w:lineRule="auto"/>
              <w:outlineLvl w:val="9"/>
              <w:rPr>
                <w:rFonts w:ascii="Arial"/>
                <w:color w:val="auto"/>
                <w:sz w:val="21"/>
                <w:highlight w:val="none"/>
              </w:rPr>
            </w:pPr>
          </w:p>
          <w:p w14:paraId="5FB3B364">
            <w:pPr>
              <w:spacing w:line="242" w:lineRule="auto"/>
              <w:outlineLvl w:val="9"/>
              <w:rPr>
                <w:rFonts w:ascii="Arial"/>
                <w:color w:val="auto"/>
                <w:sz w:val="21"/>
                <w:highlight w:val="none"/>
              </w:rPr>
            </w:pPr>
          </w:p>
          <w:p w14:paraId="18A01C00">
            <w:pPr>
              <w:spacing w:line="242" w:lineRule="auto"/>
              <w:outlineLvl w:val="9"/>
              <w:rPr>
                <w:rFonts w:ascii="Arial"/>
                <w:color w:val="auto"/>
                <w:sz w:val="21"/>
                <w:highlight w:val="none"/>
              </w:rPr>
            </w:pPr>
          </w:p>
          <w:p w14:paraId="344A02A7">
            <w:pPr>
              <w:spacing w:line="242" w:lineRule="auto"/>
              <w:outlineLvl w:val="9"/>
              <w:rPr>
                <w:rFonts w:ascii="Arial"/>
                <w:color w:val="auto"/>
                <w:sz w:val="21"/>
                <w:highlight w:val="none"/>
              </w:rPr>
            </w:pPr>
          </w:p>
          <w:p w14:paraId="3B3E57DE">
            <w:pPr>
              <w:spacing w:line="242" w:lineRule="auto"/>
              <w:outlineLvl w:val="9"/>
              <w:rPr>
                <w:rFonts w:ascii="Arial"/>
                <w:color w:val="auto"/>
                <w:sz w:val="21"/>
                <w:highlight w:val="none"/>
              </w:rPr>
            </w:pPr>
          </w:p>
          <w:p w14:paraId="369F0121">
            <w:pPr>
              <w:spacing w:line="242" w:lineRule="auto"/>
              <w:outlineLvl w:val="9"/>
              <w:rPr>
                <w:rFonts w:ascii="Arial"/>
                <w:color w:val="auto"/>
                <w:sz w:val="21"/>
                <w:highlight w:val="none"/>
              </w:rPr>
            </w:pPr>
          </w:p>
          <w:p w14:paraId="71D2B634">
            <w:pPr>
              <w:spacing w:line="242" w:lineRule="auto"/>
              <w:outlineLvl w:val="9"/>
              <w:rPr>
                <w:rFonts w:ascii="Arial"/>
                <w:color w:val="auto"/>
                <w:sz w:val="21"/>
                <w:highlight w:val="none"/>
              </w:rPr>
            </w:pPr>
          </w:p>
          <w:p w14:paraId="74B7ECF8">
            <w:pPr>
              <w:spacing w:line="242" w:lineRule="auto"/>
              <w:outlineLvl w:val="9"/>
              <w:rPr>
                <w:rFonts w:ascii="Arial"/>
                <w:color w:val="auto"/>
                <w:sz w:val="21"/>
                <w:highlight w:val="none"/>
              </w:rPr>
            </w:pPr>
          </w:p>
          <w:p w14:paraId="45866A66">
            <w:pPr>
              <w:spacing w:line="242" w:lineRule="auto"/>
              <w:outlineLvl w:val="9"/>
              <w:rPr>
                <w:rFonts w:ascii="Arial"/>
                <w:color w:val="auto"/>
                <w:sz w:val="21"/>
                <w:highlight w:val="none"/>
              </w:rPr>
            </w:pPr>
          </w:p>
          <w:p w14:paraId="09C06EBC">
            <w:pPr>
              <w:spacing w:line="242" w:lineRule="auto"/>
              <w:outlineLvl w:val="9"/>
              <w:rPr>
                <w:rFonts w:ascii="Arial"/>
                <w:color w:val="auto"/>
                <w:sz w:val="21"/>
                <w:highlight w:val="none"/>
              </w:rPr>
            </w:pPr>
          </w:p>
          <w:p w14:paraId="6880AAC9">
            <w:pPr>
              <w:pStyle w:val="27"/>
              <w:spacing w:before="68" w:line="374" w:lineRule="auto"/>
              <w:ind w:left="115" w:right="115" w:hanging="1"/>
              <w:outlineLvl w:val="9"/>
              <w:rPr>
                <w:rFonts w:ascii="Times New Roman" w:hAnsi="Times New Roman" w:eastAsia="Times New Roman" w:cs="Times New Roman"/>
                <w:color w:val="auto"/>
                <w:highlight w:val="none"/>
              </w:rPr>
            </w:pPr>
            <w:r>
              <w:rPr>
                <w:color w:val="auto"/>
                <w:spacing w:val="-5"/>
                <w:highlight w:val="none"/>
              </w:rPr>
              <w:t>注：若无分包计划，则投标</w:t>
            </w:r>
            <w:r>
              <w:rPr>
                <w:color w:val="auto"/>
                <w:spacing w:val="4"/>
                <w:highlight w:val="none"/>
              </w:rPr>
              <w:t xml:space="preserve"> 人应在本表填写</w:t>
            </w:r>
            <w:r>
              <w:rPr>
                <w:rFonts w:ascii="Times New Roman" w:hAnsi="Times New Roman" w:eastAsia="Times New Roman" w:cs="Times New Roman"/>
                <w:color w:val="auto"/>
                <w:spacing w:val="4"/>
                <w:highlight w:val="none"/>
              </w:rPr>
              <w:t>“</w:t>
            </w:r>
            <w:r>
              <w:rPr>
                <w:color w:val="auto"/>
                <w:spacing w:val="4"/>
                <w:highlight w:val="none"/>
              </w:rPr>
              <w:t>无</w:t>
            </w:r>
            <w:r>
              <w:rPr>
                <w:rFonts w:ascii="Times New Roman" w:hAnsi="Times New Roman" w:eastAsia="Times New Roman" w:cs="Times New Roman"/>
                <w:color w:val="auto"/>
                <w:spacing w:val="4"/>
                <w:highlight w:val="none"/>
              </w:rPr>
              <w:t>”</w:t>
            </w:r>
          </w:p>
        </w:tc>
      </w:tr>
      <w:tr w14:paraId="3C42B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82" w:type="dxa"/>
            <w:vAlign w:val="top"/>
          </w:tcPr>
          <w:p w14:paraId="50C5FF0C">
            <w:pPr>
              <w:outlineLvl w:val="9"/>
              <w:rPr>
                <w:rFonts w:ascii="Arial"/>
                <w:color w:val="auto"/>
                <w:sz w:val="21"/>
                <w:highlight w:val="none"/>
              </w:rPr>
            </w:pPr>
          </w:p>
        </w:tc>
        <w:tc>
          <w:tcPr>
            <w:tcW w:w="2565" w:type="dxa"/>
            <w:vAlign w:val="top"/>
          </w:tcPr>
          <w:p w14:paraId="1DA4FE5F">
            <w:pPr>
              <w:outlineLvl w:val="9"/>
              <w:rPr>
                <w:rFonts w:ascii="Arial"/>
                <w:color w:val="auto"/>
                <w:sz w:val="21"/>
                <w:highlight w:val="none"/>
              </w:rPr>
            </w:pPr>
          </w:p>
        </w:tc>
        <w:tc>
          <w:tcPr>
            <w:tcW w:w="1943" w:type="dxa"/>
            <w:vAlign w:val="top"/>
          </w:tcPr>
          <w:p w14:paraId="0E10FAB5">
            <w:pPr>
              <w:outlineLvl w:val="9"/>
              <w:rPr>
                <w:rFonts w:ascii="Arial"/>
                <w:color w:val="auto"/>
                <w:sz w:val="21"/>
                <w:highlight w:val="none"/>
              </w:rPr>
            </w:pPr>
          </w:p>
        </w:tc>
        <w:tc>
          <w:tcPr>
            <w:tcW w:w="2701" w:type="dxa"/>
            <w:vMerge w:val="continue"/>
            <w:tcBorders>
              <w:top w:val="nil"/>
              <w:bottom w:val="nil"/>
            </w:tcBorders>
            <w:vAlign w:val="top"/>
          </w:tcPr>
          <w:p w14:paraId="3C32CD65">
            <w:pPr>
              <w:outlineLvl w:val="9"/>
              <w:rPr>
                <w:rFonts w:ascii="Arial"/>
                <w:color w:val="auto"/>
                <w:sz w:val="21"/>
                <w:highlight w:val="none"/>
              </w:rPr>
            </w:pPr>
          </w:p>
        </w:tc>
      </w:tr>
      <w:tr w14:paraId="0D0E6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14:paraId="67449EB9">
            <w:pPr>
              <w:outlineLvl w:val="9"/>
              <w:rPr>
                <w:rFonts w:ascii="Arial"/>
                <w:color w:val="auto"/>
                <w:sz w:val="21"/>
                <w:highlight w:val="none"/>
              </w:rPr>
            </w:pPr>
          </w:p>
        </w:tc>
        <w:tc>
          <w:tcPr>
            <w:tcW w:w="2565" w:type="dxa"/>
            <w:vAlign w:val="top"/>
          </w:tcPr>
          <w:p w14:paraId="2FE574A6">
            <w:pPr>
              <w:outlineLvl w:val="9"/>
              <w:rPr>
                <w:rFonts w:ascii="Arial"/>
                <w:color w:val="auto"/>
                <w:sz w:val="21"/>
                <w:highlight w:val="none"/>
              </w:rPr>
            </w:pPr>
          </w:p>
        </w:tc>
        <w:tc>
          <w:tcPr>
            <w:tcW w:w="1943" w:type="dxa"/>
            <w:vAlign w:val="top"/>
          </w:tcPr>
          <w:p w14:paraId="3B74BB5C">
            <w:pPr>
              <w:outlineLvl w:val="9"/>
              <w:rPr>
                <w:rFonts w:ascii="Arial"/>
                <w:color w:val="auto"/>
                <w:sz w:val="21"/>
                <w:highlight w:val="none"/>
              </w:rPr>
            </w:pPr>
          </w:p>
        </w:tc>
        <w:tc>
          <w:tcPr>
            <w:tcW w:w="2701" w:type="dxa"/>
            <w:vMerge w:val="continue"/>
            <w:tcBorders>
              <w:top w:val="nil"/>
              <w:bottom w:val="nil"/>
            </w:tcBorders>
            <w:vAlign w:val="top"/>
          </w:tcPr>
          <w:p w14:paraId="153E8021">
            <w:pPr>
              <w:outlineLvl w:val="9"/>
              <w:rPr>
                <w:rFonts w:ascii="Arial"/>
                <w:color w:val="auto"/>
                <w:sz w:val="21"/>
                <w:highlight w:val="none"/>
              </w:rPr>
            </w:pPr>
          </w:p>
        </w:tc>
      </w:tr>
      <w:tr w14:paraId="4FB4E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82" w:type="dxa"/>
            <w:vAlign w:val="top"/>
          </w:tcPr>
          <w:p w14:paraId="7153580B">
            <w:pPr>
              <w:outlineLvl w:val="9"/>
              <w:rPr>
                <w:rFonts w:ascii="Arial"/>
                <w:color w:val="auto"/>
                <w:sz w:val="21"/>
                <w:highlight w:val="none"/>
              </w:rPr>
            </w:pPr>
          </w:p>
        </w:tc>
        <w:tc>
          <w:tcPr>
            <w:tcW w:w="2565" w:type="dxa"/>
            <w:vAlign w:val="top"/>
          </w:tcPr>
          <w:p w14:paraId="502D9BAB">
            <w:pPr>
              <w:outlineLvl w:val="9"/>
              <w:rPr>
                <w:rFonts w:ascii="Arial"/>
                <w:color w:val="auto"/>
                <w:sz w:val="21"/>
                <w:highlight w:val="none"/>
              </w:rPr>
            </w:pPr>
          </w:p>
        </w:tc>
        <w:tc>
          <w:tcPr>
            <w:tcW w:w="1943" w:type="dxa"/>
            <w:vAlign w:val="top"/>
          </w:tcPr>
          <w:p w14:paraId="4FD55E27">
            <w:pPr>
              <w:outlineLvl w:val="9"/>
              <w:rPr>
                <w:rFonts w:ascii="Arial"/>
                <w:color w:val="auto"/>
                <w:sz w:val="21"/>
                <w:highlight w:val="none"/>
              </w:rPr>
            </w:pPr>
          </w:p>
        </w:tc>
        <w:tc>
          <w:tcPr>
            <w:tcW w:w="2701" w:type="dxa"/>
            <w:vMerge w:val="continue"/>
            <w:tcBorders>
              <w:top w:val="nil"/>
              <w:bottom w:val="nil"/>
            </w:tcBorders>
            <w:vAlign w:val="top"/>
          </w:tcPr>
          <w:p w14:paraId="6463ECC4">
            <w:pPr>
              <w:outlineLvl w:val="9"/>
              <w:rPr>
                <w:rFonts w:ascii="Arial"/>
                <w:color w:val="auto"/>
                <w:sz w:val="21"/>
                <w:highlight w:val="none"/>
              </w:rPr>
            </w:pPr>
          </w:p>
        </w:tc>
      </w:tr>
      <w:tr w14:paraId="235F4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082" w:type="dxa"/>
            <w:vAlign w:val="top"/>
          </w:tcPr>
          <w:p w14:paraId="39ABE1E7">
            <w:pPr>
              <w:outlineLvl w:val="9"/>
              <w:rPr>
                <w:rFonts w:ascii="Arial"/>
                <w:color w:val="auto"/>
                <w:sz w:val="21"/>
                <w:highlight w:val="none"/>
              </w:rPr>
            </w:pPr>
          </w:p>
        </w:tc>
        <w:tc>
          <w:tcPr>
            <w:tcW w:w="2565" w:type="dxa"/>
            <w:vAlign w:val="top"/>
          </w:tcPr>
          <w:p w14:paraId="0499EEFC">
            <w:pPr>
              <w:outlineLvl w:val="9"/>
              <w:rPr>
                <w:rFonts w:ascii="Arial"/>
                <w:color w:val="auto"/>
                <w:sz w:val="21"/>
                <w:highlight w:val="none"/>
              </w:rPr>
            </w:pPr>
          </w:p>
        </w:tc>
        <w:tc>
          <w:tcPr>
            <w:tcW w:w="1943" w:type="dxa"/>
            <w:vAlign w:val="top"/>
          </w:tcPr>
          <w:p w14:paraId="725FF599">
            <w:pPr>
              <w:outlineLvl w:val="9"/>
              <w:rPr>
                <w:rFonts w:ascii="Arial"/>
                <w:color w:val="auto"/>
                <w:sz w:val="21"/>
                <w:highlight w:val="none"/>
              </w:rPr>
            </w:pPr>
          </w:p>
        </w:tc>
        <w:tc>
          <w:tcPr>
            <w:tcW w:w="2701" w:type="dxa"/>
            <w:vMerge w:val="continue"/>
            <w:tcBorders>
              <w:top w:val="nil"/>
              <w:bottom w:val="nil"/>
            </w:tcBorders>
            <w:vAlign w:val="top"/>
          </w:tcPr>
          <w:p w14:paraId="21FC6712">
            <w:pPr>
              <w:outlineLvl w:val="9"/>
              <w:rPr>
                <w:rFonts w:ascii="Arial"/>
                <w:color w:val="auto"/>
                <w:sz w:val="21"/>
                <w:highlight w:val="none"/>
              </w:rPr>
            </w:pPr>
          </w:p>
        </w:tc>
      </w:tr>
      <w:tr w14:paraId="682D7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05937F68">
            <w:pPr>
              <w:outlineLvl w:val="9"/>
              <w:rPr>
                <w:rFonts w:ascii="Arial"/>
                <w:color w:val="auto"/>
                <w:sz w:val="21"/>
                <w:highlight w:val="none"/>
              </w:rPr>
            </w:pPr>
          </w:p>
        </w:tc>
        <w:tc>
          <w:tcPr>
            <w:tcW w:w="2565" w:type="dxa"/>
            <w:vAlign w:val="top"/>
          </w:tcPr>
          <w:p w14:paraId="4C41460C">
            <w:pPr>
              <w:outlineLvl w:val="9"/>
              <w:rPr>
                <w:rFonts w:ascii="Arial"/>
                <w:color w:val="auto"/>
                <w:sz w:val="21"/>
                <w:highlight w:val="none"/>
              </w:rPr>
            </w:pPr>
          </w:p>
        </w:tc>
        <w:tc>
          <w:tcPr>
            <w:tcW w:w="1943" w:type="dxa"/>
            <w:vAlign w:val="top"/>
          </w:tcPr>
          <w:p w14:paraId="379C29E1">
            <w:pPr>
              <w:outlineLvl w:val="9"/>
              <w:rPr>
                <w:rFonts w:ascii="Arial"/>
                <w:color w:val="auto"/>
                <w:sz w:val="21"/>
                <w:highlight w:val="none"/>
              </w:rPr>
            </w:pPr>
          </w:p>
        </w:tc>
        <w:tc>
          <w:tcPr>
            <w:tcW w:w="2701" w:type="dxa"/>
            <w:vMerge w:val="continue"/>
            <w:tcBorders>
              <w:top w:val="nil"/>
              <w:bottom w:val="nil"/>
            </w:tcBorders>
            <w:vAlign w:val="top"/>
          </w:tcPr>
          <w:p w14:paraId="142401E4">
            <w:pPr>
              <w:outlineLvl w:val="9"/>
              <w:rPr>
                <w:rFonts w:ascii="Arial"/>
                <w:color w:val="auto"/>
                <w:sz w:val="21"/>
                <w:highlight w:val="none"/>
              </w:rPr>
            </w:pPr>
          </w:p>
        </w:tc>
      </w:tr>
      <w:tr w14:paraId="3A28F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302C3DC3">
            <w:pPr>
              <w:outlineLvl w:val="9"/>
              <w:rPr>
                <w:rFonts w:ascii="Arial"/>
                <w:color w:val="auto"/>
                <w:sz w:val="21"/>
                <w:highlight w:val="none"/>
              </w:rPr>
            </w:pPr>
          </w:p>
        </w:tc>
        <w:tc>
          <w:tcPr>
            <w:tcW w:w="2565" w:type="dxa"/>
            <w:vAlign w:val="top"/>
          </w:tcPr>
          <w:p w14:paraId="365C1EA5">
            <w:pPr>
              <w:outlineLvl w:val="9"/>
              <w:rPr>
                <w:rFonts w:ascii="Arial"/>
                <w:color w:val="auto"/>
                <w:sz w:val="21"/>
                <w:highlight w:val="none"/>
              </w:rPr>
            </w:pPr>
          </w:p>
        </w:tc>
        <w:tc>
          <w:tcPr>
            <w:tcW w:w="1943" w:type="dxa"/>
            <w:vAlign w:val="top"/>
          </w:tcPr>
          <w:p w14:paraId="163981E7">
            <w:pPr>
              <w:outlineLvl w:val="9"/>
              <w:rPr>
                <w:rFonts w:ascii="Arial"/>
                <w:color w:val="auto"/>
                <w:sz w:val="21"/>
                <w:highlight w:val="none"/>
              </w:rPr>
            </w:pPr>
          </w:p>
        </w:tc>
        <w:tc>
          <w:tcPr>
            <w:tcW w:w="2701" w:type="dxa"/>
            <w:vMerge w:val="continue"/>
            <w:tcBorders>
              <w:top w:val="nil"/>
              <w:bottom w:val="nil"/>
            </w:tcBorders>
            <w:vAlign w:val="top"/>
          </w:tcPr>
          <w:p w14:paraId="18142760">
            <w:pPr>
              <w:outlineLvl w:val="9"/>
              <w:rPr>
                <w:rFonts w:ascii="Arial"/>
                <w:color w:val="auto"/>
                <w:sz w:val="21"/>
                <w:highlight w:val="none"/>
              </w:rPr>
            </w:pPr>
          </w:p>
        </w:tc>
      </w:tr>
      <w:tr w14:paraId="16916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4B0F707C">
            <w:pPr>
              <w:outlineLvl w:val="9"/>
              <w:rPr>
                <w:rFonts w:ascii="Arial"/>
                <w:color w:val="auto"/>
                <w:sz w:val="21"/>
                <w:highlight w:val="none"/>
              </w:rPr>
            </w:pPr>
          </w:p>
        </w:tc>
        <w:tc>
          <w:tcPr>
            <w:tcW w:w="2565" w:type="dxa"/>
            <w:vAlign w:val="top"/>
          </w:tcPr>
          <w:p w14:paraId="203BC104">
            <w:pPr>
              <w:outlineLvl w:val="9"/>
              <w:rPr>
                <w:rFonts w:ascii="Arial"/>
                <w:color w:val="auto"/>
                <w:sz w:val="21"/>
                <w:highlight w:val="none"/>
              </w:rPr>
            </w:pPr>
          </w:p>
        </w:tc>
        <w:tc>
          <w:tcPr>
            <w:tcW w:w="1943" w:type="dxa"/>
            <w:vAlign w:val="top"/>
          </w:tcPr>
          <w:p w14:paraId="0A50C33D">
            <w:pPr>
              <w:outlineLvl w:val="9"/>
              <w:rPr>
                <w:rFonts w:ascii="Arial"/>
                <w:color w:val="auto"/>
                <w:sz w:val="21"/>
                <w:highlight w:val="none"/>
              </w:rPr>
            </w:pPr>
          </w:p>
        </w:tc>
        <w:tc>
          <w:tcPr>
            <w:tcW w:w="2701" w:type="dxa"/>
            <w:vMerge w:val="continue"/>
            <w:tcBorders>
              <w:top w:val="nil"/>
              <w:bottom w:val="nil"/>
            </w:tcBorders>
            <w:vAlign w:val="top"/>
          </w:tcPr>
          <w:p w14:paraId="678F4BCA">
            <w:pPr>
              <w:outlineLvl w:val="9"/>
              <w:rPr>
                <w:rFonts w:ascii="Arial"/>
                <w:color w:val="auto"/>
                <w:sz w:val="21"/>
                <w:highlight w:val="none"/>
              </w:rPr>
            </w:pPr>
          </w:p>
        </w:tc>
      </w:tr>
      <w:tr w14:paraId="287AE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04EDF357">
            <w:pPr>
              <w:outlineLvl w:val="9"/>
              <w:rPr>
                <w:rFonts w:ascii="Arial"/>
                <w:color w:val="auto"/>
                <w:sz w:val="21"/>
                <w:highlight w:val="none"/>
              </w:rPr>
            </w:pPr>
          </w:p>
        </w:tc>
        <w:tc>
          <w:tcPr>
            <w:tcW w:w="2565" w:type="dxa"/>
            <w:vAlign w:val="top"/>
          </w:tcPr>
          <w:p w14:paraId="651504CD">
            <w:pPr>
              <w:outlineLvl w:val="9"/>
              <w:rPr>
                <w:rFonts w:ascii="Arial"/>
                <w:color w:val="auto"/>
                <w:sz w:val="21"/>
                <w:highlight w:val="none"/>
              </w:rPr>
            </w:pPr>
          </w:p>
        </w:tc>
        <w:tc>
          <w:tcPr>
            <w:tcW w:w="1943" w:type="dxa"/>
            <w:vAlign w:val="top"/>
          </w:tcPr>
          <w:p w14:paraId="049E23B5">
            <w:pPr>
              <w:outlineLvl w:val="9"/>
              <w:rPr>
                <w:rFonts w:ascii="Arial"/>
                <w:color w:val="auto"/>
                <w:sz w:val="21"/>
                <w:highlight w:val="none"/>
              </w:rPr>
            </w:pPr>
          </w:p>
        </w:tc>
        <w:tc>
          <w:tcPr>
            <w:tcW w:w="2701" w:type="dxa"/>
            <w:vMerge w:val="continue"/>
            <w:tcBorders>
              <w:top w:val="nil"/>
              <w:bottom w:val="nil"/>
            </w:tcBorders>
            <w:vAlign w:val="top"/>
          </w:tcPr>
          <w:p w14:paraId="34E2D9E7">
            <w:pPr>
              <w:outlineLvl w:val="9"/>
              <w:rPr>
                <w:rFonts w:ascii="Arial"/>
                <w:color w:val="auto"/>
                <w:sz w:val="21"/>
                <w:highlight w:val="none"/>
              </w:rPr>
            </w:pPr>
          </w:p>
        </w:tc>
      </w:tr>
      <w:tr w14:paraId="7B5E4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7FF5A1BC">
            <w:pPr>
              <w:outlineLvl w:val="9"/>
              <w:rPr>
                <w:rFonts w:ascii="Arial"/>
                <w:color w:val="auto"/>
                <w:sz w:val="21"/>
                <w:highlight w:val="none"/>
              </w:rPr>
            </w:pPr>
          </w:p>
        </w:tc>
        <w:tc>
          <w:tcPr>
            <w:tcW w:w="2565" w:type="dxa"/>
            <w:vAlign w:val="top"/>
          </w:tcPr>
          <w:p w14:paraId="69830D7A">
            <w:pPr>
              <w:outlineLvl w:val="9"/>
              <w:rPr>
                <w:rFonts w:ascii="Arial"/>
                <w:color w:val="auto"/>
                <w:sz w:val="21"/>
                <w:highlight w:val="none"/>
              </w:rPr>
            </w:pPr>
          </w:p>
        </w:tc>
        <w:tc>
          <w:tcPr>
            <w:tcW w:w="1943" w:type="dxa"/>
            <w:vAlign w:val="top"/>
          </w:tcPr>
          <w:p w14:paraId="03F38C18">
            <w:pPr>
              <w:outlineLvl w:val="9"/>
              <w:rPr>
                <w:rFonts w:ascii="Arial"/>
                <w:color w:val="auto"/>
                <w:sz w:val="21"/>
                <w:highlight w:val="none"/>
              </w:rPr>
            </w:pPr>
          </w:p>
        </w:tc>
        <w:tc>
          <w:tcPr>
            <w:tcW w:w="2701" w:type="dxa"/>
            <w:vMerge w:val="continue"/>
            <w:tcBorders>
              <w:top w:val="nil"/>
              <w:bottom w:val="nil"/>
            </w:tcBorders>
            <w:vAlign w:val="top"/>
          </w:tcPr>
          <w:p w14:paraId="2A0A5F77">
            <w:pPr>
              <w:outlineLvl w:val="9"/>
              <w:rPr>
                <w:rFonts w:ascii="Arial"/>
                <w:color w:val="auto"/>
                <w:sz w:val="21"/>
                <w:highlight w:val="none"/>
              </w:rPr>
            </w:pPr>
          </w:p>
        </w:tc>
      </w:tr>
      <w:tr w14:paraId="3A67A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7B6D70CC">
            <w:pPr>
              <w:outlineLvl w:val="9"/>
              <w:rPr>
                <w:rFonts w:ascii="Arial"/>
                <w:color w:val="auto"/>
                <w:sz w:val="21"/>
                <w:highlight w:val="none"/>
              </w:rPr>
            </w:pPr>
          </w:p>
        </w:tc>
        <w:tc>
          <w:tcPr>
            <w:tcW w:w="2565" w:type="dxa"/>
            <w:vAlign w:val="top"/>
          </w:tcPr>
          <w:p w14:paraId="55DA0D6B">
            <w:pPr>
              <w:outlineLvl w:val="9"/>
              <w:rPr>
                <w:rFonts w:ascii="Arial"/>
                <w:color w:val="auto"/>
                <w:sz w:val="21"/>
                <w:highlight w:val="none"/>
              </w:rPr>
            </w:pPr>
          </w:p>
        </w:tc>
        <w:tc>
          <w:tcPr>
            <w:tcW w:w="1943" w:type="dxa"/>
            <w:vAlign w:val="top"/>
          </w:tcPr>
          <w:p w14:paraId="23BAFDB9">
            <w:pPr>
              <w:outlineLvl w:val="9"/>
              <w:rPr>
                <w:rFonts w:ascii="Arial"/>
                <w:color w:val="auto"/>
                <w:sz w:val="21"/>
                <w:highlight w:val="none"/>
              </w:rPr>
            </w:pPr>
          </w:p>
        </w:tc>
        <w:tc>
          <w:tcPr>
            <w:tcW w:w="2701" w:type="dxa"/>
            <w:vMerge w:val="continue"/>
            <w:tcBorders>
              <w:top w:val="nil"/>
              <w:bottom w:val="nil"/>
            </w:tcBorders>
            <w:vAlign w:val="top"/>
          </w:tcPr>
          <w:p w14:paraId="15B9B8D0">
            <w:pPr>
              <w:outlineLvl w:val="9"/>
              <w:rPr>
                <w:rFonts w:ascii="Arial"/>
                <w:color w:val="auto"/>
                <w:sz w:val="21"/>
                <w:highlight w:val="none"/>
              </w:rPr>
            </w:pPr>
          </w:p>
        </w:tc>
      </w:tr>
      <w:tr w14:paraId="0BEDC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19949A52">
            <w:pPr>
              <w:outlineLvl w:val="9"/>
              <w:rPr>
                <w:rFonts w:ascii="Arial"/>
                <w:color w:val="auto"/>
                <w:sz w:val="21"/>
                <w:highlight w:val="none"/>
              </w:rPr>
            </w:pPr>
          </w:p>
        </w:tc>
        <w:tc>
          <w:tcPr>
            <w:tcW w:w="2565" w:type="dxa"/>
            <w:vAlign w:val="top"/>
          </w:tcPr>
          <w:p w14:paraId="4AB6EC9E">
            <w:pPr>
              <w:outlineLvl w:val="9"/>
              <w:rPr>
                <w:rFonts w:ascii="Arial"/>
                <w:color w:val="auto"/>
                <w:sz w:val="21"/>
                <w:highlight w:val="none"/>
              </w:rPr>
            </w:pPr>
          </w:p>
        </w:tc>
        <w:tc>
          <w:tcPr>
            <w:tcW w:w="1943" w:type="dxa"/>
            <w:vAlign w:val="top"/>
          </w:tcPr>
          <w:p w14:paraId="657C278A">
            <w:pPr>
              <w:outlineLvl w:val="9"/>
              <w:rPr>
                <w:rFonts w:ascii="Arial"/>
                <w:color w:val="auto"/>
                <w:sz w:val="21"/>
                <w:highlight w:val="none"/>
              </w:rPr>
            </w:pPr>
          </w:p>
        </w:tc>
        <w:tc>
          <w:tcPr>
            <w:tcW w:w="2701" w:type="dxa"/>
            <w:vMerge w:val="continue"/>
            <w:tcBorders>
              <w:top w:val="nil"/>
              <w:bottom w:val="nil"/>
            </w:tcBorders>
            <w:vAlign w:val="top"/>
          </w:tcPr>
          <w:p w14:paraId="682ABCB6">
            <w:pPr>
              <w:outlineLvl w:val="9"/>
              <w:rPr>
                <w:rFonts w:ascii="Arial"/>
                <w:color w:val="auto"/>
                <w:sz w:val="21"/>
                <w:highlight w:val="none"/>
              </w:rPr>
            </w:pPr>
          </w:p>
        </w:tc>
      </w:tr>
      <w:tr w14:paraId="23D96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5EA10992">
            <w:pPr>
              <w:outlineLvl w:val="9"/>
              <w:rPr>
                <w:rFonts w:ascii="Arial"/>
                <w:color w:val="auto"/>
                <w:sz w:val="21"/>
                <w:highlight w:val="none"/>
              </w:rPr>
            </w:pPr>
          </w:p>
        </w:tc>
        <w:tc>
          <w:tcPr>
            <w:tcW w:w="2565" w:type="dxa"/>
            <w:vAlign w:val="top"/>
          </w:tcPr>
          <w:p w14:paraId="3CD16A56">
            <w:pPr>
              <w:outlineLvl w:val="9"/>
              <w:rPr>
                <w:rFonts w:ascii="Arial"/>
                <w:color w:val="auto"/>
                <w:sz w:val="21"/>
                <w:highlight w:val="none"/>
              </w:rPr>
            </w:pPr>
          </w:p>
        </w:tc>
        <w:tc>
          <w:tcPr>
            <w:tcW w:w="1943" w:type="dxa"/>
            <w:vAlign w:val="top"/>
          </w:tcPr>
          <w:p w14:paraId="32F3809F">
            <w:pPr>
              <w:outlineLvl w:val="9"/>
              <w:rPr>
                <w:rFonts w:ascii="Arial"/>
                <w:color w:val="auto"/>
                <w:sz w:val="21"/>
                <w:highlight w:val="none"/>
              </w:rPr>
            </w:pPr>
          </w:p>
        </w:tc>
        <w:tc>
          <w:tcPr>
            <w:tcW w:w="2701" w:type="dxa"/>
            <w:vMerge w:val="continue"/>
            <w:tcBorders>
              <w:top w:val="nil"/>
              <w:bottom w:val="nil"/>
            </w:tcBorders>
            <w:vAlign w:val="top"/>
          </w:tcPr>
          <w:p w14:paraId="50BDEBAA">
            <w:pPr>
              <w:outlineLvl w:val="9"/>
              <w:rPr>
                <w:rFonts w:ascii="Arial"/>
                <w:color w:val="auto"/>
                <w:sz w:val="21"/>
                <w:highlight w:val="none"/>
              </w:rPr>
            </w:pPr>
          </w:p>
        </w:tc>
      </w:tr>
      <w:tr w14:paraId="4CC9D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14:paraId="528D32A0">
            <w:pPr>
              <w:outlineLvl w:val="9"/>
              <w:rPr>
                <w:rFonts w:ascii="Arial"/>
                <w:color w:val="auto"/>
                <w:sz w:val="21"/>
                <w:highlight w:val="none"/>
              </w:rPr>
            </w:pPr>
          </w:p>
        </w:tc>
        <w:tc>
          <w:tcPr>
            <w:tcW w:w="2565" w:type="dxa"/>
            <w:vAlign w:val="top"/>
          </w:tcPr>
          <w:p w14:paraId="0F9CE1BC">
            <w:pPr>
              <w:outlineLvl w:val="9"/>
              <w:rPr>
                <w:rFonts w:ascii="Arial"/>
                <w:color w:val="auto"/>
                <w:sz w:val="21"/>
                <w:highlight w:val="none"/>
              </w:rPr>
            </w:pPr>
          </w:p>
        </w:tc>
        <w:tc>
          <w:tcPr>
            <w:tcW w:w="1943" w:type="dxa"/>
            <w:vAlign w:val="top"/>
          </w:tcPr>
          <w:p w14:paraId="068850A5">
            <w:pPr>
              <w:outlineLvl w:val="9"/>
              <w:rPr>
                <w:rFonts w:ascii="Arial"/>
                <w:color w:val="auto"/>
                <w:sz w:val="21"/>
                <w:highlight w:val="none"/>
              </w:rPr>
            </w:pPr>
          </w:p>
        </w:tc>
        <w:tc>
          <w:tcPr>
            <w:tcW w:w="2701" w:type="dxa"/>
            <w:vMerge w:val="continue"/>
            <w:tcBorders>
              <w:top w:val="nil"/>
              <w:bottom w:val="nil"/>
            </w:tcBorders>
            <w:vAlign w:val="top"/>
          </w:tcPr>
          <w:p w14:paraId="5B6B4C71">
            <w:pPr>
              <w:outlineLvl w:val="9"/>
              <w:rPr>
                <w:rFonts w:ascii="Arial"/>
                <w:color w:val="auto"/>
                <w:sz w:val="21"/>
                <w:highlight w:val="none"/>
              </w:rPr>
            </w:pPr>
          </w:p>
        </w:tc>
      </w:tr>
      <w:tr w14:paraId="4FB9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14:paraId="13BDB353">
            <w:pPr>
              <w:outlineLvl w:val="9"/>
              <w:rPr>
                <w:rFonts w:ascii="Arial"/>
                <w:color w:val="auto"/>
                <w:sz w:val="21"/>
                <w:highlight w:val="none"/>
              </w:rPr>
            </w:pPr>
          </w:p>
        </w:tc>
        <w:tc>
          <w:tcPr>
            <w:tcW w:w="2565" w:type="dxa"/>
            <w:vAlign w:val="top"/>
          </w:tcPr>
          <w:p w14:paraId="669CF8D8">
            <w:pPr>
              <w:outlineLvl w:val="9"/>
              <w:rPr>
                <w:rFonts w:ascii="Arial"/>
                <w:color w:val="auto"/>
                <w:sz w:val="21"/>
                <w:highlight w:val="none"/>
              </w:rPr>
            </w:pPr>
          </w:p>
        </w:tc>
        <w:tc>
          <w:tcPr>
            <w:tcW w:w="1943" w:type="dxa"/>
            <w:vAlign w:val="top"/>
          </w:tcPr>
          <w:p w14:paraId="77E67CB4">
            <w:pPr>
              <w:outlineLvl w:val="9"/>
              <w:rPr>
                <w:rFonts w:ascii="Arial"/>
                <w:color w:val="auto"/>
                <w:sz w:val="21"/>
                <w:highlight w:val="none"/>
              </w:rPr>
            </w:pPr>
          </w:p>
        </w:tc>
        <w:tc>
          <w:tcPr>
            <w:tcW w:w="2701" w:type="dxa"/>
            <w:vMerge w:val="continue"/>
            <w:tcBorders>
              <w:top w:val="nil"/>
              <w:bottom w:val="nil"/>
            </w:tcBorders>
            <w:vAlign w:val="top"/>
          </w:tcPr>
          <w:p w14:paraId="67BDCC39">
            <w:pPr>
              <w:outlineLvl w:val="9"/>
              <w:rPr>
                <w:rFonts w:ascii="Arial"/>
                <w:color w:val="auto"/>
                <w:sz w:val="21"/>
                <w:highlight w:val="none"/>
              </w:rPr>
            </w:pPr>
          </w:p>
        </w:tc>
      </w:tr>
      <w:tr w14:paraId="64C94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12BECE20">
            <w:pPr>
              <w:outlineLvl w:val="9"/>
              <w:rPr>
                <w:rFonts w:ascii="Arial"/>
                <w:color w:val="auto"/>
                <w:sz w:val="21"/>
                <w:highlight w:val="none"/>
              </w:rPr>
            </w:pPr>
          </w:p>
        </w:tc>
        <w:tc>
          <w:tcPr>
            <w:tcW w:w="2565" w:type="dxa"/>
            <w:vAlign w:val="top"/>
          </w:tcPr>
          <w:p w14:paraId="17EA9726">
            <w:pPr>
              <w:outlineLvl w:val="9"/>
              <w:rPr>
                <w:rFonts w:ascii="Arial"/>
                <w:color w:val="auto"/>
                <w:sz w:val="21"/>
                <w:highlight w:val="none"/>
              </w:rPr>
            </w:pPr>
          </w:p>
        </w:tc>
        <w:tc>
          <w:tcPr>
            <w:tcW w:w="1943" w:type="dxa"/>
            <w:vAlign w:val="top"/>
          </w:tcPr>
          <w:p w14:paraId="5C2DB123">
            <w:pPr>
              <w:outlineLvl w:val="9"/>
              <w:rPr>
                <w:rFonts w:ascii="Arial"/>
                <w:color w:val="auto"/>
                <w:sz w:val="21"/>
                <w:highlight w:val="none"/>
              </w:rPr>
            </w:pPr>
          </w:p>
        </w:tc>
        <w:tc>
          <w:tcPr>
            <w:tcW w:w="2701" w:type="dxa"/>
            <w:vMerge w:val="continue"/>
            <w:tcBorders>
              <w:top w:val="nil"/>
              <w:bottom w:val="nil"/>
            </w:tcBorders>
            <w:vAlign w:val="top"/>
          </w:tcPr>
          <w:p w14:paraId="2F4D39C5">
            <w:pPr>
              <w:outlineLvl w:val="9"/>
              <w:rPr>
                <w:rFonts w:ascii="Arial"/>
                <w:color w:val="auto"/>
                <w:sz w:val="21"/>
                <w:highlight w:val="none"/>
              </w:rPr>
            </w:pPr>
          </w:p>
        </w:tc>
      </w:tr>
      <w:tr w14:paraId="67E65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14:paraId="43C2CE23">
            <w:pPr>
              <w:outlineLvl w:val="9"/>
              <w:rPr>
                <w:rFonts w:ascii="Arial"/>
                <w:color w:val="auto"/>
                <w:sz w:val="21"/>
                <w:highlight w:val="none"/>
              </w:rPr>
            </w:pPr>
          </w:p>
        </w:tc>
        <w:tc>
          <w:tcPr>
            <w:tcW w:w="2565" w:type="dxa"/>
            <w:vAlign w:val="top"/>
          </w:tcPr>
          <w:p w14:paraId="7D2E7308">
            <w:pPr>
              <w:outlineLvl w:val="9"/>
              <w:rPr>
                <w:rFonts w:ascii="Arial"/>
                <w:color w:val="auto"/>
                <w:sz w:val="21"/>
                <w:highlight w:val="none"/>
              </w:rPr>
            </w:pPr>
          </w:p>
        </w:tc>
        <w:tc>
          <w:tcPr>
            <w:tcW w:w="1943" w:type="dxa"/>
            <w:vAlign w:val="top"/>
          </w:tcPr>
          <w:p w14:paraId="10ED56B4">
            <w:pPr>
              <w:outlineLvl w:val="9"/>
              <w:rPr>
                <w:rFonts w:ascii="Arial"/>
                <w:color w:val="auto"/>
                <w:sz w:val="21"/>
                <w:highlight w:val="none"/>
              </w:rPr>
            </w:pPr>
          </w:p>
        </w:tc>
        <w:tc>
          <w:tcPr>
            <w:tcW w:w="2701" w:type="dxa"/>
            <w:vMerge w:val="continue"/>
            <w:tcBorders>
              <w:top w:val="nil"/>
              <w:bottom w:val="nil"/>
            </w:tcBorders>
            <w:vAlign w:val="top"/>
          </w:tcPr>
          <w:p w14:paraId="71FC9918">
            <w:pPr>
              <w:outlineLvl w:val="9"/>
              <w:rPr>
                <w:rFonts w:ascii="Arial"/>
                <w:color w:val="auto"/>
                <w:sz w:val="21"/>
                <w:highlight w:val="none"/>
              </w:rPr>
            </w:pPr>
          </w:p>
        </w:tc>
      </w:tr>
      <w:tr w14:paraId="2FEED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14:paraId="1622FA65">
            <w:pPr>
              <w:outlineLvl w:val="9"/>
              <w:rPr>
                <w:rFonts w:ascii="Arial"/>
                <w:color w:val="auto"/>
                <w:sz w:val="21"/>
                <w:highlight w:val="none"/>
              </w:rPr>
            </w:pPr>
          </w:p>
        </w:tc>
        <w:tc>
          <w:tcPr>
            <w:tcW w:w="2565" w:type="dxa"/>
            <w:vAlign w:val="top"/>
          </w:tcPr>
          <w:p w14:paraId="0228B076">
            <w:pPr>
              <w:outlineLvl w:val="9"/>
              <w:rPr>
                <w:rFonts w:ascii="Arial"/>
                <w:color w:val="auto"/>
                <w:sz w:val="21"/>
                <w:highlight w:val="none"/>
              </w:rPr>
            </w:pPr>
          </w:p>
        </w:tc>
        <w:tc>
          <w:tcPr>
            <w:tcW w:w="1943" w:type="dxa"/>
            <w:vAlign w:val="top"/>
          </w:tcPr>
          <w:p w14:paraId="4A604854">
            <w:pPr>
              <w:outlineLvl w:val="9"/>
              <w:rPr>
                <w:rFonts w:ascii="Arial"/>
                <w:color w:val="auto"/>
                <w:sz w:val="21"/>
                <w:highlight w:val="none"/>
              </w:rPr>
            </w:pPr>
          </w:p>
        </w:tc>
        <w:tc>
          <w:tcPr>
            <w:tcW w:w="2701" w:type="dxa"/>
            <w:vMerge w:val="continue"/>
            <w:tcBorders>
              <w:top w:val="nil"/>
              <w:bottom w:val="nil"/>
            </w:tcBorders>
            <w:vAlign w:val="top"/>
          </w:tcPr>
          <w:p w14:paraId="67FEA812">
            <w:pPr>
              <w:outlineLvl w:val="9"/>
              <w:rPr>
                <w:rFonts w:ascii="Arial"/>
                <w:color w:val="auto"/>
                <w:sz w:val="21"/>
                <w:highlight w:val="none"/>
              </w:rPr>
            </w:pPr>
          </w:p>
        </w:tc>
      </w:tr>
      <w:tr w14:paraId="46F49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14:paraId="151A4967">
            <w:pPr>
              <w:outlineLvl w:val="9"/>
              <w:rPr>
                <w:rFonts w:ascii="Arial"/>
                <w:color w:val="auto"/>
                <w:sz w:val="21"/>
                <w:highlight w:val="none"/>
              </w:rPr>
            </w:pPr>
          </w:p>
        </w:tc>
        <w:tc>
          <w:tcPr>
            <w:tcW w:w="2565" w:type="dxa"/>
            <w:vAlign w:val="top"/>
          </w:tcPr>
          <w:p w14:paraId="6338B122">
            <w:pPr>
              <w:outlineLvl w:val="9"/>
              <w:rPr>
                <w:rFonts w:ascii="Arial"/>
                <w:color w:val="auto"/>
                <w:sz w:val="21"/>
                <w:highlight w:val="none"/>
              </w:rPr>
            </w:pPr>
          </w:p>
        </w:tc>
        <w:tc>
          <w:tcPr>
            <w:tcW w:w="1943" w:type="dxa"/>
            <w:vAlign w:val="top"/>
          </w:tcPr>
          <w:p w14:paraId="03937A35">
            <w:pPr>
              <w:outlineLvl w:val="9"/>
              <w:rPr>
                <w:rFonts w:ascii="Arial"/>
                <w:color w:val="auto"/>
                <w:sz w:val="21"/>
                <w:highlight w:val="none"/>
              </w:rPr>
            </w:pPr>
          </w:p>
        </w:tc>
        <w:tc>
          <w:tcPr>
            <w:tcW w:w="2701" w:type="dxa"/>
            <w:vMerge w:val="continue"/>
            <w:tcBorders>
              <w:top w:val="nil"/>
              <w:bottom w:val="nil"/>
            </w:tcBorders>
            <w:vAlign w:val="top"/>
          </w:tcPr>
          <w:p w14:paraId="31D2E553">
            <w:pPr>
              <w:outlineLvl w:val="9"/>
              <w:rPr>
                <w:rFonts w:ascii="Arial"/>
                <w:color w:val="auto"/>
                <w:sz w:val="21"/>
                <w:highlight w:val="none"/>
              </w:rPr>
            </w:pPr>
          </w:p>
        </w:tc>
      </w:tr>
      <w:tr w14:paraId="0E5F0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47" w:type="dxa"/>
            <w:gridSpan w:val="2"/>
            <w:vAlign w:val="top"/>
          </w:tcPr>
          <w:p w14:paraId="300C4DE5">
            <w:pPr>
              <w:pStyle w:val="27"/>
              <w:spacing w:before="183" w:line="219" w:lineRule="auto"/>
              <w:ind w:left="963"/>
              <w:outlineLvl w:val="9"/>
              <w:rPr>
                <w:color w:val="auto"/>
                <w:highlight w:val="none"/>
              </w:rPr>
            </w:pPr>
            <w:r>
              <w:rPr>
                <w:color w:val="auto"/>
                <w:spacing w:val="-2"/>
                <w:highlight w:val="none"/>
              </w:rPr>
              <w:t>拟分包工程造价合计（万元）</w:t>
            </w:r>
          </w:p>
        </w:tc>
        <w:tc>
          <w:tcPr>
            <w:tcW w:w="1943" w:type="dxa"/>
            <w:vAlign w:val="top"/>
          </w:tcPr>
          <w:p w14:paraId="726FC816">
            <w:pPr>
              <w:outlineLvl w:val="9"/>
              <w:rPr>
                <w:rFonts w:ascii="Arial"/>
                <w:color w:val="auto"/>
                <w:sz w:val="21"/>
                <w:highlight w:val="none"/>
              </w:rPr>
            </w:pPr>
          </w:p>
        </w:tc>
        <w:tc>
          <w:tcPr>
            <w:tcW w:w="2701" w:type="dxa"/>
            <w:vMerge w:val="continue"/>
            <w:tcBorders>
              <w:top w:val="nil"/>
            </w:tcBorders>
            <w:vAlign w:val="top"/>
          </w:tcPr>
          <w:p w14:paraId="78590643">
            <w:pPr>
              <w:outlineLvl w:val="9"/>
              <w:rPr>
                <w:rFonts w:ascii="Arial"/>
                <w:color w:val="auto"/>
                <w:sz w:val="21"/>
                <w:highlight w:val="none"/>
              </w:rPr>
            </w:pPr>
          </w:p>
        </w:tc>
      </w:tr>
    </w:tbl>
    <w:p w14:paraId="02A61EFB">
      <w:pPr>
        <w:outlineLvl w:val="9"/>
        <w:rPr>
          <w:rFonts w:ascii="Arial"/>
          <w:color w:val="auto"/>
          <w:sz w:val="21"/>
          <w:highlight w:val="none"/>
        </w:rPr>
      </w:pPr>
    </w:p>
    <w:p w14:paraId="27330AC3">
      <w:pPr>
        <w:spacing w:before="64" w:line="224" w:lineRule="auto"/>
        <w:ind w:left="3668"/>
        <w:outlineLvl w:val="9"/>
        <w:rPr>
          <w:rFonts w:ascii="宋体" w:hAnsi="宋体" w:eastAsia="宋体" w:cs="宋体"/>
          <w:b/>
          <w:bCs/>
          <w:color w:val="auto"/>
          <w:spacing w:val="5"/>
          <w:sz w:val="31"/>
          <w:szCs w:val="31"/>
          <w:highlight w:val="none"/>
        </w:rPr>
      </w:pPr>
      <w:bookmarkStart w:id="433" w:name="bookmark297"/>
      <w:bookmarkEnd w:id="433"/>
    </w:p>
    <w:p w14:paraId="109BBD44">
      <w:pPr>
        <w:spacing w:before="64" w:line="224" w:lineRule="auto"/>
        <w:ind w:left="3668"/>
        <w:outlineLvl w:val="9"/>
        <w:rPr>
          <w:rFonts w:ascii="宋体" w:hAnsi="宋体" w:eastAsia="宋体" w:cs="宋体"/>
          <w:b/>
          <w:bCs/>
          <w:color w:val="auto"/>
          <w:spacing w:val="5"/>
          <w:sz w:val="31"/>
          <w:szCs w:val="31"/>
          <w:highlight w:val="none"/>
        </w:rPr>
      </w:pPr>
    </w:p>
    <w:p w14:paraId="2AF5B102">
      <w:pPr>
        <w:spacing w:before="64" w:line="224" w:lineRule="auto"/>
        <w:ind w:left="3668"/>
        <w:outlineLvl w:val="9"/>
        <w:rPr>
          <w:rFonts w:ascii="宋体" w:hAnsi="宋体" w:eastAsia="宋体" w:cs="宋体"/>
          <w:b/>
          <w:bCs/>
          <w:color w:val="auto"/>
          <w:spacing w:val="5"/>
          <w:sz w:val="31"/>
          <w:szCs w:val="31"/>
          <w:highlight w:val="none"/>
        </w:rPr>
      </w:pPr>
    </w:p>
    <w:p w14:paraId="2A65A5C0">
      <w:pPr>
        <w:spacing w:before="64" w:line="224" w:lineRule="auto"/>
        <w:ind w:left="3668"/>
        <w:outlineLvl w:val="9"/>
        <w:rPr>
          <w:rFonts w:ascii="宋体" w:hAnsi="宋体" w:eastAsia="宋体" w:cs="宋体"/>
          <w:b/>
          <w:bCs/>
          <w:color w:val="auto"/>
          <w:spacing w:val="5"/>
          <w:sz w:val="31"/>
          <w:szCs w:val="31"/>
          <w:highlight w:val="none"/>
        </w:rPr>
      </w:pPr>
    </w:p>
    <w:p w14:paraId="043379B8">
      <w:pPr>
        <w:spacing w:before="64" w:line="224" w:lineRule="auto"/>
        <w:ind w:left="3668"/>
        <w:outlineLvl w:val="9"/>
        <w:rPr>
          <w:rFonts w:ascii="宋体" w:hAnsi="宋体" w:eastAsia="宋体" w:cs="宋体"/>
          <w:b/>
          <w:bCs/>
          <w:color w:val="auto"/>
          <w:spacing w:val="5"/>
          <w:sz w:val="31"/>
          <w:szCs w:val="31"/>
          <w:highlight w:val="none"/>
        </w:rPr>
      </w:pPr>
    </w:p>
    <w:p w14:paraId="2422E080">
      <w:pPr>
        <w:spacing w:before="64" w:line="224" w:lineRule="auto"/>
        <w:ind w:left="3668"/>
        <w:outlineLvl w:val="9"/>
        <w:rPr>
          <w:rFonts w:ascii="宋体" w:hAnsi="宋体" w:eastAsia="宋体" w:cs="宋体"/>
          <w:b/>
          <w:bCs/>
          <w:color w:val="auto"/>
          <w:spacing w:val="5"/>
          <w:sz w:val="31"/>
          <w:szCs w:val="31"/>
          <w:highlight w:val="none"/>
        </w:rPr>
      </w:pPr>
    </w:p>
    <w:p w14:paraId="2979F9B7">
      <w:pPr>
        <w:spacing w:before="64" w:line="224" w:lineRule="auto"/>
        <w:ind w:left="3474"/>
        <w:outlineLvl w:val="9"/>
        <w:rPr>
          <w:rFonts w:ascii="宋体" w:hAnsi="宋体" w:eastAsia="宋体" w:cs="宋体"/>
          <w:b/>
          <w:bCs/>
          <w:color w:val="auto"/>
          <w:spacing w:val="6"/>
          <w:sz w:val="31"/>
          <w:szCs w:val="31"/>
          <w:highlight w:val="none"/>
        </w:rPr>
      </w:pPr>
      <w:bookmarkStart w:id="434" w:name="_Toc15317"/>
      <w:r>
        <w:rPr>
          <w:rFonts w:ascii="宋体" w:hAnsi="宋体" w:eastAsia="宋体" w:cs="宋体"/>
          <w:b/>
          <w:bCs/>
          <w:color w:val="auto"/>
          <w:spacing w:val="6"/>
          <w:sz w:val="31"/>
          <w:szCs w:val="31"/>
          <w:highlight w:val="none"/>
        </w:rPr>
        <w:t>九、资格审查材料</w:t>
      </w:r>
      <w:bookmarkEnd w:id="434"/>
    </w:p>
    <w:p w14:paraId="6B961821">
      <w:pPr>
        <w:spacing w:line="249" w:lineRule="auto"/>
        <w:outlineLvl w:val="9"/>
        <w:rPr>
          <w:rFonts w:ascii="Arial"/>
          <w:color w:val="auto"/>
          <w:sz w:val="21"/>
          <w:highlight w:val="none"/>
        </w:rPr>
      </w:pPr>
    </w:p>
    <w:p w14:paraId="70C89663">
      <w:pPr>
        <w:spacing w:line="250" w:lineRule="auto"/>
        <w:outlineLvl w:val="9"/>
        <w:rPr>
          <w:rFonts w:ascii="Arial"/>
          <w:color w:val="auto"/>
          <w:sz w:val="21"/>
          <w:highlight w:val="none"/>
        </w:rPr>
      </w:pPr>
    </w:p>
    <w:p w14:paraId="5D6E1B15">
      <w:pPr>
        <w:spacing w:before="91" w:line="219" w:lineRule="auto"/>
        <w:ind w:left="232"/>
        <w:outlineLvl w:val="9"/>
        <w:rPr>
          <w:rFonts w:ascii="宋体" w:hAnsi="宋体" w:eastAsia="宋体" w:cs="宋体"/>
          <w:color w:val="auto"/>
          <w:sz w:val="28"/>
          <w:szCs w:val="28"/>
          <w:highlight w:val="none"/>
        </w:rPr>
      </w:pPr>
      <w:bookmarkStart w:id="435" w:name="_Toc17402"/>
      <w:r>
        <w:rPr>
          <w:rFonts w:ascii="宋体" w:hAnsi="宋体" w:eastAsia="宋体" w:cs="宋体"/>
          <w:b/>
          <w:bCs/>
          <w:color w:val="auto"/>
          <w:spacing w:val="-5"/>
          <w:sz w:val="28"/>
          <w:szCs w:val="28"/>
          <w:highlight w:val="none"/>
        </w:rPr>
        <w:t>（一）投标人基本情况表</w:t>
      </w:r>
      <w:bookmarkEnd w:id="435"/>
    </w:p>
    <w:p w14:paraId="08E0AD6F">
      <w:pPr>
        <w:spacing w:before="14"/>
        <w:outlineLvl w:val="9"/>
        <w:rPr>
          <w:color w:val="auto"/>
          <w:highlight w:val="none"/>
        </w:rPr>
      </w:pPr>
    </w:p>
    <w:p w14:paraId="44A8BE95">
      <w:pPr>
        <w:spacing w:before="14"/>
        <w:outlineLvl w:val="9"/>
        <w:rPr>
          <w:color w:val="auto"/>
          <w:highlight w:val="none"/>
        </w:rPr>
      </w:pPr>
    </w:p>
    <w:tbl>
      <w:tblPr>
        <w:tblStyle w:val="26"/>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8"/>
        <w:gridCol w:w="931"/>
        <w:gridCol w:w="1310"/>
        <w:gridCol w:w="465"/>
        <w:gridCol w:w="1080"/>
        <w:gridCol w:w="1329"/>
        <w:gridCol w:w="1080"/>
        <w:gridCol w:w="1086"/>
      </w:tblGrid>
      <w:tr w14:paraId="351DB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38" w:type="dxa"/>
            <w:vAlign w:val="top"/>
          </w:tcPr>
          <w:p w14:paraId="2483BA5C">
            <w:pPr>
              <w:pStyle w:val="27"/>
              <w:spacing w:before="118" w:line="221" w:lineRule="auto"/>
              <w:ind w:left="118"/>
              <w:outlineLvl w:val="9"/>
              <w:rPr>
                <w:color w:val="auto"/>
                <w:highlight w:val="none"/>
              </w:rPr>
            </w:pPr>
            <w:r>
              <w:rPr>
                <w:color w:val="auto"/>
                <w:spacing w:val="-2"/>
                <w:highlight w:val="none"/>
              </w:rPr>
              <w:t>投标人名称</w:t>
            </w:r>
          </w:p>
        </w:tc>
        <w:tc>
          <w:tcPr>
            <w:tcW w:w="7281" w:type="dxa"/>
            <w:gridSpan w:val="7"/>
            <w:vAlign w:val="top"/>
          </w:tcPr>
          <w:p w14:paraId="082FC061">
            <w:pPr>
              <w:outlineLvl w:val="9"/>
              <w:rPr>
                <w:rFonts w:ascii="Arial"/>
                <w:color w:val="auto"/>
                <w:sz w:val="21"/>
                <w:highlight w:val="none"/>
              </w:rPr>
            </w:pPr>
          </w:p>
        </w:tc>
      </w:tr>
      <w:tr w14:paraId="59AB4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040ECB36">
            <w:pPr>
              <w:pStyle w:val="27"/>
              <w:spacing w:before="171" w:line="222" w:lineRule="auto"/>
              <w:ind w:left="116"/>
              <w:outlineLvl w:val="9"/>
              <w:rPr>
                <w:color w:val="auto"/>
                <w:highlight w:val="none"/>
              </w:rPr>
            </w:pPr>
            <w:r>
              <w:rPr>
                <w:color w:val="auto"/>
                <w:spacing w:val="-2"/>
                <w:highlight w:val="none"/>
              </w:rPr>
              <w:t>注册地址</w:t>
            </w:r>
          </w:p>
        </w:tc>
        <w:tc>
          <w:tcPr>
            <w:tcW w:w="3786" w:type="dxa"/>
            <w:gridSpan w:val="4"/>
            <w:vAlign w:val="top"/>
          </w:tcPr>
          <w:p w14:paraId="49B0C9AE">
            <w:pPr>
              <w:outlineLvl w:val="9"/>
              <w:rPr>
                <w:rFonts w:ascii="Arial"/>
                <w:color w:val="auto"/>
                <w:sz w:val="21"/>
                <w:highlight w:val="none"/>
              </w:rPr>
            </w:pPr>
          </w:p>
        </w:tc>
        <w:tc>
          <w:tcPr>
            <w:tcW w:w="1329" w:type="dxa"/>
            <w:vAlign w:val="top"/>
          </w:tcPr>
          <w:p w14:paraId="5C792DF5">
            <w:pPr>
              <w:pStyle w:val="27"/>
              <w:spacing w:before="113" w:line="221" w:lineRule="auto"/>
              <w:ind w:left="130"/>
              <w:outlineLvl w:val="9"/>
              <w:rPr>
                <w:color w:val="auto"/>
                <w:highlight w:val="none"/>
              </w:rPr>
            </w:pPr>
            <w:r>
              <w:rPr>
                <w:color w:val="auto"/>
                <w:spacing w:val="-6"/>
                <w:highlight w:val="none"/>
              </w:rPr>
              <w:t>邮政编码</w:t>
            </w:r>
          </w:p>
        </w:tc>
        <w:tc>
          <w:tcPr>
            <w:tcW w:w="1080" w:type="dxa"/>
            <w:vAlign w:val="top"/>
          </w:tcPr>
          <w:p w14:paraId="4577D70E">
            <w:pPr>
              <w:outlineLvl w:val="9"/>
              <w:rPr>
                <w:rFonts w:ascii="Arial"/>
                <w:color w:val="auto"/>
                <w:sz w:val="21"/>
                <w:highlight w:val="none"/>
              </w:rPr>
            </w:pPr>
          </w:p>
        </w:tc>
        <w:tc>
          <w:tcPr>
            <w:tcW w:w="1086" w:type="dxa"/>
            <w:vAlign w:val="top"/>
          </w:tcPr>
          <w:p w14:paraId="7FB0196E">
            <w:pPr>
              <w:outlineLvl w:val="9"/>
              <w:rPr>
                <w:rFonts w:ascii="Arial"/>
                <w:color w:val="auto"/>
                <w:sz w:val="21"/>
                <w:highlight w:val="none"/>
              </w:rPr>
            </w:pPr>
          </w:p>
        </w:tc>
      </w:tr>
      <w:tr w14:paraId="390E8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38" w:type="dxa"/>
            <w:vMerge w:val="restart"/>
            <w:tcBorders>
              <w:bottom w:val="nil"/>
            </w:tcBorders>
            <w:vAlign w:val="top"/>
          </w:tcPr>
          <w:p w14:paraId="2310586C">
            <w:pPr>
              <w:spacing w:line="386" w:lineRule="auto"/>
              <w:outlineLvl w:val="9"/>
              <w:rPr>
                <w:rFonts w:ascii="Arial"/>
                <w:color w:val="auto"/>
                <w:sz w:val="21"/>
                <w:highlight w:val="none"/>
              </w:rPr>
            </w:pPr>
          </w:p>
          <w:p w14:paraId="474651AD">
            <w:pPr>
              <w:pStyle w:val="27"/>
              <w:spacing w:before="69" w:line="222" w:lineRule="auto"/>
              <w:ind w:left="116"/>
              <w:outlineLvl w:val="9"/>
              <w:rPr>
                <w:color w:val="auto"/>
                <w:highlight w:val="none"/>
              </w:rPr>
            </w:pPr>
            <w:r>
              <w:rPr>
                <w:color w:val="auto"/>
                <w:spacing w:val="-2"/>
                <w:highlight w:val="none"/>
              </w:rPr>
              <w:t>联系方式</w:t>
            </w:r>
          </w:p>
        </w:tc>
        <w:tc>
          <w:tcPr>
            <w:tcW w:w="931" w:type="dxa"/>
            <w:vAlign w:val="top"/>
          </w:tcPr>
          <w:p w14:paraId="2E1E204D">
            <w:pPr>
              <w:pStyle w:val="27"/>
              <w:spacing w:before="171" w:line="223" w:lineRule="auto"/>
              <w:ind w:left="113"/>
              <w:outlineLvl w:val="9"/>
              <w:rPr>
                <w:color w:val="auto"/>
                <w:highlight w:val="none"/>
              </w:rPr>
            </w:pPr>
            <w:r>
              <w:rPr>
                <w:color w:val="auto"/>
                <w:spacing w:val="-2"/>
                <w:highlight w:val="none"/>
              </w:rPr>
              <w:t>联系人</w:t>
            </w:r>
          </w:p>
        </w:tc>
        <w:tc>
          <w:tcPr>
            <w:tcW w:w="2855" w:type="dxa"/>
            <w:gridSpan w:val="3"/>
            <w:vAlign w:val="top"/>
          </w:tcPr>
          <w:p w14:paraId="7A92F7E1">
            <w:pPr>
              <w:outlineLvl w:val="9"/>
              <w:rPr>
                <w:rFonts w:ascii="Arial"/>
                <w:color w:val="auto"/>
                <w:sz w:val="21"/>
                <w:highlight w:val="none"/>
              </w:rPr>
            </w:pPr>
          </w:p>
        </w:tc>
        <w:tc>
          <w:tcPr>
            <w:tcW w:w="1329" w:type="dxa"/>
            <w:vAlign w:val="top"/>
          </w:tcPr>
          <w:p w14:paraId="636DF402">
            <w:pPr>
              <w:pStyle w:val="27"/>
              <w:spacing w:before="114" w:line="223" w:lineRule="auto"/>
              <w:ind w:left="139"/>
              <w:outlineLvl w:val="9"/>
              <w:rPr>
                <w:color w:val="auto"/>
                <w:highlight w:val="none"/>
              </w:rPr>
            </w:pPr>
            <w:r>
              <w:rPr>
                <w:color w:val="auto"/>
                <w:spacing w:val="-8"/>
                <w:highlight w:val="none"/>
              </w:rPr>
              <w:t>电话</w:t>
            </w:r>
          </w:p>
        </w:tc>
        <w:tc>
          <w:tcPr>
            <w:tcW w:w="1080" w:type="dxa"/>
            <w:vAlign w:val="top"/>
          </w:tcPr>
          <w:p w14:paraId="289B54DA">
            <w:pPr>
              <w:outlineLvl w:val="9"/>
              <w:rPr>
                <w:rFonts w:ascii="Arial"/>
                <w:color w:val="auto"/>
                <w:sz w:val="21"/>
                <w:highlight w:val="none"/>
              </w:rPr>
            </w:pPr>
          </w:p>
        </w:tc>
        <w:tc>
          <w:tcPr>
            <w:tcW w:w="1086" w:type="dxa"/>
            <w:vAlign w:val="top"/>
          </w:tcPr>
          <w:p w14:paraId="4FFE5D4B">
            <w:pPr>
              <w:outlineLvl w:val="9"/>
              <w:rPr>
                <w:rFonts w:ascii="Arial"/>
                <w:color w:val="auto"/>
                <w:sz w:val="21"/>
                <w:highlight w:val="none"/>
              </w:rPr>
            </w:pPr>
          </w:p>
        </w:tc>
      </w:tr>
      <w:tr w14:paraId="7BB8C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Merge w:val="continue"/>
            <w:tcBorders>
              <w:top w:val="nil"/>
            </w:tcBorders>
            <w:vAlign w:val="top"/>
          </w:tcPr>
          <w:p w14:paraId="42148882">
            <w:pPr>
              <w:outlineLvl w:val="9"/>
              <w:rPr>
                <w:rFonts w:ascii="Arial"/>
                <w:color w:val="auto"/>
                <w:sz w:val="21"/>
                <w:highlight w:val="none"/>
              </w:rPr>
            </w:pPr>
          </w:p>
        </w:tc>
        <w:tc>
          <w:tcPr>
            <w:tcW w:w="931" w:type="dxa"/>
            <w:vAlign w:val="top"/>
          </w:tcPr>
          <w:p w14:paraId="37E3EEC2">
            <w:pPr>
              <w:pStyle w:val="27"/>
              <w:spacing w:before="172" w:line="220" w:lineRule="auto"/>
              <w:ind w:left="110"/>
              <w:outlineLvl w:val="9"/>
              <w:rPr>
                <w:color w:val="auto"/>
                <w:highlight w:val="none"/>
              </w:rPr>
            </w:pPr>
            <w:r>
              <w:rPr>
                <w:color w:val="auto"/>
                <w:spacing w:val="-2"/>
                <w:highlight w:val="none"/>
              </w:rPr>
              <w:t>传真</w:t>
            </w:r>
          </w:p>
        </w:tc>
        <w:tc>
          <w:tcPr>
            <w:tcW w:w="2855" w:type="dxa"/>
            <w:gridSpan w:val="3"/>
            <w:vAlign w:val="top"/>
          </w:tcPr>
          <w:p w14:paraId="5B673CDA">
            <w:pPr>
              <w:outlineLvl w:val="9"/>
              <w:rPr>
                <w:rFonts w:ascii="Arial"/>
                <w:color w:val="auto"/>
                <w:sz w:val="21"/>
                <w:highlight w:val="none"/>
              </w:rPr>
            </w:pPr>
          </w:p>
        </w:tc>
        <w:tc>
          <w:tcPr>
            <w:tcW w:w="1329" w:type="dxa"/>
            <w:vAlign w:val="top"/>
          </w:tcPr>
          <w:p w14:paraId="4520B70C">
            <w:pPr>
              <w:pStyle w:val="27"/>
              <w:spacing w:before="114" w:line="226" w:lineRule="auto"/>
              <w:ind w:left="131"/>
              <w:outlineLvl w:val="9"/>
              <w:rPr>
                <w:color w:val="auto"/>
                <w:highlight w:val="none"/>
              </w:rPr>
            </w:pPr>
            <w:r>
              <w:rPr>
                <w:color w:val="auto"/>
                <w:spacing w:val="-6"/>
                <w:highlight w:val="none"/>
              </w:rPr>
              <w:t>网址</w:t>
            </w:r>
          </w:p>
        </w:tc>
        <w:tc>
          <w:tcPr>
            <w:tcW w:w="1080" w:type="dxa"/>
            <w:vAlign w:val="top"/>
          </w:tcPr>
          <w:p w14:paraId="4FEC9FC0">
            <w:pPr>
              <w:outlineLvl w:val="9"/>
              <w:rPr>
                <w:rFonts w:ascii="Arial"/>
                <w:color w:val="auto"/>
                <w:sz w:val="21"/>
                <w:highlight w:val="none"/>
              </w:rPr>
            </w:pPr>
          </w:p>
        </w:tc>
        <w:tc>
          <w:tcPr>
            <w:tcW w:w="1086" w:type="dxa"/>
            <w:vAlign w:val="top"/>
          </w:tcPr>
          <w:p w14:paraId="419FC58E">
            <w:pPr>
              <w:outlineLvl w:val="9"/>
              <w:rPr>
                <w:rFonts w:ascii="Arial"/>
                <w:color w:val="auto"/>
                <w:sz w:val="21"/>
                <w:highlight w:val="none"/>
              </w:rPr>
            </w:pPr>
          </w:p>
        </w:tc>
      </w:tr>
      <w:tr w14:paraId="30201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14:paraId="13A2B550">
            <w:pPr>
              <w:pStyle w:val="27"/>
              <w:spacing w:before="116" w:line="221" w:lineRule="auto"/>
              <w:ind w:left="118"/>
              <w:outlineLvl w:val="9"/>
              <w:rPr>
                <w:color w:val="auto"/>
                <w:highlight w:val="none"/>
              </w:rPr>
            </w:pPr>
            <w:r>
              <w:rPr>
                <w:color w:val="auto"/>
                <w:spacing w:val="-2"/>
                <w:highlight w:val="none"/>
              </w:rPr>
              <w:t>组织结构</w:t>
            </w:r>
          </w:p>
        </w:tc>
        <w:tc>
          <w:tcPr>
            <w:tcW w:w="7281" w:type="dxa"/>
            <w:gridSpan w:val="7"/>
            <w:vAlign w:val="top"/>
          </w:tcPr>
          <w:p w14:paraId="35ACB4DC">
            <w:pPr>
              <w:outlineLvl w:val="9"/>
              <w:rPr>
                <w:rFonts w:ascii="Arial"/>
                <w:color w:val="auto"/>
                <w:sz w:val="21"/>
                <w:highlight w:val="none"/>
              </w:rPr>
            </w:pPr>
          </w:p>
        </w:tc>
      </w:tr>
      <w:tr w14:paraId="13CAA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628B96C6">
            <w:pPr>
              <w:pStyle w:val="27"/>
              <w:spacing w:before="172" w:line="221" w:lineRule="auto"/>
              <w:ind w:left="116"/>
              <w:outlineLvl w:val="9"/>
              <w:rPr>
                <w:color w:val="auto"/>
                <w:highlight w:val="none"/>
              </w:rPr>
            </w:pPr>
            <w:r>
              <w:rPr>
                <w:color w:val="auto"/>
                <w:spacing w:val="-2"/>
                <w:highlight w:val="none"/>
              </w:rPr>
              <w:t>法定代表人</w:t>
            </w:r>
          </w:p>
        </w:tc>
        <w:tc>
          <w:tcPr>
            <w:tcW w:w="931" w:type="dxa"/>
            <w:vAlign w:val="top"/>
          </w:tcPr>
          <w:p w14:paraId="42C968C8">
            <w:pPr>
              <w:pStyle w:val="27"/>
              <w:spacing w:before="172" w:line="221" w:lineRule="auto"/>
              <w:ind w:left="112"/>
              <w:outlineLvl w:val="9"/>
              <w:rPr>
                <w:color w:val="auto"/>
                <w:highlight w:val="none"/>
              </w:rPr>
            </w:pPr>
            <w:r>
              <w:rPr>
                <w:color w:val="auto"/>
                <w:spacing w:val="-2"/>
                <w:highlight w:val="none"/>
              </w:rPr>
              <w:t>姓名</w:t>
            </w:r>
          </w:p>
        </w:tc>
        <w:tc>
          <w:tcPr>
            <w:tcW w:w="1310" w:type="dxa"/>
            <w:vAlign w:val="top"/>
          </w:tcPr>
          <w:p w14:paraId="0630206F">
            <w:pPr>
              <w:outlineLvl w:val="9"/>
              <w:rPr>
                <w:rFonts w:ascii="Arial"/>
                <w:color w:val="auto"/>
                <w:sz w:val="21"/>
                <w:highlight w:val="none"/>
              </w:rPr>
            </w:pPr>
          </w:p>
        </w:tc>
        <w:tc>
          <w:tcPr>
            <w:tcW w:w="1545" w:type="dxa"/>
            <w:gridSpan w:val="2"/>
            <w:vAlign w:val="top"/>
          </w:tcPr>
          <w:p w14:paraId="0B00DDD2">
            <w:pPr>
              <w:pStyle w:val="27"/>
              <w:spacing w:before="172" w:line="221" w:lineRule="auto"/>
              <w:ind w:left="114"/>
              <w:outlineLvl w:val="9"/>
              <w:rPr>
                <w:color w:val="auto"/>
                <w:highlight w:val="none"/>
              </w:rPr>
            </w:pPr>
            <w:r>
              <w:rPr>
                <w:color w:val="auto"/>
                <w:spacing w:val="-2"/>
                <w:highlight w:val="none"/>
              </w:rPr>
              <w:t>技术职称</w:t>
            </w:r>
          </w:p>
        </w:tc>
        <w:tc>
          <w:tcPr>
            <w:tcW w:w="1329" w:type="dxa"/>
            <w:vAlign w:val="top"/>
          </w:tcPr>
          <w:p w14:paraId="60A08CCD">
            <w:pPr>
              <w:outlineLvl w:val="9"/>
              <w:rPr>
                <w:rFonts w:ascii="Arial"/>
                <w:color w:val="auto"/>
                <w:sz w:val="21"/>
                <w:highlight w:val="none"/>
              </w:rPr>
            </w:pPr>
          </w:p>
        </w:tc>
        <w:tc>
          <w:tcPr>
            <w:tcW w:w="1080" w:type="dxa"/>
            <w:vAlign w:val="top"/>
          </w:tcPr>
          <w:p w14:paraId="085E210C">
            <w:pPr>
              <w:pStyle w:val="27"/>
              <w:spacing w:before="115" w:line="223" w:lineRule="auto"/>
              <w:ind w:left="139"/>
              <w:outlineLvl w:val="9"/>
              <w:rPr>
                <w:color w:val="auto"/>
                <w:highlight w:val="none"/>
              </w:rPr>
            </w:pPr>
            <w:r>
              <w:rPr>
                <w:color w:val="auto"/>
                <w:spacing w:val="-8"/>
                <w:highlight w:val="none"/>
              </w:rPr>
              <w:t>电话</w:t>
            </w:r>
          </w:p>
        </w:tc>
        <w:tc>
          <w:tcPr>
            <w:tcW w:w="1086" w:type="dxa"/>
            <w:vAlign w:val="top"/>
          </w:tcPr>
          <w:p w14:paraId="69A0A62A">
            <w:pPr>
              <w:outlineLvl w:val="9"/>
              <w:rPr>
                <w:rFonts w:ascii="Arial"/>
                <w:color w:val="auto"/>
                <w:sz w:val="21"/>
                <w:highlight w:val="none"/>
              </w:rPr>
            </w:pPr>
          </w:p>
        </w:tc>
      </w:tr>
      <w:tr w14:paraId="490AF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38" w:type="dxa"/>
            <w:vAlign w:val="top"/>
          </w:tcPr>
          <w:p w14:paraId="4CC93DFC">
            <w:pPr>
              <w:pStyle w:val="27"/>
              <w:spacing w:before="173" w:line="221" w:lineRule="auto"/>
              <w:ind w:left="116"/>
              <w:outlineLvl w:val="9"/>
              <w:rPr>
                <w:color w:val="auto"/>
                <w:highlight w:val="none"/>
              </w:rPr>
            </w:pPr>
            <w:r>
              <w:rPr>
                <w:color w:val="auto"/>
                <w:spacing w:val="-2"/>
                <w:highlight w:val="none"/>
              </w:rPr>
              <w:t>技术负责人</w:t>
            </w:r>
          </w:p>
        </w:tc>
        <w:tc>
          <w:tcPr>
            <w:tcW w:w="931" w:type="dxa"/>
            <w:vAlign w:val="top"/>
          </w:tcPr>
          <w:p w14:paraId="2255CA44">
            <w:pPr>
              <w:pStyle w:val="27"/>
              <w:spacing w:before="173" w:line="221" w:lineRule="auto"/>
              <w:ind w:left="112"/>
              <w:outlineLvl w:val="9"/>
              <w:rPr>
                <w:color w:val="auto"/>
                <w:highlight w:val="none"/>
              </w:rPr>
            </w:pPr>
            <w:r>
              <w:rPr>
                <w:color w:val="auto"/>
                <w:spacing w:val="-2"/>
                <w:highlight w:val="none"/>
              </w:rPr>
              <w:t>姓名</w:t>
            </w:r>
          </w:p>
        </w:tc>
        <w:tc>
          <w:tcPr>
            <w:tcW w:w="1310" w:type="dxa"/>
            <w:vAlign w:val="top"/>
          </w:tcPr>
          <w:p w14:paraId="2EDF71B2">
            <w:pPr>
              <w:outlineLvl w:val="9"/>
              <w:rPr>
                <w:rFonts w:ascii="Arial"/>
                <w:color w:val="auto"/>
                <w:sz w:val="21"/>
                <w:highlight w:val="none"/>
              </w:rPr>
            </w:pPr>
          </w:p>
        </w:tc>
        <w:tc>
          <w:tcPr>
            <w:tcW w:w="1545" w:type="dxa"/>
            <w:gridSpan w:val="2"/>
            <w:vAlign w:val="top"/>
          </w:tcPr>
          <w:p w14:paraId="657F4803">
            <w:pPr>
              <w:pStyle w:val="27"/>
              <w:spacing w:before="173" w:line="221" w:lineRule="auto"/>
              <w:ind w:left="114"/>
              <w:outlineLvl w:val="9"/>
              <w:rPr>
                <w:color w:val="auto"/>
                <w:highlight w:val="none"/>
              </w:rPr>
            </w:pPr>
            <w:r>
              <w:rPr>
                <w:color w:val="auto"/>
                <w:spacing w:val="-2"/>
                <w:highlight w:val="none"/>
              </w:rPr>
              <w:t>技术职称</w:t>
            </w:r>
          </w:p>
        </w:tc>
        <w:tc>
          <w:tcPr>
            <w:tcW w:w="1329" w:type="dxa"/>
            <w:vAlign w:val="top"/>
          </w:tcPr>
          <w:p w14:paraId="1A9060AB">
            <w:pPr>
              <w:outlineLvl w:val="9"/>
              <w:rPr>
                <w:rFonts w:ascii="Arial"/>
                <w:color w:val="auto"/>
                <w:sz w:val="21"/>
                <w:highlight w:val="none"/>
              </w:rPr>
            </w:pPr>
          </w:p>
        </w:tc>
        <w:tc>
          <w:tcPr>
            <w:tcW w:w="1080" w:type="dxa"/>
            <w:vAlign w:val="top"/>
          </w:tcPr>
          <w:p w14:paraId="7ECD5789">
            <w:pPr>
              <w:pStyle w:val="27"/>
              <w:spacing w:before="115" w:line="223" w:lineRule="auto"/>
              <w:ind w:left="139"/>
              <w:outlineLvl w:val="9"/>
              <w:rPr>
                <w:color w:val="auto"/>
                <w:highlight w:val="none"/>
              </w:rPr>
            </w:pPr>
            <w:r>
              <w:rPr>
                <w:color w:val="auto"/>
                <w:spacing w:val="-8"/>
                <w:highlight w:val="none"/>
              </w:rPr>
              <w:t>电话</w:t>
            </w:r>
          </w:p>
        </w:tc>
        <w:tc>
          <w:tcPr>
            <w:tcW w:w="1086" w:type="dxa"/>
            <w:vAlign w:val="top"/>
          </w:tcPr>
          <w:p w14:paraId="0FB69044">
            <w:pPr>
              <w:outlineLvl w:val="9"/>
              <w:rPr>
                <w:rFonts w:ascii="Arial"/>
                <w:color w:val="auto"/>
                <w:sz w:val="21"/>
                <w:highlight w:val="none"/>
              </w:rPr>
            </w:pPr>
          </w:p>
        </w:tc>
      </w:tr>
      <w:tr w14:paraId="4CE6A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4FFDBE25">
            <w:pPr>
              <w:pStyle w:val="27"/>
              <w:spacing w:before="174" w:line="222" w:lineRule="auto"/>
              <w:ind w:left="117"/>
              <w:outlineLvl w:val="9"/>
              <w:rPr>
                <w:color w:val="auto"/>
                <w:highlight w:val="none"/>
              </w:rPr>
            </w:pPr>
            <w:r>
              <w:rPr>
                <w:color w:val="auto"/>
                <w:spacing w:val="-2"/>
                <w:highlight w:val="none"/>
              </w:rPr>
              <w:t>成立时间</w:t>
            </w:r>
          </w:p>
        </w:tc>
        <w:tc>
          <w:tcPr>
            <w:tcW w:w="2241" w:type="dxa"/>
            <w:gridSpan w:val="2"/>
            <w:vAlign w:val="top"/>
          </w:tcPr>
          <w:p w14:paraId="667E396A">
            <w:pPr>
              <w:outlineLvl w:val="9"/>
              <w:rPr>
                <w:rFonts w:ascii="Arial"/>
                <w:color w:val="auto"/>
                <w:sz w:val="21"/>
                <w:highlight w:val="none"/>
              </w:rPr>
            </w:pPr>
          </w:p>
        </w:tc>
        <w:tc>
          <w:tcPr>
            <w:tcW w:w="2874" w:type="dxa"/>
            <w:gridSpan w:val="3"/>
            <w:vAlign w:val="top"/>
          </w:tcPr>
          <w:p w14:paraId="7F5EB5F4">
            <w:pPr>
              <w:pStyle w:val="27"/>
              <w:spacing w:before="116" w:line="221" w:lineRule="auto"/>
              <w:ind w:left="121"/>
              <w:outlineLvl w:val="9"/>
              <w:rPr>
                <w:color w:val="auto"/>
                <w:highlight w:val="none"/>
              </w:rPr>
            </w:pPr>
            <w:r>
              <w:rPr>
                <w:color w:val="auto"/>
                <w:spacing w:val="-3"/>
                <w:highlight w:val="none"/>
              </w:rPr>
              <w:t>员工总人数</w:t>
            </w:r>
          </w:p>
        </w:tc>
        <w:tc>
          <w:tcPr>
            <w:tcW w:w="1080" w:type="dxa"/>
            <w:vAlign w:val="top"/>
          </w:tcPr>
          <w:p w14:paraId="06D1F97F">
            <w:pPr>
              <w:outlineLvl w:val="9"/>
              <w:rPr>
                <w:rFonts w:ascii="Arial"/>
                <w:color w:val="auto"/>
                <w:sz w:val="21"/>
                <w:highlight w:val="none"/>
              </w:rPr>
            </w:pPr>
          </w:p>
        </w:tc>
        <w:tc>
          <w:tcPr>
            <w:tcW w:w="1086" w:type="dxa"/>
            <w:vAlign w:val="top"/>
          </w:tcPr>
          <w:p w14:paraId="086CBD0F">
            <w:pPr>
              <w:outlineLvl w:val="9"/>
              <w:rPr>
                <w:rFonts w:ascii="Arial"/>
                <w:color w:val="auto"/>
                <w:sz w:val="21"/>
                <w:highlight w:val="none"/>
              </w:rPr>
            </w:pPr>
          </w:p>
        </w:tc>
      </w:tr>
      <w:tr w14:paraId="7606D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14:paraId="0564FFF5">
            <w:pPr>
              <w:pStyle w:val="27"/>
              <w:spacing w:before="116" w:line="221" w:lineRule="auto"/>
              <w:ind w:left="119"/>
              <w:outlineLvl w:val="9"/>
              <w:rPr>
                <w:color w:val="auto"/>
                <w:highlight w:val="none"/>
              </w:rPr>
            </w:pPr>
            <w:r>
              <w:rPr>
                <w:color w:val="auto"/>
                <w:spacing w:val="-2"/>
                <w:highlight w:val="none"/>
              </w:rPr>
              <w:t>企业资质等级</w:t>
            </w:r>
          </w:p>
        </w:tc>
        <w:tc>
          <w:tcPr>
            <w:tcW w:w="2241" w:type="dxa"/>
            <w:gridSpan w:val="2"/>
            <w:vAlign w:val="top"/>
          </w:tcPr>
          <w:p w14:paraId="628613D9">
            <w:pPr>
              <w:outlineLvl w:val="9"/>
              <w:rPr>
                <w:rFonts w:ascii="Arial"/>
                <w:color w:val="auto"/>
                <w:sz w:val="21"/>
                <w:highlight w:val="none"/>
              </w:rPr>
            </w:pPr>
          </w:p>
        </w:tc>
        <w:tc>
          <w:tcPr>
            <w:tcW w:w="465" w:type="dxa"/>
            <w:vMerge w:val="restart"/>
            <w:tcBorders>
              <w:bottom w:val="nil"/>
            </w:tcBorders>
            <w:textDirection w:val="tbRlV"/>
            <w:vAlign w:val="top"/>
          </w:tcPr>
          <w:p w14:paraId="518729A4">
            <w:pPr>
              <w:pStyle w:val="27"/>
              <w:spacing w:before="143" w:line="209" w:lineRule="auto"/>
              <w:ind w:left="1120"/>
              <w:outlineLvl w:val="9"/>
              <w:rPr>
                <w:color w:val="auto"/>
                <w:highlight w:val="none"/>
              </w:rPr>
            </w:pPr>
            <w:r>
              <w:rPr>
                <w:color w:val="auto"/>
                <w:spacing w:val="1"/>
                <w:highlight w:val="none"/>
              </w:rPr>
              <w:t>其</w:t>
            </w:r>
            <w:r>
              <w:rPr>
                <w:color w:val="auto"/>
                <w:spacing w:val="-43"/>
                <w:highlight w:val="none"/>
              </w:rPr>
              <w:t xml:space="preserve"> </w:t>
            </w:r>
            <w:r>
              <w:rPr>
                <w:color w:val="auto"/>
                <w:spacing w:val="1"/>
                <w:highlight w:val="none"/>
              </w:rPr>
              <w:t>中</w:t>
            </w:r>
          </w:p>
        </w:tc>
        <w:tc>
          <w:tcPr>
            <w:tcW w:w="2409" w:type="dxa"/>
            <w:gridSpan w:val="2"/>
            <w:vAlign w:val="top"/>
          </w:tcPr>
          <w:p w14:paraId="0D40734F">
            <w:pPr>
              <w:pStyle w:val="27"/>
              <w:spacing w:before="117" w:line="221" w:lineRule="auto"/>
              <w:ind w:left="117"/>
              <w:outlineLvl w:val="9"/>
              <w:rPr>
                <w:color w:val="auto"/>
                <w:highlight w:val="none"/>
              </w:rPr>
            </w:pPr>
            <w:r>
              <w:rPr>
                <w:color w:val="auto"/>
                <w:spacing w:val="-3"/>
                <w:highlight w:val="none"/>
              </w:rPr>
              <w:t>项目经理</w:t>
            </w:r>
          </w:p>
        </w:tc>
        <w:tc>
          <w:tcPr>
            <w:tcW w:w="1080" w:type="dxa"/>
            <w:vAlign w:val="top"/>
          </w:tcPr>
          <w:p w14:paraId="50DFD341">
            <w:pPr>
              <w:outlineLvl w:val="9"/>
              <w:rPr>
                <w:rFonts w:ascii="Arial"/>
                <w:color w:val="auto"/>
                <w:sz w:val="21"/>
                <w:highlight w:val="none"/>
              </w:rPr>
            </w:pPr>
          </w:p>
        </w:tc>
        <w:tc>
          <w:tcPr>
            <w:tcW w:w="1086" w:type="dxa"/>
            <w:vAlign w:val="top"/>
          </w:tcPr>
          <w:p w14:paraId="5969AC97">
            <w:pPr>
              <w:outlineLvl w:val="9"/>
              <w:rPr>
                <w:rFonts w:ascii="Arial"/>
                <w:color w:val="auto"/>
                <w:sz w:val="21"/>
                <w:highlight w:val="none"/>
              </w:rPr>
            </w:pPr>
          </w:p>
        </w:tc>
      </w:tr>
      <w:tr w14:paraId="0EBD0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253585FE">
            <w:pPr>
              <w:pStyle w:val="27"/>
              <w:spacing w:before="116" w:line="221" w:lineRule="auto"/>
              <w:ind w:left="122"/>
              <w:outlineLvl w:val="9"/>
              <w:rPr>
                <w:color w:val="auto"/>
                <w:highlight w:val="none"/>
              </w:rPr>
            </w:pPr>
            <w:r>
              <w:rPr>
                <w:color w:val="auto"/>
                <w:spacing w:val="-3"/>
                <w:highlight w:val="none"/>
              </w:rPr>
              <w:t>营业执照号</w:t>
            </w:r>
          </w:p>
        </w:tc>
        <w:tc>
          <w:tcPr>
            <w:tcW w:w="2241" w:type="dxa"/>
            <w:gridSpan w:val="2"/>
            <w:vAlign w:val="top"/>
          </w:tcPr>
          <w:p w14:paraId="03AF921A">
            <w:pPr>
              <w:outlineLvl w:val="9"/>
              <w:rPr>
                <w:rFonts w:ascii="Arial"/>
                <w:color w:val="auto"/>
                <w:sz w:val="21"/>
                <w:highlight w:val="none"/>
              </w:rPr>
            </w:pPr>
          </w:p>
        </w:tc>
        <w:tc>
          <w:tcPr>
            <w:tcW w:w="465" w:type="dxa"/>
            <w:vMerge w:val="continue"/>
            <w:tcBorders>
              <w:top w:val="nil"/>
              <w:bottom w:val="nil"/>
            </w:tcBorders>
            <w:textDirection w:val="tbRlV"/>
            <w:vAlign w:val="top"/>
          </w:tcPr>
          <w:p w14:paraId="7AB9CCAA">
            <w:pPr>
              <w:outlineLvl w:val="9"/>
              <w:rPr>
                <w:rFonts w:ascii="Arial"/>
                <w:color w:val="auto"/>
                <w:sz w:val="21"/>
                <w:highlight w:val="none"/>
              </w:rPr>
            </w:pPr>
          </w:p>
        </w:tc>
        <w:tc>
          <w:tcPr>
            <w:tcW w:w="2409" w:type="dxa"/>
            <w:gridSpan w:val="2"/>
            <w:vAlign w:val="top"/>
          </w:tcPr>
          <w:p w14:paraId="481E0E5E">
            <w:pPr>
              <w:pStyle w:val="27"/>
              <w:spacing w:before="116" w:line="221" w:lineRule="auto"/>
              <w:ind w:left="119"/>
              <w:outlineLvl w:val="9"/>
              <w:rPr>
                <w:color w:val="auto"/>
                <w:highlight w:val="none"/>
              </w:rPr>
            </w:pPr>
            <w:r>
              <w:rPr>
                <w:color w:val="auto"/>
                <w:spacing w:val="-2"/>
                <w:highlight w:val="none"/>
              </w:rPr>
              <w:t>高级职称人员</w:t>
            </w:r>
          </w:p>
        </w:tc>
        <w:tc>
          <w:tcPr>
            <w:tcW w:w="1080" w:type="dxa"/>
            <w:vAlign w:val="top"/>
          </w:tcPr>
          <w:p w14:paraId="528D0478">
            <w:pPr>
              <w:outlineLvl w:val="9"/>
              <w:rPr>
                <w:rFonts w:ascii="Arial"/>
                <w:color w:val="auto"/>
                <w:sz w:val="21"/>
                <w:highlight w:val="none"/>
              </w:rPr>
            </w:pPr>
          </w:p>
        </w:tc>
        <w:tc>
          <w:tcPr>
            <w:tcW w:w="1086" w:type="dxa"/>
            <w:vAlign w:val="top"/>
          </w:tcPr>
          <w:p w14:paraId="0E967128">
            <w:pPr>
              <w:outlineLvl w:val="9"/>
              <w:rPr>
                <w:rFonts w:ascii="Arial"/>
                <w:color w:val="auto"/>
                <w:sz w:val="21"/>
                <w:highlight w:val="none"/>
              </w:rPr>
            </w:pPr>
          </w:p>
        </w:tc>
      </w:tr>
      <w:tr w14:paraId="5A403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14:paraId="69C95FB7">
            <w:pPr>
              <w:pStyle w:val="27"/>
              <w:spacing w:before="116" w:line="222" w:lineRule="auto"/>
              <w:ind w:left="116"/>
              <w:outlineLvl w:val="9"/>
              <w:rPr>
                <w:color w:val="auto"/>
                <w:highlight w:val="none"/>
              </w:rPr>
            </w:pPr>
            <w:r>
              <w:rPr>
                <w:color w:val="auto"/>
                <w:spacing w:val="-2"/>
                <w:highlight w:val="none"/>
              </w:rPr>
              <w:t>注册资金</w:t>
            </w:r>
          </w:p>
        </w:tc>
        <w:tc>
          <w:tcPr>
            <w:tcW w:w="2241" w:type="dxa"/>
            <w:gridSpan w:val="2"/>
            <w:vAlign w:val="top"/>
          </w:tcPr>
          <w:p w14:paraId="2B177A94">
            <w:pPr>
              <w:outlineLvl w:val="9"/>
              <w:rPr>
                <w:rFonts w:ascii="Arial"/>
                <w:color w:val="auto"/>
                <w:sz w:val="21"/>
                <w:highlight w:val="none"/>
              </w:rPr>
            </w:pPr>
          </w:p>
        </w:tc>
        <w:tc>
          <w:tcPr>
            <w:tcW w:w="465" w:type="dxa"/>
            <w:vMerge w:val="continue"/>
            <w:tcBorders>
              <w:top w:val="nil"/>
              <w:bottom w:val="nil"/>
            </w:tcBorders>
            <w:textDirection w:val="tbRlV"/>
            <w:vAlign w:val="top"/>
          </w:tcPr>
          <w:p w14:paraId="3C4D2223">
            <w:pPr>
              <w:outlineLvl w:val="9"/>
              <w:rPr>
                <w:rFonts w:ascii="Arial"/>
                <w:color w:val="auto"/>
                <w:sz w:val="21"/>
                <w:highlight w:val="none"/>
              </w:rPr>
            </w:pPr>
          </w:p>
        </w:tc>
        <w:tc>
          <w:tcPr>
            <w:tcW w:w="2409" w:type="dxa"/>
            <w:gridSpan w:val="2"/>
            <w:vAlign w:val="top"/>
          </w:tcPr>
          <w:p w14:paraId="0B3D3D26">
            <w:pPr>
              <w:pStyle w:val="27"/>
              <w:spacing w:before="175" w:line="221" w:lineRule="auto"/>
              <w:ind w:left="134"/>
              <w:outlineLvl w:val="9"/>
              <w:rPr>
                <w:color w:val="auto"/>
                <w:highlight w:val="none"/>
              </w:rPr>
            </w:pPr>
            <w:r>
              <w:rPr>
                <w:color w:val="auto"/>
                <w:spacing w:val="-5"/>
                <w:highlight w:val="none"/>
              </w:rPr>
              <w:t>中级职称人员</w:t>
            </w:r>
          </w:p>
        </w:tc>
        <w:tc>
          <w:tcPr>
            <w:tcW w:w="1080" w:type="dxa"/>
            <w:vAlign w:val="top"/>
          </w:tcPr>
          <w:p w14:paraId="1EA87592">
            <w:pPr>
              <w:outlineLvl w:val="9"/>
              <w:rPr>
                <w:rFonts w:ascii="Arial"/>
                <w:color w:val="auto"/>
                <w:sz w:val="21"/>
                <w:highlight w:val="none"/>
              </w:rPr>
            </w:pPr>
          </w:p>
        </w:tc>
        <w:tc>
          <w:tcPr>
            <w:tcW w:w="1086" w:type="dxa"/>
            <w:vAlign w:val="top"/>
          </w:tcPr>
          <w:p w14:paraId="5B66CA4B">
            <w:pPr>
              <w:outlineLvl w:val="9"/>
              <w:rPr>
                <w:rFonts w:ascii="Arial"/>
                <w:color w:val="auto"/>
                <w:sz w:val="21"/>
                <w:highlight w:val="none"/>
              </w:rPr>
            </w:pPr>
          </w:p>
        </w:tc>
      </w:tr>
      <w:tr w14:paraId="7B00A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14:paraId="55DAD2F5">
            <w:pPr>
              <w:pStyle w:val="27"/>
              <w:spacing w:before="175" w:line="221" w:lineRule="auto"/>
              <w:ind w:left="116"/>
              <w:outlineLvl w:val="9"/>
              <w:rPr>
                <w:color w:val="auto"/>
                <w:highlight w:val="none"/>
              </w:rPr>
            </w:pPr>
            <w:r>
              <w:rPr>
                <w:color w:val="auto"/>
                <w:spacing w:val="-2"/>
                <w:highlight w:val="none"/>
              </w:rPr>
              <w:t>开户银行</w:t>
            </w:r>
          </w:p>
        </w:tc>
        <w:tc>
          <w:tcPr>
            <w:tcW w:w="2241" w:type="dxa"/>
            <w:gridSpan w:val="2"/>
            <w:vAlign w:val="top"/>
          </w:tcPr>
          <w:p w14:paraId="39CB3A2D">
            <w:pPr>
              <w:outlineLvl w:val="9"/>
              <w:rPr>
                <w:rFonts w:ascii="Arial"/>
                <w:color w:val="auto"/>
                <w:sz w:val="21"/>
                <w:highlight w:val="none"/>
              </w:rPr>
            </w:pPr>
          </w:p>
        </w:tc>
        <w:tc>
          <w:tcPr>
            <w:tcW w:w="465" w:type="dxa"/>
            <w:vMerge w:val="continue"/>
            <w:tcBorders>
              <w:top w:val="nil"/>
              <w:bottom w:val="nil"/>
            </w:tcBorders>
            <w:textDirection w:val="tbRlV"/>
            <w:vAlign w:val="top"/>
          </w:tcPr>
          <w:p w14:paraId="29DF7C42">
            <w:pPr>
              <w:outlineLvl w:val="9"/>
              <w:rPr>
                <w:rFonts w:ascii="Arial"/>
                <w:color w:val="auto"/>
                <w:sz w:val="21"/>
                <w:highlight w:val="none"/>
              </w:rPr>
            </w:pPr>
          </w:p>
        </w:tc>
        <w:tc>
          <w:tcPr>
            <w:tcW w:w="2409" w:type="dxa"/>
            <w:gridSpan w:val="2"/>
            <w:vAlign w:val="top"/>
          </w:tcPr>
          <w:p w14:paraId="3CE392A5">
            <w:pPr>
              <w:pStyle w:val="27"/>
              <w:spacing w:before="117" w:line="222" w:lineRule="auto"/>
              <w:ind w:left="113"/>
              <w:outlineLvl w:val="9"/>
              <w:rPr>
                <w:color w:val="auto"/>
                <w:highlight w:val="none"/>
              </w:rPr>
            </w:pPr>
            <w:r>
              <w:rPr>
                <w:color w:val="auto"/>
                <w:spacing w:val="-1"/>
                <w:highlight w:val="none"/>
              </w:rPr>
              <w:t>初级职称人员</w:t>
            </w:r>
          </w:p>
        </w:tc>
        <w:tc>
          <w:tcPr>
            <w:tcW w:w="1080" w:type="dxa"/>
            <w:vAlign w:val="top"/>
          </w:tcPr>
          <w:p w14:paraId="1A6F354F">
            <w:pPr>
              <w:outlineLvl w:val="9"/>
              <w:rPr>
                <w:rFonts w:ascii="Arial"/>
                <w:color w:val="auto"/>
                <w:sz w:val="21"/>
                <w:highlight w:val="none"/>
              </w:rPr>
            </w:pPr>
          </w:p>
        </w:tc>
        <w:tc>
          <w:tcPr>
            <w:tcW w:w="1086" w:type="dxa"/>
            <w:vAlign w:val="top"/>
          </w:tcPr>
          <w:p w14:paraId="3ED37C88">
            <w:pPr>
              <w:outlineLvl w:val="9"/>
              <w:rPr>
                <w:rFonts w:ascii="Arial"/>
                <w:color w:val="auto"/>
                <w:sz w:val="21"/>
                <w:highlight w:val="none"/>
              </w:rPr>
            </w:pPr>
          </w:p>
        </w:tc>
      </w:tr>
      <w:tr w14:paraId="13DC4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14:paraId="60060BF7">
            <w:pPr>
              <w:pStyle w:val="27"/>
              <w:spacing w:before="117" w:line="222" w:lineRule="auto"/>
              <w:ind w:left="119"/>
              <w:outlineLvl w:val="9"/>
              <w:rPr>
                <w:color w:val="auto"/>
                <w:highlight w:val="none"/>
              </w:rPr>
            </w:pPr>
            <w:r>
              <w:rPr>
                <w:color w:val="auto"/>
                <w:spacing w:val="-3"/>
                <w:highlight w:val="none"/>
              </w:rPr>
              <w:t>账号</w:t>
            </w:r>
          </w:p>
        </w:tc>
        <w:tc>
          <w:tcPr>
            <w:tcW w:w="2241" w:type="dxa"/>
            <w:gridSpan w:val="2"/>
            <w:vAlign w:val="top"/>
          </w:tcPr>
          <w:p w14:paraId="013AE420">
            <w:pPr>
              <w:outlineLvl w:val="9"/>
              <w:rPr>
                <w:rFonts w:ascii="Arial"/>
                <w:color w:val="auto"/>
                <w:sz w:val="21"/>
                <w:highlight w:val="none"/>
              </w:rPr>
            </w:pPr>
          </w:p>
        </w:tc>
        <w:tc>
          <w:tcPr>
            <w:tcW w:w="465" w:type="dxa"/>
            <w:vMerge w:val="continue"/>
            <w:tcBorders>
              <w:top w:val="nil"/>
            </w:tcBorders>
            <w:textDirection w:val="tbRlV"/>
            <w:vAlign w:val="top"/>
          </w:tcPr>
          <w:p w14:paraId="25F4A36E">
            <w:pPr>
              <w:outlineLvl w:val="9"/>
              <w:rPr>
                <w:rFonts w:ascii="Arial"/>
                <w:color w:val="auto"/>
                <w:sz w:val="21"/>
                <w:highlight w:val="none"/>
              </w:rPr>
            </w:pPr>
          </w:p>
        </w:tc>
        <w:tc>
          <w:tcPr>
            <w:tcW w:w="2409" w:type="dxa"/>
            <w:gridSpan w:val="2"/>
            <w:vAlign w:val="top"/>
          </w:tcPr>
          <w:p w14:paraId="3DFB4E9D">
            <w:pPr>
              <w:pStyle w:val="27"/>
              <w:spacing w:before="117" w:line="222" w:lineRule="auto"/>
              <w:ind w:left="115"/>
              <w:outlineLvl w:val="9"/>
              <w:rPr>
                <w:color w:val="auto"/>
                <w:highlight w:val="none"/>
              </w:rPr>
            </w:pPr>
            <w:r>
              <w:rPr>
                <w:color w:val="auto"/>
                <w:spacing w:val="-2"/>
                <w:highlight w:val="none"/>
              </w:rPr>
              <w:t>技工</w:t>
            </w:r>
          </w:p>
        </w:tc>
        <w:tc>
          <w:tcPr>
            <w:tcW w:w="1080" w:type="dxa"/>
            <w:vAlign w:val="top"/>
          </w:tcPr>
          <w:p w14:paraId="1B1DDDB8">
            <w:pPr>
              <w:outlineLvl w:val="9"/>
              <w:rPr>
                <w:rFonts w:ascii="Arial"/>
                <w:color w:val="auto"/>
                <w:sz w:val="21"/>
                <w:highlight w:val="none"/>
              </w:rPr>
            </w:pPr>
          </w:p>
        </w:tc>
        <w:tc>
          <w:tcPr>
            <w:tcW w:w="1086" w:type="dxa"/>
            <w:vAlign w:val="top"/>
          </w:tcPr>
          <w:p w14:paraId="224180BA">
            <w:pPr>
              <w:outlineLvl w:val="9"/>
              <w:rPr>
                <w:rFonts w:ascii="Arial"/>
                <w:color w:val="auto"/>
                <w:sz w:val="21"/>
                <w:highlight w:val="none"/>
              </w:rPr>
            </w:pPr>
          </w:p>
        </w:tc>
      </w:tr>
      <w:tr w14:paraId="79203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9" w:hRule="atLeast"/>
        </w:trPr>
        <w:tc>
          <w:tcPr>
            <w:tcW w:w="1938" w:type="dxa"/>
            <w:vAlign w:val="top"/>
          </w:tcPr>
          <w:p w14:paraId="6D71F254">
            <w:pPr>
              <w:spacing w:line="251" w:lineRule="auto"/>
              <w:outlineLvl w:val="9"/>
              <w:rPr>
                <w:rFonts w:ascii="Arial"/>
                <w:color w:val="auto"/>
                <w:sz w:val="21"/>
                <w:highlight w:val="none"/>
              </w:rPr>
            </w:pPr>
          </w:p>
          <w:p w14:paraId="7C304CB2">
            <w:pPr>
              <w:spacing w:line="252" w:lineRule="auto"/>
              <w:outlineLvl w:val="9"/>
              <w:rPr>
                <w:rFonts w:ascii="Arial"/>
                <w:color w:val="auto"/>
                <w:sz w:val="21"/>
                <w:highlight w:val="none"/>
              </w:rPr>
            </w:pPr>
          </w:p>
          <w:p w14:paraId="25357A53">
            <w:pPr>
              <w:spacing w:line="252" w:lineRule="auto"/>
              <w:outlineLvl w:val="9"/>
              <w:rPr>
                <w:rFonts w:ascii="Arial"/>
                <w:color w:val="auto"/>
                <w:sz w:val="21"/>
                <w:highlight w:val="none"/>
              </w:rPr>
            </w:pPr>
          </w:p>
          <w:p w14:paraId="4EC95CE3">
            <w:pPr>
              <w:spacing w:line="252" w:lineRule="auto"/>
              <w:outlineLvl w:val="9"/>
              <w:rPr>
                <w:rFonts w:ascii="Arial"/>
                <w:color w:val="auto"/>
                <w:sz w:val="21"/>
                <w:highlight w:val="none"/>
              </w:rPr>
            </w:pPr>
          </w:p>
          <w:p w14:paraId="73EB69F7">
            <w:pPr>
              <w:spacing w:line="252" w:lineRule="auto"/>
              <w:outlineLvl w:val="9"/>
              <w:rPr>
                <w:rFonts w:ascii="Arial"/>
                <w:color w:val="auto"/>
                <w:sz w:val="21"/>
                <w:highlight w:val="none"/>
              </w:rPr>
            </w:pPr>
          </w:p>
          <w:p w14:paraId="696CF290">
            <w:pPr>
              <w:spacing w:line="252" w:lineRule="auto"/>
              <w:outlineLvl w:val="9"/>
              <w:rPr>
                <w:rFonts w:ascii="Arial"/>
                <w:color w:val="auto"/>
                <w:sz w:val="21"/>
                <w:highlight w:val="none"/>
              </w:rPr>
            </w:pPr>
          </w:p>
          <w:p w14:paraId="174D7408">
            <w:pPr>
              <w:spacing w:line="252" w:lineRule="auto"/>
              <w:outlineLvl w:val="9"/>
              <w:rPr>
                <w:rFonts w:ascii="Arial"/>
                <w:color w:val="auto"/>
                <w:sz w:val="21"/>
                <w:highlight w:val="none"/>
              </w:rPr>
            </w:pPr>
          </w:p>
          <w:p w14:paraId="720846EB">
            <w:pPr>
              <w:pStyle w:val="27"/>
              <w:spacing w:before="69" w:line="221" w:lineRule="auto"/>
              <w:ind w:left="537"/>
              <w:outlineLvl w:val="9"/>
              <w:rPr>
                <w:color w:val="auto"/>
                <w:highlight w:val="none"/>
              </w:rPr>
            </w:pPr>
            <w:r>
              <w:rPr>
                <w:color w:val="auto"/>
                <w:spacing w:val="-2"/>
                <w:highlight w:val="none"/>
              </w:rPr>
              <w:t>经营范围</w:t>
            </w:r>
          </w:p>
        </w:tc>
        <w:tc>
          <w:tcPr>
            <w:tcW w:w="7281" w:type="dxa"/>
            <w:gridSpan w:val="7"/>
            <w:vAlign w:val="top"/>
          </w:tcPr>
          <w:p w14:paraId="6823437F">
            <w:pPr>
              <w:outlineLvl w:val="9"/>
              <w:rPr>
                <w:rFonts w:ascii="Arial"/>
                <w:color w:val="auto"/>
                <w:sz w:val="21"/>
                <w:highlight w:val="none"/>
              </w:rPr>
            </w:pPr>
          </w:p>
        </w:tc>
      </w:tr>
      <w:tr w14:paraId="4D51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38" w:type="dxa"/>
            <w:vAlign w:val="top"/>
          </w:tcPr>
          <w:p w14:paraId="2411351F">
            <w:pPr>
              <w:pStyle w:val="27"/>
              <w:spacing w:before="118" w:line="222" w:lineRule="auto"/>
              <w:ind w:left="766"/>
              <w:outlineLvl w:val="9"/>
              <w:rPr>
                <w:color w:val="auto"/>
                <w:highlight w:val="none"/>
              </w:rPr>
            </w:pPr>
            <w:r>
              <w:rPr>
                <w:color w:val="auto"/>
                <w:spacing w:val="-3"/>
                <w:highlight w:val="none"/>
              </w:rPr>
              <w:t>备注</w:t>
            </w:r>
          </w:p>
        </w:tc>
        <w:tc>
          <w:tcPr>
            <w:tcW w:w="7281" w:type="dxa"/>
            <w:gridSpan w:val="7"/>
            <w:vAlign w:val="top"/>
          </w:tcPr>
          <w:p w14:paraId="4BD50636">
            <w:pPr>
              <w:outlineLvl w:val="9"/>
              <w:rPr>
                <w:rFonts w:ascii="Arial"/>
                <w:color w:val="auto"/>
                <w:sz w:val="21"/>
                <w:highlight w:val="none"/>
              </w:rPr>
            </w:pPr>
          </w:p>
        </w:tc>
      </w:tr>
    </w:tbl>
    <w:p w14:paraId="711E8ECF">
      <w:pPr>
        <w:spacing w:before="29" w:line="220" w:lineRule="auto"/>
        <w:ind w:left="716"/>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注：</w:t>
      </w:r>
      <w:r>
        <w:rPr>
          <w:rFonts w:ascii="Arial" w:hAnsi="Arial" w:eastAsia="Arial" w:cs="Arial"/>
          <w:color w:val="auto"/>
          <w:sz w:val="21"/>
          <w:szCs w:val="21"/>
          <w:highlight w:val="none"/>
        </w:rPr>
        <w:t>1.</w:t>
      </w:r>
      <w:r>
        <w:rPr>
          <w:rFonts w:ascii="宋体" w:hAnsi="宋体" w:eastAsia="宋体" w:cs="宋体"/>
          <w:color w:val="auto"/>
          <w:sz w:val="21"/>
          <w:szCs w:val="21"/>
          <w:highlight w:val="none"/>
        </w:rPr>
        <w:t>应附营业执照、安全生产许可证、资质证书等相关证明材</w:t>
      </w:r>
      <w:r>
        <w:rPr>
          <w:rFonts w:ascii="宋体" w:hAnsi="宋体" w:eastAsia="宋体" w:cs="宋体"/>
          <w:color w:val="auto"/>
          <w:spacing w:val="-1"/>
          <w:sz w:val="21"/>
          <w:szCs w:val="21"/>
          <w:highlight w:val="none"/>
        </w:rPr>
        <w:t>料扫描件；</w:t>
      </w:r>
    </w:p>
    <w:p w14:paraId="18697B52">
      <w:pPr>
        <w:spacing w:before="21" w:line="229" w:lineRule="auto"/>
        <w:ind w:left="85" w:right="146" w:firstLine="1045"/>
        <w:outlineLvl w:val="9"/>
        <w:rPr>
          <w:rFonts w:ascii="宋体" w:hAnsi="宋体" w:eastAsia="宋体" w:cs="宋体"/>
          <w:color w:val="auto"/>
          <w:sz w:val="21"/>
          <w:szCs w:val="21"/>
          <w:highlight w:val="none"/>
        </w:rPr>
      </w:pPr>
      <w:r>
        <w:rPr>
          <w:rFonts w:ascii="Arial" w:hAnsi="Arial" w:eastAsia="Arial" w:cs="Arial"/>
          <w:color w:val="auto"/>
          <w:sz w:val="21"/>
          <w:szCs w:val="21"/>
          <w:highlight w:val="none"/>
        </w:rPr>
        <w:t>2.</w:t>
      </w:r>
      <w:r>
        <w:rPr>
          <w:rFonts w:ascii="宋体" w:hAnsi="宋体" w:eastAsia="宋体" w:cs="宋体"/>
          <w:color w:val="auto"/>
          <w:sz w:val="21"/>
          <w:szCs w:val="21"/>
          <w:highlight w:val="none"/>
        </w:rPr>
        <w:t>近年来，投标人法人机构如发生合法变更、重组、法人名称变更，应提供相关部门的 合法审批件等相关证明材料，证明其业绩、奖项等具备</w:t>
      </w:r>
      <w:r>
        <w:rPr>
          <w:rFonts w:ascii="宋体" w:hAnsi="宋体" w:eastAsia="宋体" w:cs="宋体"/>
          <w:color w:val="auto"/>
          <w:spacing w:val="-1"/>
          <w:sz w:val="21"/>
          <w:szCs w:val="21"/>
          <w:highlight w:val="none"/>
        </w:rPr>
        <w:t>继承性。</w:t>
      </w:r>
    </w:p>
    <w:p w14:paraId="5E0B5DAE">
      <w:pPr>
        <w:spacing w:before="56" w:line="220" w:lineRule="auto"/>
        <w:outlineLvl w:val="9"/>
        <w:rPr>
          <w:rFonts w:ascii="宋体" w:hAnsi="宋体" w:eastAsia="宋体" w:cs="宋体"/>
          <w:color w:val="auto"/>
          <w:sz w:val="28"/>
          <w:szCs w:val="28"/>
          <w:highlight w:val="none"/>
        </w:rPr>
      </w:pPr>
      <w:bookmarkStart w:id="436" w:name="_Toc19980"/>
      <w:r>
        <w:rPr>
          <w:rFonts w:ascii="宋体" w:hAnsi="宋体" w:eastAsia="宋体" w:cs="宋体"/>
          <w:b/>
          <w:bCs/>
          <w:color w:val="auto"/>
          <w:spacing w:val="-6"/>
          <w:sz w:val="28"/>
          <w:szCs w:val="28"/>
          <w:highlight w:val="none"/>
        </w:rPr>
        <w:t>（二）近年财务状况</w:t>
      </w:r>
      <w:bookmarkEnd w:id="436"/>
    </w:p>
    <w:p w14:paraId="00FE25AB">
      <w:pPr>
        <w:spacing w:before="14"/>
        <w:outlineLvl w:val="9"/>
        <w:rPr>
          <w:color w:val="auto"/>
          <w:highlight w:val="none"/>
        </w:rPr>
      </w:pPr>
    </w:p>
    <w:p w14:paraId="43C625DA">
      <w:pPr>
        <w:spacing w:before="13"/>
        <w:outlineLvl w:val="9"/>
        <w:rPr>
          <w:color w:val="auto"/>
          <w:highlight w:val="none"/>
        </w:rPr>
      </w:pPr>
    </w:p>
    <w:tbl>
      <w:tblPr>
        <w:tblStyle w:val="26"/>
        <w:tblW w:w="8533"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1706"/>
        <w:gridCol w:w="1706"/>
        <w:gridCol w:w="1703"/>
        <w:gridCol w:w="1711"/>
      </w:tblGrid>
      <w:tr w14:paraId="28450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07" w:type="dxa"/>
            <w:vAlign w:val="top"/>
          </w:tcPr>
          <w:p w14:paraId="7E860A5E">
            <w:pPr>
              <w:pStyle w:val="27"/>
              <w:spacing w:before="254" w:line="223" w:lineRule="auto"/>
              <w:ind w:left="442"/>
              <w:outlineLvl w:val="9"/>
              <w:rPr>
                <w:color w:val="auto"/>
                <w:highlight w:val="none"/>
              </w:rPr>
            </w:pPr>
            <w:r>
              <w:rPr>
                <w:color w:val="auto"/>
                <w:spacing w:val="-5"/>
                <w:highlight w:val="none"/>
              </w:rPr>
              <w:t>名</w:t>
            </w:r>
            <w:r>
              <w:rPr>
                <w:color w:val="auto"/>
                <w:spacing w:val="1"/>
                <w:highlight w:val="none"/>
              </w:rPr>
              <w:t xml:space="preserve">    </w:t>
            </w:r>
            <w:r>
              <w:rPr>
                <w:color w:val="auto"/>
                <w:spacing w:val="-5"/>
                <w:highlight w:val="none"/>
              </w:rPr>
              <w:t>称</w:t>
            </w:r>
          </w:p>
        </w:tc>
        <w:tc>
          <w:tcPr>
            <w:tcW w:w="1706" w:type="dxa"/>
            <w:vAlign w:val="top"/>
          </w:tcPr>
          <w:p w14:paraId="00E32BCE">
            <w:pPr>
              <w:pStyle w:val="27"/>
              <w:spacing w:before="255" w:line="221" w:lineRule="auto"/>
              <w:ind w:left="542"/>
              <w:outlineLvl w:val="9"/>
              <w:rPr>
                <w:color w:val="auto"/>
                <w:highlight w:val="none"/>
              </w:rPr>
            </w:pPr>
            <w:r>
              <w:rPr>
                <w:color w:val="auto"/>
                <w:spacing w:val="-5"/>
                <w:highlight w:val="none"/>
              </w:rPr>
              <w:t>单</w:t>
            </w:r>
            <w:r>
              <w:rPr>
                <w:color w:val="auto"/>
                <w:spacing w:val="4"/>
                <w:highlight w:val="none"/>
              </w:rPr>
              <w:t xml:space="preserve">  </w:t>
            </w:r>
            <w:r>
              <w:rPr>
                <w:color w:val="auto"/>
                <w:spacing w:val="-5"/>
                <w:highlight w:val="none"/>
              </w:rPr>
              <w:t>位</w:t>
            </w:r>
          </w:p>
        </w:tc>
        <w:tc>
          <w:tcPr>
            <w:tcW w:w="1706" w:type="dxa"/>
            <w:vAlign w:val="top"/>
          </w:tcPr>
          <w:p w14:paraId="126DB12C">
            <w:pPr>
              <w:pStyle w:val="27"/>
              <w:spacing w:before="254" w:line="221" w:lineRule="auto"/>
              <w:ind w:left="753"/>
              <w:outlineLvl w:val="9"/>
              <w:rPr>
                <w:color w:val="auto"/>
                <w:highlight w:val="none"/>
              </w:rPr>
            </w:pPr>
            <w:r>
              <w:rPr>
                <w:color w:val="auto"/>
                <w:highlight w:val="none"/>
              </w:rPr>
              <w:t>年</w:t>
            </w:r>
          </w:p>
        </w:tc>
        <w:tc>
          <w:tcPr>
            <w:tcW w:w="1703" w:type="dxa"/>
            <w:vAlign w:val="top"/>
          </w:tcPr>
          <w:p w14:paraId="27FD86A4">
            <w:pPr>
              <w:pStyle w:val="27"/>
              <w:spacing w:before="254" w:line="221" w:lineRule="auto"/>
              <w:ind w:left="751"/>
              <w:outlineLvl w:val="9"/>
              <w:rPr>
                <w:color w:val="auto"/>
                <w:highlight w:val="none"/>
              </w:rPr>
            </w:pPr>
            <w:r>
              <w:rPr>
                <w:color w:val="auto"/>
                <w:highlight w:val="none"/>
              </w:rPr>
              <w:t>年</w:t>
            </w:r>
          </w:p>
        </w:tc>
        <w:tc>
          <w:tcPr>
            <w:tcW w:w="1711" w:type="dxa"/>
            <w:vAlign w:val="top"/>
          </w:tcPr>
          <w:p w14:paraId="679E202E">
            <w:pPr>
              <w:pStyle w:val="27"/>
              <w:spacing w:before="254" w:line="221" w:lineRule="auto"/>
              <w:ind w:left="755"/>
              <w:outlineLvl w:val="9"/>
              <w:rPr>
                <w:color w:val="auto"/>
                <w:highlight w:val="none"/>
              </w:rPr>
            </w:pPr>
            <w:r>
              <w:rPr>
                <w:color w:val="auto"/>
                <w:highlight w:val="none"/>
              </w:rPr>
              <w:t>年</w:t>
            </w:r>
          </w:p>
        </w:tc>
      </w:tr>
      <w:tr w14:paraId="56802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09BE6490">
            <w:pPr>
              <w:pStyle w:val="27"/>
              <w:spacing w:before="113" w:line="222" w:lineRule="auto"/>
              <w:ind w:left="119"/>
              <w:outlineLvl w:val="9"/>
              <w:rPr>
                <w:color w:val="auto"/>
                <w:highlight w:val="none"/>
              </w:rPr>
            </w:pPr>
            <w:r>
              <w:rPr>
                <w:color w:val="auto"/>
                <w:spacing w:val="-2"/>
                <w:highlight w:val="none"/>
              </w:rPr>
              <w:t>一、注册资金</w:t>
            </w:r>
          </w:p>
        </w:tc>
        <w:tc>
          <w:tcPr>
            <w:tcW w:w="1706" w:type="dxa"/>
            <w:vAlign w:val="top"/>
          </w:tcPr>
          <w:p w14:paraId="3F18E43F">
            <w:pPr>
              <w:outlineLvl w:val="9"/>
              <w:rPr>
                <w:rFonts w:ascii="Arial"/>
                <w:color w:val="auto"/>
                <w:sz w:val="21"/>
                <w:highlight w:val="none"/>
              </w:rPr>
            </w:pPr>
          </w:p>
        </w:tc>
        <w:tc>
          <w:tcPr>
            <w:tcW w:w="1706" w:type="dxa"/>
            <w:vAlign w:val="top"/>
          </w:tcPr>
          <w:p w14:paraId="71FA2FE3">
            <w:pPr>
              <w:outlineLvl w:val="9"/>
              <w:rPr>
                <w:rFonts w:ascii="Arial"/>
                <w:color w:val="auto"/>
                <w:sz w:val="21"/>
                <w:highlight w:val="none"/>
              </w:rPr>
            </w:pPr>
          </w:p>
        </w:tc>
        <w:tc>
          <w:tcPr>
            <w:tcW w:w="1703" w:type="dxa"/>
            <w:vAlign w:val="top"/>
          </w:tcPr>
          <w:p w14:paraId="4CBE9C34">
            <w:pPr>
              <w:outlineLvl w:val="9"/>
              <w:rPr>
                <w:rFonts w:ascii="Arial"/>
                <w:color w:val="auto"/>
                <w:sz w:val="21"/>
                <w:highlight w:val="none"/>
              </w:rPr>
            </w:pPr>
          </w:p>
        </w:tc>
        <w:tc>
          <w:tcPr>
            <w:tcW w:w="1711" w:type="dxa"/>
            <w:vAlign w:val="top"/>
          </w:tcPr>
          <w:p w14:paraId="67C9A990">
            <w:pPr>
              <w:outlineLvl w:val="9"/>
              <w:rPr>
                <w:rFonts w:ascii="Arial"/>
                <w:color w:val="auto"/>
                <w:sz w:val="21"/>
                <w:highlight w:val="none"/>
              </w:rPr>
            </w:pPr>
          </w:p>
        </w:tc>
      </w:tr>
      <w:tr w14:paraId="169B2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7" w:type="dxa"/>
            <w:vAlign w:val="top"/>
          </w:tcPr>
          <w:p w14:paraId="2E82F354">
            <w:pPr>
              <w:pStyle w:val="27"/>
              <w:spacing w:before="113" w:line="221" w:lineRule="auto"/>
              <w:ind w:left="119"/>
              <w:outlineLvl w:val="9"/>
              <w:rPr>
                <w:color w:val="auto"/>
                <w:highlight w:val="none"/>
              </w:rPr>
            </w:pPr>
            <w:r>
              <w:rPr>
                <w:color w:val="auto"/>
                <w:spacing w:val="-2"/>
                <w:highlight w:val="none"/>
              </w:rPr>
              <w:t>二、净资产</w:t>
            </w:r>
          </w:p>
        </w:tc>
        <w:tc>
          <w:tcPr>
            <w:tcW w:w="1706" w:type="dxa"/>
            <w:vAlign w:val="top"/>
          </w:tcPr>
          <w:p w14:paraId="72F5D03E">
            <w:pPr>
              <w:outlineLvl w:val="9"/>
              <w:rPr>
                <w:rFonts w:ascii="Arial"/>
                <w:color w:val="auto"/>
                <w:sz w:val="21"/>
                <w:highlight w:val="none"/>
              </w:rPr>
            </w:pPr>
          </w:p>
        </w:tc>
        <w:tc>
          <w:tcPr>
            <w:tcW w:w="1706" w:type="dxa"/>
            <w:vAlign w:val="top"/>
          </w:tcPr>
          <w:p w14:paraId="07E8B99D">
            <w:pPr>
              <w:outlineLvl w:val="9"/>
              <w:rPr>
                <w:rFonts w:ascii="Arial"/>
                <w:color w:val="auto"/>
                <w:sz w:val="21"/>
                <w:highlight w:val="none"/>
              </w:rPr>
            </w:pPr>
          </w:p>
        </w:tc>
        <w:tc>
          <w:tcPr>
            <w:tcW w:w="1703" w:type="dxa"/>
            <w:vAlign w:val="top"/>
          </w:tcPr>
          <w:p w14:paraId="64840E27">
            <w:pPr>
              <w:outlineLvl w:val="9"/>
              <w:rPr>
                <w:rFonts w:ascii="Arial"/>
                <w:color w:val="auto"/>
                <w:sz w:val="21"/>
                <w:highlight w:val="none"/>
              </w:rPr>
            </w:pPr>
          </w:p>
        </w:tc>
        <w:tc>
          <w:tcPr>
            <w:tcW w:w="1711" w:type="dxa"/>
            <w:vAlign w:val="top"/>
          </w:tcPr>
          <w:p w14:paraId="6EF5AB30">
            <w:pPr>
              <w:outlineLvl w:val="9"/>
              <w:rPr>
                <w:rFonts w:ascii="Arial"/>
                <w:color w:val="auto"/>
                <w:sz w:val="21"/>
                <w:highlight w:val="none"/>
              </w:rPr>
            </w:pPr>
          </w:p>
        </w:tc>
      </w:tr>
      <w:tr w14:paraId="2A693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496D40D3">
            <w:pPr>
              <w:pStyle w:val="27"/>
              <w:spacing w:before="112" w:line="221" w:lineRule="auto"/>
              <w:ind w:left="116"/>
              <w:outlineLvl w:val="9"/>
              <w:rPr>
                <w:color w:val="auto"/>
                <w:highlight w:val="none"/>
              </w:rPr>
            </w:pPr>
            <w:r>
              <w:rPr>
                <w:color w:val="auto"/>
                <w:spacing w:val="-1"/>
                <w:highlight w:val="none"/>
              </w:rPr>
              <w:t>三、总资产</w:t>
            </w:r>
          </w:p>
        </w:tc>
        <w:tc>
          <w:tcPr>
            <w:tcW w:w="1706" w:type="dxa"/>
            <w:vAlign w:val="top"/>
          </w:tcPr>
          <w:p w14:paraId="217DCF55">
            <w:pPr>
              <w:outlineLvl w:val="9"/>
              <w:rPr>
                <w:rFonts w:ascii="Arial"/>
                <w:color w:val="auto"/>
                <w:sz w:val="21"/>
                <w:highlight w:val="none"/>
              </w:rPr>
            </w:pPr>
          </w:p>
        </w:tc>
        <w:tc>
          <w:tcPr>
            <w:tcW w:w="1706" w:type="dxa"/>
            <w:vAlign w:val="top"/>
          </w:tcPr>
          <w:p w14:paraId="2B63A9EE">
            <w:pPr>
              <w:outlineLvl w:val="9"/>
              <w:rPr>
                <w:rFonts w:ascii="Arial"/>
                <w:color w:val="auto"/>
                <w:sz w:val="21"/>
                <w:highlight w:val="none"/>
              </w:rPr>
            </w:pPr>
          </w:p>
        </w:tc>
        <w:tc>
          <w:tcPr>
            <w:tcW w:w="1703" w:type="dxa"/>
            <w:vAlign w:val="top"/>
          </w:tcPr>
          <w:p w14:paraId="66FF7D7D">
            <w:pPr>
              <w:outlineLvl w:val="9"/>
              <w:rPr>
                <w:rFonts w:ascii="Arial"/>
                <w:color w:val="auto"/>
                <w:sz w:val="21"/>
                <w:highlight w:val="none"/>
              </w:rPr>
            </w:pPr>
          </w:p>
        </w:tc>
        <w:tc>
          <w:tcPr>
            <w:tcW w:w="1711" w:type="dxa"/>
            <w:vAlign w:val="top"/>
          </w:tcPr>
          <w:p w14:paraId="738A01B7">
            <w:pPr>
              <w:outlineLvl w:val="9"/>
              <w:rPr>
                <w:rFonts w:ascii="Arial"/>
                <w:color w:val="auto"/>
                <w:sz w:val="21"/>
                <w:highlight w:val="none"/>
              </w:rPr>
            </w:pPr>
          </w:p>
        </w:tc>
      </w:tr>
      <w:tr w14:paraId="65782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7D6B39C3">
            <w:pPr>
              <w:pStyle w:val="27"/>
              <w:spacing w:before="112" w:line="221" w:lineRule="auto"/>
              <w:ind w:left="135"/>
              <w:outlineLvl w:val="9"/>
              <w:rPr>
                <w:color w:val="auto"/>
                <w:highlight w:val="none"/>
              </w:rPr>
            </w:pPr>
            <w:r>
              <w:rPr>
                <w:color w:val="auto"/>
                <w:spacing w:val="-5"/>
                <w:highlight w:val="none"/>
              </w:rPr>
              <w:t>四、固定资产</w:t>
            </w:r>
          </w:p>
        </w:tc>
        <w:tc>
          <w:tcPr>
            <w:tcW w:w="1706" w:type="dxa"/>
            <w:vAlign w:val="top"/>
          </w:tcPr>
          <w:p w14:paraId="3DA49714">
            <w:pPr>
              <w:outlineLvl w:val="9"/>
              <w:rPr>
                <w:rFonts w:ascii="Arial"/>
                <w:color w:val="auto"/>
                <w:sz w:val="21"/>
                <w:highlight w:val="none"/>
              </w:rPr>
            </w:pPr>
          </w:p>
        </w:tc>
        <w:tc>
          <w:tcPr>
            <w:tcW w:w="1706" w:type="dxa"/>
            <w:vAlign w:val="top"/>
          </w:tcPr>
          <w:p w14:paraId="20F43A5A">
            <w:pPr>
              <w:outlineLvl w:val="9"/>
              <w:rPr>
                <w:rFonts w:ascii="Arial"/>
                <w:color w:val="auto"/>
                <w:sz w:val="21"/>
                <w:highlight w:val="none"/>
              </w:rPr>
            </w:pPr>
          </w:p>
        </w:tc>
        <w:tc>
          <w:tcPr>
            <w:tcW w:w="1703" w:type="dxa"/>
            <w:vAlign w:val="top"/>
          </w:tcPr>
          <w:p w14:paraId="31EA3130">
            <w:pPr>
              <w:outlineLvl w:val="9"/>
              <w:rPr>
                <w:rFonts w:ascii="Arial"/>
                <w:color w:val="auto"/>
                <w:sz w:val="21"/>
                <w:highlight w:val="none"/>
              </w:rPr>
            </w:pPr>
          </w:p>
        </w:tc>
        <w:tc>
          <w:tcPr>
            <w:tcW w:w="1711" w:type="dxa"/>
            <w:vAlign w:val="top"/>
          </w:tcPr>
          <w:p w14:paraId="4FE1CE02">
            <w:pPr>
              <w:outlineLvl w:val="9"/>
              <w:rPr>
                <w:rFonts w:ascii="Arial"/>
                <w:color w:val="auto"/>
                <w:sz w:val="21"/>
                <w:highlight w:val="none"/>
              </w:rPr>
            </w:pPr>
          </w:p>
        </w:tc>
      </w:tr>
      <w:tr w14:paraId="5725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2A9A561E">
            <w:pPr>
              <w:pStyle w:val="27"/>
              <w:spacing w:before="252" w:line="221" w:lineRule="auto"/>
              <w:ind w:left="119"/>
              <w:outlineLvl w:val="9"/>
              <w:rPr>
                <w:color w:val="auto"/>
                <w:highlight w:val="none"/>
              </w:rPr>
            </w:pPr>
            <w:r>
              <w:rPr>
                <w:color w:val="auto"/>
                <w:spacing w:val="-2"/>
                <w:highlight w:val="none"/>
              </w:rPr>
              <w:t>五、流动资产</w:t>
            </w:r>
          </w:p>
        </w:tc>
        <w:tc>
          <w:tcPr>
            <w:tcW w:w="1706" w:type="dxa"/>
            <w:vAlign w:val="top"/>
          </w:tcPr>
          <w:p w14:paraId="48C38B63">
            <w:pPr>
              <w:outlineLvl w:val="9"/>
              <w:rPr>
                <w:rFonts w:ascii="Arial"/>
                <w:color w:val="auto"/>
                <w:sz w:val="21"/>
                <w:highlight w:val="none"/>
              </w:rPr>
            </w:pPr>
          </w:p>
        </w:tc>
        <w:tc>
          <w:tcPr>
            <w:tcW w:w="1706" w:type="dxa"/>
            <w:vAlign w:val="top"/>
          </w:tcPr>
          <w:p w14:paraId="7D664825">
            <w:pPr>
              <w:outlineLvl w:val="9"/>
              <w:rPr>
                <w:rFonts w:ascii="Arial"/>
                <w:color w:val="auto"/>
                <w:sz w:val="21"/>
                <w:highlight w:val="none"/>
              </w:rPr>
            </w:pPr>
          </w:p>
        </w:tc>
        <w:tc>
          <w:tcPr>
            <w:tcW w:w="1703" w:type="dxa"/>
            <w:vAlign w:val="top"/>
          </w:tcPr>
          <w:p w14:paraId="34383EB4">
            <w:pPr>
              <w:outlineLvl w:val="9"/>
              <w:rPr>
                <w:rFonts w:ascii="Arial"/>
                <w:color w:val="auto"/>
                <w:sz w:val="21"/>
                <w:highlight w:val="none"/>
              </w:rPr>
            </w:pPr>
          </w:p>
        </w:tc>
        <w:tc>
          <w:tcPr>
            <w:tcW w:w="1711" w:type="dxa"/>
            <w:vAlign w:val="top"/>
          </w:tcPr>
          <w:p w14:paraId="6ABB822E">
            <w:pPr>
              <w:outlineLvl w:val="9"/>
              <w:rPr>
                <w:rFonts w:ascii="Arial"/>
                <w:color w:val="auto"/>
                <w:sz w:val="21"/>
                <w:highlight w:val="none"/>
              </w:rPr>
            </w:pPr>
          </w:p>
        </w:tc>
      </w:tr>
      <w:tr w14:paraId="1AC0A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7" w:type="dxa"/>
            <w:vAlign w:val="top"/>
          </w:tcPr>
          <w:p w14:paraId="7CD23E17">
            <w:pPr>
              <w:pStyle w:val="27"/>
              <w:spacing w:before="116" w:line="221" w:lineRule="auto"/>
              <w:ind w:left="117"/>
              <w:outlineLvl w:val="9"/>
              <w:rPr>
                <w:color w:val="auto"/>
                <w:highlight w:val="none"/>
              </w:rPr>
            </w:pPr>
            <w:r>
              <w:rPr>
                <w:color w:val="auto"/>
                <w:spacing w:val="-2"/>
                <w:highlight w:val="none"/>
              </w:rPr>
              <w:t>六、流动负债</w:t>
            </w:r>
          </w:p>
        </w:tc>
        <w:tc>
          <w:tcPr>
            <w:tcW w:w="1706" w:type="dxa"/>
            <w:vAlign w:val="top"/>
          </w:tcPr>
          <w:p w14:paraId="44AABE07">
            <w:pPr>
              <w:outlineLvl w:val="9"/>
              <w:rPr>
                <w:rFonts w:ascii="Arial"/>
                <w:color w:val="auto"/>
                <w:sz w:val="21"/>
                <w:highlight w:val="none"/>
              </w:rPr>
            </w:pPr>
          </w:p>
        </w:tc>
        <w:tc>
          <w:tcPr>
            <w:tcW w:w="1706" w:type="dxa"/>
            <w:vAlign w:val="top"/>
          </w:tcPr>
          <w:p w14:paraId="2EB528CC">
            <w:pPr>
              <w:outlineLvl w:val="9"/>
              <w:rPr>
                <w:rFonts w:ascii="Arial"/>
                <w:color w:val="auto"/>
                <w:sz w:val="21"/>
                <w:highlight w:val="none"/>
              </w:rPr>
            </w:pPr>
          </w:p>
        </w:tc>
        <w:tc>
          <w:tcPr>
            <w:tcW w:w="1703" w:type="dxa"/>
            <w:vAlign w:val="top"/>
          </w:tcPr>
          <w:p w14:paraId="009696B4">
            <w:pPr>
              <w:outlineLvl w:val="9"/>
              <w:rPr>
                <w:rFonts w:ascii="Arial"/>
                <w:color w:val="auto"/>
                <w:sz w:val="21"/>
                <w:highlight w:val="none"/>
              </w:rPr>
            </w:pPr>
          </w:p>
        </w:tc>
        <w:tc>
          <w:tcPr>
            <w:tcW w:w="1711" w:type="dxa"/>
            <w:vAlign w:val="top"/>
          </w:tcPr>
          <w:p w14:paraId="1A805799">
            <w:pPr>
              <w:outlineLvl w:val="9"/>
              <w:rPr>
                <w:rFonts w:ascii="Arial"/>
                <w:color w:val="auto"/>
                <w:sz w:val="21"/>
                <w:highlight w:val="none"/>
              </w:rPr>
            </w:pPr>
          </w:p>
        </w:tc>
      </w:tr>
      <w:tr w14:paraId="21B8C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17AEE3E7">
            <w:pPr>
              <w:pStyle w:val="27"/>
              <w:spacing w:before="114" w:line="221" w:lineRule="auto"/>
              <w:ind w:left="115"/>
              <w:outlineLvl w:val="9"/>
              <w:rPr>
                <w:color w:val="auto"/>
                <w:highlight w:val="none"/>
              </w:rPr>
            </w:pPr>
            <w:r>
              <w:rPr>
                <w:color w:val="auto"/>
                <w:spacing w:val="-1"/>
                <w:highlight w:val="none"/>
              </w:rPr>
              <w:t>七、负债合计</w:t>
            </w:r>
          </w:p>
        </w:tc>
        <w:tc>
          <w:tcPr>
            <w:tcW w:w="1706" w:type="dxa"/>
            <w:vAlign w:val="top"/>
          </w:tcPr>
          <w:p w14:paraId="2E15F778">
            <w:pPr>
              <w:outlineLvl w:val="9"/>
              <w:rPr>
                <w:rFonts w:ascii="Arial"/>
                <w:color w:val="auto"/>
                <w:sz w:val="21"/>
                <w:highlight w:val="none"/>
              </w:rPr>
            </w:pPr>
          </w:p>
        </w:tc>
        <w:tc>
          <w:tcPr>
            <w:tcW w:w="1706" w:type="dxa"/>
            <w:vAlign w:val="top"/>
          </w:tcPr>
          <w:p w14:paraId="65E068B3">
            <w:pPr>
              <w:outlineLvl w:val="9"/>
              <w:rPr>
                <w:rFonts w:ascii="Arial"/>
                <w:color w:val="auto"/>
                <w:sz w:val="21"/>
                <w:highlight w:val="none"/>
              </w:rPr>
            </w:pPr>
          </w:p>
        </w:tc>
        <w:tc>
          <w:tcPr>
            <w:tcW w:w="1703" w:type="dxa"/>
            <w:vAlign w:val="top"/>
          </w:tcPr>
          <w:p w14:paraId="58324E7C">
            <w:pPr>
              <w:outlineLvl w:val="9"/>
              <w:rPr>
                <w:rFonts w:ascii="Arial"/>
                <w:color w:val="auto"/>
                <w:sz w:val="21"/>
                <w:highlight w:val="none"/>
              </w:rPr>
            </w:pPr>
          </w:p>
        </w:tc>
        <w:tc>
          <w:tcPr>
            <w:tcW w:w="1711" w:type="dxa"/>
            <w:vAlign w:val="top"/>
          </w:tcPr>
          <w:p w14:paraId="1A45D2CD">
            <w:pPr>
              <w:outlineLvl w:val="9"/>
              <w:rPr>
                <w:rFonts w:ascii="Arial"/>
                <w:color w:val="auto"/>
                <w:sz w:val="21"/>
                <w:highlight w:val="none"/>
              </w:rPr>
            </w:pPr>
          </w:p>
        </w:tc>
      </w:tr>
      <w:tr w14:paraId="7AAFB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14:paraId="5170D7AC">
            <w:pPr>
              <w:pStyle w:val="27"/>
              <w:spacing w:before="115" w:line="221" w:lineRule="auto"/>
              <w:ind w:left="119"/>
              <w:outlineLvl w:val="9"/>
              <w:rPr>
                <w:color w:val="auto"/>
                <w:highlight w:val="none"/>
              </w:rPr>
            </w:pPr>
            <w:r>
              <w:rPr>
                <w:color w:val="auto"/>
                <w:spacing w:val="-2"/>
                <w:highlight w:val="none"/>
              </w:rPr>
              <w:t>八、营业收入</w:t>
            </w:r>
          </w:p>
        </w:tc>
        <w:tc>
          <w:tcPr>
            <w:tcW w:w="1706" w:type="dxa"/>
            <w:vAlign w:val="top"/>
          </w:tcPr>
          <w:p w14:paraId="1BF87651">
            <w:pPr>
              <w:outlineLvl w:val="9"/>
              <w:rPr>
                <w:rFonts w:ascii="Arial"/>
                <w:color w:val="auto"/>
                <w:sz w:val="21"/>
                <w:highlight w:val="none"/>
              </w:rPr>
            </w:pPr>
          </w:p>
        </w:tc>
        <w:tc>
          <w:tcPr>
            <w:tcW w:w="1706" w:type="dxa"/>
            <w:vAlign w:val="top"/>
          </w:tcPr>
          <w:p w14:paraId="6505C0A6">
            <w:pPr>
              <w:outlineLvl w:val="9"/>
              <w:rPr>
                <w:rFonts w:ascii="Arial"/>
                <w:color w:val="auto"/>
                <w:sz w:val="21"/>
                <w:highlight w:val="none"/>
              </w:rPr>
            </w:pPr>
          </w:p>
        </w:tc>
        <w:tc>
          <w:tcPr>
            <w:tcW w:w="1703" w:type="dxa"/>
            <w:vAlign w:val="top"/>
          </w:tcPr>
          <w:p w14:paraId="23B10823">
            <w:pPr>
              <w:outlineLvl w:val="9"/>
              <w:rPr>
                <w:rFonts w:ascii="Arial"/>
                <w:color w:val="auto"/>
                <w:sz w:val="21"/>
                <w:highlight w:val="none"/>
              </w:rPr>
            </w:pPr>
          </w:p>
        </w:tc>
        <w:tc>
          <w:tcPr>
            <w:tcW w:w="1711" w:type="dxa"/>
            <w:vAlign w:val="top"/>
          </w:tcPr>
          <w:p w14:paraId="7A625155">
            <w:pPr>
              <w:outlineLvl w:val="9"/>
              <w:rPr>
                <w:rFonts w:ascii="Arial"/>
                <w:color w:val="auto"/>
                <w:sz w:val="21"/>
                <w:highlight w:val="none"/>
              </w:rPr>
            </w:pPr>
          </w:p>
        </w:tc>
      </w:tr>
      <w:tr w14:paraId="78139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707" w:type="dxa"/>
            <w:vAlign w:val="top"/>
          </w:tcPr>
          <w:p w14:paraId="14E808B5">
            <w:pPr>
              <w:pStyle w:val="27"/>
              <w:spacing w:before="118" w:line="221" w:lineRule="auto"/>
              <w:ind w:left="121"/>
              <w:outlineLvl w:val="9"/>
              <w:rPr>
                <w:color w:val="auto"/>
                <w:highlight w:val="none"/>
              </w:rPr>
            </w:pPr>
            <w:r>
              <w:rPr>
                <w:color w:val="auto"/>
                <w:spacing w:val="-2"/>
                <w:highlight w:val="none"/>
              </w:rPr>
              <w:t>九、净利润</w:t>
            </w:r>
          </w:p>
        </w:tc>
        <w:tc>
          <w:tcPr>
            <w:tcW w:w="1706" w:type="dxa"/>
            <w:vAlign w:val="top"/>
          </w:tcPr>
          <w:p w14:paraId="7073DFA1">
            <w:pPr>
              <w:outlineLvl w:val="9"/>
              <w:rPr>
                <w:rFonts w:ascii="Arial"/>
                <w:color w:val="auto"/>
                <w:sz w:val="21"/>
                <w:highlight w:val="none"/>
              </w:rPr>
            </w:pPr>
          </w:p>
        </w:tc>
        <w:tc>
          <w:tcPr>
            <w:tcW w:w="1706" w:type="dxa"/>
            <w:vAlign w:val="top"/>
          </w:tcPr>
          <w:p w14:paraId="2247D753">
            <w:pPr>
              <w:outlineLvl w:val="9"/>
              <w:rPr>
                <w:rFonts w:ascii="Arial"/>
                <w:color w:val="auto"/>
                <w:sz w:val="21"/>
                <w:highlight w:val="none"/>
              </w:rPr>
            </w:pPr>
          </w:p>
        </w:tc>
        <w:tc>
          <w:tcPr>
            <w:tcW w:w="1703" w:type="dxa"/>
            <w:vAlign w:val="top"/>
          </w:tcPr>
          <w:p w14:paraId="3D9F879A">
            <w:pPr>
              <w:outlineLvl w:val="9"/>
              <w:rPr>
                <w:rFonts w:ascii="Arial"/>
                <w:color w:val="auto"/>
                <w:sz w:val="21"/>
                <w:highlight w:val="none"/>
              </w:rPr>
            </w:pPr>
          </w:p>
        </w:tc>
        <w:tc>
          <w:tcPr>
            <w:tcW w:w="1711" w:type="dxa"/>
            <w:vAlign w:val="top"/>
          </w:tcPr>
          <w:p w14:paraId="712957D1">
            <w:pPr>
              <w:outlineLvl w:val="9"/>
              <w:rPr>
                <w:rFonts w:ascii="Arial"/>
                <w:color w:val="auto"/>
                <w:sz w:val="21"/>
                <w:highlight w:val="none"/>
              </w:rPr>
            </w:pPr>
          </w:p>
        </w:tc>
      </w:tr>
    </w:tbl>
    <w:p w14:paraId="36053767">
      <w:pPr>
        <w:spacing w:before="269" w:line="220" w:lineRule="auto"/>
        <w:ind w:left="272"/>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注：应附相关证明材料扫描件。</w:t>
      </w:r>
    </w:p>
    <w:p w14:paraId="0737F7B5">
      <w:pPr>
        <w:spacing w:before="286" w:line="220" w:lineRule="auto"/>
        <w:ind w:left="774"/>
        <w:outlineLvl w:val="9"/>
        <w:rPr>
          <w:rFonts w:ascii="宋体" w:hAnsi="宋体" w:eastAsia="宋体" w:cs="宋体"/>
          <w:b/>
          <w:bCs/>
          <w:color w:val="auto"/>
          <w:spacing w:val="-4"/>
          <w:sz w:val="28"/>
          <w:szCs w:val="28"/>
          <w:highlight w:val="none"/>
        </w:rPr>
      </w:pPr>
    </w:p>
    <w:p w14:paraId="48F34F9F">
      <w:pPr>
        <w:spacing w:before="286" w:line="220" w:lineRule="auto"/>
        <w:ind w:left="774"/>
        <w:outlineLvl w:val="9"/>
        <w:rPr>
          <w:rFonts w:ascii="宋体" w:hAnsi="宋体" w:eastAsia="宋体" w:cs="宋体"/>
          <w:b/>
          <w:bCs/>
          <w:color w:val="auto"/>
          <w:spacing w:val="-4"/>
          <w:sz w:val="28"/>
          <w:szCs w:val="28"/>
          <w:highlight w:val="none"/>
        </w:rPr>
      </w:pPr>
    </w:p>
    <w:p w14:paraId="0ECEA3FF">
      <w:pPr>
        <w:spacing w:before="286" w:line="220" w:lineRule="auto"/>
        <w:ind w:left="774"/>
        <w:outlineLvl w:val="9"/>
        <w:rPr>
          <w:rFonts w:ascii="宋体" w:hAnsi="宋体" w:eastAsia="宋体" w:cs="宋体"/>
          <w:b/>
          <w:bCs/>
          <w:color w:val="auto"/>
          <w:spacing w:val="-4"/>
          <w:sz w:val="28"/>
          <w:szCs w:val="28"/>
          <w:highlight w:val="none"/>
        </w:rPr>
      </w:pPr>
    </w:p>
    <w:p w14:paraId="766BB694">
      <w:pPr>
        <w:spacing w:before="286" w:line="220" w:lineRule="auto"/>
        <w:ind w:left="774"/>
        <w:outlineLvl w:val="9"/>
        <w:rPr>
          <w:rFonts w:ascii="宋体" w:hAnsi="宋体" w:eastAsia="宋体" w:cs="宋体"/>
          <w:b/>
          <w:bCs/>
          <w:color w:val="auto"/>
          <w:spacing w:val="-4"/>
          <w:sz w:val="28"/>
          <w:szCs w:val="28"/>
          <w:highlight w:val="none"/>
        </w:rPr>
      </w:pPr>
    </w:p>
    <w:p w14:paraId="3B719060">
      <w:pPr>
        <w:spacing w:before="286" w:line="220" w:lineRule="auto"/>
        <w:ind w:left="774"/>
        <w:outlineLvl w:val="9"/>
        <w:rPr>
          <w:rFonts w:ascii="宋体" w:hAnsi="宋体" w:eastAsia="宋体" w:cs="宋体"/>
          <w:b/>
          <w:bCs/>
          <w:color w:val="auto"/>
          <w:spacing w:val="-4"/>
          <w:sz w:val="28"/>
          <w:szCs w:val="28"/>
          <w:highlight w:val="none"/>
        </w:rPr>
      </w:pPr>
    </w:p>
    <w:p w14:paraId="13CF7EA4">
      <w:pPr>
        <w:spacing w:before="286" w:line="220" w:lineRule="auto"/>
        <w:ind w:left="774"/>
        <w:outlineLvl w:val="9"/>
        <w:rPr>
          <w:rFonts w:ascii="宋体" w:hAnsi="宋体" w:eastAsia="宋体" w:cs="宋体"/>
          <w:b/>
          <w:bCs/>
          <w:color w:val="auto"/>
          <w:spacing w:val="-4"/>
          <w:sz w:val="28"/>
          <w:szCs w:val="28"/>
          <w:highlight w:val="none"/>
        </w:rPr>
      </w:pPr>
    </w:p>
    <w:p w14:paraId="74DB320C">
      <w:pPr>
        <w:spacing w:before="286" w:line="220" w:lineRule="auto"/>
        <w:ind w:left="774"/>
        <w:outlineLvl w:val="9"/>
        <w:rPr>
          <w:rFonts w:ascii="宋体" w:hAnsi="宋体" w:eastAsia="宋体" w:cs="宋体"/>
          <w:b/>
          <w:bCs/>
          <w:color w:val="auto"/>
          <w:spacing w:val="-4"/>
          <w:sz w:val="28"/>
          <w:szCs w:val="28"/>
          <w:highlight w:val="none"/>
        </w:rPr>
      </w:pPr>
    </w:p>
    <w:p w14:paraId="76833D54">
      <w:pPr>
        <w:spacing w:before="286" w:line="220" w:lineRule="auto"/>
        <w:ind w:left="774"/>
        <w:outlineLvl w:val="9"/>
        <w:rPr>
          <w:rFonts w:ascii="宋体" w:hAnsi="宋体" w:eastAsia="宋体" w:cs="宋体"/>
          <w:b/>
          <w:bCs/>
          <w:color w:val="auto"/>
          <w:spacing w:val="-4"/>
          <w:sz w:val="28"/>
          <w:szCs w:val="28"/>
          <w:highlight w:val="none"/>
        </w:rPr>
      </w:pPr>
    </w:p>
    <w:p w14:paraId="03F36F45">
      <w:pPr>
        <w:spacing w:before="286" w:line="220" w:lineRule="auto"/>
        <w:ind w:left="774"/>
        <w:outlineLvl w:val="9"/>
        <w:rPr>
          <w:rFonts w:ascii="宋体" w:hAnsi="宋体" w:eastAsia="宋体" w:cs="宋体"/>
          <w:b/>
          <w:bCs/>
          <w:color w:val="auto"/>
          <w:spacing w:val="-4"/>
          <w:sz w:val="28"/>
          <w:szCs w:val="28"/>
          <w:highlight w:val="none"/>
        </w:rPr>
      </w:pPr>
    </w:p>
    <w:p w14:paraId="2C0C3322">
      <w:pPr>
        <w:spacing w:before="286" w:line="220" w:lineRule="auto"/>
        <w:ind w:left="774"/>
        <w:outlineLvl w:val="9"/>
        <w:rPr>
          <w:rFonts w:ascii="宋体" w:hAnsi="宋体" w:eastAsia="宋体" w:cs="宋体"/>
          <w:b/>
          <w:bCs/>
          <w:color w:val="auto"/>
          <w:spacing w:val="-4"/>
          <w:sz w:val="28"/>
          <w:szCs w:val="28"/>
          <w:highlight w:val="none"/>
        </w:rPr>
      </w:pPr>
    </w:p>
    <w:p w14:paraId="4711EFA4">
      <w:pPr>
        <w:spacing w:before="286" w:line="220" w:lineRule="auto"/>
        <w:ind w:left="774"/>
        <w:outlineLvl w:val="9"/>
        <w:rPr>
          <w:rFonts w:ascii="宋体" w:hAnsi="宋体" w:eastAsia="宋体" w:cs="宋体"/>
          <w:b/>
          <w:bCs/>
          <w:color w:val="auto"/>
          <w:spacing w:val="-4"/>
          <w:sz w:val="28"/>
          <w:szCs w:val="28"/>
          <w:highlight w:val="none"/>
        </w:rPr>
      </w:pPr>
    </w:p>
    <w:p w14:paraId="7CAF7091">
      <w:pPr>
        <w:spacing w:before="286" w:line="220" w:lineRule="auto"/>
        <w:outlineLvl w:val="9"/>
        <w:rPr>
          <w:rFonts w:ascii="宋体" w:hAnsi="宋体" w:eastAsia="宋体" w:cs="宋体"/>
          <w:color w:val="auto"/>
          <w:sz w:val="28"/>
          <w:szCs w:val="28"/>
          <w:highlight w:val="none"/>
        </w:rPr>
      </w:pPr>
      <w:bookmarkStart w:id="437" w:name="_Toc18130"/>
      <w:r>
        <w:rPr>
          <w:rFonts w:ascii="宋体" w:hAnsi="宋体" w:eastAsia="宋体" w:cs="宋体"/>
          <w:b/>
          <w:bCs/>
          <w:color w:val="auto"/>
          <w:spacing w:val="-4"/>
          <w:sz w:val="28"/>
          <w:szCs w:val="28"/>
          <w:highlight w:val="none"/>
        </w:rPr>
        <w:t>（三）近年完成的类似项目情况表</w:t>
      </w:r>
      <w:bookmarkEnd w:id="437"/>
    </w:p>
    <w:p w14:paraId="4C63190F">
      <w:pPr>
        <w:spacing w:before="17"/>
        <w:outlineLvl w:val="9"/>
        <w:rPr>
          <w:color w:val="auto"/>
          <w:highlight w:val="none"/>
        </w:rPr>
      </w:pPr>
    </w:p>
    <w:p w14:paraId="7FFEE5D8">
      <w:pPr>
        <w:spacing w:before="17"/>
        <w:outlineLvl w:val="9"/>
        <w:rPr>
          <w:color w:val="auto"/>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5"/>
        <w:gridCol w:w="6816"/>
      </w:tblGrid>
      <w:tr w14:paraId="7613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475" w:type="dxa"/>
            <w:vAlign w:val="top"/>
          </w:tcPr>
          <w:p w14:paraId="3257FDBC">
            <w:pPr>
              <w:pStyle w:val="27"/>
              <w:spacing w:before="291" w:line="221" w:lineRule="auto"/>
              <w:ind w:left="827"/>
              <w:outlineLvl w:val="9"/>
              <w:rPr>
                <w:color w:val="auto"/>
                <w:highlight w:val="none"/>
              </w:rPr>
            </w:pPr>
            <w:r>
              <w:rPr>
                <w:color w:val="auto"/>
                <w:spacing w:val="-3"/>
                <w:highlight w:val="none"/>
              </w:rPr>
              <w:t>项目名称</w:t>
            </w:r>
          </w:p>
        </w:tc>
        <w:tc>
          <w:tcPr>
            <w:tcW w:w="6816" w:type="dxa"/>
            <w:vAlign w:val="top"/>
          </w:tcPr>
          <w:p w14:paraId="64A50632">
            <w:pPr>
              <w:outlineLvl w:val="9"/>
              <w:rPr>
                <w:rFonts w:ascii="Arial"/>
                <w:color w:val="auto"/>
                <w:sz w:val="21"/>
                <w:highlight w:val="none"/>
              </w:rPr>
            </w:pPr>
          </w:p>
        </w:tc>
      </w:tr>
      <w:tr w14:paraId="53AD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14:paraId="5C3EAB51">
            <w:pPr>
              <w:pStyle w:val="27"/>
              <w:spacing w:before="255" w:line="221" w:lineRule="auto"/>
              <w:ind w:left="721"/>
              <w:outlineLvl w:val="9"/>
              <w:rPr>
                <w:color w:val="auto"/>
                <w:highlight w:val="none"/>
              </w:rPr>
            </w:pPr>
            <w:r>
              <w:rPr>
                <w:color w:val="auto"/>
                <w:spacing w:val="-2"/>
                <w:highlight w:val="none"/>
              </w:rPr>
              <w:t>项目所在地</w:t>
            </w:r>
          </w:p>
        </w:tc>
        <w:tc>
          <w:tcPr>
            <w:tcW w:w="6816" w:type="dxa"/>
            <w:vAlign w:val="top"/>
          </w:tcPr>
          <w:p w14:paraId="43F26CC4">
            <w:pPr>
              <w:outlineLvl w:val="9"/>
              <w:rPr>
                <w:rFonts w:ascii="Arial"/>
                <w:color w:val="auto"/>
                <w:sz w:val="21"/>
                <w:highlight w:val="none"/>
              </w:rPr>
            </w:pPr>
          </w:p>
        </w:tc>
      </w:tr>
      <w:tr w14:paraId="5E97A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475" w:type="dxa"/>
            <w:vAlign w:val="top"/>
          </w:tcPr>
          <w:p w14:paraId="27AE72E4">
            <w:pPr>
              <w:pStyle w:val="27"/>
              <w:spacing w:before="258" w:line="221" w:lineRule="auto"/>
              <w:ind w:left="721"/>
              <w:outlineLvl w:val="9"/>
              <w:rPr>
                <w:color w:val="auto"/>
                <w:highlight w:val="none"/>
              </w:rPr>
            </w:pPr>
            <w:r>
              <w:rPr>
                <w:color w:val="auto"/>
                <w:spacing w:val="-2"/>
                <w:highlight w:val="none"/>
              </w:rPr>
              <w:t>发包人名称</w:t>
            </w:r>
          </w:p>
        </w:tc>
        <w:tc>
          <w:tcPr>
            <w:tcW w:w="6816" w:type="dxa"/>
            <w:vAlign w:val="top"/>
          </w:tcPr>
          <w:p w14:paraId="1DF2CC37">
            <w:pPr>
              <w:outlineLvl w:val="9"/>
              <w:rPr>
                <w:rFonts w:ascii="Arial"/>
                <w:color w:val="auto"/>
                <w:sz w:val="21"/>
                <w:highlight w:val="none"/>
              </w:rPr>
            </w:pPr>
          </w:p>
        </w:tc>
      </w:tr>
      <w:tr w14:paraId="36D83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14:paraId="20A701F2">
            <w:pPr>
              <w:pStyle w:val="27"/>
              <w:spacing w:before="256" w:line="221" w:lineRule="auto"/>
              <w:ind w:left="721"/>
              <w:outlineLvl w:val="9"/>
              <w:rPr>
                <w:color w:val="auto"/>
                <w:highlight w:val="none"/>
              </w:rPr>
            </w:pPr>
            <w:r>
              <w:rPr>
                <w:color w:val="auto"/>
                <w:spacing w:val="-2"/>
                <w:highlight w:val="none"/>
              </w:rPr>
              <w:t>发包人地址</w:t>
            </w:r>
          </w:p>
        </w:tc>
        <w:tc>
          <w:tcPr>
            <w:tcW w:w="6816" w:type="dxa"/>
            <w:vAlign w:val="top"/>
          </w:tcPr>
          <w:p w14:paraId="767B6DCD">
            <w:pPr>
              <w:outlineLvl w:val="9"/>
              <w:rPr>
                <w:rFonts w:ascii="Arial"/>
                <w:color w:val="auto"/>
                <w:sz w:val="21"/>
                <w:highlight w:val="none"/>
              </w:rPr>
            </w:pPr>
          </w:p>
        </w:tc>
      </w:tr>
      <w:tr w14:paraId="6B2A3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475" w:type="dxa"/>
            <w:vAlign w:val="top"/>
          </w:tcPr>
          <w:p w14:paraId="380F933C">
            <w:pPr>
              <w:pStyle w:val="27"/>
              <w:spacing w:before="262" w:line="221" w:lineRule="auto"/>
              <w:ind w:left="721"/>
              <w:outlineLvl w:val="9"/>
              <w:rPr>
                <w:color w:val="auto"/>
                <w:highlight w:val="none"/>
              </w:rPr>
            </w:pPr>
            <w:r>
              <w:rPr>
                <w:color w:val="auto"/>
                <w:spacing w:val="-2"/>
                <w:highlight w:val="none"/>
              </w:rPr>
              <w:t>发包人电话</w:t>
            </w:r>
          </w:p>
        </w:tc>
        <w:tc>
          <w:tcPr>
            <w:tcW w:w="6816" w:type="dxa"/>
            <w:vAlign w:val="top"/>
          </w:tcPr>
          <w:p w14:paraId="013E7BF7">
            <w:pPr>
              <w:outlineLvl w:val="9"/>
              <w:rPr>
                <w:rFonts w:ascii="Arial"/>
                <w:color w:val="auto"/>
                <w:sz w:val="21"/>
                <w:highlight w:val="none"/>
              </w:rPr>
            </w:pPr>
          </w:p>
        </w:tc>
      </w:tr>
      <w:tr w14:paraId="674D5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14:paraId="5AB1FF71">
            <w:pPr>
              <w:pStyle w:val="27"/>
              <w:spacing w:before="259" w:line="219" w:lineRule="auto"/>
              <w:ind w:left="824"/>
              <w:outlineLvl w:val="9"/>
              <w:rPr>
                <w:color w:val="auto"/>
                <w:highlight w:val="none"/>
              </w:rPr>
            </w:pPr>
            <w:r>
              <w:rPr>
                <w:color w:val="auto"/>
                <w:spacing w:val="-2"/>
                <w:highlight w:val="none"/>
              </w:rPr>
              <w:t>合同价格</w:t>
            </w:r>
          </w:p>
        </w:tc>
        <w:tc>
          <w:tcPr>
            <w:tcW w:w="6816" w:type="dxa"/>
            <w:vAlign w:val="top"/>
          </w:tcPr>
          <w:p w14:paraId="3D5CBB55">
            <w:pPr>
              <w:outlineLvl w:val="9"/>
              <w:rPr>
                <w:rFonts w:ascii="Arial"/>
                <w:color w:val="auto"/>
                <w:sz w:val="21"/>
                <w:highlight w:val="none"/>
              </w:rPr>
            </w:pPr>
          </w:p>
        </w:tc>
      </w:tr>
      <w:tr w14:paraId="0CD2F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475" w:type="dxa"/>
            <w:vAlign w:val="top"/>
          </w:tcPr>
          <w:p w14:paraId="3EC496AE">
            <w:pPr>
              <w:pStyle w:val="27"/>
              <w:spacing w:before="257" w:line="221" w:lineRule="auto"/>
              <w:ind w:left="824"/>
              <w:outlineLvl w:val="9"/>
              <w:rPr>
                <w:color w:val="auto"/>
                <w:highlight w:val="none"/>
              </w:rPr>
            </w:pPr>
            <w:r>
              <w:rPr>
                <w:color w:val="auto"/>
                <w:spacing w:val="-2"/>
                <w:highlight w:val="none"/>
              </w:rPr>
              <w:t>开工日期</w:t>
            </w:r>
          </w:p>
        </w:tc>
        <w:tc>
          <w:tcPr>
            <w:tcW w:w="6816" w:type="dxa"/>
            <w:vAlign w:val="top"/>
          </w:tcPr>
          <w:p w14:paraId="49FA15B8">
            <w:pPr>
              <w:outlineLvl w:val="9"/>
              <w:rPr>
                <w:rFonts w:ascii="Arial"/>
                <w:color w:val="auto"/>
                <w:sz w:val="21"/>
                <w:highlight w:val="none"/>
              </w:rPr>
            </w:pPr>
          </w:p>
        </w:tc>
      </w:tr>
      <w:tr w14:paraId="792EC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75" w:type="dxa"/>
            <w:vAlign w:val="top"/>
          </w:tcPr>
          <w:p w14:paraId="16368A38">
            <w:pPr>
              <w:pStyle w:val="27"/>
              <w:spacing w:before="266" w:line="221" w:lineRule="auto"/>
              <w:ind w:left="824"/>
              <w:outlineLvl w:val="9"/>
              <w:rPr>
                <w:color w:val="auto"/>
                <w:highlight w:val="none"/>
              </w:rPr>
            </w:pPr>
            <w:r>
              <w:rPr>
                <w:color w:val="auto"/>
                <w:spacing w:val="-2"/>
                <w:highlight w:val="none"/>
              </w:rPr>
              <w:t>竣工日期</w:t>
            </w:r>
          </w:p>
        </w:tc>
        <w:tc>
          <w:tcPr>
            <w:tcW w:w="6816" w:type="dxa"/>
            <w:vAlign w:val="top"/>
          </w:tcPr>
          <w:p w14:paraId="554E26A7">
            <w:pPr>
              <w:outlineLvl w:val="9"/>
              <w:rPr>
                <w:rFonts w:ascii="Arial"/>
                <w:color w:val="auto"/>
                <w:sz w:val="21"/>
                <w:highlight w:val="none"/>
              </w:rPr>
            </w:pPr>
          </w:p>
        </w:tc>
      </w:tr>
      <w:tr w14:paraId="4B400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14:paraId="45C2A058">
            <w:pPr>
              <w:pStyle w:val="27"/>
              <w:spacing w:before="257" w:line="221" w:lineRule="auto"/>
              <w:ind w:left="718"/>
              <w:outlineLvl w:val="9"/>
              <w:rPr>
                <w:color w:val="auto"/>
                <w:highlight w:val="none"/>
              </w:rPr>
            </w:pPr>
            <w:r>
              <w:rPr>
                <w:color w:val="auto"/>
                <w:spacing w:val="-1"/>
                <w:highlight w:val="none"/>
              </w:rPr>
              <w:t>承担的工作</w:t>
            </w:r>
          </w:p>
        </w:tc>
        <w:tc>
          <w:tcPr>
            <w:tcW w:w="6816" w:type="dxa"/>
            <w:vAlign w:val="top"/>
          </w:tcPr>
          <w:p w14:paraId="37F39962">
            <w:pPr>
              <w:outlineLvl w:val="9"/>
              <w:rPr>
                <w:rFonts w:ascii="Arial"/>
                <w:color w:val="auto"/>
                <w:sz w:val="21"/>
                <w:highlight w:val="none"/>
              </w:rPr>
            </w:pPr>
          </w:p>
        </w:tc>
      </w:tr>
      <w:tr w14:paraId="7482F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475" w:type="dxa"/>
            <w:vAlign w:val="top"/>
          </w:tcPr>
          <w:p w14:paraId="1AD4A8E6">
            <w:pPr>
              <w:pStyle w:val="27"/>
              <w:spacing w:before="261" w:line="221" w:lineRule="auto"/>
              <w:ind w:left="826"/>
              <w:outlineLvl w:val="9"/>
              <w:rPr>
                <w:color w:val="auto"/>
                <w:highlight w:val="none"/>
              </w:rPr>
            </w:pPr>
            <w:r>
              <w:rPr>
                <w:color w:val="auto"/>
                <w:spacing w:val="-2"/>
                <w:highlight w:val="none"/>
              </w:rPr>
              <w:t>工程质量</w:t>
            </w:r>
          </w:p>
        </w:tc>
        <w:tc>
          <w:tcPr>
            <w:tcW w:w="6816" w:type="dxa"/>
            <w:vAlign w:val="top"/>
          </w:tcPr>
          <w:p w14:paraId="03F36AFB">
            <w:pPr>
              <w:outlineLvl w:val="9"/>
              <w:rPr>
                <w:rFonts w:ascii="Arial"/>
                <w:color w:val="auto"/>
                <w:sz w:val="21"/>
                <w:highlight w:val="none"/>
              </w:rPr>
            </w:pPr>
          </w:p>
        </w:tc>
      </w:tr>
      <w:tr w14:paraId="7F3C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14:paraId="2BB5B69B">
            <w:pPr>
              <w:pStyle w:val="27"/>
              <w:spacing w:before="261" w:line="221" w:lineRule="auto"/>
              <w:ind w:left="827"/>
              <w:outlineLvl w:val="9"/>
              <w:rPr>
                <w:color w:val="auto"/>
                <w:highlight w:val="none"/>
              </w:rPr>
            </w:pPr>
            <w:r>
              <w:rPr>
                <w:color w:val="auto"/>
                <w:spacing w:val="-3"/>
                <w:highlight w:val="none"/>
              </w:rPr>
              <w:t>项目经理</w:t>
            </w:r>
          </w:p>
        </w:tc>
        <w:tc>
          <w:tcPr>
            <w:tcW w:w="6816" w:type="dxa"/>
            <w:vAlign w:val="top"/>
          </w:tcPr>
          <w:p w14:paraId="59BC7513">
            <w:pPr>
              <w:outlineLvl w:val="9"/>
              <w:rPr>
                <w:rFonts w:ascii="Arial"/>
                <w:color w:val="auto"/>
                <w:sz w:val="21"/>
                <w:highlight w:val="none"/>
              </w:rPr>
            </w:pPr>
          </w:p>
        </w:tc>
      </w:tr>
      <w:tr w14:paraId="1ACF6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475" w:type="dxa"/>
            <w:vAlign w:val="top"/>
          </w:tcPr>
          <w:p w14:paraId="37370FD4">
            <w:pPr>
              <w:pStyle w:val="27"/>
              <w:spacing w:before="263" w:line="221" w:lineRule="auto"/>
              <w:ind w:left="719"/>
              <w:outlineLvl w:val="9"/>
              <w:rPr>
                <w:color w:val="auto"/>
                <w:highlight w:val="none"/>
              </w:rPr>
            </w:pPr>
            <w:r>
              <w:rPr>
                <w:color w:val="auto"/>
                <w:spacing w:val="-2"/>
                <w:highlight w:val="none"/>
              </w:rPr>
              <w:t>技术负责人</w:t>
            </w:r>
          </w:p>
        </w:tc>
        <w:tc>
          <w:tcPr>
            <w:tcW w:w="6816" w:type="dxa"/>
            <w:vAlign w:val="top"/>
          </w:tcPr>
          <w:p w14:paraId="3589203D">
            <w:pPr>
              <w:outlineLvl w:val="9"/>
              <w:rPr>
                <w:rFonts w:ascii="Arial"/>
                <w:color w:val="auto"/>
                <w:sz w:val="21"/>
                <w:highlight w:val="none"/>
              </w:rPr>
            </w:pPr>
          </w:p>
        </w:tc>
      </w:tr>
      <w:tr w14:paraId="14E17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475" w:type="dxa"/>
            <w:vAlign w:val="top"/>
          </w:tcPr>
          <w:p w14:paraId="72A084EF">
            <w:pPr>
              <w:pStyle w:val="27"/>
              <w:spacing w:before="178" w:line="306" w:lineRule="auto"/>
              <w:ind w:left="847" w:right="182" w:hanging="654"/>
              <w:outlineLvl w:val="9"/>
              <w:rPr>
                <w:color w:val="auto"/>
                <w:highlight w:val="none"/>
              </w:rPr>
            </w:pPr>
            <w:r>
              <w:rPr>
                <w:color w:val="auto"/>
                <w:spacing w:val="-1"/>
                <w:highlight w:val="none"/>
              </w:rPr>
              <w:t>监理人和总监理工程师</w:t>
            </w:r>
            <w:r>
              <w:rPr>
                <w:color w:val="auto"/>
                <w:spacing w:val="2"/>
                <w:highlight w:val="none"/>
              </w:rPr>
              <w:t xml:space="preserve"> </w:t>
            </w:r>
            <w:r>
              <w:rPr>
                <w:color w:val="auto"/>
                <w:spacing w:val="-8"/>
                <w:highlight w:val="none"/>
              </w:rPr>
              <w:t>以及电话</w:t>
            </w:r>
          </w:p>
        </w:tc>
        <w:tc>
          <w:tcPr>
            <w:tcW w:w="6816" w:type="dxa"/>
            <w:vAlign w:val="top"/>
          </w:tcPr>
          <w:p w14:paraId="59B0E262">
            <w:pPr>
              <w:outlineLvl w:val="9"/>
              <w:rPr>
                <w:rFonts w:ascii="Arial"/>
                <w:color w:val="auto"/>
                <w:sz w:val="21"/>
                <w:highlight w:val="none"/>
              </w:rPr>
            </w:pPr>
          </w:p>
        </w:tc>
      </w:tr>
      <w:tr w14:paraId="372E3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2475" w:type="dxa"/>
            <w:vAlign w:val="top"/>
          </w:tcPr>
          <w:p w14:paraId="2EFD8B16">
            <w:pPr>
              <w:spacing w:line="273" w:lineRule="auto"/>
              <w:outlineLvl w:val="9"/>
              <w:rPr>
                <w:rFonts w:ascii="Arial"/>
                <w:color w:val="auto"/>
                <w:sz w:val="21"/>
                <w:highlight w:val="none"/>
              </w:rPr>
            </w:pPr>
          </w:p>
          <w:p w14:paraId="6641BA7D">
            <w:pPr>
              <w:spacing w:line="273" w:lineRule="auto"/>
              <w:outlineLvl w:val="9"/>
              <w:rPr>
                <w:rFonts w:ascii="Arial"/>
                <w:color w:val="auto"/>
                <w:sz w:val="21"/>
                <w:highlight w:val="none"/>
              </w:rPr>
            </w:pPr>
          </w:p>
          <w:p w14:paraId="55D5CEEA">
            <w:pPr>
              <w:pStyle w:val="27"/>
              <w:spacing w:before="68" w:line="221" w:lineRule="auto"/>
              <w:ind w:left="827"/>
              <w:outlineLvl w:val="9"/>
              <w:rPr>
                <w:color w:val="auto"/>
                <w:highlight w:val="none"/>
              </w:rPr>
            </w:pPr>
            <w:r>
              <w:rPr>
                <w:color w:val="auto"/>
                <w:spacing w:val="-3"/>
                <w:highlight w:val="none"/>
              </w:rPr>
              <w:t>项目描述</w:t>
            </w:r>
          </w:p>
        </w:tc>
        <w:tc>
          <w:tcPr>
            <w:tcW w:w="6816" w:type="dxa"/>
            <w:vAlign w:val="top"/>
          </w:tcPr>
          <w:p w14:paraId="104B19BD">
            <w:pPr>
              <w:outlineLvl w:val="9"/>
              <w:rPr>
                <w:rFonts w:ascii="Arial"/>
                <w:color w:val="auto"/>
                <w:sz w:val="21"/>
                <w:highlight w:val="none"/>
              </w:rPr>
            </w:pPr>
          </w:p>
        </w:tc>
      </w:tr>
      <w:tr w14:paraId="0A00A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14:paraId="53733B20">
            <w:pPr>
              <w:pStyle w:val="27"/>
              <w:spacing w:before="260" w:line="222" w:lineRule="auto"/>
              <w:ind w:left="1035"/>
              <w:outlineLvl w:val="9"/>
              <w:rPr>
                <w:color w:val="auto"/>
                <w:highlight w:val="none"/>
              </w:rPr>
            </w:pPr>
            <w:r>
              <w:rPr>
                <w:color w:val="auto"/>
                <w:spacing w:val="-3"/>
                <w:highlight w:val="none"/>
              </w:rPr>
              <w:t>备注</w:t>
            </w:r>
          </w:p>
        </w:tc>
        <w:tc>
          <w:tcPr>
            <w:tcW w:w="6816" w:type="dxa"/>
            <w:vAlign w:val="top"/>
          </w:tcPr>
          <w:p w14:paraId="3A381B6E">
            <w:pPr>
              <w:outlineLvl w:val="9"/>
              <w:rPr>
                <w:rFonts w:ascii="Arial"/>
                <w:color w:val="auto"/>
                <w:sz w:val="21"/>
                <w:highlight w:val="none"/>
              </w:rPr>
            </w:pPr>
          </w:p>
        </w:tc>
      </w:tr>
    </w:tbl>
    <w:p w14:paraId="4FBD4656">
      <w:pPr>
        <w:spacing w:before="30" w:line="220" w:lineRule="auto"/>
        <w:ind w:left="541"/>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注：应附相关证明材料扫描件。</w:t>
      </w:r>
    </w:p>
    <w:p w14:paraId="689EFEA4">
      <w:pPr>
        <w:spacing w:before="30" w:line="220" w:lineRule="auto"/>
        <w:ind w:left="541"/>
        <w:outlineLvl w:val="9"/>
        <w:rPr>
          <w:rFonts w:ascii="宋体" w:hAnsi="宋体" w:eastAsia="宋体" w:cs="宋体"/>
          <w:color w:val="auto"/>
          <w:spacing w:val="-1"/>
          <w:sz w:val="21"/>
          <w:szCs w:val="21"/>
          <w:highlight w:val="none"/>
        </w:rPr>
      </w:pPr>
    </w:p>
    <w:p w14:paraId="447C6399">
      <w:pPr>
        <w:spacing w:before="30" w:line="220" w:lineRule="auto"/>
        <w:ind w:left="541"/>
        <w:outlineLvl w:val="9"/>
        <w:rPr>
          <w:rFonts w:ascii="宋体" w:hAnsi="宋体" w:eastAsia="宋体" w:cs="宋体"/>
          <w:color w:val="auto"/>
          <w:spacing w:val="-1"/>
          <w:sz w:val="21"/>
          <w:szCs w:val="21"/>
          <w:highlight w:val="none"/>
        </w:rPr>
      </w:pPr>
    </w:p>
    <w:p w14:paraId="33FC3F46">
      <w:pPr>
        <w:spacing w:before="30" w:line="220" w:lineRule="auto"/>
        <w:ind w:left="541"/>
        <w:outlineLvl w:val="9"/>
        <w:rPr>
          <w:rFonts w:ascii="宋体" w:hAnsi="宋体" w:eastAsia="宋体" w:cs="宋体"/>
          <w:color w:val="auto"/>
          <w:spacing w:val="-1"/>
          <w:sz w:val="21"/>
          <w:szCs w:val="21"/>
          <w:highlight w:val="none"/>
        </w:rPr>
      </w:pPr>
    </w:p>
    <w:p w14:paraId="2D9F93C5">
      <w:pPr>
        <w:spacing w:before="30" w:line="220" w:lineRule="auto"/>
        <w:ind w:left="541"/>
        <w:outlineLvl w:val="9"/>
        <w:rPr>
          <w:rFonts w:ascii="宋体" w:hAnsi="宋体" w:eastAsia="宋体" w:cs="宋体"/>
          <w:color w:val="auto"/>
          <w:spacing w:val="-1"/>
          <w:sz w:val="21"/>
          <w:szCs w:val="21"/>
          <w:highlight w:val="none"/>
        </w:rPr>
      </w:pPr>
    </w:p>
    <w:p w14:paraId="5FFA20BD">
      <w:pPr>
        <w:spacing w:before="30" w:line="220" w:lineRule="auto"/>
        <w:ind w:left="541"/>
        <w:outlineLvl w:val="9"/>
        <w:rPr>
          <w:rFonts w:ascii="宋体" w:hAnsi="宋体" w:eastAsia="宋体" w:cs="宋体"/>
          <w:color w:val="auto"/>
          <w:spacing w:val="-1"/>
          <w:sz w:val="21"/>
          <w:szCs w:val="21"/>
          <w:highlight w:val="none"/>
        </w:rPr>
      </w:pPr>
    </w:p>
    <w:p w14:paraId="5FA0A155">
      <w:pPr>
        <w:spacing w:before="30" w:line="220" w:lineRule="auto"/>
        <w:ind w:left="541"/>
        <w:outlineLvl w:val="9"/>
        <w:rPr>
          <w:rFonts w:ascii="宋体" w:hAnsi="宋体" w:eastAsia="宋体" w:cs="宋体"/>
          <w:color w:val="auto"/>
          <w:spacing w:val="-1"/>
          <w:sz w:val="21"/>
          <w:szCs w:val="21"/>
          <w:highlight w:val="none"/>
        </w:rPr>
      </w:pPr>
    </w:p>
    <w:p w14:paraId="1DB34D65">
      <w:pPr>
        <w:spacing w:before="30" w:line="220" w:lineRule="auto"/>
        <w:ind w:left="541"/>
        <w:outlineLvl w:val="9"/>
        <w:rPr>
          <w:rFonts w:ascii="宋体" w:hAnsi="宋体" w:eastAsia="宋体" w:cs="宋体"/>
          <w:color w:val="auto"/>
          <w:spacing w:val="-1"/>
          <w:sz w:val="21"/>
          <w:szCs w:val="21"/>
          <w:highlight w:val="none"/>
        </w:rPr>
      </w:pPr>
    </w:p>
    <w:p w14:paraId="1E946348">
      <w:pPr>
        <w:spacing w:before="30" w:line="220" w:lineRule="auto"/>
        <w:ind w:left="541"/>
        <w:outlineLvl w:val="9"/>
        <w:rPr>
          <w:rFonts w:ascii="宋体" w:hAnsi="宋体" w:eastAsia="宋体" w:cs="宋体"/>
          <w:color w:val="auto"/>
          <w:spacing w:val="-1"/>
          <w:sz w:val="21"/>
          <w:szCs w:val="21"/>
          <w:highlight w:val="none"/>
        </w:rPr>
      </w:pPr>
    </w:p>
    <w:p w14:paraId="12FAC631">
      <w:pPr>
        <w:spacing w:before="30" w:line="220" w:lineRule="auto"/>
        <w:ind w:left="541"/>
        <w:outlineLvl w:val="9"/>
        <w:rPr>
          <w:rFonts w:ascii="宋体" w:hAnsi="宋体" w:eastAsia="宋体" w:cs="宋体"/>
          <w:color w:val="auto"/>
          <w:spacing w:val="-1"/>
          <w:sz w:val="21"/>
          <w:szCs w:val="21"/>
          <w:highlight w:val="none"/>
        </w:rPr>
      </w:pPr>
    </w:p>
    <w:p w14:paraId="56FDBBE7">
      <w:pPr>
        <w:spacing w:before="30" w:line="220" w:lineRule="auto"/>
        <w:outlineLvl w:val="9"/>
        <w:rPr>
          <w:rFonts w:hint="default" w:ascii="宋体" w:hAnsi="宋体" w:eastAsia="宋体" w:cs="宋体"/>
          <w:color w:val="auto"/>
          <w:sz w:val="28"/>
          <w:szCs w:val="28"/>
          <w:highlight w:val="none"/>
          <w:lang w:val="en-US" w:eastAsia="zh-CN"/>
        </w:rPr>
      </w:pPr>
      <w:bookmarkStart w:id="438" w:name="_Toc576"/>
      <w:r>
        <w:rPr>
          <w:rFonts w:ascii="宋体" w:hAnsi="宋体" w:eastAsia="宋体" w:cs="宋体"/>
          <w:b/>
          <w:bCs/>
          <w:color w:val="auto"/>
          <w:spacing w:val="-4"/>
          <w:sz w:val="28"/>
          <w:szCs w:val="28"/>
          <w:highlight w:val="none"/>
        </w:rPr>
        <w:t>（</w:t>
      </w:r>
      <w:r>
        <w:rPr>
          <w:rFonts w:hint="eastAsia" w:ascii="宋体" w:hAnsi="宋体" w:eastAsia="宋体" w:cs="宋体"/>
          <w:b/>
          <w:bCs/>
          <w:color w:val="auto"/>
          <w:spacing w:val="-4"/>
          <w:sz w:val="28"/>
          <w:szCs w:val="28"/>
          <w:highlight w:val="none"/>
          <w:lang w:val="en-US" w:eastAsia="zh-CN"/>
        </w:rPr>
        <w:t>四</w:t>
      </w:r>
      <w:r>
        <w:rPr>
          <w:rFonts w:ascii="宋体" w:hAnsi="宋体" w:eastAsia="宋体" w:cs="宋体"/>
          <w:b/>
          <w:bCs/>
          <w:color w:val="auto"/>
          <w:spacing w:val="-4"/>
          <w:sz w:val="28"/>
          <w:szCs w:val="28"/>
          <w:highlight w:val="none"/>
        </w:rPr>
        <w:t>）近年发生的诉讼及仲裁情况表</w:t>
      </w:r>
      <w:bookmarkEnd w:id="438"/>
    </w:p>
    <w:p w14:paraId="14CB4CD6">
      <w:pPr>
        <w:spacing w:line="357" w:lineRule="auto"/>
        <w:outlineLvl w:val="9"/>
        <w:rPr>
          <w:rFonts w:ascii="Arial"/>
          <w:color w:val="auto"/>
          <w:sz w:val="21"/>
          <w:highlight w:val="none"/>
        </w:rPr>
      </w:pPr>
    </w:p>
    <w:p w14:paraId="648D7056">
      <w:pPr>
        <w:spacing w:line="357" w:lineRule="auto"/>
        <w:outlineLvl w:val="9"/>
        <w:rPr>
          <w:rFonts w:ascii="Arial"/>
          <w:color w:val="auto"/>
          <w:sz w:val="21"/>
          <w:highlight w:val="none"/>
        </w:rPr>
      </w:pPr>
    </w:p>
    <w:p w14:paraId="070A29D5">
      <w:pPr>
        <w:spacing w:before="68" w:line="214" w:lineRule="auto"/>
        <w:ind w:left="2371"/>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（近</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3"/>
          <w:sz w:val="21"/>
          <w:szCs w:val="21"/>
          <w:highlight w:val="none"/>
        </w:rPr>
        <w:t>年指</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3"/>
          <w:sz w:val="21"/>
          <w:szCs w:val="21"/>
          <w:highlight w:val="none"/>
        </w:rPr>
        <w:t>年</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3"/>
          <w:sz w:val="21"/>
          <w:szCs w:val="21"/>
          <w:highlight w:val="none"/>
        </w:rPr>
        <w:t>月至</w:t>
      </w:r>
      <w:r>
        <w:rPr>
          <w:rFonts w:ascii="宋体" w:hAnsi="宋体" w:eastAsia="宋体" w:cs="宋体"/>
          <w:color w:val="auto"/>
          <w:spacing w:val="-105"/>
          <w:sz w:val="21"/>
          <w:szCs w:val="21"/>
          <w:highlight w:val="none"/>
        </w:rPr>
        <w:t xml:space="preserve"> </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95"/>
          <w:sz w:val="21"/>
          <w:szCs w:val="21"/>
          <w:highlight w:val="none"/>
        </w:rPr>
        <w:t xml:space="preserve"> </w:t>
      </w:r>
      <w:r>
        <w:rPr>
          <w:rFonts w:ascii="宋体" w:hAnsi="宋体" w:eastAsia="宋体" w:cs="宋体"/>
          <w:color w:val="auto"/>
          <w:spacing w:val="-3"/>
          <w:sz w:val="21"/>
          <w:szCs w:val="21"/>
          <w:highlight w:val="none"/>
        </w:rPr>
        <w:t>年</w:t>
      </w:r>
      <w:r>
        <w:rPr>
          <w:rFonts w:ascii="宋体" w:hAnsi="宋体" w:eastAsia="宋体" w:cs="宋体"/>
          <w:color w:val="auto"/>
          <w:spacing w:val="-102"/>
          <w:sz w:val="21"/>
          <w:szCs w:val="21"/>
          <w:highlight w:val="none"/>
        </w:rPr>
        <w:t xml:space="preserve"> </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90"/>
          <w:sz w:val="21"/>
          <w:szCs w:val="21"/>
          <w:highlight w:val="none"/>
        </w:rPr>
        <w:t xml:space="preserve"> </w:t>
      </w:r>
      <w:r>
        <w:rPr>
          <w:rFonts w:ascii="宋体" w:hAnsi="宋体" w:eastAsia="宋体" w:cs="宋体"/>
          <w:color w:val="auto"/>
          <w:spacing w:val="-3"/>
          <w:sz w:val="21"/>
          <w:szCs w:val="21"/>
          <w:highlight w:val="none"/>
        </w:rPr>
        <w:t>月）</w:t>
      </w:r>
    </w:p>
    <w:tbl>
      <w:tblPr>
        <w:tblStyle w:val="26"/>
        <w:tblW w:w="91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79"/>
        <w:gridCol w:w="2339"/>
        <w:gridCol w:w="1420"/>
        <w:gridCol w:w="1252"/>
        <w:gridCol w:w="1476"/>
      </w:tblGrid>
      <w:tr w14:paraId="2F6B8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2" w:type="dxa"/>
            <w:vAlign w:val="top"/>
          </w:tcPr>
          <w:p w14:paraId="77DCB0F4">
            <w:pPr>
              <w:pStyle w:val="27"/>
              <w:spacing w:before="303" w:line="222" w:lineRule="auto"/>
              <w:ind w:left="119"/>
              <w:outlineLvl w:val="9"/>
              <w:rPr>
                <w:color w:val="auto"/>
                <w:highlight w:val="none"/>
              </w:rPr>
            </w:pPr>
            <w:r>
              <w:rPr>
                <w:color w:val="auto"/>
                <w:spacing w:val="-2"/>
                <w:highlight w:val="none"/>
              </w:rPr>
              <w:t>序号</w:t>
            </w:r>
          </w:p>
        </w:tc>
        <w:tc>
          <w:tcPr>
            <w:tcW w:w="1979" w:type="dxa"/>
            <w:vAlign w:val="top"/>
          </w:tcPr>
          <w:p w14:paraId="53470D82">
            <w:pPr>
              <w:pStyle w:val="27"/>
              <w:spacing w:before="302" w:line="221" w:lineRule="auto"/>
              <w:ind w:left="257"/>
              <w:outlineLvl w:val="9"/>
              <w:rPr>
                <w:color w:val="auto"/>
                <w:highlight w:val="none"/>
              </w:rPr>
            </w:pPr>
            <w:r>
              <w:rPr>
                <w:color w:val="auto"/>
                <w:spacing w:val="-1"/>
                <w:highlight w:val="none"/>
              </w:rPr>
              <w:t>诉讼或仲裁事项</w:t>
            </w:r>
          </w:p>
        </w:tc>
        <w:tc>
          <w:tcPr>
            <w:tcW w:w="2339" w:type="dxa"/>
            <w:vAlign w:val="top"/>
          </w:tcPr>
          <w:p w14:paraId="18EC90FA">
            <w:pPr>
              <w:pStyle w:val="27"/>
              <w:spacing w:before="302" w:line="221" w:lineRule="auto"/>
              <w:ind w:left="227"/>
              <w:outlineLvl w:val="9"/>
              <w:rPr>
                <w:color w:val="auto"/>
                <w:highlight w:val="none"/>
              </w:rPr>
            </w:pPr>
            <w:r>
              <w:rPr>
                <w:color w:val="auto"/>
                <w:spacing w:val="-1"/>
                <w:highlight w:val="none"/>
              </w:rPr>
              <w:t>诉讼或仲裁中的地位</w:t>
            </w:r>
          </w:p>
        </w:tc>
        <w:tc>
          <w:tcPr>
            <w:tcW w:w="1420" w:type="dxa"/>
            <w:vAlign w:val="top"/>
          </w:tcPr>
          <w:p w14:paraId="0D02CD6D">
            <w:pPr>
              <w:pStyle w:val="27"/>
              <w:spacing w:before="302" w:line="223" w:lineRule="auto"/>
              <w:ind w:left="507"/>
              <w:outlineLvl w:val="9"/>
              <w:rPr>
                <w:color w:val="auto"/>
                <w:highlight w:val="none"/>
              </w:rPr>
            </w:pPr>
            <w:r>
              <w:rPr>
                <w:color w:val="auto"/>
                <w:spacing w:val="-2"/>
                <w:highlight w:val="none"/>
              </w:rPr>
              <w:t>缘由</w:t>
            </w:r>
          </w:p>
        </w:tc>
        <w:tc>
          <w:tcPr>
            <w:tcW w:w="1252" w:type="dxa"/>
            <w:vAlign w:val="top"/>
          </w:tcPr>
          <w:p w14:paraId="64BE0D55">
            <w:pPr>
              <w:pStyle w:val="27"/>
              <w:spacing w:before="303" w:line="221" w:lineRule="auto"/>
              <w:ind w:left="428"/>
              <w:outlineLvl w:val="9"/>
              <w:rPr>
                <w:color w:val="auto"/>
                <w:highlight w:val="none"/>
              </w:rPr>
            </w:pPr>
            <w:r>
              <w:rPr>
                <w:color w:val="auto"/>
                <w:spacing w:val="-3"/>
                <w:highlight w:val="none"/>
              </w:rPr>
              <w:t>结果</w:t>
            </w:r>
          </w:p>
        </w:tc>
        <w:tc>
          <w:tcPr>
            <w:tcW w:w="1476" w:type="dxa"/>
            <w:vAlign w:val="top"/>
          </w:tcPr>
          <w:p w14:paraId="5B6E894F">
            <w:pPr>
              <w:pStyle w:val="27"/>
              <w:spacing w:before="303" w:line="222" w:lineRule="auto"/>
              <w:ind w:left="534"/>
              <w:outlineLvl w:val="9"/>
              <w:rPr>
                <w:color w:val="auto"/>
                <w:highlight w:val="none"/>
              </w:rPr>
            </w:pPr>
            <w:r>
              <w:rPr>
                <w:color w:val="auto"/>
                <w:spacing w:val="-3"/>
                <w:highlight w:val="none"/>
              </w:rPr>
              <w:t>备注</w:t>
            </w:r>
          </w:p>
        </w:tc>
      </w:tr>
      <w:tr w14:paraId="79771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5FEA3B03">
            <w:pPr>
              <w:spacing w:line="307" w:lineRule="auto"/>
              <w:outlineLvl w:val="9"/>
              <w:rPr>
                <w:rFonts w:ascii="Arial"/>
                <w:color w:val="auto"/>
                <w:sz w:val="21"/>
                <w:highlight w:val="none"/>
              </w:rPr>
            </w:pPr>
          </w:p>
          <w:p w14:paraId="4C2A5293">
            <w:pPr>
              <w:pStyle w:val="27"/>
              <w:spacing w:before="69" w:line="162" w:lineRule="exact"/>
              <w:ind w:left="229"/>
              <w:outlineLvl w:val="9"/>
              <w:rPr>
                <w:color w:val="auto"/>
                <w:highlight w:val="none"/>
              </w:rPr>
            </w:pPr>
            <w:r>
              <w:rPr>
                <w:color w:val="auto"/>
                <w:position w:val="-4"/>
                <w:highlight w:val="none"/>
              </w:rPr>
              <w:t>一</w:t>
            </w:r>
          </w:p>
        </w:tc>
        <w:tc>
          <w:tcPr>
            <w:tcW w:w="1979" w:type="dxa"/>
            <w:vAlign w:val="top"/>
          </w:tcPr>
          <w:p w14:paraId="0795E877">
            <w:pPr>
              <w:pStyle w:val="27"/>
              <w:spacing w:before="299" w:line="221" w:lineRule="auto"/>
              <w:ind w:left="111"/>
              <w:outlineLvl w:val="9"/>
              <w:rPr>
                <w:color w:val="auto"/>
                <w:highlight w:val="none"/>
              </w:rPr>
            </w:pPr>
            <w:r>
              <w:rPr>
                <w:color w:val="auto"/>
                <w:spacing w:val="-1"/>
                <w:highlight w:val="none"/>
              </w:rPr>
              <w:t>诉讼事项</w:t>
            </w:r>
          </w:p>
        </w:tc>
        <w:tc>
          <w:tcPr>
            <w:tcW w:w="2339" w:type="dxa"/>
            <w:vAlign w:val="top"/>
          </w:tcPr>
          <w:p w14:paraId="041DCE5D">
            <w:pPr>
              <w:outlineLvl w:val="9"/>
              <w:rPr>
                <w:rFonts w:ascii="Arial"/>
                <w:color w:val="auto"/>
                <w:sz w:val="21"/>
                <w:highlight w:val="none"/>
              </w:rPr>
            </w:pPr>
          </w:p>
        </w:tc>
        <w:tc>
          <w:tcPr>
            <w:tcW w:w="1420" w:type="dxa"/>
            <w:vAlign w:val="top"/>
          </w:tcPr>
          <w:p w14:paraId="50406E3E">
            <w:pPr>
              <w:outlineLvl w:val="9"/>
              <w:rPr>
                <w:rFonts w:ascii="Arial"/>
                <w:color w:val="auto"/>
                <w:sz w:val="21"/>
                <w:highlight w:val="none"/>
              </w:rPr>
            </w:pPr>
          </w:p>
        </w:tc>
        <w:tc>
          <w:tcPr>
            <w:tcW w:w="1252" w:type="dxa"/>
            <w:vAlign w:val="top"/>
          </w:tcPr>
          <w:p w14:paraId="3D9BB8B9">
            <w:pPr>
              <w:outlineLvl w:val="9"/>
              <w:rPr>
                <w:rFonts w:ascii="Arial"/>
                <w:color w:val="auto"/>
                <w:sz w:val="21"/>
                <w:highlight w:val="none"/>
              </w:rPr>
            </w:pPr>
          </w:p>
        </w:tc>
        <w:tc>
          <w:tcPr>
            <w:tcW w:w="1476" w:type="dxa"/>
            <w:vAlign w:val="top"/>
          </w:tcPr>
          <w:p w14:paraId="144FEAB2">
            <w:pPr>
              <w:outlineLvl w:val="9"/>
              <w:rPr>
                <w:rFonts w:ascii="Arial"/>
                <w:color w:val="auto"/>
                <w:sz w:val="21"/>
                <w:highlight w:val="none"/>
              </w:rPr>
            </w:pPr>
          </w:p>
        </w:tc>
      </w:tr>
      <w:tr w14:paraId="0605B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1B230451">
            <w:pPr>
              <w:outlineLvl w:val="9"/>
              <w:rPr>
                <w:rFonts w:ascii="Arial"/>
                <w:color w:val="auto"/>
                <w:sz w:val="21"/>
                <w:highlight w:val="none"/>
              </w:rPr>
            </w:pPr>
          </w:p>
        </w:tc>
        <w:tc>
          <w:tcPr>
            <w:tcW w:w="1979" w:type="dxa"/>
            <w:vAlign w:val="top"/>
          </w:tcPr>
          <w:p w14:paraId="2D63BDF2">
            <w:pPr>
              <w:outlineLvl w:val="9"/>
              <w:rPr>
                <w:rFonts w:ascii="Arial"/>
                <w:color w:val="auto"/>
                <w:sz w:val="21"/>
                <w:highlight w:val="none"/>
              </w:rPr>
            </w:pPr>
          </w:p>
        </w:tc>
        <w:tc>
          <w:tcPr>
            <w:tcW w:w="2339" w:type="dxa"/>
            <w:vAlign w:val="top"/>
          </w:tcPr>
          <w:p w14:paraId="3548CE61">
            <w:pPr>
              <w:outlineLvl w:val="9"/>
              <w:rPr>
                <w:rFonts w:ascii="Arial"/>
                <w:color w:val="auto"/>
                <w:sz w:val="21"/>
                <w:highlight w:val="none"/>
              </w:rPr>
            </w:pPr>
          </w:p>
        </w:tc>
        <w:tc>
          <w:tcPr>
            <w:tcW w:w="1420" w:type="dxa"/>
            <w:vAlign w:val="top"/>
          </w:tcPr>
          <w:p w14:paraId="20EAFA94">
            <w:pPr>
              <w:outlineLvl w:val="9"/>
              <w:rPr>
                <w:rFonts w:ascii="Arial"/>
                <w:color w:val="auto"/>
                <w:sz w:val="21"/>
                <w:highlight w:val="none"/>
              </w:rPr>
            </w:pPr>
          </w:p>
        </w:tc>
        <w:tc>
          <w:tcPr>
            <w:tcW w:w="1252" w:type="dxa"/>
            <w:vAlign w:val="top"/>
          </w:tcPr>
          <w:p w14:paraId="307ECB9E">
            <w:pPr>
              <w:outlineLvl w:val="9"/>
              <w:rPr>
                <w:rFonts w:ascii="Arial"/>
                <w:color w:val="auto"/>
                <w:sz w:val="21"/>
                <w:highlight w:val="none"/>
              </w:rPr>
            </w:pPr>
          </w:p>
        </w:tc>
        <w:tc>
          <w:tcPr>
            <w:tcW w:w="1476" w:type="dxa"/>
            <w:vAlign w:val="top"/>
          </w:tcPr>
          <w:p w14:paraId="67122AE9">
            <w:pPr>
              <w:outlineLvl w:val="9"/>
              <w:rPr>
                <w:rFonts w:ascii="Arial"/>
                <w:color w:val="auto"/>
                <w:sz w:val="21"/>
                <w:highlight w:val="none"/>
              </w:rPr>
            </w:pPr>
          </w:p>
        </w:tc>
      </w:tr>
      <w:tr w14:paraId="3EB41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52" w:type="dxa"/>
            <w:vAlign w:val="top"/>
          </w:tcPr>
          <w:p w14:paraId="5C499ED7">
            <w:pPr>
              <w:outlineLvl w:val="9"/>
              <w:rPr>
                <w:rFonts w:ascii="Arial"/>
                <w:color w:val="auto"/>
                <w:sz w:val="21"/>
                <w:highlight w:val="none"/>
              </w:rPr>
            </w:pPr>
          </w:p>
        </w:tc>
        <w:tc>
          <w:tcPr>
            <w:tcW w:w="1979" w:type="dxa"/>
            <w:vAlign w:val="top"/>
          </w:tcPr>
          <w:p w14:paraId="04E00023">
            <w:pPr>
              <w:outlineLvl w:val="9"/>
              <w:rPr>
                <w:rFonts w:ascii="Arial"/>
                <w:color w:val="auto"/>
                <w:sz w:val="21"/>
                <w:highlight w:val="none"/>
              </w:rPr>
            </w:pPr>
          </w:p>
        </w:tc>
        <w:tc>
          <w:tcPr>
            <w:tcW w:w="2339" w:type="dxa"/>
            <w:vAlign w:val="top"/>
          </w:tcPr>
          <w:p w14:paraId="4E8F6F6C">
            <w:pPr>
              <w:outlineLvl w:val="9"/>
              <w:rPr>
                <w:rFonts w:ascii="Arial"/>
                <w:color w:val="auto"/>
                <w:sz w:val="21"/>
                <w:highlight w:val="none"/>
              </w:rPr>
            </w:pPr>
          </w:p>
        </w:tc>
        <w:tc>
          <w:tcPr>
            <w:tcW w:w="1420" w:type="dxa"/>
            <w:vAlign w:val="top"/>
          </w:tcPr>
          <w:p w14:paraId="5E8E432B">
            <w:pPr>
              <w:outlineLvl w:val="9"/>
              <w:rPr>
                <w:rFonts w:ascii="Arial"/>
                <w:color w:val="auto"/>
                <w:sz w:val="21"/>
                <w:highlight w:val="none"/>
              </w:rPr>
            </w:pPr>
          </w:p>
        </w:tc>
        <w:tc>
          <w:tcPr>
            <w:tcW w:w="1252" w:type="dxa"/>
            <w:vAlign w:val="top"/>
          </w:tcPr>
          <w:p w14:paraId="65F00AF2">
            <w:pPr>
              <w:outlineLvl w:val="9"/>
              <w:rPr>
                <w:rFonts w:ascii="Arial"/>
                <w:color w:val="auto"/>
                <w:sz w:val="21"/>
                <w:highlight w:val="none"/>
              </w:rPr>
            </w:pPr>
          </w:p>
        </w:tc>
        <w:tc>
          <w:tcPr>
            <w:tcW w:w="1476" w:type="dxa"/>
            <w:vAlign w:val="top"/>
          </w:tcPr>
          <w:p w14:paraId="2192F369">
            <w:pPr>
              <w:outlineLvl w:val="9"/>
              <w:rPr>
                <w:rFonts w:ascii="Arial"/>
                <w:color w:val="auto"/>
                <w:sz w:val="21"/>
                <w:highlight w:val="none"/>
              </w:rPr>
            </w:pPr>
          </w:p>
        </w:tc>
      </w:tr>
      <w:tr w14:paraId="4897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49520835">
            <w:pPr>
              <w:outlineLvl w:val="9"/>
              <w:rPr>
                <w:rFonts w:ascii="Arial"/>
                <w:color w:val="auto"/>
                <w:sz w:val="21"/>
                <w:highlight w:val="none"/>
              </w:rPr>
            </w:pPr>
          </w:p>
        </w:tc>
        <w:tc>
          <w:tcPr>
            <w:tcW w:w="1979" w:type="dxa"/>
            <w:vAlign w:val="top"/>
          </w:tcPr>
          <w:p w14:paraId="5E972648">
            <w:pPr>
              <w:outlineLvl w:val="9"/>
              <w:rPr>
                <w:rFonts w:ascii="Arial"/>
                <w:color w:val="auto"/>
                <w:sz w:val="21"/>
                <w:highlight w:val="none"/>
              </w:rPr>
            </w:pPr>
          </w:p>
        </w:tc>
        <w:tc>
          <w:tcPr>
            <w:tcW w:w="2339" w:type="dxa"/>
            <w:vAlign w:val="top"/>
          </w:tcPr>
          <w:p w14:paraId="53498CC1">
            <w:pPr>
              <w:outlineLvl w:val="9"/>
              <w:rPr>
                <w:rFonts w:ascii="Arial"/>
                <w:color w:val="auto"/>
                <w:sz w:val="21"/>
                <w:highlight w:val="none"/>
              </w:rPr>
            </w:pPr>
          </w:p>
        </w:tc>
        <w:tc>
          <w:tcPr>
            <w:tcW w:w="1420" w:type="dxa"/>
            <w:vAlign w:val="top"/>
          </w:tcPr>
          <w:p w14:paraId="70F31E6D">
            <w:pPr>
              <w:outlineLvl w:val="9"/>
              <w:rPr>
                <w:rFonts w:ascii="Arial"/>
                <w:color w:val="auto"/>
                <w:sz w:val="21"/>
                <w:highlight w:val="none"/>
              </w:rPr>
            </w:pPr>
          </w:p>
        </w:tc>
        <w:tc>
          <w:tcPr>
            <w:tcW w:w="1252" w:type="dxa"/>
            <w:vAlign w:val="top"/>
          </w:tcPr>
          <w:p w14:paraId="4B041424">
            <w:pPr>
              <w:outlineLvl w:val="9"/>
              <w:rPr>
                <w:rFonts w:ascii="Arial"/>
                <w:color w:val="auto"/>
                <w:sz w:val="21"/>
                <w:highlight w:val="none"/>
              </w:rPr>
            </w:pPr>
          </w:p>
        </w:tc>
        <w:tc>
          <w:tcPr>
            <w:tcW w:w="1476" w:type="dxa"/>
            <w:vAlign w:val="top"/>
          </w:tcPr>
          <w:p w14:paraId="0580CD1C">
            <w:pPr>
              <w:outlineLvl w:val="9"/>
              <w:rPr>
                <w:rFonts w:ascii="Arial"/>
                <w:color w:val="auto"/>
                <w:sz w:val="21"/>
                <w:highlight w:val="none"/>
              </w:rPr>
            </w:pPr>
          </w:p>
        </w:tc>
      </w:tr>
      <w:tr w14:paraId="352FC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13A99E0E">
            <w:pPr>
              <w:outlineLvl w:val="9"/>
              <w:rPr>
                <w:rFonts w:ascii="Arial"/>
                <w:color w:val="auto"/>
                <w:sz w:val="21"/>
                <w:highlight w:val="none"/>
              </w:rPr>
            </w:pPr>
          </w:p>
        </w:tc>
        <w:tc>
          <w:tcPr>
            <w:tcW w:w="1979" w:type="dxa"/>
            <w:vAlign w:val="top"/>
          </w:tcPr>
          <w:p w14:paraId="0773B3D0">
            <w:pPr>
              <w:outlineLvl w:val="9"/>
              <w:rPr>
                <w:rFonts w:ascii="Arial"/>
                <w:color w:val="auto"/>
                <w:sz w:val="21"/>
                <w:highlight w:val="none"/>
              </w:rPr>
            </w:pPr>
          </w:p>
        </w:tc>
        <w:tc>
          <w:tcPr>
            <w:tcW w:w="2339" w:type="dxa"/>
            <w:vAlign w:val="top"/>
          </w:tcPr>
          <w:p w14:paraId="1C37707E">
            <w:pPr>
              <w:outlineLvl w:val="9"/>
              <w:rPr>
                <w:rFonts w:ascii="Arial"/>
                <w:color w:val="auto"/>
                <w:sz w:val="21"/>
                <w:highlight w:val="none"/>
              </w:rPr>
            </w:pPr>
          </w:p>
        </w:tc>
        <w:tc>
          <w:tcPr>
            <w:tcW w:w="1420" w:type="dxa"/>
            <w:vAlign w:val="top"/>
          </w:tcPr>
          <w:p w14:paraId="1767D482">
            <w:pPr>
              <w:outlineLvl w:val="9"/>
              <w:rPr>
                <w:rFonts w:ascii="Arial"/>
                <w:color w:val="auto"/>
                <w:sz w:val="21"/>
                <w:highlight w:val="none"/>
              </w:rPr>
            </w:pPr>
          </w:p>
        </w:tc>
        <w:tc>
          <w:tcPr>
            <w:tcW w:w="1252" w:type="dxa"/>
            <w:vAlign w:val="top"/>
          </w:tcPr>
          <w:p w14:paraId="411FF907">
            <w:pPr>
              <w:outlineLvl w:val="9"/>
              <w:rPr>
                <w:rFonts w:ascii="Arial"/>
                <w:color w:val="auto"/>
                <w:sz w:val="21"/>
                <w:highlight w:val="none"/>
              </w:rPr>
            </w:pPr>
          </w:p>
        </w:tc>
        <w:tc>
          <w:tcPr>
            <w:tcW w:w="1476" w:type="dxa"/>
            <w:vAlign w:val="top"/>
          </w:tcPr>
          <w:p w14:paraId="36DEBE0B">
            <w:pPr>
              <w:outlineLvl w:val="9"/>
              <w:rPr>
                <w:rFonts w:ascii="Arial"/>
                <w:color w:val="auto"/>
                <w:sz w:val="21"/>
                <w:highlight w:val="none"/>
              </w:rPr>
            </w:pPr>
          </w:p>
        </w:tc>
      </w:tr>
      <w:tr w14:paraId="1EDB7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56E576EC">
            <w:pPr>
              <w:spacing w:line="270" w:lineRule="auto"/>
              <w:outlineLvl w:val="9"/>
              <w:rPr>
                <w:rFonts w:ascii="Arial"/>
                <w:color w:val="auto"/>
                <w:sz w:val="21"/>
                <w:highlight w:val="none"/>
              </w:rPr>
            </w:pPr>
          </w:p>
          <w:p w14:paraId="2A8C8188">
            <w:pPr>
              <w:pStyle w:val="27"/>
              <w:spacing w:before="68" w:line="179" w:lineRule="auto"/>
              <w:ind w:left="229"/>
              <w:outlineLvl w:val="9"/>
              <w:rPr>
                <w:color w:val="auto"/>
                <w:highlight w:val="none"/>
              </w:rPr>
            </w:pPr>
            <w:r>
              <w:rPr>
                <w:color w:val="auto"/>
                <w:highlight w:val="none"/>
              </w:rPr>
              <w:t>二</w:t>
            </w:r>
          </w:p>
        </w:tc>
        <w:tc>
          <w:tcPr>
            <w:tcW w:w="1979" w:type="dxa"/>
            <w:vAlign w:val="top"/>
          </w:tcPr>
          <w:p w14:paraId="10CB2C9B">
            <w:pPr>
              <w:pStyle w:val="27"/>
              <w:spacing w:before="301" w:line="221" w:lineRule="auto"/>
              <w:ind w:left="111"/>
              <w:outlineLvl w:val="9"/>
              <w:rPr>
                <w:color w:val="auto"/>
                <w:highlight w:val="none"/>
              </w:rPr>
            </w:pPr>
            <w:r>
              <w:rPr>
                <w:color w:val="auto"/>
                <w:spacing w:val="-1"/>
                <w:highlight w:val="none"/>
              </w:rPr>
              <w:t>仲裁事项</w:t>
            </w:r>
          </w:p>
        </w:tc>
        <w:tc>
          <w:tcPr>
            <w:tcW w:w="2339" w:type="dxa"/>
            <w:vAlign w:val="top"/>
          </w:tcPr>
          <w:p w14:paraId="12638EEF">
            <w:pPr>
              <w:outlineLvl w:val="9"/>
              <w:rPr>
                <w:rFonts w:ascii="Arial"/>
                <w:color w:val="auto"/>
                <w:sz w:val="21"/>
                <w:highlight w:val="none"/>
              </w:rPr>
            </w:pPr>
          </w:p>
        </w:tc>
        <w:tc>
          <w:tcPr>
            <w:tcW w:w="1420" w:type="dxa"/>
            <w:vAlign w:val="top"/>
          </w:tcPr>
          <w:p w14:paraId="6224B372">
            <w:pPr>
              <w:outlineLvl w:val="9"/>
              <w:rPr>
                <w:rFonts w:ascii="Arial"/>
                <w:color w:val="auto"/>
                <w:sz w:val="21"/>
                <w:highlight w:val="none"/>
              </w:rPr>
            </w:pPr>
          </w:p>
        </w:tc>
        <w:tc>
          <w:tcPr>
            <w:tcW w:w="1252" w:type="dxa"/>
            <w:vAlign w:val="top"/>
          </w:tcPr>
          <w:p w14:paraId="1E69FAD2">
            <w:pPr>
              <w:outlineLvl w:val="9"/>
              <w:rPr>
                <w:rFonts w:ascii="Arial"/>
                <w:color w:val="auto"/>
                <w:sz w:val="21"/>
                <w:highlight w:val="none"/>
              </w:rPr>
            </w:pPr>
          </w:p>
        </w:tc>
        <w:tc>
          <w:tcPr>
            <w:tcW w:w="1476" w:type="dxa"/>
            <w:vAlign w:val="top"/>
          </w:tcPr>
          <w:p w14:paraId="1DC9F5A2">
            <w:pPr>
              <w:outlineLvl w:val="9"/>
              <w:rPr>
                <w:rFonts w:ascii="Arial"/>
                <w:color w:val="auto"/>
                <w:sz w:val="21"/>
                <w:highlight w:val="none"/>
              </w:rPr>
            </w:pPr>
          </w:p>
        </w:tc>
      </w:tr>
      <w:tr w14:paraId="646B4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14:paraId="09A6E841">
            <w:pPr>
              <w:outlineLvl w:val="9"/>
              <w:rPr>
                <w:rFonts w:ascii="Arial"/>
                <w:color w:val="auto"/>
                <w:sz w:val="21"/>
                <w:highlight w:val="none"/>
              </w:rPr>
            </w:pPr>
          </w:p>
        </w:tc>
        <w:tc>
          <w:tcPr>
            <w:tcW w:w="1979" w:type="dxa"/>
            <w:vAlign w:val="top"/>
          </w:tcPr>
          <w:p w14:paraId="20E47875">
            <w:pPr>
              <w:outlineLvl w:val="9"/>
              <w:rPr>
                <w:rFonts w:ascii="Arial"/>
                <w:color w:val="auto"/>
                <w:sz w:val="21"/>
                <w:highlight w:val="none"/>
              </w:rPr>
            </w:pPr>
          </w:p>
        </w:tc>
        <w:tc>
          <w:tcPr>
            <w:tcW w:w="2339" w:type="dxa"/>
            <w:vAlign w:val="top"/>
          </w:tcPr>
          <w:p w14:paraId="1F9F9F79">
            <w:pPr>
              <w:outlineLvl w:val="9"/>
              <w:rPr>
                <w:rFonts w:ascii="Arial"/>
                <w:color w:val="auto"/>
                <w:sz w:val="21"/>
                <w:highlight w:val="none"/>
              </w:rPr>
            </w:pPr>
          </w:p>
        </w:tc>
        <w:tc>
          <w:tcPr>
            <w:tcW w:w="1420" w:type="dxa"/>
            <w:vAlign w:val="top"/>
          </w:tcPr>
          <w:p w14:paraId="30E2FED2">
            <w:pPr>
              <w:outlineLvl w:val="9"/>
              <w:rPr>
                <w:rFonts w:ascii="Arial"/>
                <w:color w:val="auto"/>
                <w:sz w:val="21"/>
                <w:highlight w:val="none"/>
              </w:rPr>
            </w:pPr>
          </w:p>
        </w:tc>
        <w:tc>
          <w:tcPr>
            <w:tcW w:w="1252" w:type="dxa"/>
            <w:vAlign w:val="top"/>
          </w:tcPr>
          <w:p w14:paraId="76A9202B">
            <w:pPr>
              <w:outlineLvl w:val="9"/>
              <w:rPr>
                <w:rFonts w:ascii="Arial"/>
                <w:color w:val="auto"/>
                <w:sz w:val="21"/>
                <w:highlight w:val="none"/>
              </w:rPr>
            </w:pPr>
          </w:p>
        </w:tc>
        <w:tc>
          <w:tcPr>
            <w:tcW w:w="1476" w:type="dxa"/>
            <w:vAlign w:val="top"/>
          </w:tcPr>
          <w:p w14:paraId="7B947105">
            <w:pPr>
              <w:outlineLvl w:val="9"/>
              <w:rPr>
                <w:rFonts w:ascii="Arial"/>
                <w:color w:val="auto"/>
                <w:sz w:val="21"/>
                <w:highlight w:val="none"/>
              </w:rPr>
            </w:pPr>
          </w:p>
        </w:tc>
      </w:tr>
      <w:tr w14:paraId="0A6C4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14:paraId="6C56BD44">
            <w:pPr>
              <w:outlineLvl w:val="9"/>
              <w:rPr>
                <w:rFonts w:ascii="Arial"/>
                <w:color w:val="auto"/>
                <w:sz w:val="21"/>
                <w:highlight w:val="none"/>
              </w:rPr>
            </w:pPr>
          </w:p>
        </w:tc>
        <w:tc>
          <w:tcPr>
            <w:tcW w:w="1979" w:type="dxa"/>
            <w:vAlign w:val="top"/>
          </w:tcPr>
          <w:p w14:paraId="5F90DF8C">
            <w:pPr>
              <w:outlineLvl w:val="9"/>
              <w:rPr>
                <w:rFonts w:ascii="Arial"/>
                <w:color w:val="auto"/>
                <w:sz w:val="21"/>
                <w:highlight w:val="none"/>
              </w:rPr>
            </w:pPr>
          </w:p>
        </w:tc>
        <w:tc>
          <w:tcPr>
            <w:tcW w:w="2339" w:type="dxa"/>
            <w:vAlign w:val="top"/>
          </w:tcPr>
          <w:p w14:paraId="7D5EC1CC">
            <w:pPr>
              <w:outlineLvl w:val="9"/>
              <w:rPr>
                <w:rFonts w:ascii="Arial"/>
                <w:color w:val="auto"/>
                <w:sz w:val="21"/>
                <w:highlight w:val="none"/>
              </w:rPr>
            </w:pPr>
          </w:p>
        </w:tc>
        <w:tc>
          <w:tcPr>
            <w:tcW w:w="1420" w:type="dxa"/>
            <w:vAlign w:val="top"/>
          </w:tcPr>
          <w:p w14:paraId="51F17834">
            <w:pPr>
              <w:outlineLvl w:val="9"/>
              <w:rPr>
                <w:rFonts w:ascii="Arial"/>
                <w:color w:val="auto"/>
                <w:sz w:val="21"/>
                <w:highlight w:val="none"/>
              </w:rPr>
            </w:pPr>
          </w:p>
        </w:tc>
        <w:tc>
          <w:tcPr>
            <w:tcW w:w="1252" w:type="dxa"/>
            <w:vAlign w:val="top"/>
          </w:tcPr>
          <w:p w14:paraId="48A66D9F">
            <w:pPr>
              <w:outlineLvl w:val="9"/>
              <w:rPr>
                <w:rFonts w:ascii="Arial"/>
                <w:color w:val="auto"/>
                <w:sz w:val="21"/>
                <w:highlight w:val="none"/>
              </w:rPr>
            </w:pPr>
          </w:p>
        </w:tc>
        <w:tc>
          <w:tcPr>
            <w:tcW w:w="1476" w:type="dxa"/>
            <w:vAlign w:val="top"/>
          </w:tcPr>
          <w:p w14:paraId="007DC7F1">
            <w:pPr>
              <w:outlineLvl w:val="9"/>
              <w:rPr>
                <w:rFonts w:ascii="Arial"/>
                <w:color w:val="auto"/>
                <w:sz w:val="21"/>
                <w:highlight w:val="none"/>
              </w:rPr>
            </w:pPr>
          </w:p>
        </w:tc>
      </w:tr>
      <w:tr w14:paraId="2FB3C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52" w:type="dxa"/>
            <w:vAlign w:val="top"/>
          </w:tcPr>
          <w:p w14:paraId="426E44BD">
            <w:pPr>
              <w:outlineLvl w:val="9"/>
              <w:rPr>
                <w:rFonts w:ascii="Arial"/>
                <w:color w:val="auto"/>
                <w:sz w:val="21"/>
                <w:highlight w:val="none"/>
              </w:rPr>
            </w:pPr>
          </w:p>
        </w:tc>
        <w:tc>
          <w:tcPr>
            <w:tcW w:w="1979" w:type="dxa"/>
            <w:vAlign w:val="top"/>
          </w:tcPr>
          <w:p w14:paraId="66B9D064">
            <w:pPr>
              <w:outlineLvl w:val="9"/>
              <w:rPr>
                <w:rFonts w:ascii="Arial"/>
                <w:color w:val="auto"/>
                <w:sz w:val="21"/>
                <w:highlight w:val="none"/>
              </w:rPr>
            </w:pPr>
          </w:p>
        </w:tc>
        <w:tc>
          <w:tcPr>
            <w:tcW w:w="2339" w:type="dxa"/>
            <w:vAlign w:val="top"/>
          </w:tcPr>
          <w:p w14:paraId="7C930A63">
            <w:pPr>
              <w:outlineLvl w:val="9"/>
              <w:rPr>
                <w:rFonts w:ascii="Arial"/>
                <w:color w:val="auto"/>
                <w:sz w:val="21"/>
                <w:highlight w:val="none"/>
              </w:rPr>
            </w:pPr>
          </w:p>
        </w:tc>
        <w:tc>
          <w:tcPr>
            <w:tcW w:w="1420" w:type="dxa"/>
            <w:vAlign w:val="top"/>
          </w:tcPr>
          <w:p w14:paraId="4EADD00E">
            <w:pPr>
              <w:outlineLvl w:val="9"/>
              <w:rPr>
                <w:rFonts w:ascii="Arial"/>
                <w:color w:val="auto"/>
                <w:sz w:val="21"/>
                <w:highlight w:val="none"/>
              </w:rPr>
            </w:pPr>
          </w:p>
        </w:tc>
        <w:tc>
          <w:tcPr>
            <w:tcW w:w="1252" w:type="dxa"/>
            <w:vAlign w:val="top"/>
          </w:tcPr>
          <w:p w14:paraId="70842F34">
            <w:pPr>
              <w:outlineLvl w:val="9"/>
              <w:rPr>
                <w:rFonts w:ascii="Arial"/>
                <w:color w:val="auto"/>
                <w:sz w:val="21"/>
                <w:highlight w:val="none"/>
              </w:rPr>
            </w:pPr>
          </w:p>
        </w:tc>
        <w:tc>
          <w:tcPr>
            <w:tcW w:w="1476" w:type="dxa"/>
            <w:vAlign w:val="top"/>
          </w:tcPr>
          <w:p w14:paraId="14B81560">
            <w:pPr>
              <w:outlineLvl w:val="9"/>
              <w:rPr>
                <w:rFonts w:ascii="Arial"/>
                <w:color w:val="auto"/>
                <w:sz w:val="21"/>
                <w:highlight w:val="none"/>
              </w:rPr>
            </w:pPr>
          </w:p>
        </w:tc>
      </w:tr>
      <w:tr w14:paraId="673B3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275CC886">
            <w:pPr>
              <w:outlineLvl w:val="9"/>
              <w:rPr>
                <w:rFonts w:ascii="Arial"/>
                <w:color w:val="auto"/>
                <w:sz w:val="21"/>
                <w:highlight w:val="none"/>
              </w:rPr>
            </w:pPr>
          </w:p>
        </w:tc>
        <w:tc>
          <w:tcPr>
            <w:tcW w:w="1979" w:type="dxa"/>
            <w:vAlign w:val="top"/>
          </w:tcPr>
          <w:p w14:paraId="017890C9">
            <w:pPr>
              <w:outlineLvl w:val="9"/>
              <w:rPr>
                <w:rFonts w:ascii="Arial"/>
                <w:color w:val="auto"/>
                <w:sz w:val="21"/>
                <w:highlight w:val="none"/>
              </w:rPr>
            </w:pPr>
          </w:p>
        </w:tc>
        <w:tc>
          <w:tcPr>
            <w:tcW w:w="2339" w:type="dxa"/>
            <w:vAlign w:val="top"/>
          </w:tcPr>
          <w:p w14:paraId="2DC57178">
            <w:pPr>
              <w:outlineLvl w:val="9"/>
              <w:rPr>
                <w:rFonts w:ascii="Arial"/>
                <w:color w:val="auto"/>
                <w:sz w:val="21"/>
                <w:highlight w:val="none"/>
              </w:rPr>
            </w:pPr>
          </w:p>
        </w:tc>
        <w:tc>
          <w:tcPr>
            <w:tcW w:w="1420" w:type="dxa"/>
            <w:vAlign w:val="top"/>
          </w:tcPr>
          <w:p w14:paraId="358C1051">
            <w:pPr>
              <w:outlineLvl w:val="9"/>
              <w:rPr>
                <w:rFonts w:ascii="Arial"/>
                <w:color w:val="auto"/>
                <w:sz w:val="21"/>
                <w:highlight w:val="none"/>
              </w:rPr>
            </w:pPr>
          </w:p>
        </w:tc>
        <w:tc>
          <w:tcPr>
            <w:tcW w:w="1252" w:type="dxa"/>
            <w:vAlign w:val="top"/>
          </w:tcPr>
          <w:p w14:paraId="03A8BFE7">
            <w:pPr>
              <w:outlineLvl w:val="9"/>
              <w:rPr>
                <w:rFonts w:ascii="Arial"/>
                <w:color w:val="auto"/>
                <w:sz w:val="21"/>
                <w:highlight w:val="none"/>
              </w:rPr>
            </w:pPr>
          </w:p>
        </w:tc>
        <w:tc>
          <w:tcPr>
            <w:tcW w:w="1476" w:type="dxa"/>
            <w:vAlign w:val="top"/>
          </w:tcPr>
          <w:p w14:paraId="13F03B0B">
            <w:pPr>
              <w:outlineLvl w:val="9"/>
              <w:rPr>
                <w:rFonts w:ascii="Arial"/>
                <w:color w:val="auto"/>
                <w:sz w:val="21"/>
                <w:highlight w:val="none"/>
              </w:rPr>
            </w:pPr>
          </w:p>
        </w:tc>
      </w:tr>
      <w:tr w14:paraId="702E4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105AC604">
            <w:pPr>
              <w:outlineLvl w:val="9"/>
              <w:rPr>
                <w:rFonts w:ascii="Arial"/>
                <w:color w:val="auto"/>
                <w:sz w:val="21"/>
                <w:highlight w:val="none"/>
              </w:rPr>
            </w:pPr>
          </w:p>
        </w:tc>
        <w:tc>
          <w:tcPr>
            <w:tcW w:w="1979" w:type="dxa"/>
            <w:vAlign w:val="top"/>
          </w:tcPr>
          <w:p w14:paraId="2741EE9F">
            <w:pPr>
              <w:outlineLvl w:val="9"/>
              <w:rPr>
                <w:rFonts w:ascii="Arial"/>
                <w:color w:val="auto"/>
                <w:sz w:val="21"/>
                <w:highlight w:val="none"/>
              </w:rPr>
            </w:pPr>
          </w:p>
        </w:tc>
        <w:tc>
          <w:tcPr>
            <w:tcW w:w="2339" w:type="dxa"/>
            <w:vAlign w:val="top"/>
          </w:tcPr>
          <w:p w14:paraId="5A3D0C4B">
            <w:pPr>
              <w:outlineLvl w:val="9"/>
              <w:rPr>
                <w:rFonts w:ascii="Arial"/>
                <w:color w:val="auto"/>
                <w:sz w:val="21"/>
                <w:highlight w:val="none"/>
              </w:rPr>
            </w:pPr>
          </w:p>
        </w:tc>
        <w:tc>
          <w:tcPr>
            <w:tcW w:w="1420" w:type="dxa"/>
            <w:vAlign w:val="top"/>
          </w:tcPr>
          <w:p w14:paraId="1DCC0717">
            <w:pPr>
              <w:outlineLvl w:val="9"/>
              <w:rPr>
                <w:rFonts w:ascii="Arial"/>
                <w:color w:val="auto"/>
                <w:sz w:val="21"/>
                <w:highlight w:val="none"/>
              </w:rPr>
            </w:pPr>
          </w:p>
        </w:tc>
        <w:tc>
          <w:tcPr>
            <w:tcW w:w="1252" w:type="dxa"/>
            <w:vAlign w:val="top"/>
          </w:tcPr>
          <w:p w14:paraId="74002881">
            <w:pPr>
              <w:outlineLvl w:val="9"/>
              <w:rPr>
                <w:rFonts w:ascii="Arial"/>
                <w:color w:val="auto"/>
                <w:sz w:val="21"/>
                <w:highlight w:val="none"/>
              </w:rPr>
            </w:pPr>
          </w:p>
        </w:tc>
        <w:tc>
          <w:tcPr>
            <w:tcW w:w="1476" w:type="dxa"/>
            <w:vAlign w:val="top"/>
          </w:tcPr>
          <w:p w14:paraId="041DADC8">
            <w:pPr>
              <w:outlineLvl w:val="9"/>
              <w:rPr>
                <w:rFonts w:ascii="Arial"/>
                <w:color w:val="auto"/>
                <w:sz w:val="21"/>
                <w:highlight w:val="none"/>
              </w:rPr>
            </w:pPr>
          </w:p>
        </w:tc>
      </w:tr>
      <w:tr w14:paraId="00933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7D37131B">
            <w:pPr>
              <w:outlineLvl w:val="9"/>
              <w:rPr>
                <w:rFonts w:ascii="Arial"/>
                <w:color w:val="auto"/>
                <w:sz w:val="21"/>
                <w:highlight w:val="none"/>
              </w:rPr>
            </w:pPr>
          </w:p>
        </w:tc>
        <w:tc>
          <w:tcPr>
            <w:tcW w:w="1979" w:type="dxa"/>
            <w:vAlign w:val="top"/>
          </w:tcPr>
          <w:p w14:paraId="54484C02">
            <w:pPr>
              <w:outlineLvl w:val="9"/>
              <w:rPr>
                <w:rFonts w:ascii="Arial"/>
                <w:color w:val="auto"/>
                <w:sz w:val="21"/>
                <w:highlight w:val="none"/>
              </w:rPr>
            </w:pPr>
          </w:p>
        </w:tc>
        <w:tc>
          <w:tcPr>
            <w:tcW w:w="2339" w:type="dxa"/>
            <w:vAlign w:val="top"/>
          </w:tcPr>
          <w:p w14:paraId="4F96D33B">
            <w:pPr>
              <w:outlineLvl w:val="9"/>
              <w:rPr>
                <w:rFonts w:ascii="Arial"/>
                <w:color w:val="auto"/>
                <w:sz w:val="21"/>
                <w:highlight w:val="none"/>
              </w:rPr>
            </w:pPr>
          </w:p>
        </w:tc>
        <w:tc>
          <w:tcPr>
            <w:tcW w:w="1420" w:type="dxa"/>
            <w:vAlign w:val="top"/>
          </w:tcPr>
          <w:p w14:paraId="1B26E15A">
            <w:pPr>
              <w:outlineLvl w:val="9"/>
              <w:rPr>
                <w:rFonts w:ascii="Arial"/>
                <w:color w:val="auto"/>
                <w:sz w:val="21"/>
                <w:highlight w:val="none"/>
              </w:rPr>
            </w:pPr>
          </w:p>
        </w:tc>
        <w:tc>
          <w:tcPr>
            <w:tcW w:w="1252" w:type="dxa"/>
            <w:vAlign w:val="top"/>
          </w:tcPr>
          <w:p w14:paraId="67B37AA4">
            <w:pPr>
              <w:outlineLvl w:val="9"/>
              <w:rPr>
                <w:rFonts w:ascii="Arial"/>
                <w:color w:val="auto"/>
                <w:sz w:val="21"/>
                <w:highlight w:val="none"/>
              </w:rPr>
            </w:pPr>
          </w:p>
        </w:tc>
        <w:tc>
          <w:tcPr>
            <w:tcW w:w="1476" w:type="dxa"/>
            <w:vAlign w:val="top"/>
          </w:tcPr>
          <w:p w14:paraId="280350E1">
            <w:pPr>
              <w:outlineLvl w:val="9"/>
              <w:rPr>
                <w:rFonts w:ascii="Arial"/>
                <w:color w:val="auto"/>
                <w:sz w:val="21"/>
                <w:highlight w:val="none"/>
              </w:rPr>
            </w:pPr>
          </w:p>
        </w:tc>
      </w:tr>
      <w:tr w14:paraId="471F4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14:paraId="06BDD9ED">
            <w:pPr>
              <w:outlineLvl w:val="9"/>
              <w:rPr>
                <w:rFonts w:ascii="Arial"/>
                <w:color w:val="auto"/>
                <w:sz w:val="21"/>
                <w:highlight w:val="none"/>
              </w:rPr>
            </w:pPr>
          </w:p>
        </w:tc>
        <w:tc>
          <w:tcPr>
            <w:tcW w:w="1979" w:type="dxa"/>
            <w:vAlign w:val="top"/>
          </w:tcPr>
          <w:p w14:paraId="1E79535A">
            <w:pPr>
              <w:outlineLvl w:val="9"/>
              <w:rPr>
                <w:rFonts w:ascii="Arial"/>
                <w:color w:val="auto"/>
                <w:sz w:val="21"/>
                <w:highlight w:val="none"/>
              </w:rPr>
            </w:pPr>
          </w:p>
        </w:tc>
        <w:tc>
          <w:tcPr>
            <w:tcW w:w="2339" w:type="dxa"/>
            <w:vAlign w:val="top"/>
          </w:tcPr>
          <w:p w14:paraId="28120534">
            <w:pPr>
              <w:outlineLvl w:val="9"/>
              <w:rPr>
                <w:rFonts w:ascii="Arial"/>
                <w:color w:val="auto"/>
                <w:sz w:val="21"/>
                <w:highlight w:val="none"/>
              </w:rPr>
            </w:pPr>
          </w:p>
        </w:tc>
        <w:tc>
          <w:tcPr>
            <w:tcW w:w="1420" w:type="dxa"/>
            <w:vAlign w:val="top"/>
          </w:tcPr>
          <w:p w14:paraId="36AC290B">
            <w:pPr>
              <w:outlineLvl w:val="9"/>
              <w:rPr>
                <w:rFonts w:ascii="Arial"/>
                <w:color w:val="auto"/>
                <w:sz w:val="21"/>
                <w:highlight w:val="none"/>
              </w:rPr>
            </w:pPr>
          </w:p>
        </w:tc>
        <w:tc>
          <w:tcPr>
            <w:tcW w:w="1252" w:type="dxa"/>
            <w:vAlign w:val="top"/>
          </w:tcPr>
          <w:p w14:paraId="5F2FFFE4">
            <w:pPr>
              <w:outlineLvl w:val="9"/>
              <w:rPr>
                <w:rFonts w:ascii="Arial"/>
                <w:color w:val="auto"/>
                <w:sz w:val="21"/>
                <w:highlight w:val="none"/>
              </w:rPr>
            </w:pPr>
          </w:p>
        </w:tc>
        <w:tc>
          <w:tcPr>
            <w:tcW w:w="1476" w:type="dxa"/>
            <w:vAlign w:val="top"/>
          </w:tcPr>
          <w:p w14:paraId="18956499">
            <w:pPr>
              <w:outlineLvl w:val="9"/>
              <w:rPr>
                <w:rFonts w:ascii="Arial"/>
                <w:color w:val="auto"/>
                <w:sz w:val="21"/>
                <w:highlight w:val="none"/>
              </w:rPr>
            </w:pPr>
          </w:p>
        </w:tc>
      </w:tr>
      <w:tr w14:paraId="7A19A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14:paraId="55DE1EE0">
            <w:pPr>
              <w:outlineLvl w:val="9"/>
              <w:rPr>
                <w:rFonts w:ascii="Arial"/>
                <w:color w:val="auto"/>
                <w:sz w:val="21"/>
                <w:highlight w:val="none"/>
              </w:rPr>
            </w:pPr>
          </w:p>
        </w:tc>
        <w:tc>
          <w:tcPr>
            <w:tcW w:w="1979" w:type="dxa"/>
            <w:vAlign w:val="top"/>
          </w:tcPr>
          <w:p w14:paraId="6FCEB022">
            <w:pPr>
              <w:outlineLvl w:val="9"/>
              <w:rPr>
                <w:rFonts w:ascii="Arial"/>
                <w:color w:val="auto"/>
                <w:sz w:val="21"/>
                <w:highlight w:val="none"/>
              </w:rPr>
            </w:pPr>
          </w:p>
        </w:tc>
        <w:tc>
          <w:tcPr>
            <w:tcW w:w="2339" w:type="dxa"/>
            <w:vAlign w:val="top"/>
          </w:tcPr>
          <w:p w14:paraId="7D05B187">
            <w:pPr>
              <w:outlineLvl w:val="9"/>
              <w:rPr>
                <w:rFonts w:ascii="Arial"/>
                <w:color w:val="auto"/>
                <w:sz w:val="21"/>
                <w:highlight w:val="none"/>
              </w:rPr>
            </w:pPr>
          </w:p>
        </w:tc>
        <w:tc>
          <w:tcPr>
            <w:tcW w:w="1420" w:type="dxa"/>
            <w:vAlign w:val="top"/>
          </w:tcPr>
          <w:p w14:paraId="23C9D895">
            <w:pPr>
              <w:outlineLvl w:val="9"/>
              <w:rPr>
                <w:rFonts w:ascii="Arial"/>
                <w:color w:val="auto"/>
                <w:sz w:val="21"/>
                <w:highlight w:val="none"/>
              </w:rPr>
            </w:pPr>
          </w:p>
        </w:tc>
        <w:tc>
          <w:tcPr>
            <w:tcW w:w="1252" w:type="dxa"/>
            <w:vAlign w:val="top"/>
          </w:tcPr>
          <w:p w14:paraId="71C27F1D">
            <w:pPr>
              <w:outlineLvl w:val="9"/>
              <w:rPr>
                <w:rFonts w:ascii="Arial"/>
                <w:color w:val="auto"/>
                <w:sz w:val="21"/>
                <w:highlight w:val="none"/>
              </w:rPr>
            </w:pPr>
          </w:p>
        </w:tc>
        <w:tc>
          <w:tcPr>
            <w:tcW w:w="1476" w:type="dxa"/>
            <w:vAlign w:val="top"/>
          </w:tcPr>
          <w:p w14:paraId="3F9539D3">
            <w:pPr>
              <w:outlineLvl w:val="9"/>
              <w:rPr>
                <w:rFonts w:ascii="Arial"/>
                <w:color w:val="auto"/>
                <w:sz w:val="21"/>
                <w:highlight w:val="none"/>
              </w:rPr>
            </w:pPr>
          </w:p>
        </w:tc>
      </w:tr>
      <w:tr w14:paraId="496EC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652" w:type="dxa"/>
            <w:vAlign w:val="top"/>
          </w:tcPr>
          <w:p w14:paraId="3287B4D6">
            <w:pPr>
              <w:outlineLvl w:val="9"/>
              <w:rPr>
                <w:rFonts w:ascii="Arial"/>
                <w:color w:val="auto"/>
                <w:sz w:val="21"/>
                <w:highlight w:val="none"/>
              </w:rPr>
            </w:pPr>
          </w:p>
        </w:tc>
        <w:tc>
          <w:tcPr>
            <w:tcW w:w="1979" w:type="dxa"/>
            <w:vAlign w:val="top"/>
          </w:tcPr>
          <w:p w14:paraId="7C80585A">
            <w:pPr>
              <w:outlineLvl w:val="9"/>
              <w:rPr>
                <w:rFonts w:ascii="Arial"/>
                <w:color w:val="auto"/>
                <w:sz w:val="21"/>
                <w:highlight w:val="none"/>
              </w:rPr>
            </w:pPr>
          </w:p>
        </w:tc>
        <w:tc>
          <w:tcPr>
            <w:tcW w:w="2339" w:type="dxa"/>
            <w:vAlign w:val="top"/>
          </w:tcPr>
          <w:p w14:paraId="6039780A">
            <w:pPr>
              <w:outlineLvl w:val="9"/>
              <w:rPr>
                <w:rFonts w:ascii="Arial"/>
                <w:color w:val="auto"/>
                <w:sz w:val="21"/>
                <w:highlight w:val="none"/>
              </w:rPr>
            </w:pPr>
          </w:p>
        </w:tc>
        <w:tc>
          <w:tcPr>
            <w:tcW w:w="1420" w:type="dxa"/>
            <w:vAlign w:val="top"/>
          </w:tcPr>
          <w:p w14:paraId="7FDA462C">
            <w:pPr>
              <w:outlineLvl w:val="9"/>
              <w:rPr>
                <w:rFonts w:ascii="Arial"/>
                <w:color w:val="auto"/>
                <w:sz w:val="21"/>
                <w:highlight w:val="none"/>
              </w:rPr>
            </w:pPr>
          </w:p>
        </w:tc>
        <w:tc>
          <w:tcPr>
            <w:tcW w:w="1252" w:type="dxa"/>
            <w:vAlign w:val="top"/>
          </w:tcPr>
          <w:p w14:paraId="0E85F408">
            <w:pPr>
              <w:outlineLvl w:val="9"/>
              <w:rPr>
                <w:rFonts w:ascii="Arial"/>
                <w:color w:val="auto"/>
                <w:sz w:val="21"/>
                <w:highlight w:val="none"/>
              </w:rPr>
            </w:pPr>
          </w:p>
        </w:tc>
        <w:tc>
          <w:tcPr>
            <w:tcW w:w="1476" w:type="dxa"/>
            <w:vAlign w:val="top"/>
          </w:tcPr>
          <w:p w14:paraId="0A7AAE7A">
            <w:pPr>
              <w:outlineLvl w:val="9"/>
              <w:rPr>
                <w:rFonts w:ascii="Arial"/>
                <w:color w:val="auto"/>
                <w:sz w:val="21"/>
                <w:highlight w:val="none"/>
              </w:rPr>
            </w:pPr>
          </w:p>
        </w:tc>
      </w:tr>
    </w:tbl>
    <w:p w14:paraId="7B64FE89">
      <w:pPr>
        <w:spacing w:before="29" w:line="220" w:lineRule="auto"/>
        <w:ind w:left="665"/>
        <w:outlineLvl w:val="9"/>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注：应附相关证明材料扫描件。</w:t>
      </w:r>
      <w:bookmarkStart w:id="439" w:name="bookmark298"/>
      <w:bookmarkEnd w:id="439"/>
    </w:p>
    <w:p w14:paraId="4CAB1A39">
      <w:pPr>
        <w:spacing w:before="64" w:line="224" w:lineRule="auto"/>
        <w:jc w:val="center"/>
        <w:outlineLvl w:val="9"/>
        <w:rPr>
          <w:rFonts w:ascii="宋体" w:hAnsi="宋体" w:eastAsia="宋体" w:cs="宋体"/>
          <w:b/>
          <w:bCs/>
          <w:color w:val="auto"/>
          <w:spacing w:val="6"/>
          <w:sz w:val="31"/>
          <w:szCs w:val="31"/>
          <w:highlight w:val="none"/>
        </w:rPr>
      </w:pPr>
      <w:bookmarkStart w:id="440" w:name="_Toc7443"/>
      <w:r>
        <w:rPr>
          <w:rFonts w:ascii="宋体" w:hAnsi="宋体" w:eastAsia="宋体" w:cs="宋体"/>
          <w:b/>
          <w:bCs/>
          <w:color w:val="auto"/>
          <w:spacing w:val="6"/>
          <w:sz w:val="31"/>
          <w:szCs w:val="31"/>
          <w:highlight w:val="none"/>
        </w:rPr>
        <w:t>十、农民工工资支付保障承诺</w:t>
      </w:r>
      <w:bookmarkEnd w:id="440"/>
    </w:p>
    <w:p w14:paraId="07436D07">
      <w:pPr>
        <w:spacing w:line="417" w:lineRule="auto"/>
        <w:outlineLvl w:val="9"/>
        <w:rPr>
          <w:rFonts w:ascii="Arial"/>
          <w:color w:val="auto"/>
          <w:sz w:val="21"/>
          <w:highlight w:val="none"/>
        </w:rPr>
      </w:pPr>
    </w:p>
    <w:p w14:paraId="39BBE5C2">
      <w:pPr>
        <w:keepNext w:val="0"/>
        <w:keepLines w:val="0"/>
        <w:pageBreakBefore w:val="0"/>
        <w:widowControl/>
        <w:kinsoku w:val="0"/>
        <w:wordWrap/>
        <w:overflowPunct/>
        <w:topLinePunct w:val="0"/>
        <w:autoSpaceDE w:val="0"/>
        <w:autoSpaceDN w:val="0"/>
        <w:bidi w:val="0"/>
        <w:adjustRightInd w:val="0"/>
        <w:snapToGrid w:val="0"/>
        <w:spacing w:before="68" w:line="360" w:lineRule="auto"/>
        <w:ind w:left="420"/>
        <w:textAlignment w:val="baseline"/>
        <w:outlineLvl w:val="9"/>
        <w:rPr>
          <w:rFonts w:ascii="宋体" w:hAnsi="宋体" w:eastAsia="宋体" w:cs="宋体"/>
          <w:color w:val="auto"/>
          <w:sz w:val="21"/>
          <w:szCs w:val="21"/>
          <w:highlight w:val="none"/>
        </w:rPr>
      </w:pPr>
      <w:r>
        <w:rPr>
          <w:rFonts w:ascii="宋体" w:hAnsi="宋体" w:eastAsia="宋体" w:cs="宋体"/>
          <w:color w:val="auto"/>
          <w:sz w:val="21"/>
          <w:szCs w:val="21"/>
          <w:highlight w:val="none"/>
        </w:rPr>
        <w:t>致</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rPr>
        <w:t>招标人名称）</w:t>
      </w:r>
    </w:p>
    <w:p w14:paraId="2C71F098">
      <w:pPr>
        <w:keepNext w:val="0"/>
        <w:keepLines w:val="0"/>
        <w:pageBreakBefore w:val="0"/>
        <w:widowControl/>
        <w:kinsoku w:val="0"/>
        <w:wordWrap/>
        <w:overflowPunct/>
        <w:topLinePunct w:val="0"/>
        <w:autoSpaceDE w:val="0"/>
        <w:autoSpaceDN w:val="0"/>
        <w:bidi w:val="0"/>
        <w:adjustRightInd w:val="0"/>
        <w:snapToGrid w:val="0"/>
        <w:spacing w:before="189" w:line="360" w:lineRule="auto"/>
        <w:ind w:left="421"/>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我方将对</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（项目名称）</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
          <w:sz w:val="21"/>
          <w:szCs w:val="21"/>
          <w:highlight w:val="none"/>
        </w:rPr>
        <w:t>标段施工进行投标。我方承诺：</w:t>
      </w:r>
    </w:p>
    <w:p w14:paraId="23541694">
      <w:pPr>
        <w:keepNext w:val="0"/>
        <w:keepLines w:val="0"/>
        <w:pageBreakBefore w:val="0"/>
        <w:widowControl/>
        <w:kinsoku w:val="0"/>
        <w:wordWrap/>
        <w:overflowPunct/>
        <w:topLinePunct w:val="0"/>
        <w:autoSpaceDE w:val="0"/>
        <w:autoSpaceDN w:val="0"/>
        <w:bidi w:val="0"/>
        <w:adjustRightInd w:val="0"/>
        <w:snapToGrid w:val="0"/>
        <w:spacing w:before="188" w:line="360" w:lineRule="auto"/>
        <w:ind w:firstLine="420"/>
        <w:textAlignment w:val="baseline"/>
        <w:outlineLvl w:val="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若我方中标，我方将按照安徽省人力资源和社会保障厅、安徽省农业农村</w:t>
      </w:r>
      <w:r>
        <w:rPr>
          <w:rFonts w:ascii="宋体" w:hAnsi="宋体" w:eastAsia="宋体" w:cs="宋体"/>
          <w:color w:val="auto"/>
          <w:sz w:val="21"/>
          <w:szCs w:val="21"/>
          <w:highlight w:val="none"/>
        </w:rPr>
        <w:t>厅及项目所在地关于</w:t>
      </w:r>
      <w:r>
        <w:rPr>
          <w:rFonts w:ascii="宋体" w:hAnsi="宋体" w:eastAsia="宋体" w:cs="宋体"/>
          <w:color w:val="auto"/>
          <w:spacing w:val="1"/>
          <w:sz w:val="21"/>
          <w:szCs w:val="21"/>
          <w:highlight w:val="none"/>
        </w:rPr>
        <w:t>农民工工资监督管理有关规定，办理农民工工资支付保障手续，保障农民工的权</w:t>
      </w:r>
      <w:r>
        <w:rPr>
          <w:rFonts w:ascii="宋体" w:hAnsi="宋体" w:eastAsia="宋体" w:cs="宋体"/>
          <w:color w:val="auto"/>
          <w:sz w:val="21"/>
          <w:szCs w:val="21"/>
          <w:highlight w:val="none"/>
        </w:rPr>
        <w:t>益，不拖欠农民工</w:t>
      </w:r>
      <w:r>
        <w:rPr>
          <w:rFonts w:ascii="宋体" w:hAnsi="宋体" w:eastAsia="宋体" w:cs="宋体"/>
          <w:color w:val="auto"/>
          <w:spacing w:val="-1"/>
          <w:sz w:val="21"/>
          <w:szCs w:val="21"/>
          <w:highlight w:val="none"/>
        </w:rPr>
        <w:t>工资。如违反承诺，我方同意发包人对我</w:t>
      </w:r>
      <w:r>
        <w:rPr>
          <w:rFonts w:ascii="宋体" w:hAnsi="宋体" w:eastAsia="宋体" w:cs="宋体"/>
          <w:color w:val="auto"/>
          <w:spacing w:val="-2"/>
          <w:sz w:val="21"/>
          <w:szCs w:val="21"/>
          <w:highlight w:val="none"/>
        </w:rPr>
        <w:t>方递交的投标保证金不予退还、取消中标资格，并愿按有</w:t>
      </w:r>
      <w:r>
        <w:rPr>
          <w:rFonts w:ascii="宋体" w:hAnsi="宋体" w:eastAsia="宋体" w:cs="宋体"/>
          <w:color w:val="auto"/>
          <w:spacing w:val="-1"/>
          <w:sz w:val="21"/>
          <w:szCs w:val="21"/>
          <w:highlight w:val="none"/>
        </w:rPr>
        <w:t>关规定接受任何处罚。</w:t>
      </w:r>
    </w:p>
    <w:p w14:paraId="3D1E2916">
      <w:pPr>
        <w:keepNext w:val="0"/>
        <w:keepLines w:val="0"/>
        <w:pageBreakBefore w:val="0"/>
        <w:widowControl/>
        <w:kinsoku w:val="0"/>
        <w:wordWrap/>
        <w:overflowPunct/>
        <w:topLinePunct w:val="0"/>
        <w:autoSpaceDE w:val="0"/>
        <w:autoSpaceDN w:val="0"/>
        <w:bidi w:val="0"/>
        <w:adjustRightInd w:val="0"/>
        <w:snapToGrid w:val="0"/>
        <w:spacing w:before="30" w:line="360" w:lineRule="auto"/>
        <w:ind w:left="2521" w:right="686" w:firstLine="1"/>
        <w:textAlignment w:val="baseline"/>
        <w:outlineLvl w:val="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 标</w:t>
      </w:r>
      <w:r>
        <w:rPr>
          <w:rFonts w:ascii="宋体" w:hAnsi="宋体" w:eastAsia="宋体" w:cs="宋体"/>
          <w:color w:val="auto"/>
          <w:spacing w:val="8"/>
          <w:sz w:val="21"/>
          <w:szCs w:val="21"/>
          <w:highlight w:val="none"/>
        </w:rPr>
        <w:t xml:space="preserve"> </w:t>
      </w:r>
      <w:r>
        <w:rPr>
          <w:rFonts w:ascii="宋体" w:hAnsi="宋体" w:eastAsia="宋体" w:cs="宋体"/>
          <w:color w:val="auto"/>
          <w:spacing w:val="-3"/>
          <w:sz w:val="21"/>
          <w:szCs w:val="21"/>
          <w:highlight w:val="none"/>
        </w:rPr>
        <w:t>人</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3"/>
          <w:sz w:val="21"/>
          <w:szCs w:val="21"/>
          <w:highlight w:val="none"/>
        </w:rPr>
        <w:t>盖单位章）</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法定代表人或其委托代理人</w:t>
      </w:r>
      <w:r>
        <w:rPr>
          <w:rFonts w:ascii="宋体" w:hAnsi="宋体" w:eastAsia="宋体" w:cs="宋体"/>
          <w:color w:val="auto"/>
          <w:spacing w:val="-11"/>
          <w:sz w:val="21"/>
          <w:szCs w:val="21"/>
          <w:highlight w:val="none"/>
        </w:rPr>
        <w:t>：</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签字）</w:t>
      </w:r>
    </w:p>
    <w:p w14:paraId="03FA60ED">
      <w:pPr>
        <w:keepNext w:val="0"/>
        <w:keepLines w:val="0"/>
        <w:pageBreakBefore w:val="0"/>
        <w:widowControl/>
        <w:tabs>
          <w:tab w:val="left" w:pos="7067"/>
        </w:tabs>
        <w:kinsoku w:val="0"/>
        <w:wordWrap/>
        <w:overflowPunct/>
        <w:topLinePunct w:val="0"/>
        <w:autoSpaceDE w:val="0"/>
        <w:autoSpaceDN w:val="0"/>
        <w:bidi w:val="0"/>
        <w:adjustRightInd w:val="0"/>
        <w:snapToGrid w:val="0"/>
        <w:spacing w:before="28" w:line="360" w:lineRule="auto"/>
        <w:jc w:val="right"/>
        <w:textAlignment w:val="baseline"/>
        <w:outlineLvl w:val="9"/>
        <w:rPr>
          <w:rFonts w:ascii="宋体" w:hAnsi="宋体" w:eastAsia="宋体" w:cs="宋体"/>
          <w:color w:val="auto"/>
          <w:spacing w:val="-7"/>
          <w:sz w:val="21"/>
          <w:szCs w:val="21"/>
          <w:highlight w:val="none"/>
        </w:rPr>
      </w:pPr>
      <w:r>
        <w:rPr>
          <w:rFonts w:ascii="宋体" w:hAnsi="宋体" w:eastAsia="宋体" w:cs="宋体"/>
          <w:color w:val="auto"/>
          <w:spacing w:val="-96"/>
          <w:sz w:val="21"/>
          <w:szCs w:val="21"/>
          <w:highlight w:val="none"/>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2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20"/>
          <w:sz w:val="21"/>
          <w:szCs w:val="21"/>
          <w:highlight w:val="none"/>
          <w:u w:val="single" w:color="auto"/>
        </w:rPr>
        <w:t xml:space="preserve">   </w:t>
      </w:r>
      <w:r>
        <w:rPr>
          <w:rFonts w:ascii="宋体" w:hAnsi="宋体" w:eastAsia="宋体" w:cs="宋体"/>
          <w:color w:val="auto"/>
          <w:spacing w:val="-56"/>
          <w:sz w:val="21"/>
          <w:szCs w:val="21"/>
          <w:highlight w:val="none"/>
        </w:rPr>
        <w:t xml:space="preserve"> </w:t>
      </w:r>
      <w:r>
        <w:rPr>
          <w:rFonts w:ascii="宋体" w:hAnsi="宋体" w:eastAsia="宋体" w:cs="宋体"/>
          <w:color w:val="auto"/>
          <w:spacing w:val="-7"/>
          <w:sz w:val="21"/>
          <w:szCs w:val="21"/>
          <w:highlight w:val="none"/>
        </w:rPr>
        <w:t>日</w:t>
      </w:r>
    </w:p>
    <w:p w14:paraId="76FBBA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b/>
          <w:bCs/>
          <w:snapToGrid w:val="0"/>
          <w:color w:val="auto"/>
          <w:spacing w:val="4"/>
          <w:kern w:val="0"/>
          <w:sz w:val="31"/>
          <w:szCs w:val="31"/>
          <w:highlight w:val="none"/>
          <w:lang w:val="en-US" w:eastAsia="en-US" w:bidi="ar-SA"/>
        </w:rPr>
      </w:pPr>
      <w:r>
        <w:rPr>
          <w:rFonts w:hint="eastAsia" w:ascii="宋体" w:hAnsi="宋体" w:eastAsia="宋体" w:cs="宋体"/>
          <w:b/>
          <w:bCs/>
          <w:snapToGrid w:val="0"/>
          <w:color w:val="auto"/>
          <w:spacing w:val="4"/>
          <w:kern w:val="0"/>
          <w:sz w:val="31"/>
          <w:szCs w:val="31"/>
          <w:highlight w:val="none"/>
          <w:lang w:val="en-US" w:eastAsia="en-US" w:bidi="ar-SA"/>
        </w:rPr>
        <w:br w:type="page"/>
      </w:r>
    </w:p>
    <w:p w14:paraId="064E2E88">
      <w:pPr>
        <w:numPr>
          <w:ilvl w:val="0"/>
          <w:numId w:val="0"/>
        </w:numPr>
        <w:jc w:val="center"/>
        <w:outlineLvl w:val="9"/>
        <w:rPr>
          <w:rFonts w:ascii="宋体" w:hAnsi="宋体" w:eastAsia="宋体" w:cs="宋体"/>
          <w:b/>
          <w:bCs/>
          <w:color w:val="auto"/>
          <w:spacing w:val="4"/>
          <w:sz w:val="31"/>
          <w:szCs w:val="31"/>
          <w:highlight w:val="none"/>
        </w:rPr>
      </w:pPr>
      <w:bookmarkStart w:id="441" w:name="_Toc20299"/>
      <w:r>
        <w:rPr>
          <w:rFonts w:hint="eastAsia" w:ascii="宋体" w:hAnsi="宋体" w:eastAsia="宋体" w:cs="宋体"/>
          <w:b/>
          <w:bCs/>
          <w:snapToGrid w:val="0"/>
          <w:color w:val="auto"/>
          <w:spacing w:val="4"/>
          <w:kern w:val="0"/>
          <w:sz w:val="31"/>
          <w:szCs w:val="31"/>
          <w:highlight w:val="none"/>
          <w:lang w:val="en-US" w:eastAsia="en-US" w:bidi="ar-SA"/>
        </w:rPr>
        <w:t>十一、</w:t>
      </w:r>
      <w:r>
        <w:rPr>
          <w:rFonts w:ascii="宋体" w:hAnsi="宋体" w:eastAsia="宋体" w:cs="宋体"/>
          <w:b/>
          <w:bCs/>
          <w:color w:val="auto"/>
          <w:spacing w:val="4"/>
          <w:sz w:val="31"/>
          <w:szCs w:val="31"/>
          <w:highlight w:val="none"/>
        </w:rPr>
        <w:t>其他材料</w:t>
      </w:r>
      <w:bookmarkEnd w:id="441"/>
    </w:p>
    <w:p w14:paraId="6A663226">
      <w:pPr>
        <w:numPr>
          <w:ilvl w:val="0"/>
          <w:numId w:val="0"/>
        </w:numPr>
        <w:outlineLvl w:val="9"/>
        <w:rPr>
          <w:rFonts w:ascii="Arial"/>
          <w:color w:val="auto"/>
          <w:sz w:val="21"/>
          <w:highlight w:val="none"/>
        </w:rPr>
      </w:pPr>
      <w:r>
        <w:rPr>
          <w:rFonts w:ascii="宋体" w:hAnsi="宋体" w:eastAsia="宋体" w:cs="宋体"/>
          <w:color w:val="auto"/>
          <w:spacing w:val="-3"/>
          <w:sz w:val="21"/>
          <w:szCs w:val="21"/>
          <w:highlight w:val="none"/>
        </w:rPr>
        <w:t>良好行为记录证明材料、投标人信用网页截图等</w:t>
      </w:r>
      <w:r>
        <w:rPr>
          <w:rFonts w:hint="eastAsia" w:ascii="宋体" w:hAnsi="宋体" w:eastAsia="宋体" w:cs="宋体"/>
          <w:color w:val="auto"/>
          <w:spacing w:val="-3"/>
          <w:sz w:val="21"/>
          <w:szCs w:val="21"/>
          <w:highlight w:val="none"/>
          <w:lang w:eastAsia="zh-CN"/>
        </w:rPr>
        <w:t>。</w:t>
      </w:r>
      <w:bookmarkStart w:id="442" w:name="bookmark299"/>
      <w:bookmarkEnd w:id="442"/>
      <w:bookmarkStart w:id="443" w:name="bookmark292"/>
      <w:bookmarkEnd w:id="443"/>
    </w:p>
    <w:sectPr>
      <w:footerReference r:id="rId8" w:type="default"/>
      <w:pgSz w:w="11907" w:h="16839"/>
      <w:pgMar w:top="1440" w:right="1800" w:bottom="1440" w:left="1800" w:header="0" w:footer="90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8D088F-295B-4F81-B9F5-9E24DEEF9F21}"/>
  </w:font>
  <w:font w:name="黑体">
    <w:panose1 w:val="02010609060101010101"/>
    <w:charset w:val="86"/>
    <w:family w:val="auto"/>
    <w:pitch w:val="default"/>
    <w:sig w:usb0="800002BF" w:usb1="38CF7CFA" w:usb2="00000016" w:usb3="00000000" w:csb0="00040001" w:csb1="00000000"/>
    <w:embedRegular r:id="rId2" w:fontKey="{17FFF7DE-15CE-48B4-BB2C-8B39876195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3" w:fontKey="{2431BD8A-3304-479B-AA4D-C488AAD99E85}"/>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4" w:fontKey="{660C0390-41F2-41C8-9B9F-D92AD015A3E2}"/>
  </w:font>
  <w:font w:name="楷体">
    <w:panose1 w:val="02010609060101010101"/>
    <w:charset w:val="86"/>
    <w:family w:val="auto"/>
    <w:pitch w:val="default"/>
    <w:sig w:usb0="800002BF" w:usb1="38CF7CFA" w:usb2="00000016" w:usb3="00000000" w:csb0="00040001" w:csb1="00000000"/>
    <w:embedRegular r:id="rId5" w:fontKey="{18A23917-5E60-418C-AEA9-51241FA5E626}"/>
  </w:font>
  <w:font w:name="Wingdings 2">
    <w:panose1 w:val="05020102010507070707"/>
    <w:charset w:val="02"/>
    <w:family w:val="auto"/>
    <w:pitch w:val="default"/>
    <w:sig w:usb0="00000000" w:usb1="00000000" w:usb2="00000000" w:usb3="00000000" w:csb0="80000000" w:csb1="00000000"/>
    <w:embedRegular r:id="rId6" w:fontKey="{CAE29CF8-9960-4042-AF42-8CDB18FF0CCD}"/>
  </w:font>
  <w:font w:name="_x000B__x000C_">
    <w:altName w:val="Times New Roman"/>
    <w:panose1 w:val="00000000000000000000"/>
    <w:charset w:val="00"/>
    <w:family w:val="auto"/>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embedRegular r:id="rId7" w:fontKey="{DAAB659D-8D8D-4D40-B1F6-966E4F9685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DF610">
    <w:pPr>
      <w:spacing w:line="174" w:lineRule="auto"/>
      <w:ind w:left="4508"/>
      <w:rPr>
        <w:rFonts w:ascii="Times New Roman" w:hAnsi="Times New Roman" w:eastAsia="Times New Roman" w:cs="Times New Roman"/>
        <w:sz w:val="18"/>
        <w:szCs w:val="18"/>
      </w:rPr>
    </w:pPr>
    <w:r>
      <w:rPr>
        <w:sz w:val="18"/>
      </w:rPr>
      <w:pict>
        <v:shape id="文本框 3"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v:imagedata o:title=""/>
          <o:lock v:ext="edit" aspectratio="f"/>
          <v:textbox inset="0mm,0mm,0mm,0mm" style="mso-fit-shape-to-text:t;">
            <w:txbxContent>
              <w:p w14:paraId="32CDEAB6">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E902">
    <w:pPr>
      <w:spacing w:line="174" w:lineRule="auto"/>
      <w:ind w:left="4441"/>
      <w:rPr>
        <w:rFonts w:ascii="Times New Roman" w:hAnsi="Times New Roman" w:eastAsia="Times New Roman" w:cs="Times New Roman"/>
        <w:sz w:val="18"/>
        <w:szCs w:val="18"/>
      </w:rPr>
    </w:pPr>
    <w:r>
      <w:rPr>
        <w:sz w:val="18"/>
      </w:rPr>
      <w:pict>
        <v:shape id="文本框 4"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0A353B2C">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518E4">
    <w:pPr>
      <w:spacing w:line="174" w:lineRule="auto"/>
      <w:ind w:left="4053"/>
      <w:rPr>
        <w:rFonts w:ascii="Times New Roman" w:hAnsi="Times New Roman" w:eastAsia="Times New Roman" w:cs="Times New Roman"/>
        <w:sz w:val="18"/>
        <w:szCs w:val="18"/>
      </w:rPr>
    </w:pPr>
    <w:r>
      <w:rPr>
        <w:sz w:val="18"/>
      </w:rPr>
      <w:pict>
        <v:shape id="文本框 125"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path/>
          <v:fill on="f" focussize="0,0"/>
          <v:stroke on="f" weight="0.5pt"/>
          <v:imagedata o:title=""/>
          <o:lock v:ext="edit" aspectratio="f"/>
          <v:textbox inset="0mm,0mm,0mm,0mm" style="mso-fit-shape-to-text:t;">
            <w:txbxContent>
              <w:p w14:paraId="7D572008">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0EE45">
    <w:pPr>
      <w:pStyle w:val="8"/>
      <w:rPr>
        <w:rFonts w:hint="eastAsia"/>
      </w:rPr>
    </w:pPr>
  </w:p>
  <w:p w14:paraId="14206DF6">
    <w:pPr>
      <w:pStyle w:val="8"/>
      <w:rPr>
        <w:rFonts w:hint="eastAsia"/>
      </w:rPr>
    </w:pPr>
  </w:p>
  <w:p w14:paraId="61A65598">
    <w:pPr>
      <w:pStyle w:val="8"/>
      <w:rPr>
        <w:rFonts w:hint="default" w:eastAsia="宋体"/>
        <w:u w:val="single"/>
        <w:lang w:val="en-US" w:eastAsia="zh-CN"/>
      </w:rPr>
    </w:pPr>
    <w:r>
      <w:rPr>
        <w:rFonts w:hint="eastAsia"/>
        <w:u w:val="single"/>
      </w:rPr>
      <w:t>农业工程施工项目招标文件示范文本（合理</w:t>
    </w:r>
    <w:r>
      <w:rPr>
        <w:rFonts w:hint="eastAsia" w:eastAsia="宋体"/>
        <w:u w:val="single"/>
        <w:lang w:val="en-US" w:eastAsia="zh-CN"/>
      </w:rPr>
      <w:t>低价20250401</w:t>
    </w:r>
    <w:r>
      <w:rPr>
        <w:rFonts w:hint="eastAsia" w:eastAsia="宋体"/>
        <w:u w:val="single"/>
        <w:lang w:eastAsia="zh-CN"/>
      </w:rPr>
      <w:t>）</w:t>
    </w:r>
    <w:r>
      <w:rPr>
        <w:rFonts w:hint="eastAsia" w:eastAsia="宋体"/>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CD568"/>
    <w:multiLevelType w:val="singleLevel"/>
    <w:tmpl w:val="885CD568"/>
    <w:lvl w:ilvl="0" w:tentative="0">
      <w:start w:val="2"/>
      <w:numFmt w:val="decimal"/>
      <w:suff w:val="nothing"/>
      <w:lvlText w:val="（%1）"/>
      <w:lvlJc w:val="left"/>
    </w:lvl>
  </w:abstractNum>
  <w:abstractNum w:abstractNumId="1">
    <w:nsid w:val="1AAB3391"/>
    <w:multiLevelType w:val="singleLevel"/>
    <w:tmpl w:val="1AAB3391"/>
    <w:lvl w:ilvl="0" w:tentative="0">
      <w:start w:val="1"/>
      <w:numFmt w:val="decimal"/>
      <w:suff w:val="nothing"/>
      <w:lvlText w:val="（%1）"/>
      <w:lvlJc w:val="left"/>
    </w:lvl>
  </w:abstractNum>
  <w:abstractNum w:abstractNumId="2">
    <w:nsid w:val="5EFAF921"/>
    <w:multiLevelType w:val="singleLevel"/>
    <w:tmpl w:val="5EFAF921"/>
    <w:lvl w:ilvl="0" w:tentative="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Y0OWNlNWQ3Y2QzMTA2MzMxOTIxM2JkMDY5NmJlYTgifQ=="/>
  </w:docVars>
  <w:rsids>
    <w:rsidRoot w:val="00000000"/>
    <w:rsid w:val="002410F1"/>
    <w:rsid w:val="00724552"/>
    <w:rsid w:val="00942B50"/>
    <w:rsid w:val="01151196"/>
    <w:rsid w:val="014A4B87"/>
    <w:rsid w:val="01CD7566"/>
    <w:rsid w:val="023B0973"/>
    <w:rsid w:val="02902A6D"/>
    <w:rsid w:val="029C1412"/>
    <w:rsid w:val="02AE096A"/>
    <w:rsid w:val="040C0819"/>
    <w:rsid w:val="04220578"/>
    <w:rsid w:val="04272627"/>
    <w:rsid w:val="042A6FFB"/>
    <w:rsid w:val="044B421A"/>
    <w:rsid w:val="04D728EB"/>
    <w:rsid w:val="052971A9"/>
    <w:rsid w:val="05BC1DCB"/>
    <w:rsid w:val="0636392C"/>
    <w:rsid w:val="065744CD"/>
    <w:rsid w:val="0659586C"/>
    <w:rsid w:val="066324C3"/>
    <w:rsid w:val="068428E9"/>
    <w:rsid w:val="06A10228"/>
    <w:rsid w:val="06AD28E0"/>
    <w:rsid w:val="072916E2"/>
    <w:rsid w:val="07E55609"/>
    <w:rsid w:val="08037A1A"/>
    <w:rsid w:val="08442553"/>
    <w:rsid w:val="08A47F14"/>
    <w:rsid w:val="08EB30F3"/>
    <w:rsid w:val="091268D2"/>
    <w:rsid w:val="09315BF5"/>
    <w:rsid w:val="096B1B3E"/>
    <w:rsid w:val="09AE482F"/>
    <w:rsid w:val="09AF7ED3"/>
    <w:rsid w:val="0A257336"/>
    <w:rsid w:val="0A314E36"/>
    <w:rsid w:val="0AA675AE"/>
    <w:rsid w:val="0AF83D68"/>
    <w:rsid w:val="0B3F3C9B"/>
    <w:rsid w:val="0B4032AB"/>
    <w:rsid w:val="0B5A00BC"/>
    <w:rsid w:val="0B957346"/>
    <w:rsid w:val="0B9A670B"/>
    <w:rsid w:val="0BB84DE3"/>
    <w:rsid w:val="0BD25035"/>
    <w:rsid w:val="0CE94FE7"/>
    <w:rsid w:val="0D292DC9"/>
    <w:rsid w:val="0D8E6D0D"/>
    <w:rsid w:val="0DBF68FD"/>
    <w:rsid w:val="0DE17D54"/>
    <w:rsid w:val="0E9D742B"/>
    <w:rsid w:val="0ED35847"/>
    <w:rsid w:val="0ED65CAC"/>
    <w:rsid w:val="0F2033CB"/>
    <w:rsid w:val="0F3A0931"/>
    <w:rsid w:val="101D790A"/>
    <w:rsid w:val="102D459C"/>
    <w:rsid w:val="105477D0"/>
    <w:rsid w:val="1090499F"/>
    <w:rsid w:val="10E072B6"/>
    <w:rsid w:val="113B0990"/>
    <w:rsid w:val="118041DE"/>
    <w:rsid w:val="12445B3A"/>
    <w:rsid w:val="127B4131"/>
    <w:rsid w:val="127F665A"/>
    <w:rsid w:val="12843C71"/>
    <w:rsid w:val="12930AFC"/>
    <w:rsid w:val="130124A4"/>
    <w:rsid w:val="13D12EE6"/>
    <w:rsid w:val="13E744B7"/>
    <w:rsid w:val="14531B4D"/>
    <w:rsid w:val="149D6F99"/>
    <w:rsid w:val="151970B2"/>
    <w:rsid w:val="152D6842"/>
    <w:rsid w:val="155B0F02"/>
    <w:rsid w:val="1565422D"/>
    <w:rsid w:val="163A7F08"/>
    <w:rsid w:val="166167A3"/>
    <w:rsid w:val="16CA259A"/>
    <w:rsid w:val="16F47617"/>
    <w:rsid w:val="16FF1700"/>
    <w:rsid w:val="172123D6"/>
    <w:rsid w:val="173348D1"/>
    <w:rsid w:val="174114E0"/>
    <w:rsid w:val="18391301"/>
    <w:rsid w:val="183E4550"/>
    <w:rsid w:val="183E512D"/>
    <w:rsid w:val="184E0372"/>
    <w:rsid w:val="18C33745"/>
    <w:rsid w:val="19676254"/>
    <w:rsid w:val="19782558"/>
    <w:rsid w:val="1A1917B3"/>
    <w:rsid w:val="1AAB4490"/>
    <w:rsid w:val="1AEE0821"/>
    <w:rsid w:val="1AFD02C9"/>
    <w:rsid w:val="1B2E170C"/>
    <w:rsid w:val="1B495A57"/>
    <w:rsid w:val="1BF34341"/>
    <w:rsid w:val="1C1F6674"/>
    <w:rsid w:val="1C3B7A96"/>
    <w:rsid w:val="1CDB6B83"/>
    <w:rsid w:val="1E3649B9"/>
    <w:rsid w:val="1E403142"/>
    <w:rsid w:val="1E9813BF"/>
    <w:rsid w:val="1EEE2A35"/>
    <w:rsid w:val="1F44616C"/>
    <w:rsid w:val="1F9A1234"/>
    <w:rsid w:val="1FDC6261"/>
    <w:rsid w:val="200230F1"/>
    <w:rsid w:val="201E3BAA"/>
    <w:rsid w:val="202F3684"/>
    <w:rsid w:val="203F02AF"/>
    <w:rsid w:val="2041336D"/>
    <w:rsid w:val="20436F19"/>
    <w:rsid w:val="21353FAA"/>
    <w:rsid w:val="215F7D83"/>
    <w:rsid w:val="21826735"/>
    <w:rsid w:val="222B5EB7"/>
    <w:rsid w:val="22456F79"/>
    <w:rsid w:val="22715FC0"/>
    <w:rsid w:val="227B0BEC"/>
    <w:rsid w:val="22C34341"/>
    <w:rsid w:val="230F1167"/>
    <w:rsid w:val="237733D9"/>
    <w:rsid w:val="23A55F86"/>
    <w:rsid w:val="23C71C0F"/>
    <w:rsid w:val="243C084F"/>
    <w:rsid w:val="24961D0D"/>
    <w:rsid w:val="24FE03C2"/>
    <w:rsid w:val="25DC0D40"/>
    <w:rsid w:val="25DD571A"/>
    <w:rsid w:val="26773DC1"/>
    <w:rsid w:val="26906C30"/>
    <w:rsid w:val="26BF0289"/>
    <w:rsid w:val="26C50688"/>
    <w:rsid w:val="27126105"/>
    <w:rsid w:val="27816C7E"/>
    <w:rsid w:val="278C564A"/>
    <w:rsid w:val="279276BA"/>
    <w:rsid w:val="279B763B"/>
    <w:rsid w:val="27B801ED"/>
    <w:rsid w:val="27BD3A55"/>
    <w:rsid w:val="28120F00"/>
    <w:rsid w:val="281966A8"/>
    <w:rsid w:val="28920A3E"/>
    <w:rsid w:val="29ED6C5C"/>
    <w:rsid w:val="29F23E8A"/>
    <w:rsid w:val="2ABA5D17"/>
    <w:rsid w:val="2AE714A4"/>
    <w:rsid w:val="2AF459E0"/>
    <w:rsid w:val="2AF95979"/>
    <w:rsid w:val="2B7F6B4B"/>
    <w:rsid w:val="2BE75544"/>
    <w:rsid w:val="2C6D6D11"/>
    <w:rsid w:val="2C78619D"/>
    <w:rsid w:val="2D021B5F"/>
    <w:rsid w:val="2D4C6366"/>
    <w:rsid w:val="2D9C2B26"/>
    <w:rsid w:val="2DE50FA9"/>
    <w:rsid w:val="2E627104"/>
    <w:rsid w:val="2E6E3F01"/>
    <w:rsid w:val="2E880A96"/>
    <w:rsid w:val="2EA86F3B"/>
    <w:rsid w:val="2ED753FC"/>
    <w:rsid w:val="2EDD678B"/>
    <w:rsid w:val="2EFA289E"/>
    <w:rsid w:val="2FAA124C"/>
    <w:rsid w:val="2FEE37A2"/>
    <w:rsid w:val="2FFF10AF"/>
    <w:rsid w:val="30EF00AD"/>
    <w:rsid w:val="313528AE"/>
    <w:rsid w:val="31763C33"/>
    <w:rsid w:val="318D6246"/>
    <w:rsid w:val="3191509F"/>
    <w:rsid w:val="319E1036"/>
    <w:rsid w:val="323C02EE"/>
    <w:rsid w:val="325D3E6B"/>
    <w:rsid w:val="32B819E9"/>
    <w:rsid w:val="32BB6DE3"/>
    <w:rsid w:val="339733AC"/>
    <w:rsid w:val="33B37BC3"/>
    <w:rsid w:val="33C341A1"/>
    <w:rsid w:val="33F4451C"/>
    <w:rsid w:val="343435B3"/>
    <w:rsid w:val="34767465"/>
    <w:rsid w:val="34E05B19"/>
    <w:rsid w:val="35490D4A"/>
    <w:rsid w:val="35FA7C22"/>
    <w:rsid w:val="364254CA"/>
    <w:rsid w:val="36895295"/>
    <w:rsid w:val="36A61264"/>
    <w:rsid w:val="36A75FFC"/>
    <w:rsid w:val="36AA1648"/>
    <w:rsid w:val="36EF52AD"/>
    <w:rsid w:val="37407074"/>
    <w:rsid w:val="37873738"/>
    <w:rsid w:val="37A12A4B"/>
    <w:rsid w:val="38353194"/>
    <w:rsid w:val="39BF4FCC"/>
    <w:rsid w:val="3A2B2AA0"/>
    <w:rsid w:val="3A2B484E"/>
    <w:rsid w:val="3A341844"/>
    <w:rsid w:val="3A970136"/>
    <w:rsid w:val="3AB962FE"/>
    <w:rsid w:val="3B191E86"/>
    <w:rsid w:val="3B3F018E"/>
    <w:rsid w:val="3B4958D4"/>
    <w:rsid w:val="3B9B72DD"/>
    <w:rsid w:val="3BD42AEF"/>
    <w:rsid w:val="3BF911BF"/>
    <w:rsid w:val="3C2D62C1"/>
    <w:rsid w:val="3CBF57BA"/>
    <w:rsid w:val="3CCD6091"/>
    <w:rsid w:val="3E0368E3"/>
    <w:rsid w:val="3E1C5380"/>
    <w:rsid w:val="3E9A1FA2"/>
    <w:rsid w:val="3F6E0157"/>
    <w:rsid w:val="407A535C"/>
    <w:rsid w:val="40AD06B3"/>
    <w:rsid w:val="410127AD"/>
    <w:rsid w:val="42641519"/>
    <w:rsid w:val="42B0448A"/>
    <w:rsid w:val="43560B8E"/>
    <w:rsid w:val="436B215F"/>
    <w:rsid w:val="450E5498"/>
    <w:rsid w:val="45BE2A1A"/>
    <w:rsid w:val="45D81DE2"/>
    <w:rsid w:val="46F10BCE"/>
    <w:rsid w:val="473E0275"/>
    <w:rsid w:val="477A04AC"/>
    <w:rsid w:val="47852B50"/>
    <w:rsid w:val="479B74B7"/>
    <w:rsid w:val="47A5259D"/>
    <w:rsid w:val="490746D8"/>
    <w:rsid w:val="494A2C73"/>
    <w:rsid w:val="496C3222"/>
    <w:rsid w:val="49885819"/>
    <w:rsid w:val="4A111CB3"/>
    <w:rsid w:val="4A154C94"/>
    <w:rsid w:val="4A8D08A7"/>
    <w:rsid w:val="4A8F2BD7"/>
    <w:rsid w:val="4B3225AC"/>
    <w:rsid w:val="4B35552D"/>
    <w:rsid w:val="4B674CD4"/>
    <w:rsid w:val="4B7F5179"/>
    <w:rsid w:val="4C2D20AF"/>
    <w:rsid w:val="4C5F3864"/>
    <w:rsid w:val="4C5F4FBB"/>
    <w:rsid w:val="4C617C94"/>
    <w:rsid w:val="4CC052CA"/>
    <w:rsid w:val="4CF136D5"/>
    <w:rsid w:val="4D1B4BF6"/>
    <w:rsid w:val="4E4C388B"/>
    <w:rsid w:val="4E524648"/>
    <w:rsid w:val="4EA7089E"/>
    <w:rsid w:val="4ED96776"/>
    <w:rsid w:val="4EEE3181"/>
    <w:rsid w:val="4F843AC1"/>
    <w:rsid w:val="4F8C5937"/>
    <w:rsid w:val="4F9D1B16"/>
    <w:rsid w:val="4FBC621D"/>
    <w:rsid w:val="4FDF63AF"/>
    <w:rsid w:val="4FE63299"/>
    <w:rsid w:val="50017590"/>
    <w:rsid w:val="50150863"/>
    <w:rsid w:val="50716043"/>
    <w:rsid w:val="50724B2D"/>
    <w:rsid w:val="507F17D3"/>
    <w:rsid w:val="51383FC9"/>
    <w:rsid w:val="5139564B"/>
    <w:rsid w:val="51E90E1F"/>
    <w:rsid w:val="52154215"/>
    <w:rsid w:val="522E0650"/>
    <w:rsid w:val="52654DA8"/>
    <w:rsid w:val="526F7182"/>
    <w:rsid w:val="531243A6"/>
    <w:rsid w:val="534D53DE"/>
    <w:rsid w:val="53AB6CD4"/>
    <w:rsid w:val="543E0798"/>
    <w:rsid w:val="54510E06"/>
    <w:rsid w:val="546724CF"/>
    <w:rsid w:val="54D4058A"/>
    <w:rsid w:val="54F65186"/>
    <w:rsid w:val="55886BA1"/>
    <w:rsid w:val="559A2991"/>
    <w:rsid w:val="55BF35C6"/>
    <w:rsid w:val="55BF3D74"/>
    <w:rsid w:val="55D818D6"/>
    <w:rsid w:val="56755377"/>
    <w:rsid w:val="567E2BBD"/>
    <w:rsid w:val="57925AB5"/>
    <w:rsid w:val="5798756F"/>
    <w:rsid w:val="579D677C"/>
    <w:rsid w:val="57CC7219"/>
    <w:rsid w:val="58FD1007"/>
    <w:rsid w:val="590A1D69"/>
    <w:rsid w:val="59701E26"/>
    <w:rsid w:val="59FD1A22"/>
    <w:rsid w:val="5A025174"/>
    <w:rsid w:val="5A56095E"/>
    <w:rsid w:val="5A8A7355"/>
    <w:rsid w:val="5B0E5A1E"/>
    <w:rsid w:val="5B411CCC"/>
    <w:rsid w:val="5B615ECA"/>
    <w:rsid w:val="5C067377"/>
    <w:rsid w:val="5C0C504E"/>
    <w:rsid w:val="5C14118E"/>
    <w:rsid w:val="5C2A35EB"/>
    <w:rsid w:val="5C711E03"/>
    <w:rsid w:val="5CD94447"/>
    <w:rsid w:val="5D647EF4"/>
    <w:rsid w:val="5E0F1C0D"/>
    <w:rsid w:val="5E622685"/>
    <w:rsid w:val="5EF17565"/>
    <w:rsid w:val="5F0F7CFF"/>
    <w:rsid w:val="5F345E70"/>
    <w:rsid w:val="5F6669D5"/>
    <w:rsid w:val="601142C7"/>
    <w:rsid w:val="60C50CA9"/>
    <w:rsid w:val="61363D34"/>
    <w:rsid w:val="61B7569E"/>
    <w:rsid w:val="629B6165"/>
    <w:rsid w:val="629E7A04"/>
    <w:rsid w:val="62FF591F"/>
    <w:rsid w:val="6305276E"/>
    <w:rsid w:val="633A0C85"/>
    <w:rsid w:val="63902038"/>
    <w:rsid w:val="63C35952"/>
    <w:rsid w:val="63D5059A"/>
    <w:rsid w:val="63DD630A"/>
    <w:rsid w:val="63DD630F"/>
    <w:rsid w:val="642A49C1"/>
    <w:rsid w:val="644A32FB"/>
    <w:rsid w:val="64EE6F4E"/>
    <w:rsid w:val="653647A3"/>
    <w:rsid w:val="659375C8"/>
    <w:rsid w:val="65AF61C2"/>
    <w:rsid w:val="65FC0C61"/>
    <w:rsid w:val="661F0E5C"/>
    <w:rsid w:val="66342B59"/>
    <w:rsid w:val="66A6332B"/>
    <w:rsid w:val="67435A24"/>
    <w:rsid w:val="67490287"/>
    <w:rsid w:val="675271E6"/>
    <w:rsid w:val="678F6EDB"/>
    <w:rsid w:val="67FB3202"/>
    <w:rsid w:val="67FE19E3"/>
    <w:rsid w:val="684D7F02"/>
    <w:rsid w:val="68655FB9"/>
    <w:rsid w:val="687150F2"/>
    <w:rsid w:val="68C10D58"/>
    <w:rsid w:val="68DC4DE2"/>
    <w:rsid w:val="69794D27"/>
    <w:rsid w:val="6A044156"/>
    <w:rsid w:val="6A2A0B1F"/>
    <w:rsid w:val="6A753740"/>
    <w:rsid w:val="6A8B3CB8"/>
    <w:rsid w:val="6A9D7623"/>
    <w:rsid w:val="6B0C2D85"/>
    <w:rsid w:val="6B225676"/>
    <w:rsid w:val="6B511155"/>
    <w:rsid w:val="6BD66460"/>
    <w:rsid w:val="6C423AF6"/>
    <w:rsid w:val="6C77188C"/>
    <w:rsid w:val="6C937EAD"/>
    <w:rsid w:val="6CDA5CA5"/>
    <w:rsid w:val="6D2A6A64"/>
    <w:rsid w:val="6DC416E1"/>
    <w:rsid w:val="6E124509"/>
    <w:rsid w:val="6EFC085E"/>
    <w:rsid w:val="6F0350B8"/>
    <w:rsid w:val="6F455D89"/>
    <w:rsid w:val="6FC767EC"/>
    <w:rsid w:val="70651B61"/>
    <w:rsid w:val="70E92897"/>
    <w:rsid w:val="710B6677"/>
    <w:rsid w:val="71A072F4"/>
    <w:rsid w:val="71A2029D"/>
    <w:rsid w:val="71B26AD7"/>
    <w:rsid w:val="72136F04"/>
    <w:rsid w:val="72A44BC2"/>
    <w:rsid w:val="72E2393D"/>
    <w:rsid w:val="732B7092"/>
    <w:rsid w:val="73492889"/>
    <w:rsid w:val="73AD044F"/>
    <w:rsid w:val="73AD33A8"/>
    <w:rsid w:val="73C848E1"/>
    <w:rsid w:val="740F250F"/>
    <w:rsid w:val="74B5693C"/>
    <w:rsid w:val="74E74B66"/>
    <w:rsid w:val="75080E4F"/>
    <w:rsid w:val="76452218"/>
    <w:rsid w:val="768B1469"/>
    <w:rsid w:val="76AB4747"/>
    <w:rsid w:val="76C27D0D"/>
    <w:rsid w:val="77132317"/>
    <w:rsid w:val="77533239"/>
    <w:rsid w:val="77FD7E9C"/>
    <w:rsid w:val="78221AC2"/>
    <w:rsid w:val="784B788E"/>
    <w:rsid w:val="78C57641"/>
    <w:rsid w:val="78DB6E64"/>
    <w:rsid w:val="79424897"/>
    <w:rsid w:val="79A67472"/>
    <w:rsid w:val="79C51FFB"/>
    <w:rsid w:val="7A340F22"/>
    <w:rsid w:val="7A573986"/>
    <w:rsid w:val="7AFE508C"/>
    <w:rsid w:val="7B354287"/>
    <w:rsid w:val="7B430ADD"/>
    <w:rsid w:val="7B5433EF"/>
    <w:rsid w:val="7C3E7A34"/>
    <w:rsid w:val="7C756CF1"/>
    <w:rsid w:val="7CC145C3"/>
    <w:rsid w:val="7D1A2FE3"/>
    <w:rsid w:val="7D562F5D"/>
    <w:rsid w:val="7D7E4262"/>
    <w:rsid w:val="7D986F5E"/>
    <w:rsid w:val="7E662974"/>
    <w:rsid w:val="7E7B3A68"/>
    <w:rsid w:val="7E8B4E88"/>
    <w:rsid w:val="7EAB72D9"/>
    <w:rsid w:val="7EFF74BD"/>
    <w:rsid w:val="7F8518D8"/>
    <w:rsid w:val="7FC515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link w:val="30"/>
    <w:autoRedefine/>
    <w:semiHidden/>
    <w:unhideWhenUsed/>
    <w:qFormat/>
    <w:uiPriority w:val="0"/>
    <w:pPr>
      <w:keepNext/>
      <w:keepLines/>
      <w:widowControl w:val="0"/>
      <w:suppressLineNumbers w:val="0"/>
      <w:adjustRightInd w:val="0"/>
      <w:snapToGrid w:val="0"/>
      <w:spacing w:before="0" w:beforeLines="50" w:beforeAutospacing="0" w:after="0" w:afterAutospacing="0" w:line="360" w:lineRule="auto"/>
      <w:ind w:left="0" w:right="0"/>
      <w:jc w:val="center"/>
      <w:outlineLvl w:val="1"/>
    </w:pPr>
    <w:rPr>
      <w:rFonts w:ascii="Arial" w:hAnsi="Arial" w:eastAsia="宋体" w:cs="Times New Roman"/>
      <w:b/>
      <w:bCs/>
      <w:kern w:val="2"/>
      <w:sz w:val="32"/>
      <w:szCs w:val="32"/>
      <w:lang w:val="en-US" w:eastAsia="zh-CN" w:bidi="ar"/>
    </w:rPr>
  </w:style>
  <w:style w:type="paragraph" w:styleId="3">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autoRedefine/>
    <w:semiHidden/>
    <w:qFormat/>
    <w:uiPriority w:val="0"/>
  </w:style>
  <w:style w:type="table" w:default="1" w:styleId="11">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semiHidden/>
    <w:qFormat/>
    <w:uiPriority w:val="0"/>
    <w:rPr>
      <w:rFonts w:ascii="FangSong_GB2312" w:hAnsi="FangSong_GB2312" w:eastAsia="FangSong_GB2312" w:cs="FangSong_GB2312"/>
      <w:sz w:val="31"/>
      <w:szCs w:val="31"/>
      <w:lang w:val="en-US" w:eastAsia="en-US" w:bidi="ar-SA"/>
    </w:rPr>
  </w:style>
  <w:style w:type="paragraph" w:styleId="6">
    <w:name w:val="toc 3"/>
    <w:basedOn w:val="1"/>
    <w:next w:val="1"/>
    <w:autoRedefine/>
    <w:qFormat/>
    <w:uiPriority w:val="0"/>
    <w:pPr>
      <w:ind w:left="840" w:leftChars="400"/>
    </w:pPr>
  </w:style>
  <w:style w:type="paragraph" w:styleId="7">
    <w:name w:val="footer"/>
    <w:basedOn w:val="1"/>
    <w:link w:val="32"/>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bCs/>
    </w:rPr>
  </w:style>
  <w:style w:type="character" w:styleId="15">
    <w:name w:val="FollowedHyperlink"/>
    <w:basedOn w:val="13"/>
    <w:autoRedefine/>
    <w:qFormat/>
    <w:uiPriority w:val="0"/>
    <w:rPr>
      <w:color w:val="800080"/>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Typewriter"/>
    <w:basedOn w:val="13"/>
    <w:autoRedefine/>
    <w:qFormat/>
    <w:uiPriority w:val="0"/>
    <w:rPr>
      <w:rFonts w:hint="default" w:ascii="monospace" w:hAnsi="monospace" w:eastAsia="monospace" w:cs="monospace"/>
      <w:sz w:val="20"/>
    </w:rPr>
  </w:style>
  <w:style w:type="character" w:styleId="19">
    <w:name w:val="HTML Acronym"/>
    <w:basedOn w:val="13"/>
    <w:autoRedefine/>
    <w:qFormat/>
    <w:uiPriority w:val="0"/>
  </w:style>
  <w:style w:type="character" w:styleId="20">
    <w:name w:val="HTML Variable"/>
    <w:basedOn w:val="13"/>
    <w:autoRedefine/>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sz w:val="20"/>
    </w:rPr>
  </w:style>
  <w:style w:type="character" w:styleId="25">
    <w:name w:val="HTML Sample"/>
    <w:basedOn w:val="13"/>
    <w:autoRedefine/>
    <w:qFormat/>
    <w:uiPriority w:val="0"/>
    <w:rPr>
      <w:rFonts w:hint="default" w:ascii="monospace" w:hAnsi="monospace" w:eastAsia="monospace" w:cs="monospace"/>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宋体" w:hAnsi="宋体" w:eastAsia="宋体" w:cs="宋体"/>
      <w:sz w:val="21"/>
      <w:szCs w:val="21"/>
      <w:lang w:val="en-US" w:eastAsia="en-US" w:bidi="ar-SA"/>
    </w:rPr>
  </w:style>
  <w:style w:type="character" w:customStyle="1" w:styleId="28">
    <w:name w:val="标题 3 字符"/>
    <w:basedOn w:val="13"/>
    <w:link w:val="3"/>
    <w:autoRedefine/>
    <w:qFormat/>
    <w:uiPriority w:val="0"/>
    <w:rPr>
      <w:b/>
      <w:bCs/>
      <w:kern w:val="2"/>
      <w:sz w:val="32"/>
      <w:szCs w:val="32"/>
    </w:rPr>
  </w:style>
  <w:style w:type="paragraph" w:customStyle="1" w:styleId="29">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30">
    <w:name w:val="标题 2 字符"/>
    <w:basedOn w:val="13"/>
    <w:link w:val="2"/>
    <w:autoRedefine/>
    <w:qFormat/>
    <w:uiPriority w:val="0"/>
    <w:rPr>
      <w:rFonts w:hint="default" w:ascii="Arial" w:hAnsi="Arial" w:cs="Arial"/>
      <w:b/>
      <w:bCs/>
      <w:kern w:val="2"/>
      <w:sz w:val="32"/>
      <w:szCs w:val="32"/>
    </w:rPr>
  </w:style>
  <w:style w:type="paragraph" w:customStyle="1" w:styleId="31">
    <w:name w:val="正文_0"/>
    <w:basedOn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32">
    <w:name w:val="页脚 字符"/>
    <w:basedOn w:val="13"/>
    <w:link w:val="7"/>
    <w:autoRedefine/>
    <w:qFormat/>
    <w:uiPriority w:val="0"/>
    <w:rPr>
      <w:kern w:val="2"/>
      <w:sz w:val="18"/>
      <w:szCs w:val="18"/>
    </w:rPr>
  </w:style>
  <w:style w:type="paragraph" w:customStyle="1" w:styleId="33">
    <w:name w:val="三级标题目录样式"/>
    <w:basedOn w:val="1"/>
    <w:next w:val="1"/>
    <w:autoRedefine/>
    <w:qFormat/>
    <w:uiPriority w:val="0"/>
    <w:pPr>
      <w:keepNext/>
      <w:keepLines/>
      <w:spacing w:before="100" w:beforeLines="100" w:after="100" w:afterLines="100"/>
      <w:jc w:val="center"/>
      <w:outlineLvl w:val="1"/>
    </w:pPr>
    <w:rPr>
      <w:rFonts w:hint="eastAsia" w:ascii="宋体" w:hAnsi="宋体" w:eastAsia="黑体" w:cs="宋体"/>
      <w:sz w:val="24"/>
      <w:szCs w:val="32"/>
    </w:rPr>
  </w:style>
  <w:style w:type="character" w:customStyle="1" w:styleId="34">
    <w:name w:val="目录样式二级标题 Char"/>
    <w:link w:val="35"/>
    <w:autoRedefine/>
    <w:qFormat/>
    <w:uiPriority w:val="0"/>
    <w:rPr>
      <w:rFonts w:hint="eastAsia" w:ascii="宋体" w:hAnsi="宋体" w:eastAsia="黑体" w:cs="宋体"/>
      <w:sz w:val="32"/>
      <w:szCs w:val="32"/>
    </w:rPr>
  </w:style>
  <w:style w:type="paragraph" w:customStyle="1" w:styleId="35">
    <w:name w:val="二级标题目录样式"/>
    <w:basedOn w:val="1"/>
    <w:next w:val="1"/>
    <w:link w:val="34"/>
    <w:autoRedefine/>
    <w:qFormat/>
    <w:uiPriority w:val="0"/>
    <w:pPr>
      <w:keepNext/>
      <w:keepLines/>
      <w:spacing w:before="100" w:beforeLines="100" w:after="100" w:afterLines="100"/>
      <w:jc w:val="center"/>
      <w:outlineLvl w:val="1"/>
    </w:pPr>
    <w:rPr>
      <w:rFonts w:hint="eastAsia" w:ascii="宋体" w:hAnsi="宋体" w:eastAsia="黑体" w:cs="宋体"/>
      <w:sz w:val="32"/>
      <w:szCs w:val="32"/>
    </w:rPr>
  </w:style>
  <w:style w:type="paragraph" w:customStyle="1" w:styleId="36">
    <w:name w:val="正文_3"/>
    <w:basedOn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2"/>
      <w:lang w:val="en-US" w:eastAsia="zh-CN" w:bidi="ar"/>
    </w:rPr>
  </w:style>
  <w:style w:type="paragraph" w:customStyle="1" w:styleId="37">
    <w:name w:val="WPSOffice手动目录 1"/>
    <w:autoRedefine/>
    <w:qFormat/>
    <w:uiPriority w:val="0"/>
    <w:pPr>
      <w:ind w:leftChars="0"/>
    </w:pPr>
    <w:rPr>
      <w:rFonts w:ascii="Times New Roman" w:hAnsi="Times New Roman" w:eastAsia="宋体" w:cs="Times New Roman"/>
      <w:sz w:val="20"/>
      <w:szCs w:val="20"/>
    </w:rPr>
  </w:style>
  <w:style w:type="paragraph" w:customStyle="1" w:styleId="38">
    <w:name w:val="WPSOffice手动目录 2"/>
    <w:autoRedefine/>
    <w:qFormat/>
    <w:uiPriority w:val="0"/>
    <w:pPr>
      <w:ind w:leftChars="200"/>
    </w:pPr>
    <w:rPr>
      <w:rFonts w:ascii="Times New Roman" w:hAnsi="Times New Roman" w:eastAsia="宋体" w:cs="Times New Roman"/>
      <w:sz w:val="20"/>
      <w:szCs w:val="20"/>
    </w:rPr>
  </w:style>
  <w:style w:type="paragraph" w:customStyle="1" w:styleId="39">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51" textRotate="1"/>
    <customShpInfo spid="_x0000_s2049" textRotate="1"/>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154</Pages>
  <Words>6231</Words>
  <Characters>6994</Characters>
  <TotalTime>21</TotalTime>
  <ScaleCrop>false</ScaleCrop>
  <LinksUpToDate>false</LinksUpToDate>
  <CharactersWithSpaces>7236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2025-02-24T11:37:00Z</dcterms:created>
  <dc:creator>snwf</dc:creator>
  <cp:lastModifiedBy>CBD</cp:lastModifiedBy>
  <dcterms:modified xsi:type="dcterms:W3CDTF">2025-10-20T09:06:14Z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2025-02-26T10:48:29Z</vt:filetime>
  </property>
  <property fmtid="{D5CDD505-2E9C-101B-9397-08002B2CF9AE}" pid="4" name="KSOTemplateDocerSaveRecord">
    <vt:lpwstr>eyJoZGlkIjoiODVlMTczMjcwMWVkZmE5ZTQ2MjZmYzA0YmE4OGRmODciLCJ1c2VySWQiOiIxNTczODIzMzg3In0=</vt:lpwstr>
  </property>
  <property fmtid="{D5CDD505-2E9C-101B-9397-08002B2CF9AE}" pid="5" name="KSOProductBuildVer">
    <vt:lpwstr>2052-12.1.0.21541</vt:lpwstr>
  </property>
  <property fmtid="{D5CDD505-2E9C-101B-9397-08002B2CF9AE}" pid="6" name="ICV">
    <vt:lpwstr>E7F5260E4C00409094AD37CA0C30FC4F_13</vt:lpwstr>
  </property>
</Properties>
</file>