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2ABE03">
      <w:pPr>
        <w:pStyle w:val="19"/>
        <w:spacing w:beforeLines="200" w:after="0" w:line="360" w:lineRule="auto"/>
        <w:jc w:val="center"/>
        <w:rPr>
          <w:rFonts w:hAnsi="宋体" w:cs="宋体"/>
          <w:bCs/>
          <w:sz w:val="44"/>
          <w:szCs w:val="44"/>
          <w:highlight w:val="none"/>
          <w:u w:val="single"/>
        </w:rPr>
      </w:pPr>
      <w:r>
        <w:rPr>
          <w:rFonts w:hint="eastAsia" w:hAnsi="宋体" w:cs="宋体"/>
          <w:bCs/>
          <w:sz w:val="44"/>
          <w:szCs w:val="44"/>
          <w:highlight w:val="none"/>
          <w:u w:val="single"/>
          <w:lang w:eastAsia="zh-CN"/>
        </w:rPr>
        <w:t>肥东县第七人民医院门诊医技住院综合楼、公共卫生综合楼智能化项目</w:t>
      </w:r>
    </w:p>
    <w:p w14:paraId="3C818270">
      <w:pPr>
        <w:spacing w:beforeLines="200" w:line="360" w:lineRule="auto"/>
        <w:jc w:val="center"/>
        <w:rPr>
          <w:rFonts w:hAnsi="宋体" w:cs="宋体"/>
          <w:bCs/>
          <w:kern w:val="2"/>
          <w:sz w:val="36"/>
          <w:szCs w:val="36"/>
          <w:highlight w:val="none"/>
          <w:u w:val="single"/>
        </w:rPr>
      </w:pPr>
      <w:r>
        <w:rPr>
          <w:rFonts w:hint="eastAsia" w:hAnsi="宋体" w:cs="宋体"/>
          <w:bCs/>
          <w:kern w:val="2"/>
          <w:sz w:val="36"/>
          <w:szCs w:val="36"/>
          <w:highlight w:val="none"/>
        </w:rPr>
        <w:t>（招标项目编号：</w:t>
      </w:r>
      <w:r>
        <w:rPr>
          <w:rFonts w:hint="eastAsia" w:hAnsi="宋体" w:cs="宋体"/>
          <w:bCs/>
          <w:kern w:val="2"/>
          <w:sz w:val="36"/>
          <w:szCs w:val="36"/>
          <w:highlight w:val="none"/>
          <w:u w:val="single"/>
          <w:lang w:eastAsia="zh-CN"/>
        </w:rPr>
        <w:t>XXXX</w:t>
      </w:r>
      <w:r>
        <w:rPr>
          <w:rFonts w:hint="eastAsia" w:hAnsi="宋体" w:cs="宋体"/>
          <w:bCs/>
          <w:kern w:val="2"/>
          <w:sz w:val="36"/>
          <w:szCs w:val="36"/>
          <w:highlight w:val="none"/>
        </w:rPr>
        <w:t>）</w:t>
      </w:r>
    </w:p>
    <w:p w14:paraId="43E25D00">
      <w:pPr>
        <w:spacing w:beforeLines="200" w:line="360" w:lineRule="auto"/>
        <w:jc w:val="center"/>
        <w:rPr>
          <w:rFonts w:ascii="Times New Roman" w:eastAsia="黑体"/>
          <w:kern w:val="2"/>
          <w:sz w:val="72"/>
          <w:szCs w:val="72"/>
          <w:highlight w:val="none"/>
        </w:rPr>
      </w:pPr>
      <w:r>
        <w:rPr>
          <w:rFonts w:hint="eastAsia" w:ascii="Times New Roman" w:eastAsia="黑体"/>
          <w:kern w:val="2"/>
          <w:sz w:val="72"/>
          <w:szCs w:val="72"/>
          <w:highlight w:val="none"/>
        </w:rPr>
        <w:t>招 标 文 件</w:t>
      </w:r>
    </w:p>
    <w:p w14:paraId="6127B2BF">
      <w:pPr>
        <w:spacing w:beforeLines="200" w:line="360" w:lineRule="auto"/>
        <w:jc w:val="center"/>
        <w:rPr>
          <w:rFonts w:ascii="Times New Roman" w:eastAsia="黑体"/>
          <w:kern w:val="2"/>
          <w:sz w:val="72"/>
          <w:szCs w:val="72"/>
          <w:highlight w:val="none"/>
        </w:rPr>
      </w:pPr>
    </w:p>
    <w:p w14:paraId="6C6F70E1">
      <w:pPr>
        <w:spacing w:beforeLines="200" w:line="360" w:lineRule="auto"/>
        <w:jc w:val="center"/>
        <w:rPr>
          <w:rFonts w:ascii="Times New Roman" w:eastAsia="黑体"/>
          <w:kern w:val="2"/>
          <w:sz w:val="72"/>
          <w:szCs w:val="72"/>
          <w:highlight w:val="none"/>
        </w:rPr>
      </w:pPr>
    </w:p>
    <w:p w14:paraId="4DA52F23">
      <w:pPr>
        <w:spacing w:beforeLines="200" w:line="360" w:lineRule="auto"/>
        <w:jc w:val="center"/>
        <w:rPr>
          <w:rFonts w:ascii="Times New Roman" w:eastAsia="黑体"/>
          <w:kern w:val="2"/>
          <w:sz w:val="72"/>
          <w:szCs w:val="72"/>
          <w:highlight w:val="none"/>
        </w:rPr>
      </w:pPr>
    </w:p>
    <w:p w14:paraId="1C7D1A31">
      <w:pPr>
        <w:spacing w:beforeLines="200" w:line="360" w:lineRule="auto"/>
        <w:jc w:val="center"/>
        <w:rPr>
          <w:rFonts w:ascii="Times New Roman"/>
          <w:kern w:val="2"/>
          <w:sz w:val="32"/>
          <w:szCs w:val="32"/>
          <w:highlight w:val="none"/>
        </w:rPr>
      </w:pPr>
      <w:r>
        <w:rPr>
          <w:rFonts w:hint="eastAsia" w:ascii="Times New Roman" w:eastAsia="黑体"/>
          <w:kern w:val="2"/>
          <w:sz w:val="32"/>
          <w:szCs w:val="32"/>
          <w:highlight w:val="none"/>
        </w:rPr>
        <w:t>招   标   人：</w:t>
      </w:r>
      <w:r>
        <w:rPr>
          <w:rFonts w:hint="eastAsia" w:ascii="Times New Roman" w:eastAsia="黑体"/>
          <w:kern w:val="2"/>
          <w:sz w:val="32"/>
          <w:szCs w:val="32"/>
          <w:highlight w:val="none"/>
          <w:u w:val="single"/>
          <w:lang w:eastAsia="zh-CN"/>
        </w:rPr>
        <w:t>肥东县梁园镇中心卫生院（肥东县第七人民医院）</w:t>
      </w:r>
      <w:r>
        <w:rPr>
          <w:rFonts w:hint="eastAsia" w:ascii="Times New Roman"/>
          <w:kern w:val="2"/>
          <w:sz w:val="32"/>
          <w:szCs w:val="32"/>
          <w:highlight w:val="none"/>
        </w:rPr>
        <w:t>（盖单位章）</w:t>
      </w:r>
    </w:p>
    <w:p w14:paraId="578D8685">
      <w:pPr>
        <w:spacing w:beforeLines="100" w:line="360" w:lineRule="auto"/>
        <w:ind w:firstLine="437"/>
        <w:jc w:val="center"/>
        <w:rPr>
          <w:rFonts w:ascii="Times New Roman"/>
          <w:kern w:val="2"/>
          <w:sz w:val="32"/>
          <w:szCs w:val="32"/>
          <w:highlight w:val="none"/>
        </w:rPr>
      </w:pPr>
      <w:r>
        <w:rPr>
          <w:rFonts w:hint="eastAsia" w:ascii="Times New Roman" w:eastAsia="黑体"/>
          <w:kern w:val="2"/>
          <w:sz w:val="32"/>
          <w:szCs w:val="32"/>
          <w:highlight w:val="none"/>
        </w:rPr>
        <w:t>招标代理机构：</w:t>
      </w:r>
      <w:r>
        <w:rPr>
          <w:rFonts w:hint="eastAsia" w:ascii="Times New Roman" w:eastAsia="黑体"/>
          <w:kern w:val="2"/>
          <w:sz w:val="32"/>
          <w:szCs w:val="32"/>
          <w:highlight w:val="none"/>
          <w:u w:val="single"/>
        </w:rPr>
        <w:t>肥东县公共资源交易有限公司</w:t>
      </w:r>
      <w:r>
        <w:rPr>
          <w:rFonts w:hint="eastAsia" w:ascii="Times New Roman"/>
          <w:kern w:val="2"/>
          <w:sz w:val="32"/>
          <w:szCs w:val="32"/>
          <w:highlight w:val="none"/>
        </w:rPr>
        <w:t>（盖单位章）</w:t>
      </w:r>
    </w:p>
    <w:p w14:paraId="4E374167">
      <w:pPr>
        <w:spacing w:beforeLines="100" w:line="360" w:lineRule="auto"/>
        <w:ind w:firstLine="437"/>
        <w:jc w:val="center"/>
        <w:rPr>
          <w:rFonts w:ascii="Times New Roman"/>
          <w:kern w:val="2"/>
          <w:sz w:val="32"/>
          <w:szCs w:val="32"/>
          <w:highlight w:val="none"/>
        </w:rPr>
      </w:pPr>
      <w:r>
        <w:rPr>
          <w:rFonts w:hint="eastAsia" w:ascii="Times New Roman" w:eastAsia="黑体"/>
          <w:kern w:val="2"/>
          <w:sz w:val="32"/>
          <w:szCs w:val="32"/>
          <w:highlight w:val="none"/>
        </w:rPr>
        <w:t>日    期</w:t>
      </w:r>
      <w:r>
        <w:rPr>
          <w:rFonts w:hint="eastAsia" w:ascii="Times New Roman"/>
          <w:kern w:val="2"/>
          <w:sz w:val="32"/>
          <w:szCs w:val="32"/>
          <w:highlight w:val="none"/>
        </w:rPr>
        <w:t>：</w:t>
      </w:r>
      <w:r>
        <w:rPr>
          <w:rFonts w:hint="eastAsia" w:ascii="Times New Roman" w:eastAsia="黑体"/>
          <w:kern w:val="2"/>
          <w:sz w:val="32"/>
          <w:szCs w:val="32"/>
          <w:highlight w:val="none"/>
          <w:u w:val="single"/>
        </w:rPr>
        <w:t>202</w:t>
      </w:r>
      <w:r>
        <w:rPr>
          <w:rFonts w:hint="eastAsia" w:ascii="Times New Roman" w:eastAsia="黑体"/>
          <w:kern w:val="2"/>
          <w:sz w:val="32"/>
          <w:szCs w:val="32"/>
          <w:highlight w:val="none"/>
          <w:u w:val="single"/>
          <w:lang w:val="en-US" w:eastAsia="zh-CN"/>
        </w:rPr>
        <w:t>5</w:t>
      </w:r>
      <w:r>
        <w:rPr>
          <w:rFonts w:hint="eastAsia" w:ascii="Times New Roman"/>
          <w:kern w:val="2"/>
          <w:sz w:val="32"/>
          <w:szCs w:val="32"/>
          <w:highlight w:val="none"/>
        </w:rPr>
        <w:t>年</w:t>
      </w:r>
      <w:r>
        <w:rPr>
          <w:rFonts w:hint="eastAsia" w:ascii="Times New Roman"/>
          <w:kern w:val="2"/>
          <w:sz w:val="32"/>
          <w:szCs w:val="32"/>
          <w:highlight w:val="none"/>
          <w:u w:val="single"/>
          <w:lang w:val="en-US" w:eastAsia="zh-CN"/>
        </w:rPr>
        <w:t>11</w:t>
      </w:r>
      <w:r>
        <w:rPr>
          <w:rFonts w:hint="eastAsia" w:ascii="Times New Roman"/>
          <w:kern w:val="2"/>
          <w:sz w:val="32"/>
          <w:szCs w:val="32"/>
          <w:highlight w:val="none"/>
        </w:rPr>
        <w:t>月</w:t>
      </w:r>
      <w:r>
        <w:rPr>
          <w:rFonts w:hint="eastAsia" w:ascii="Times New Roman" w:eastAsia="黑体"/>
          <w:kern w:val="2"/>
          <w:sz w:val="32"/>
          <w:szCs w:val="32"/>
          <w:highlight w:val="none"/>
          <w:u w:val="single"/>
          <w:lang w:val="en-US" w:eastAsia="zh-CN"/>
        </w:rPr>
        <w:t>25</w:t>
      </w:r>
      <w:r>
        <w:rPr>
          <w:rFonts w:hint="eastAsia" w:ascii="Times New Roman"/>
          <w:kern w:val="2"/>
          <w:sz w:val="32"/>
          <w:szCs w:val="32"/>
          <w:highlight w:val="none"/>
        </w:rPr>
        <w:t>日</w:t>
      </w:r>
    </w:p>
    <w:p w14:paraId="5B78A883">
      <w:pPr>
        <w:pStyle w:val="49"/>
        <w:snapToGrid w:val="0"/>
        <w:spacing w:before="150" w:beforeAutospacing="0" w:after="150" w:afterAutospacing="0" w:line="560" w:lineRule="atLeast"/>
        <w:jc w:val="center"/>
        <w:rPr>
          <w:rFonts w:ascii="Times New Roman" w:hAnsi="Times New Roman" w:cs="Times New Roman"/>
          <w:bCs/>
          <w:color w:val="auto"/>
          <w:kern w:val="44"/>
          <w:sz w:val="32"/>
          <w:szCs w:val="32"/>
          <w:highlight w:val="none"/>
        </w:rPr>
      </w:pPr>
      <w:r>
        <w:rPr>
          <w:rFonts w:hint="eastAsia" w:ascii="Times New Roman" w:hAnsi="Times New Roman"/>
          <w:color w:val="auto"/>
          <w:sz w:val="52"/>
          <w:szCs w:val="52"/>
          <w:highlight w:val="none"/>
        </w:rPr>
        <w:br w:type="page"/>
      </w:r>
      <w:r>
        <w:rPr>
          <w:rFonts w:hint="eastAsia" w:ascii="Times New Roman" w:hAnsi="Times New Roman" w:cs="Times New Roman"/>
          <w:bCs/>
          <w:color w:val="auto"/>
          <w:kern w:val="44"/>
          <w:sz w:val="32"/>
          <w:szCs w:val="32"/>
          <w:highlight w:val="none"/>
        </w:rPr>
        <w:t>目  录</w:t>
      </w:r>
    </w:p>
    <w:p w14:paraId="0CB5DF9A">
      <w:pPr>
        <w:pStyle w:val="34"/>
        <w:tabs>
          <w:tab w:val="right" w:leader="dot" w:pos="8300"/>
        </w:tabs>
        <w:rPr>
          <w:rFonts w:hint="eastAsia" w:ascii="宋体" w:hAnsi="宋体" w:eastAsia="宋体" w:cs="宋体"/>
          <w:b w:val="0"/>
          <w:bCs/>
        </w:rPr>
      </w:pPr>
      <w:r>
        <w:rPr>
          <w:rFonts w:hint="eastAsia" w:ascii="宋体" w:hAnsi="宋体" w:eastAsia="宋体" w:cs="宋体"/>
          <w:b w:val="0"/>
          <w:bCs/>
          <w:caps w:val="0"/>
          <w:highlight w:val="none"/>
        </w:rPr>
        <w:fldChar w:fldCharType="begin"/>
      </w:r>
      <w:r>
        <w:rPr>
          <w:rFonts w:hint="eastAsia" w:ascii="宋体" w:hAnsi="宋体" w:eastAsia="宋体" w:cs="宋体"/>
          <w:b w:val="0"/>
          <w:bCs/>
          <w:caps w:val="0"/>
          <w:highlight w:val="none"/>
        </w:rPr>
        <w:instrText xml:space="preserve"> TOC \o "1-2" \h \z \u </w:instrText>
      </w:r>
      <w:r>
        <w:rPr>
          <w:rFonts w:hint="eastAsia" w:ascii="宋体" w:hAnsi="宋体" w:eastAsia="宋体" w:cs="宋体"/>
          <w:b w:val="0"/>
          <w:bCs/>
          <w:caps w:val="0"/>
          <w:highlight w:val="none"/>
        </w:rPr>
        <w:fldChar w:fldCharType="separate"/>
      </w:r>
      <w:r>
        <w:rPr>
          <w:rFonts w:hint="eastAsia" w:ascii="宋体" w:hAnsi="宋体" w:eastAsia="宋体" w:cs="宋体"/>
          <w:b w:val="0"/>
          <w:bCs/>
          <w:caps w:val="0"/>
          <w:highlight w:val="none"/>
        </w:rPr>
        <w:fldChar w:fldCharType="begin"/>
      </w:r>
      <w:r>
        <w:rPr>
          <w:rFonts w:hint="eastAsia" w:ascii="宋体" w:hAnsi="宋体" w:eastAsia="宋体" w:cs="宋体"/>
          <w:b w:val="0"/>
          <w:bCs/>
          <w:caps w:val="0"/>
          <w:highlight w:val="none"/>
        </w:rPr>
        <w:instrText xml:space="preserve"> HYPERLINK \l _Toc324 </w:instrText>
      </w:r>
      <w:r>
        <w:rPr>
          <w:rFonts w:hint="eastAsia" w:ascii="宋体" w:hAnsi="宋体" w:eastAsia="宋体" w:cs="宋体"/>
          <w:b w:val="0"/>
          <w:bCs/>
          <w:caps w:val="0"/>
          <w:highlight w:val="none"/>
        </w:rPr>
        <w:fldChar w:fldCharType="separate"/>
      </w:r>
      <w:r>
        <w:rPr>
          <w:rFonts w:hint="eastAsia" w:ascii="宋体" w:hAnsi="宋体" w:eastAsia="宋体" w:cs="宋体"/>
          <w:b w:val="0"/>
          <w:bCs/>
          <w:highlight w:val="none"/>
        </w:rPr>
        <w:t>第一章  招标公告</w:t>
      </w:r>
      <w:r>
        <w:rPr>
          <w:rFonts w:hint="eastAsia" w:ascii="宋体" w:hAnsi="宋体" w:eastAsia="宋体" w:cs="宋体"/>
          <w:b w:val="0"/>
          <w:bCs/>
        </w:rPr>
        <w:tab/>
      </w:r>
      <w:r>
        <w:rPr>
          <w:rFonts w:hint="eastAsia" w:ascii="宋体" w:hAnsi="宋体" w:eastAsia="宋体" w:cs="宋体"/>
          <w:b w:val="0"/>
          <w:bCs/>
          <w:lang w:val="en-US" w:eastAsia="zh-CN"/>
        </w:rPr>
        <w:t>3</w:t>
      </w:r>
      <w:r>
        <w:rPr>
          <w:rFonts w:hint="eastAsia" w:ascii="宋体" w:hAnsi="宋体" w:eastAsia="宋体" w:cs="宋体"/>
          <w:b w:val="0"/>
          <w:bCs/>
          <w:caps w:val="0"/>
          <w:highlight w:val="none"/>
        </w:rPr>
        <w:fldChar w:fldCharType="end"/>
      </w:r>
    </w:p>
    <w:p w14:paraId="6D514E43">
      <w:pPr>
        <w:pStyle w:val="34"/>
        <w:tabs>
          <w:tab w:val="right" w:leader="dot" w:pos="8300"/>
        </w:tabs>
        <w:rPr>
          <w:rFonts w:hint="eastAsia" w:ascii="宋体" w:hAnsi="宋体" w:eastAsia="宋体" w:cs="宋体"/>
          <w:b w:val="0"/>
          <w:bCs/>
        </w:rPr>
      </w:pPr>
      <w:r>
        <w:rPr>
          <w:rFonts w:hint="eastAsia" w:ascii="宋体" w:hAnsi="宋体" w:eastAsia="宋体" w:cs="宋体"/>
          <w:b w:val="0"/>
          <w:bCs/>
          <w:szCs w:val="20"/>
          <w:highlight w:val="none"/>
        </w:rPr>
        <w:fldChar w:fldCharType="begin"/>
      </w:r>
      <w:r>
        <w:rPr>
          <w:rFonts w:hint="eastAsia" w:ascii="宋体" w:hAnsi="宋体" w:eastAsia="宋体" w:cs="宋体"/>
          <w:b w:val="0"/>
          <w:bCs/>
          <w:szCs w:val="20"/>
          <w:highlight w:val="none"/>
        </w:rPr>
        <w:instrText xml:space="preserve"> HYPERLINK \l _Toc21441 </w:instrText>
      </w:r>
      <w:r>
        <w:rPr>
          <w:rFonts w:hint="eastAsia" w:ascii="宋体" w:hAnsi="宋体" w:eastAsia="宋体" w:cs="宋体"/>
          <w:b w:val="0"/>
          <w:bCs/>
          <w:szCs w:val="20"/>
          <w:highlight w:val="none"/>
        </w:rPr>
        <w:fldChar w:fldCharType="separate"/>
      </w:r>
      <w:r>
        <w:rPr>
          <w:rFonts w:hint="eastAsia" w:ascii="宋体" w:hAnsi="宋体" w:eastAsia="宋体" w:cs="宋体"/>
          <w:b w:val="0"/>
          <w:bCs/>
          <w:highlight w:val="none"/>
        </w:rPr>
        <w:t>第二章  投标人须知</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_Toc21441 \h </w:instrText>
      </w:r>
      <w:r>
        <w:rPr>
          <w:rFonts w:hint="eastAsia" w:ascii="宋体" w:hAnsi="宋体" w:eastAsia="宋体" w:cs="宋体"/>
          <w:b w:val="0"/>
          <w:bCs/>
        </w:rPr>
        <w:fldChar w:fldCharType="separate"/>
      </w:r>
      <w:r>
        <w:rPr>
          <w:rFonts w:hint="eastAsia" w:ascii="宋体" w:hAnsi="宋体" w:eastAsia="宋体" w:cs="宋体"/>
          <w:b w:val="0"/>
          <w:bCs/>
        </w:rPr>
        <w:t>9</w:t>
      </w:r>
      <w:r>
        <w:rPr>
          <w:rFonts w:hint="eastAsia" w:ascii="宋体" w:hAnsi="宋体" w:eastAsia="宋体" w:cs="宋体"/>
          <w:b w:val="0"/>
          <w:bCs/>
        </w:rPr>
        <w:fldChar w:fldCharType="end"/>
      </w:r>
      <w:r>
        <w:rPr>
          <w:rFonts w:hint="eastAsia" w:ascii="宋体" w:hAnsi="宋体" w:eastAsia="宋体" w:cs="宋体"/>
          <w:b w:val="0"/>
          <w:bCs/>
          <w:szCs w:val="20"/>
          <w:highlight w:val="none"/>
        </w:rPr>
        <w:fldChar w:fldCharType="end"/>
      </w:r>
    </w:p>
    <w:p w14:paraId="4D2AD58C">
      <w:pPr>
        <w:pStyle w:val="34"/>
        <w:tabs>
          <w:tab w:val="right" w:leader="dot" w:pos="8300"/>
        </w:tabs>
        <w:rPr>
          <w:rFonts w:hint="eastAsia" w:ascii="宋体" w:hAnsi="宋体" w:eastAsia="宋体" w:cs="宋体"/>
          <w:b w:val="0"/>
          <w:bCs/>
        </w:rPr>
      </w:pPr>
      <w:r>
        <w:rPr>
          <w:rFonts w:hint="eastAsia" w:ascii="宋体" w:hAnsi="宋体" w:eastAsia="宋体" w:cs="宋体"/>
          <w:b w:val="0"/>
          <w:bCs/>
          <w:szCs w:val="20"/>
          <w:highlight w:val="none"/>
        </w:rPr>
        <w:fldChar w:fldCharType="begin"/>
      </w:r>
      <w:r>
        <w:rPr>
          <w:rFonts w:hint="eastAsia" w:ascii="宋体" w:hAnsi="宋体" w:eastAsia="宋体" w:cs="宋体"/>
          <w:b w:val="0"/>
          <w:bCs/>
          <w:szCs w:val="20"/>
          <w:highlight w:val="none"/>
        </w:rPr>
        <w:instrText xml:space="preserve"> HYPERLINK \l _Toc19320 </w:instrText>
      </w:r>
      <w:r>
        <w:rPr>
          <w:rFonts w:hint="eastAsia" w:ascii="宋体" w:hAnsi="宋体" w:eastAsia="宋体" w:cs="宋体"/>
          <w:b w:val="0"/>
          <w:bCs/>
          <w:szCs w:val="20"/>
          <w:highlight w:val="none"/>
        </w:rPr>
        <w:fldChar w:fldCharType="separate"/>
      </w:r>
      <w:r>
        <w:rPr>
          <w:rFonts w:hint="eastAsia" w:ascii="宋体" w:hAnsi="宋体" w:eastAsia="宋体" w:cs="宋体"/>
          <w:b w:val="0"/>
          <w:bCs/>
          <w:highlight w:val="none"/>
        </w:rPr>
        <w:t>第三章  评标办法</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_Toc19320 \h </w:instrText>
      </w:r>
      <w:r>
        <w:rPr>
          <w:rFonts w:hint="eastAsia" w:ascii="宋体" w:hAnsi="宋体" w:eastAsia="宋体" w:cs="宋体"/>
          <w:b w:val="0"/>
          <w:bCs/>
        </w:rPr>
        <w:fldChar w:fldCharType="separate"/>
      </w:r>
      <w:r>
        <w:rPr>
          <w:rFonts w:hint="eastAsia" w:ascii="宋体" w:hAnsi="宋体" w:eastAsia="宋体" w:cs="宋体"/>
          <w:b w:val="0"/>
          <w:bCs/>
        </w:rPr>
        <w:t>51</w:t>
      </w:r>
      <w:r>
        <w:rPr>
          <w:rFonts w:hint="eastAsia" w:ascii="宋体" w:hAnsi="宋体" w:eastAsia="宋体" w:cs="宋体"/>
          <w:b w:val="0"/>
          <w:bCs/>
        </w:rPr>
        <w:fldChar w:fldCharType="end"/>
      </w:r>
      <w:r>
        <w:rPr>
          <w:rFonts w:hint="eastAsia" w:ascii="宋体" w:hAnsi="宋体" w:eastAsia="宋体" w:cs="宋体"/>
          <w:b w:val="0"/>
          <w:bCs/>
          <w:szCs w:val="20"/>
          <w:highlight w:val="none"/>
        </w:rPr>
        <w:fldChar w:fldCharType="end"/>
      </w:r>
    </w:p>
    <w:p w14:paraId="7FBED76E">
      <w:pPr>
        <w:pStyle w:val="34"/>
        <w:tabs>
          <w:tab w:val="right" w:leader="dot" w:pos="8300"/>
        </w:tabs>
        <w:rPr>
          <w:rFonts w:hint="eastAsia" w:ascii="宋体" w:hAnsi="宋体" w:eastAsia="宋体" w:cs="宋体"/>
          <w:b w:val="0"/>
          <w:bCs/>
        </w:rPr>
      </w:pPr>
      <w:r>
        <w:rPr>
          <w:rFonts w:hint="eastAsia" w:ascii="宋体" w:hAnsi="宋体" w:eastAsia="宋体" w:cs="宋体"/>
          <w:b w:val="0"/>
          <w:bCs/>
          <w:szCs w:val="20"/>
          <w:highlight w:val="none"/>
        </w:rPr>
        <w:fldChar w:fldCharType="begin"/>
      </w:r>
      <w:r>
        <w:rPr>
          <w:rFonts w:hint="eastAsia" w:ascii="宋体" w:hAnsi="宋体" w:eastAsia="宋体" w:cs="宋体"/>
          <w:b w:val="0"/>
          <w:bCs/>
          <w:szCs w:val="20"/>
          <w:highlight w:val="none"/>
        </w:rPr>
        <w:instrText xml:space="preserve"> HYPERLINK \l _Toc3357 </w:instrText>
      </w:r>
      <w:r>
        <w:rPr>
          <w:rFonts w:hint="eastAsia" w:ascii="宋体" w:hAnsi="宋体" w:eastAsia="宋体" w:cs="宋体"/>
          <w:b w:val="0"/>
          <w:bCs/>
          <w:szCs w:val="20"/>
          <w:highlight w:val="none"/>
        </w:rPr>
        <w:fldChar w:fldCharType="separate"/>
      </w:r>
      <w:r>
        <w:rPr>
          <w:rFonts w:hint="eastAsia" w:ascii="宋体" w:hAnsi="宋体" w:eastAsia="宋体" w:cs="宋体"/>
          <w:b w:val="0"/>
          <w:bCs/>
          <w:highlight w:val="none"/>
        </w:rPr>
        <w:t>第四章  合同条款及格式</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_Toc3357 \h </w:instrText>
      </w:r>
      <w:r>
        <w:rPr>
          <w:rFonts w:hint="eastAsia" w:ascii="宋体" w:hAnsi="宋体" w:eastAsia="宋体" w:cs="宋体"/>
          <w:b w:val="0"/>
          <w:bCs/>
        </w:rPr>
        <w:fldChar w:fldCharType="separate"/>
      </w:r>
      <w:r>
        <w:rPr>
          <w:rFonts w:hint="eastAsia" w:ascii="宋体" w:hAnsi="宋体" w:eastAsia="宋体" w:cs="宋体"/>
          <w:b w:val="0"/>
          <w:bCs/>
        </w:rPr>
        <w:t>71</w:t>
      </w:r>
      <w:r>
        <w:rPr>
          <w:rFonts w:hint="eastAsia" w:ascii="宋体" w:hAnsi="宋体" w:eastAsia="宋体" w:cs="宋体"/>
          <w:b w:val="0"/>
          <w:bCs/>
        </w:rPr>
        <w:fldChar w:fldCharType="end"/>
      </w:r>
      <w:r>
        <w:rPr>
          <w:rFonts w:hint="eastAsia" w:ascii="宋体" w:hAnsi="宋体" w:eastAsia="宋体" w:cs="宋体"/>
          <w:b w:val="0"/>
          <w:bCs/>
          <w:szCs w:val="20"/>
          <w:highlight w:val="none"/>
        </w:rPr>
        <w:fldChar w:fldCharType="end"/>
      </w:r>
    </w:p>
    <w:p w14:paraId="348F5007">
      <w:pPr>
        <w:pStyle w:val="34"/>
        <w:tabs>
          <w:tab w:val="right" w:leader="dot" w:pos="8300"/>
        </w:tabs>
        <w:rPr>
          <w:rFonts w:hint="eastAsia" w:ascii="宋体" w:hAnsi="宋体" w:eastAsia="宋体" w:cs="宋体"/>
          <w:b w:val="0"/>
          <w:bCs/>
        </w:rPr>
      </w:pPr>
      <w:r>
        <w:rPr>
          <w:rFonts w:hint="eastAsia" w:ascii="宋体" w:hAnsi="宋体" w:eastAsia="宋体" w:cs="宋体"/>
          <w:b w:val="0"/>
          <w:bCs/>
          <w:szCs w:val="20"/>
          <w:highlight w:val="none"/>
        </w:rPr>
        <w:fldChar w:fldCharType="begin"/>
      </w:r>
      <w:r>
        <w:rPr>
          <w:rFonts w:hint="eastAsia" w:ascii="宋体" w:hAnsi="宋体" w:eastAsia="宋体" w:cs="宋体"/>
          <w:b w:val="0"/>
          <w:bCs/>
          <w:szCs w:val="20"/>
          <w:highlight w:val="none"/>
        </w:rPr>
        <w:instrText xml:space="preserve"> HYPERLINK \l _Toc12747 </w:instrText>
      </w:r>
      <w:r>
        <w:rPr>
          <w:rFonts w:hint="eastAsia" w:ascii="宋体" w:hAnsi="宋体" w:eastAsia="宋体" w:cs="宋体"/>
          <w:b w:val="0"/>
          <w:bCs/>
          <w:szCs w:val="20"/>
          <w:highlight w:val="none"/>
        </w:rPr>
        <w:fldChar w:fldCharType="separate"/>
      </w:r>
      <w:r>
        <w:rPr>
          <w:rFonts w:hint="eastAsia" w:ascii="宋体" w:hAnsi="宋体" w:eastAsia="宋体" w:cs="宋体"/>
          <w:b w:val="0"/>
          <w:bCs/>
          <w:highlight w:val="none"/>
        </w:rPr>
        <w:t>第五章  供货要求</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_Toc12747 \h </w:instrText>
      </w:r>
      <w:r>
        <w:rPr>
          <w:rFonts w:hint="eastAsia" w:ascii="宋体" w:hAnsi="宋体" w:eastAsia="宋体" w:cs="宋体"/>
          <w:b w:val="0"/>
          <w:bCs/>
        </w:rPr>
        <w:fldChar w:fldCharType="separate"/>
      </w:r>
      <w:r>
        <w:rPr>
          <w:rFonts w:hint="eastAsia" w:ascii="宋体" w:hAnsi="宋体" w:eastAsia="宋体" w:cs="宋体"/>
          <w:b w:val="0"/>
          <w:bCs/>
        </w:rPr>
        <w:t>103</w:t>
      </w:r>
      <w:r>
        <w:rPr>
          <w:rFonts w:hint="eastAsia" w:ascii="宋体" w:hAnsi="宋体" w:eastAsia="宋体" w:cs="宋体"/>
          <w:b w:val="0"/>
          <w:bCs/>
        </w:rPr>
        <w:fldChar w:fldCharType="end"/>
      </w:r>
      <w:r>
        <w:rPr>
          <w:rFonts w:hint="eastAsia" w:ascii="宋体" w:hAnsi="宋体" w:eastAsia="宋体" w:cs="宋体"/>
          <w:b w:val="0"/>
          <w:bCs/>
          <w:szCs w:val="20"/>
          <w:highlight w:val="none"/>
        </w:rPr>
        <w:fldChar w:fldCharType="end"/>
      </w:r>
    </w:p>
    <w:p w14:paraId="1B7CCABF">
      <w:pPr>
        <w:pStyle w:val="34"/>
        <w:tabs>
          <w:tab w:val="right" w:leader="dot" w:pos="8300"/>
        </w:tabs>
        <w:rPr>
          <w:rFonts w:hint="eastAsia" w:ascii="宋体" w:hAnsi="宋体" w:eastAsia="宋体" w:cs="宋体"/>
          <w:b w:val="0"/>
          <w:bCs/>
        </w:rPr>
      </w:pPr>
      <w:r>
        <w:rPr>
          <w:rFonts w:hint="eastAsia" w:ascii="宋体" w:hAnsi="宋体" w:eastAsia="宋体" w:cs="宋体"/>
          <w:b w:val="0"/>
          <w:bCs/>
          <w:szCs w:val="20"/>
          <w:highlight w:val="none"/>
        </w:rPr>
        <w:fldChar w:fldCharType="begin"/>
      </w:r>
      <w:r>
        <w:rPr>
          <w:rFonts w:hint="eastAsia" w:ascii="宋体" w:hAnsi="宋体" w:eastAsia="宋体" w:cs="宋体"/>
          <w:b w:val="0"/>
          <w:bCs/>
          <w:szCs w:val="20"/>
          <w:highlight w:val="none"/>
        </w:rPr>
        <w:instrText xml:space="preserve"> HYPERLINK \l _Toc16153 </w:instrText>
      </w:r>
      <w:r>
        <w:rPr>
          <w:rFonts w:hint="eastAsia" w:ascii="宋体" w:hAnsi="宋体" w:eastAsia="宋体" w:cs="宋体"/>
          <w:b w:val="0"/>
          <w:bCs/>
          <w:szCs w:val="20"/>
          <w:highlight w:val="none"/>
        </w:rPr>
        <w:fldChar w:fldCharType="separate"/>
      </w:r>
      <w:r>
        <w:rPr>
          <w:rFonts w:hint="eastAsia" w:ascii="宋体" w:hAnsi="宋体" w:eastAsia="宋体" w:cs="宋体"/>
          <w:b w:val="0"/>
          <w:bCs/>
        </w:rPr>
        <w:t>第六章  投标文件格式</w:t>
      </w:r>
      <w:r>
        <w:rPr>
          <w:rFonts w:hint="eastAsia" w:ascii="宋体" w:hAnsi="宋体" w:eastAsia="宋体" w:cs="宋体"/>
          <w:b w:val="0"/>
          <w:bCs/>
        </w:rPr>
        <w:tab/>
      </w:r>
      <w:r>
        <w:rPr>
          <w:rFonts w:hint="eastAsia" w:ascii="宋体" w:hAnsi="宋体" w:eastAsia="宋体" w:cs="宋体"/>
          <w:b w:val="0"/>
          <w:bCs/>
        </w:rPr>
        <w:fldChar w:fldCharType="begin"/>
      </w:r>
      <w:r>
        <w:rPr>
          <w:rFonts w:hint="eastAsia" w:ascii="宋体" w:hAnsi="宋体" w:eastAsia="宋体" w:cs="宋体"/>
          <w:b w:val="0"/>
          <w:bCs/>
        </w:rPr>
        <w:instrText xml:space="preserve"> PAGEREF _Toc16153 \h </w:instrText>
      </w:r>
      <w:r>
        <w:rPr>
          <w:rFonts w:hint="eastAsia" w:ascii="宋体" w:hAnsi="宋体" w:eastAsia="宋体" w:cs="宋体"/>
          <w:b w:val="0"/>
          <w:bCs/>
        </w:rPr>
        <w:fldChar w:fldCharType="separate"/>
      </w:r>
      <w:r>
        <w:rPr>
          <w:rFonts w:hint="eastAsia" w:ascii="宋体" w:hAnsi="宋体" w:eastAsia="宋体" w:cs="宋体"/>
          <w:b w:val="0"/>
          <w:bCs/>
        </w:rPr>
        <w:t>105</w:t>
      </w:r>
      <w:r>
        <w:rPr>
          <w:rFonts w:hint="eastAsia" w:ascii="宋体" w:hAnsi="宋体" w:eastAsia="宋体" w:cs="宋体"/>
          <w:b w:val="0"/>
          <w:bCs/>
        </w:rPr>
        <w:fldChar w:fldCharType="end"/>
      </w:r>
      <w:r>
        <w:rPr>
          <w:rFonts w:hint="eastAsia" w:ascii="宋体" w:hAnsi="宋体" w:eastAsia="宋体" w:cs="宋体"/>
          <w:b w:val="0"/>
          <w:bCs/>
          <w:szCs w:val="20"/>
          <w:highlight w:val="none"/>
        </w:rPr>
        <w:fldChar w:fldCharType="end"/>
      </w:r>
    </w:p>
    <w:p w14:paraId="0438A2D3">
      <w:pPr>
        <w:pStyle w:val="3"/>
        <w:spacing w:beforeLines="100" w:afterLines="100" w:line="240" w:lineRule="auto"/>
        <w:jc w:val="center"/>
        <w:rPr>
          <w:rFonts w:eastAsia="黑体"/>
          <w:b w:val="0"/>
          <w:highlight w:val="none"/>
        </w:rPr>
      </w:pPr>
      <w:r>
        <w:rPr>
          <w:rFonts w:hint="eastAsia" w:ascii="宋体" w:hAnsi="宋体" w:eastAsia="宋体" w:cs="宋体"/>
          <w:b w:val="0"/>
          <w:bCs/>
          <w:szCs w:val="20"/>
          <w:highlight w:val="none"/>
        </w:rPr>
        <w:fldChar w:fldCharType="end"/>
      </w:r>
      <w:bookmarkStart w:id="0" w:name="_Toc324"/>
      <w:r>
        <w:rPr>
          <w:rFonts w:hint="eastAsia" w:eastAsia="黑体"/>
          <w:b w:val="0"/>
          <w:highlight w:val="none"/>
        </w:rPr>
        <w:br w:type="page"/>
      </w:r>
      <w:r>
        <w:rPr>
          <w:rFonts w:hint="eastAsia"/>
        </w:rPr>
        <w:t>第一章  招标公告</w:t>
      </w:r>
      <w:bookmarkEnd w:id="0"/>
    </w:p>
    <w:p w14:paraId="31FA7111">
      <w:pPr>
        <w:pStyle w:val="19"/>
        <w:spacing w:beforeLines="100" w:afterLines="100"/>
        <w:jc w:val="center"/>
        <w:outlineLvl w:val="1"/>
        <w:rPr>
          <w:rFonts w:ascii="宋体" w:hAnsi="宋体" w:cs="黑体"/>
          <w:sz w:val="44"/>
          <w:szCs w:val="44"/>
          <w:highlight w:val="none"/>
        </w:rPr>
      </w:pPr>
      <w:bookmarkStart w:id="1" w:name="_Toc21186"/>
      <w:bookmarkStart w:id="2" w:name="_Toc140069381"/>
      <w:bookmarkStart w:id="3" w:name="_Toc13737"/>
      <w:bookmarkStart w:id="4" w:name="_Toc29561"/>
      <w:bookmarkStart w:id="5" w:name="_Toc31957"/>
      <w:bookmarkStart w:id="6" w:name="OLE_LINK1"/>
      <w:r>
        <w:rPr>
          <w:rFonts w:hint="eastAsia" w:ascii="宋体" w:hAnsi="宋体" w:cs="黑体"/>
          <w:sz w:val="44"/>
          <w:szCs w:val="44"/>
          <w:highlight w:val="none"/>
          <w:lang w:eastAsia="zh-CN"/>
        </w:rPr>
        <w:t>肥东县第七人民医院门诊医技住院综合楼、公共卫生综合楼智能化项目</w:t>
      </w:r>
      <w:r>
        <w:rPr>
          <w:rFonts w:hint="eastAsia" w:ascii="宋体" w:hAnsi="宋体" w:cs="黑体"/>
          <w:sz w:val="44"/>
          <w:szCs w:val="44"/>
          <w:highlight w:val="none"/>
        </w:rPr>
        <w:t>招标公告</w:t>
      </w:r>
      <w:bookmarkEnd w:id="1"/>
      <w:bookmarkEnd w:id="2"/>
      <w:bookmarkEnd w:id="3"/>
      <w:bookmarkEnd w:id="4"/>
      <w:bookmarkEnd w:id="5"/>
    </w:p>
    <w:p w14:paraId="09657EB8">
      <w:pPr>
        <w:spacing w:line="560" w:lineRule="exact"/>
        <w:outlineLvl w:val="1"/>
        <w:rPr>
          <w:rFonts w:ascii="黑体" w:hAnsi="黑体" w:eastAsia="黑体"/>
          <w:sz w:val="28"/>
          <w:szCs w:val="28"/>
          <w:highlight w:val="none"/>
        </w:rPr>
      </w:pPr>
      <w:bookmarkStart w:id="7" w:name="_Toc26472"/>
      <w:bookmarkStart w:id="8" w:name="_Toc11043"/>
      <w:bookmarkStart w:id="9" w:name="_Toc19312"/>
      <w:bookmarkStart w:id="10" w:name="_Toc13283"/>
      <w:bookmarkStart w:id="11" w:name="_Toc10622"/>
      <w:bookmarkStart w:id="12" w:name="_Toc140069382"/>
      <w:bookmarkStart w:id="13" w:name="_Toc18518"/>
      <w:r>
        <w:rPr>
          <w:rFonts w:hint="eastAsia" w:ascii="黑体" w:hAnsi="黑体" w:eastAsia="黑体"/>
          <w:sz w:val="28"/>
          <w:szCs w:val="28"/>
          <w:highlight w:val="none"/>
        </w:rPr>
        <w:t>1.招标条件</w:t>
      </w:r>
      <w:bookmarkEnd w:id="7"/>
      <w:bookmarkEnd w:id="8"/>
      <w:bookmarkEnd w:id="9"/>
      <w:bookmarkEnd w:id="10"/>
      <w:bookmarkEnd w:id="11"/>
      <w:bookmarkEnd w:id="12"/>
      <w:bookmarkEnd w:id="13"/>
    </w:p>
    <w:p w14:paraId="162EC623">
      <w:pPr>
        <w:spacing w:line="560" w:lineRule="exact"/>
        <w:ind w:firstLine="437"/>
        <w:rPr>
          <w:rFonts w:hint="eastAsia" w:ascii="仿宋" w:hAnsi="仿宋" w:eastAsia="仿宋" w:cs="宋体"/>
          <w:sz w:val="28"/>
          <w:szCs w:val="28"/>
          <w:highlight w:val="none"/>
          <w:lang w:eastAsia="zh-CN"/>
        </w:rPr>
      </w:pPr>
      <w:bookmarkStart w:id="14" w:name="_Toc12572"/>
      <w:bookmarkStart w:id="15" w:name="_Toc28404"/>
      <w:bookmarkStart w:id="16" w:name="_Toc2037"/>
      <w:bookmarkStart w:id="17" w:name="_Toc21848"/>
      <w:bookmarkStart w:id="18" w:name="_Toc89721488"/>
      <w:r>
        <w:rPr>
          <w:rFonts w:hint="eastAsia" w:ascii="仿宋" w:hAnsi="仿宋" w:eastAsia="仿宋" w:cs="宋体"/>
          <w:bCs/>
          <w:snapToGrid w:val="0"/>
          <w:sz w:val="28"/>
          <w:szCs w:val="28"/>
          <w:highlight w:val="none"/>
        </w:rPr>
        <w:t>1.1 项目名称：</w:t>
      </w:r>
      <w:r>
        <w:rPr>
          <w:rFonts w:hint="eastAsia" w:ascii="仿宋" w:hAnsi="仿宋" w:eastAsia="仿宋" w:cs="宋体"/>
          <w:sz w:val="28"/>
          <w:szCs w:val="28"/>
          <w:highlight w:val="none"/>
          <w:lang w:eastAsia="zh-CN"/>
        </w:rPr>
        <w:t>肥东县第七人民医院门诊医技住院综合楼、公共卫生综合楼智能化项目</w:t>
      </w:r>
    </w:p>
    <w:p w14:paraId="4B2C8D7D">
      <w:pPr>
        <w:spacing w:line="560" w:lineRule="exact"/>
        <w:ind w:firstLine="437"/>
        <w:rPr>
          <w:rFonts w:ascii="仿宋" w:hAnsi="仿宋" w:eastAsia="仿宋" w:cs="宋体"/>
          <w:sz w:val="28"/>
          <w:szCs w:val="28"/>
          <w:highlight w:val="none"/>
        </w:rPr>
      </w:pPr>
      <w:r>
        <w:rPr>
          <w:rFonts w:hint="eastAsia" w:ascii="仿宋" w:hAnsi="仿宋" w:eastAsia="仿宋" w:cs="宋体"/>
          <w:bCs/>
          <w:snapToGrid w:val="0"/>
          <w:sz w:val="28"/>
          <w:szCs w:val="28"/>
          <w:highlight w:val="none"/>
        </w:rPr>
        <w:t>1.2 项目审批、核准或备案机关名称：</w:t>
      </w:r>
      <w:r>
        <w:rPr>
          <w:rFonts w:hint="eastAsia" w:ascii="仿宋" w:hAnsi="仿宋" w:eastAsia="仿宋" w:cs="宋体"/>
          <w:sz w:val="28"/>
          <w:szCs w:val="28"/>
          <w:highlight w:val="none"/>
        </w:rPr>
        <w:t>肥东县发展和改革委员会</w:t>
      </w:r>
    </w:p>
    <w:p w14:paraId="0544190E">
      <w:pPr>
        <w:spacing w:line="560" w:lineRule="exact"/>
        <w:ind w:firstLine="437"/>
        <w:rPr>
          <w:rFonts w:hint="default" w:ascii="仿宋" w:hAnsi="仿宋" w:eastAsia="仿宋" w:cs="宋体"/>
          <w:sz w:val="28"/>
          <w:szCs w:val="28"/>
          <w:highlight w:val="none"/>
          <w:lang w:val="en-US" w:eastAsia="zh-CN"/>
        </w:rPr>
      </w:pPr>
      <w:r>
        <w:rPr>
          <w:rFonts w:hint="eastAsia" w:ascii="仿宋" w:hAnsi="仿宋" w:eastAsia="仿宋" w:cs="宋体"/>
          <w:bCs/>
          <w:snapToGrid w:val="0"/>
          <w:sz w:val="28"/>
          <w:szCs w:val="28"/>
          <w:highlight w:val="none"/>
        </w:rPr>
        <w:t>1.3 批文名称及编号：关于同意</w:t>
      </w:r>
      <w:r>
        <w:rPr>
          <w:rFonts w:hint="eastAsia" w:ascii="仿宋" w:hAnsi="仿宋" w:eastAsia="仿宋" w:cs="宋体"/>
          <w:bCs/>
          <w:snapToGrid w:val="0"/>
          <w:sz w:val="28"/>
          <w:szCs w:val="28"/>
          <w:highlight w:val="none"/>
          <w:lang w:val="en-US" w:eastAsia="zh-CN"/>
        </w:rPr>
        <w:t>梁园镇中心卫生院门诊医技住院综合楼、公共卫生综合楼项目立项的批复</w:t>
      </w:r>
      <w:r>
        <w:rPr>
          <w:rFonts w:hint="eastAsia" w:ascii="仿宋" w:hAnsi="仿宋" w:eastAsia="仿宋" w:cs="宋体"/>
          <w:bCs/>
          <w:snapToGrid w:val="0"/>
          <w:sz w:val="28"/>
          <w:szCs w:val="28"/>
          <w:highlight w:val="none"/>
        </w:rPr>
        <w:t>,发改投〔2022〕</w:t>
      </w:r>
      <w:r>
        <w:rPr>
          <w:rFonts w:hint="eastAsia" w:ascii="仿宋" w:hAnsi="仿宋" w:eastAsia="仿宋" w:cs="宋体"/>
          <w:bCs/>
          <w:snapToGrid w:val="0"/>
          <w:sz w:val="28"/>
          <w:szCs w:val="28"/>
          <w:highlight w:val="none"/>
          <w:lang w:val="en-US" w:eastAsia="zh-CN"/>
        </w:rPr>
        <w:t>499</w:t>
      </w:r>
      <w:r>
        <w:rPr>
          <w:rFonts w:hint="eastAsia" w:ascii="仿宋" w:hAnsi="仿宋" w:eastAsia="仿宋" w:cs="宋体"/>
          <w:bCs/>
          <w:snapToGrid w:val="0"/>
          <w:sz w:val="28"/>
          <w:szCs w:val="28"/>
          <w:highlight w:val="none"/>
        </w:rPr>
        <w:t>号</w:t>
      </w:r>
    </w:p>
    <w:p w14:paraId="5C425650">
      <w:pPr>
        <w:spacing w:line="560" w:lineRule="exact"/>
        <w:ind w:firstLine="437"/>
        <w:rPr>
          <w:rFonts w:hint="eastAsia" w:ascii="仿宋" w:hAnsi="仿宋" w:eastAsia="仿宋" w:cs="宋体"/>
          <w:sz w:val="28"/>
          <w:szCs w:val="28"/>
          <w:highlight w:val="none"/>
          <w:lang w:eastAsia="zh-CN"/>
        </w:rPr>
      </w:pPr>
      <w:r>
        <w:rPr>
          <w:rFonts w:hint="eastAsia" w:ascii="仿宋" w:hAnsi="仿宋" w:eastAsia="仿宋" w:cs="宋体"/>
          <w:bCs/>
          <w:snapToGrid w:val="0"/>
          <w:sz w:val="28"/>
          <w:szCs w:val="28"/>
          <w:highlight w:val="none"/>
        </w:rPr>
        <w:t>1.4 招标人：</w:t>
      </w:r>
      <w:r>
        <w:rPr>
          <w:rFonts w:hint="eastAsia" w:ascii="仿宋" w:hAnsi="仿宋" w:eastAsia="仿宋" w:cs="宋体"/>
          <w:sz w:val="28"/>
          <w:szCs w:val="28"/>
          <w:highlight w:val="none"/>
          <w:lang w:eastAsia="zh-CN"/>
        </w:rPr>
        <w:t>肥东县梁园镇中心卫生院（肥东县第七人民医院）</w:t>
      </w:r>
    </w:p>
    <w:p w14:paraId="3D68A36C">
      <w:pPr>
        <w:spacing w:line="560" w:lineRule="exact"/>
        <w:ind w:firstLine="437"/>
        <w:rPr>
          <w:rFonts w:hint="eastAsia" w:ascii="仿宋" w:hAnsi="仿宋" w:eastAsia="仿宋" w:cs="宋体"/>
          <w:sz w:val="28"/>
          <w:szCs w:val="28"/>
          <w:highlight w:val="none"/>
          <w:lang w:eastAsia="zh-CN"/>
        </w:rPr>
      </w:pPr>
      <w:r>
        <w:rPr>
          <w:rFonts w:hint="eastAsia" w:ascii="仿宋" w:hAnsi="仿宋" w:eastAsia="仿宋" w:cs="宋体"/>
          <w:bCs/>
          <w:snapToGrid w:val="0"/>
          <w:sz w:val="28"/>
          <w:szCs w:val="28"/>
          <w:highlight w:val="none"/>
        </w:rPr>
        <w:t>1.5 项目业主：</w:t>
      </w:r>
      <w:r>
        <w:rPr>
          <w:rFonts w:hint="eastAsia" w:ascii="仿宋" w:hAnsi="仿宋" w:eastAsia="仿宋" w:cs="宋体"/>
          <w:sz w:val="28"/>
          <w:szCs w:val="28"/>
          <w:highlight w:val="none"/>
          <w:lang w:eastAsia="zh-CN"/>
        </w:rPr>
        <w:t>肥东县梁园镇中心卫生院（肥东县第七人民医院）</w:t>
      </w:r>
    </w:p>
    <w:p w14:paraId="2ED50DF9">
      <w:pPr>
        <w:spacing w:line="560" w:lineRule="exact"/>
        <w:ind w:firstLine="437"/>
        <w:rPr>
          <w:rFonts w:ascii="仿宋" w:hAnsi="仿宋" w:eastAsia="仿宋" w:cs="宋体"/>
          <w:sz w:val="28"/>
          <w:szCs w:val="28"/>
          <w:highlight w:val="none"/>
        </w:rPr>
      </w:pPr>
      <w:r>
        <w:rPr>
          <w:rFonts w:hint="eastAsia" w:ascii="仿宋" w:hAnsi="仿宋" w:eastAsia="仿宋" w:cs="宋体"/>
          <w:bCs/>
          <w:snapToGrid w:val="0"/>
          <w:sz w:val="28"/>
          <w:szCs w:val="28"/>
          <w:highlight w:val="none"/>
        </w:rPr>
        <w:t>1.6 资金来源：</w:t>
      </w:r>
      <w:r>
        <w:rPr>
          <w:rFonts w:hint="eastAsia" w:ascii="仿宋" w:hAnsi="仿宋" w:eastAsia="仿宋" w:cs="宋体"/>
          <w:sz w:val="28"/>
          <w:szCs w:val="28"/>
          <w:highlight w:val="none"/>
        </w:rPr>
        <w:t>政府投资</w:t>
      </w:r>
    </w:p>
    <w:p w14:paraId="6E4619C1">
      <w:pPr>
        <w:spacing w:line="560" w:lineRule="exact"/>
        <w:ind w:firstLine="437"/>
        <w:rPr>
          <w:rFonts w:ascii="仿宋" w:hAnsi="仿宋" w:eastAsia="仿宋" w:cs="宋体"/>
          <w:sz w:val="28"/>
          <w:szCs w:val="28"/>
          <w:highlight w:val="none"/>
        </w:rPr>
      </w:pPr>
      <w:r>
        <w:rPr>
          <w:rFonts w:hint="eastAsia" w:ascii="仿宋" w:hAnsi="仿宋" w:eastAsia="仿宋" w:cs="宋体"/>
          <w:bCs/>
          <w:snapToGrid w:val="0"/>
          <w:sz w:val="28"/>
          <w:szCs w:val="28"/>
          <w:highlight w:val="none"/>
        </w:rPr>
        <w:t>1.7 项目出资比例：</w:t>
      </w:r>
      <w:r>
        <w:rPr>
          <w:rFonts w:hint="eastAsia" w:ascii="仿宋" w:hAnsi="仿宋" w:eastAsia="仿宋" w:cs="宋体"/>
          <w:sz w:val="28"/>
          <w:szCs w:val="28"/>
          <w:highlight w:val="none"/>
        </w:rPr>
        <w:t>100%</w:t>
      </w:r>
    </w:p>
    <w:p w14:paraId="104369EA">
      <w:pPr>
        <w:spacing w:line="560" w:lineRule="exact"/>
        <w:ind w:firstLine="437"/>
        <w:rPr>
          <w:rFonts w:ascii="仿宋" w:hAnsi="仿宋" w:eastAsia="仿宋" w:cs="宋体"/>
          <w:sz w:val="28"/>
          <w:szCs w:val="28"/>
          <w:highlight w:val="none"/>
        </w:rPr>
      </w:pPr>
      <w:r>
        <w:rPr>
          <w:rFonts w:hint="eastAsia" w:ascii="仿宋" w:hAnsi="仿宋" w:eastAsia="仿宋" w:cs="宋体"/>
          <w:bCs/>
          <w:snapToGrid w:val="0"/>
          <w:sz w:val="28"/>
          <w:szCs w:val="28"/>
          <w:highlight w:val="none"/>
        </w:rPr>
        <w:t>1.8 资金落实情况：</w:t>
      </w:r>
      <w:r>
        <w:rPr>
          <w:rFonts w:hint="eastAsia" w:ascii="仿宋" w:hAnsi="仿宋" w:eastAsia="仿宋" w:cs="宋体"/>
          <w:sz w:val="28"/>
          <w:szCs w:val="28"/>
          <w:highlight w:val="none"/>
        </w:rPr>
        <w:t>已落实</w:t>
      </w:r>
    </w:p>
    <w:p w14:paraId="35B16ACA">
      <w:pPr>
        <w:spacing w:line="560" w:lineRule="exact"/>
        <w:outlineLvl w:val="1"/>
        <w:rPr>
          <w:rFonts w:ascii="黑体" w:hAnsi="黑体" w:eastAsia="黑体"/>
          <w:sz w:val="28"/>
          <w:szCs w:val="28"/>
          <w:highlight w:val="none"/>
        </w:rPr>
      </w:pPr>
      <w:bookmarkStart w:id="19" w:name="_Toc20140"/>
      <w:bookmarkStart w:id="20" w:name="_Toc17216"/>
      <w:bookmarkStart w:id="21" w:name="_Toc140069383"/>
      <w:r>
        <w:rPr>
          <w:rFonts w:hint="eastAsia" w:ascii="黑体" w:hAnsi="黑体" w:eastAsia="黑体"/>
          <w:sz w:val="28"/>
          <w:szCs w:val="28"/>
          <w:highlight w:val="none"/>
        </w:rPr>
        <w:t>2.项目概况与招标范围</w:t>
      </w:r>
      <w:bookmarkEnd w:id="14"/>
      <w:bookmarkEnd w:id="15"/>
      <w:bookmarkEnd w:id="16"/>
      <w:bookmarkEnd w:id="17"/>
      <w:bookmarkEnd w:id="19"/>
      <w:bookmarkEnd w:id="20"/>
      <w:bookmarkEnd w:id="21"/>
    </w:p>
    <w:p w14:paraId="54D4ED92">
      <w:pPr>
        <w:spacing w:line="560" w:lineRule="exact"/>
        <w:ind w:firstLine="437"/>
        <w:rPr>
          <w:rFonts w:hint="eastAsia" w:ascii="仿宋" w:hAnsi="仿宋" w:eastAsia="仿宋" w:cs="宋体"/>
          <w:sz w:val="28"/>
          <w:szCs w:val="28"/>
          <w:highlight w:val="none"/>
          <w:lang w:eastAsia="zh-CN"/>
        </w:rPr>
      </w:pPr>
      <w:bookmarkStart w:id="22" w:name="_Toc13105"/>
      <w:bookmarkStart w:id="23" w:name="_Toc29404"/>
      <w:bookmarkStart w:id="24" w:name="_Toc7451"/>
      <w:bookmarkStart w:id="25" w:name="_Toc19143"/>
      <w:r>
        <w:rPr>
          <w:rFonts w:hint="eastAsia" w:ascii="仿宋" w:hAnsi="仿宋" w:eastAsia="仿宋" w:cs="宋体"/>
          <w:bCs/>
          <w:snapToGrid w:val="0"/>
          <w:sz w:val="28"/>
          <w:szCs w:val="28"/>
          <w:highlight w:val="none"/>
        </w:rPr>
        <w:t>2.1 招标项目名称：</w:t>
      </w:r>
      <w:r>
        <w:rPr>
          <w:rFonts w:hint="eastAsia" w:ascii="仿宋" w:hAnsi="仿宋" w:eastAsia="仿宋" w:cs="宋体"/>
          <w:sz w:val="28"/>
          <w:szCs w:val="28"/>
          <w:highlight w:val="none"/>
          <w:lang w:eastAsia="zh-CN"/>
        </w:rPr>
        <w:t>肥东县第七人民医院门诊医技住院综合楼、公共卫生综合楼智能化项目</w:t>
      </w:r>
    </w:p>
    <w:p w14:paraId="1029936B">
      <w:pPr>
        <w:spacing w:line="560" w:lineRule="exact"/>
        <w:ind w:firstLine="437"/>
        <w:rPr>
          <w:rFonts w:hint="eastAsia" w:ascii="仿宋" w:hAnsi="仿宋" w:eastAsia="仿宋" w:cs="宋体"/>
          <w:bCs/>
          <w:snapToGrid w:val="0"/>
          <w:sz w:val="28"/>
          <w:szCs w:val="28"/>
          <w:highlight w:val="none"/>
          <w:lang w:eastAsia="zh-CN"/>
        </w:rPr>
      </w:pPr>
      <w:r>
        <w:rPr>
          <w:rFonts w:hint="eastAsia" w:ascii="仿宋" w:hAnsi="仿宋" w:eastAsia="仿宋" w:cs="宋体"/>
          <w:bCs/>
          <w:snapToGrid w:val="0"/>
          <w:sz w:val="28"/>
          <w:szCs w:val="28"/>
          <w:highlight w:val="none"/>
        </w:rPr>
        <w:t>2.2 招标项目编号：</w:t>
      </w:r>
      <w:r>
        <w:rPr>
          <w:rFonts w:hint="eastAsia" w:ascii="仿宋" w:hAnsi="仿宋" w:eastAsia="仿宋" w:cs="宋体"/>
          <w:sz w:val="28"/>
          <w:szCs w:val="28"/>
          <w:highlight w:val="none"/>
          <w:lang w:eastAsia="zh-CN"/>
        </w:rPr>
        <w:t>XXXX</w:t>
      </w:r>
    </w:p>
    <w:p w14:paraId="2DBAF239">
      <w:pPr>
        <w:spacing w:line="560" w:lineRule="exact"/>
        <w:ind w:firstLine="437"/>
        <w:rPr>
          <w:rFonts w:ascii="仿宋" w:hAnsi="仿宋" w:eastAsia="仿宋" w:cs="宋体"/>
          <w:sz w:val="28"/>
          <w:szCs w:val="28"/>
          <w:highlight w:val="none"/>
        </w:rPr>
      </w:pPr>
      <w:r>
        <w:rPr>
          <w:rFonts w:hint="eastAsia" w:ascii="仿宋" w:hAnsi="仿宋" w:eastAsia="仿宋" w:cs="宋体"/>
          <w:bCs/>
          <w:snapToGrid w:val="0"/>
          <w:sz w:val="28"/>
          <w:szCs w:val="28"/>
          <w:highlight w:val="none"/>
        </w:rPr>
        <w:t>2.3 标段划分：</w:t>
      </w:r>
      <w:r>
        <w:rPr>
          <w:rFonts w:hint="eastAsia" w:ascii="仿宋" w:hAnsi="仿宋" w:eastAsia="仿宋"/>
          <w:color w:val="333333"/>
          <w:sz w:val="28"/>
          <w:szCs w:val="28"/>
          <w:highlight w:val="none"/>
        </w:rPr>
        <w:t>本</w:t>
      </w:r>
      <w:r>
        <w:rPr>
          <w:rFonts w:hint="eastAsia" w:ascii="仿宋" w:hAnsi="仿宋" w:eastAsia="仿宋"/>
          <w:color w:val="333333"/>
          <w:sz w:val="28"/>
          <w:szCs w:val="28"/>
          <w:highlight w:val="none"/>
          <w:lang w:val="en-US" w:eastAsia="zh-CN"/>
        </w:rPr>
        <w:t>招标</w:t>
      </w:r>
      <w:r>
        <w:rPr>
          <w:rFonts w:hint="eastAsia" w:ascii="仿宋" w:hAnsi="仿宋" w:eastAsia="仿宋"/>
          <w:color w:val="333333"/>
          <w:sz w:val="28"/>
          <w:szCs w:val="28"/>
          <w:highlight w:val="none"/>
        </w:rPr>
        <w:t>项目共</w:t>
      </w:r>
      <w:r>
        <w:rPr>
          <w:rFonts w:hint="eastAsia" w:ascii="仿宋" w:hAnsi="仿宋" w:eastAsia="仿宋"/>
          <w:color w:val="333333"/>
          <w:sz w:val="28"/>
          <w:szCs w:val="28"/>
          <w:highlight w:val="none"/>
          <w:lang w:val="en-US" w:eastAsia="zh-CN"/>
        </w:rPr>
        <w:t>划分</w:t>
      </w:r>
      <w:r>
        <w:rPr>
          <w:rFonts w:hint="eastAsia" w:ascii="仿宋" w:hAnsi="仿宋" w:eastAsia="仿宋"/>
          <w:color w:val="333333"/>
          <w:sz w:val="28"/>
          <w:szCs w:val="28"/>
          <w:highlight w:val="none"/>
        </w:rPr>
        <w:t>1个标段</w:t>
      </w:r>
      <w:r>
        <w:rPr>
          <w:rFonts w:hint="eastAsia" w:ascii="仿宋" w:hAnsi="仿宋" w:eastAsia="仿宋"/>
          <w:color w:val="333333"/>
          <w:sz w:val="28"/>
          <w:szCs w:val="28"/>
          <w:highlight w:val="none"/>
          <w:lang w:eastAsia="zh-CN"/>
        </w:rPr>
        <w:t>。</w:t>
      </w:r>
    </w:p>
    <w:p w14:paraId="18C89783">
      <w:pPr>
        <w:spacing w:line="560" w:lineRule="exact"/>
        <w:ind w:firstLine="437"/>
        <w:rPr>
          <w:rFonts w:hint="eastAsia" w:ascii="仿宋" w:hAnsi="仿宋" w:eastAsia="仿宋" w:cs="宋体"/>
          <w:sz w:val="28"/>
          <w:szCs w:val="28"/>
          <w:highlight w:val="none"/>
          <w:lang w:eastAsia="zh-CN"/>
        </w:rPr>
      </w:pPr>
      <w:r>
        <w:rPr>
          <w:rFonts w:hint="eastAsia" w:ascii="仿宋" w:hAnsi="仿宋" w:eastAsia="仿宋" w:cs="宋体"/>
          <w:bCs/>
          <w:snapToGrid w:val="0"/>
          <w:sz w:val="28"/>
          <w:szCs w:val="28"/>
          <w:highlight w:val="none"/>
        </w:rPr>
        <w:t>2.4 招标项目标段编号：</w:t>
      </w:r>
      <w:r>
        <w:rPr>
          <w:rFonts w:hint="eastAsia" w:ascii="仿宋" w:hAnsi="仿宋" w:eastAsia="仿宋" w:cs="宋体"/>
          <w:sz w:val="28"/>
          <w:szCs w:val="28"/>
          <w:highlight w:val="none"/>
          <w:lang w:eastAsia="zh-CN"/>
        </w:rPr>
        <w:t>XXXX</w:t>
      </w:r>
    </w:p>
    <w:p w14:paraId="2123B3DB">
      <w:pPr>
        <w:spacing w:line="560" w:lineRule="exact"/>
        <w:ind w:firstLine="437"/>
        <w:rPr>
          <w:rFonts w:hint="default" w:ascii="仿宋" w:hAnsi="仿宋" w:eastAsia="仿宋" w:cs="宋体"/>
          <w:sz w:val="28"/>
          <w:szCs w:val="28"/>
          <w:highlight w:val="none"/>
          <w:lang w:val="en-US" w:eastAsia="zh-CN"/>
        </w:rPr>
      </w:pPr>
      <w:r>
        <w:rPr>
          <w:rFonts w:hint="eastAsia" w:ascii="仿宋" w:hAnsi="仿宋" w:eastAsia="仿宋" w:cs="宋体"/>
          <w:bCs/>
          <w:snapToGrid w:val="0"/>
          <w:sz w:val="28"/>
          <w:szCs w:val="28"/>
          <w:highlight w:val="none"/>
        </w:rPr>
        <w:t>2.5 建设地点：</w:t>
      </w:r>
      <w:r>
        <w:rPr>
          <w:rFonts w:hint="eastAsia" w:ascii="仿宋" w:hAnsi="仿宋" w:eastAsia="仿宋" w:cs="宋体"/>
          <w:sz w:val="28"/>
          <w:szCs w:val="28"/>
          <w:highlight w:val="none"/>
          <w:lang w:eastAsia="zh-CN"/>
        </w:rPr>
        <w:t>肥东县梁园镇中心卫生院（肥东县第七人民医院）</w:t>
      </w:r>
      <w:r>
        <w:rPr>
          <w:rFonts w:hint="eastAsia" w:ascii="仿宋" w:hAnsi="仿宋" w:eastAsia="仿宋" w:cs="宋体"/>
          <w:sz w:val="28"/>
          <w:szCs w:val="28"/>
          <w:highlight w:val="none"/>
          <w:lang w:val="en-US" w:eastAsia="zh-CN"/>
        </w:rPr>
        <w:t>内</w:t>
      </w:r>
    </w:p>
    <w:p w14:paraId="6722F5A6">
      <w:pPr>
        <w:spacing w:line="560" w:lineRule="exact"/>
        <w:ind w:firstLine="437"/>
        <w:rPr>
          <w:rFonts w:hint="default" w:ascii="仿宋" w:hAnsi="仿宋" w:eastAsia="仿宋" w:cs="宋体"/>
          <w:sz w:val="28"/>
          <w:szCs w:val="28"/>
          <w:highlight w:val="none"/>
          <w:lang w:val="en-US" w:eastAsia="zh-CN"/>
        </w:rPr>
      </w:pPr>
      <w:r>
        <w:rPr>
          <w:rFonts w:hint="eastAsia" w:ascii="仿宋" w:hAnsi="仿宋" w:eastAsia="仿宋" w:cs="宋体"/>
          <w:bCs/>
          <w:snapToGrid w:val="0"/>
          <w:sz w:val="28"/>
          <w:szCs w:val="28"/>
          <w:highlight w:val="none"/>
        </w:rPr>
        <w:t xml:space="preserve">2.6 </w:t>
      </w:r>
      <w:bookmarkStart w:id="26" w:name="OLE_LINK4"/>
      <w:r>
        <w:rPr>
          <w:rFonts w:hint="eastAsia" w:ascii="仿宋" w:hAnsi="仿宋" w:eastAsia="仿宋" w:cs="宋体"/>
          <w:bCs/>
          <w:snapToGrid w:val="0"/>
          <w:sz w:val="28"/>
          <w:szCs w:val="28"/>
          <w:highlight w:val="none"/>
        </w:rPr>
        <w:t>建设规模：项目用地面积约20277.42平方米（约30.42亩），规划总建筑面积约11422平方米</w:t>
      </w:r>
      <w:r>
        <w:rPr>
          <w:rFonts w:hint="eastAsia" w:ascii="仿宋" w:hAnsi="仿宋" w:eastAsia="仿宋" w:cs="宋体"/>
          <w:bCs/>
          <w:snapToGrid w:val="0"/>
          <w:sz w:val="28"/>
          <w:szCs w:val="28"/>
          <w:highlight w:val="none"/>
          <w:lang w:eastAsia="zh-CN"/>
        </w:rPr>
        <w:t>，</w:t>
      </w:r>
      <w:r>
        <w:rPr>
          <w:rFonts w:hint="eastAsia" w:ascii="仿宋" w:hAnsi="仿宋" w:eastAsia="仿宋" w:cs="宋体"/>
          <w:bCs/>
          <w:snapToGrid w:val="0"/>
          <w:sz w:val="28"/>
          <w:szCs w:val="28"/>
          <w:highlight w:val="none"/>
          <w:lang w:val="en-US" w:eastAsia="zh-CN"/>
        </w:rPr>
        <w:t>本次为</w:t>
      </w:r>
      <w:r>
        <w:rPr>
          <w:rFonts w:hint="eastAsia" w:ascii="仿宋" w:hAnsi="仿宋" w:eastAsia="仿宋" w:cs="宋体"/>
          <w:sz w:val="28"/>
          <w:szCs w:val="28"/>
          <w:highlight w:val="none"/>
          <w:lang w:eastAsia="zh-CN"/>
        </w:rPr>
        <w:t>门诊医技住院综合楼、公共卫生综合楼智能化</w:t>
      </w:r>
      <w:r>
        <w:rPr>
          <w:rFonts w:hint="eastAsia" w:ascii="仿宋" w:hAnsi="仿宋" w:eastAsia="仿宋" w:cs="宋体"/>
          <w:bCs/>
          <w:snapToGrid w:val="0"/>
          <w:sz w:val="28"/>
          <w:szCs w:val="28"/>
          <w:highlight w:val="none"/>
          <w:lang w:val="en-US" w:eastAsia="zh-CN"/>
        </w:rPr>
        <w:t>招标。</w:t>
      </w:r>
      <w:bookmarkEnd w:id="26"/>
    </w:p>
    <w:p w14:paraId="1E4CA7FA">
      <w:pPr>
        <w:spacing w:line="560" w:lineRule="exact"/>
        <w:ind w:firstLine="437"/>
        <w:rPr>
          <w:rFonts w:ascii="仿宋" w:hAnsi="仿宋" w:eastAsia="仿宋" w:cs="宋体"/>
          <w:sz w:val="28"/>
          <w:szCs w:val="28"/>
          <w:highlight w:val="none"/>
        </w:rPr>
      </w:pPr>
      <w:r>
        <w:rPr>
          <w:rFonts w:hint="eastAsia" w:ascii="仿宋" w:hAnsi="仿宋" w:eastAsia="仿宋" w:cs="宋体"/>
          <w:bCs/>
          <w:snapToGrid w:val="0"/>
          <w:sz w:val="28"/>
          <w:szCs w:val="28"/>
          <w:highlight w:val="none"/>
        </w:rPr>
        <w:t>2.7 合同估算价：</w:t>
      </w:r>
      <w:r>
        <w:rPr>
          <w:rFonts w:hint="eastAsia" w:ascii="仿宋" w:hAnsi="仿宋" w:eastAsia="仿宋" w:cs="宋体"/>
          <w:bCs/>
          <w:snapToGrid w:val="0"/>
          <w:sz w:val="28"/>
          <w:szCs w:val="28"/>
          <w:highlight w:val="none"/>
          <w:lang w:val="en-US" w:eastAsia="zh-CN"/>
        </w:rPr>
        <w:t>364.49458</w:t>
      </w:r>
      <w:r>
        <w:rPr>
          <w:rFonts w:hint="eastAsia" w:ascii="仿宋" w:hAnsi="仿宋" w:eastAsia="仿宋" w:cs="宋体"/>
          <w:sz w:val="28"/>
          <w:szCs w:val="28"/>
          <w:highlight w:val="none"/>
        </w:rPr>
        <w:t>万元</w:t>
      </w:r>
    </w:p>
    <w:p w14:paraId="298E73E9">
      <w:pPr>
        <w:spacing w:line="560" w:lineRule="exact"/>
        <w:ind w:firstLine="437"/>
        <w:rPr>
          <w:rFonts w:ascii="仿宋" w:hAnsi="仿宋" w:eastAsia="仿宋" w:cs="宋体"/>
          <w:bCs/>
          <w:snapToGrid w:val="0"/>
          <w:sz w:val="28"/>
          <w:szCs w:val="28"/>
          <w:highlight w:val="none"/>
        </w:rPr>
      </w:pPr>
      <w:r>
        <w:rPr>
          <w:rFonts w:hint="eastAsia" w:ascii="仿宋" w:hAnsi="仿宋" w:eastAsia="仿宋" w:cs="宋体"/>
          <w:bCs/>
          <w:snapToGrid w:val="0"/>
          <w:sz w:val="28"/>
          <w:szCs w:val="28"/>
          <w:highlight w:val="none"/>
        </w:rPr>
        <w:t>2.8交货及安装周期：</w:t>
      </w:r>
      <w:r>
        <w:rPr>
          <w:rFonts w:hint="eastAsia" w:ascii="仿宋" w:hAnsi="仿宋" w:eastAsia="仿宋" w:cs="宋体"/>
          <w:sz w:val="28"/>
          <w:szCs w:val="28"/>
          <w:highlight w:val="none"/>
          <w:lang w:val="en-US" w:eastAsia="zh-CN"/>
        </w:rPr>
        <w:t>180</w:t>
      </w:r>
      <w:r>
        <w:rPr>
          <w:rFonts w:hint="eastAsia" w:ascii="仿宋" w:hAnsi="仿宋" w:eastAsia="仿宋" w:cs="宋体"/>
          <w:sz w:val="28"/>
          <w:szCs w:val="28"/>
          <w:highlight w:val="none"/>
        </w:rPr>
        <w:t>日历天</w:t>
      </w:r>
    </w:p>
    <w:p w14:paraId="2A744E26">
      <w:pPr>
        <w:spacing w:line="560" w:lineRule="exact"/>
        <w:ind w:firstLine="437"/>
        <w:rPr>
          <w:rFonts w:hint="eastAsia" w:ascii="仿宋" w:hAnsi="仿宋" w:eastAsia="仿宋" w:cs="Calibri"/>
          <w:kern w:val="2"/>
          <w:sz w:val="28"/>
          <w:szCs w:val="28"/>
          <w:highlight w:val="none"/>
          <w:lang w:eastAsia="zh-CN"/>
        </w:rPr>
      </w:pPr>
      <w:r>
        <w:rPr>
          <w:rFonts w:hint="eastAsia" w:ascii="仿宋" w:hAnsi="仿宋" w:eastAsia="仿宋" w:cs="宋体"/>
          <w:bCs/>
          <w:snapToGrid w:val="0"/>
          <w:sz w:val="28"/>
          <w:szCs w:val="28"/>
          <w:highlight w:val="none"/>
        </w:rPr>
        <w:t>2.9交货及安装地点：</w:t>
      </w:r>
      <w:r>
        <w:rPr>
          <w:rFonts w:hint="eastAsia" w:ascii="仿宋" w:hAnsi="仿宋" w:eastAsia="仿宋" w:cs="宋体"/>
          <w:sz w:val="28"/>
          <w:szCs w:val="28"/>
          <w:highlight w:val="none"/>
          <w:lang w:eastAsia="zh-CN"/>
        </w:rPr>
        <w:t>肥东县梁园镇中心卫生院（肥东县第七人民医院）</w:t>
      </w:r>
      <w:r>
        <w:rPr>
          <w:rFonts w:hint="eastAsia" w:ascii="仿宋" w:hAnsi="仿宋" w:eastAsia="仿宋" w:cs="宋体"/>
          <w:sz w:val="28"/>
          <w:szCs w:val="28"/>
          <w:highlight w:val="none"/>
          <w:lang w:val="en-US" w:eastAsia="zh-CN"/>
        </w:rPr>
        <w:t>内</w:t>
      </w:r>
    </w:p>
    <w:p w14:paraId="172D03A3">
      <w:pPr>
        <w:spacing w:line="560" w:lineRule="exact"/>
        <w:ind w:firstLine="437"/>
        <w:rPr>
          <w:rFonts w:hint="eastAsia" w:ascii="仿宋" w:hAnsi="仿宋" w:eastAsia="仿宋" w:cs="宋体"/>
          <w:bCs/>
          <w:snapToGrid w:val="0"/>
          <w:sz w:val="28"/>
          <w:szCs w:val="28"/>
          <w:highlight w:val="none"/>
          <w:lang w:eastAsia="zh-CN"/>
        </w:rPr>
      </w:pPr>
      <w:r>
        <w:rPr>
          <w:rFonts w:hint="eastAsia" w:ascii="仿宋" w:hAnsi="仿宋" w:eastAsia="仿宋" w:cs="宋体"/>
          <w:bCs/>
          <w:snapToGrid w:val="0"/>
          <w:sz w:val="28"/>
          <w:szCs w:val="28"/>
          <w:highlight w:val="none"/>
        </w:rPr>
        <w:t>2.10招标范围：</w:t>
      </w:r>
      <w:r>
        <w:rPr>
          <w:rFonts w:hint="eastAsia" w:ascii="仿宋" w:hAnsi="仿宋" w:eastAsia="仿宋" w:cs="宋体"/>
          <w:bCs/>
          <w:snapToGrid w:val="0"/>
          <w:sz w:val="28"/>
          <w:szCs w:val="28"/>
          <w:highlight w:val="none"/>
          <w:lang w:val="en-US" w:eastAsia="zh-CN"/>
        </w:rPr>
        <w:t>包括</w:t>
      </w:r>
      <w:r>
        <w:rPr>
          <w:rFonts w:hint="eastAsia" w:ascii="仿宋" w:hAnsi="仿宋" w:eastAsia="仿宋" w:cs="宋体"/>
          <w:bCs/>
          <w:snapToGrid w:val="0"/>
          <w:sz w:val="28"/>
          <w:szCs w:val="28"/>
          <w:highlight w:val="none"/>
        </w:rPr>
        <w:t>13个智能化子系统，分别为：综合布线系统、计算机网络及无线覆盖系统、多媒体会议系统、视频监控系统、残卫报警系统、水控管理系统、车辆管理系统、机房工程、LED屏及门诊信息发布系统、护理呼叫、智能输液管理系统、五方对讲系统、综合管网工程。</w:t>
      </w:r>
    </w:p>
    <w:p w14:paraId="55657E14">
      <w:pPr>
        <w:spacing w:line="560" w:lineRule="exact"/>
        <w:ind w:firstLine="437"/>
        <w:rPr>
          <w:rFonts w:ascii="仿宋" w:hAnsi="仿宋" w:eastAsia="仿宋" w:cs="宋体"/>
          <w:sz w:val="28"/>
          <w:szCs w:val="28"/>
          <w:highlight w:val="none"/>
        </w:rPr>
      </w:pPr>
      <w:r>
        <w:rPr>
          <w:rFonts w:hint="eastAsia" w:ascii="仿宋" w:hAnsi="仿宋" w:eastAsia="仿宋" w:cs="宋体"/>
          <w:bCs/>
          <w:snapToGrid w:val="0"/>
          <w:sz w:val="28"/>
          <w:szCs w:val="28"/>
          <w:highlight w:val="none"/>
        </w:rPr>
        <w:t>2.11项目类别：</w:t>
      </w:r>
      <w:r>
        <w:rPr>
          <w:rFonts w:hint="eastAsia" w:ascii="仿宋" w:hAnsi="仿宋" w:eastAsia="仿宋" w:cs="宋体"/>
          <w:sz w:val="28"/>
          <w:szCs w:val="28"/>
          <w:highlight w:val="none"/>
        </w:rPr>
        <w:t>工程货物</w:t>
      </w:r>
    </w:p>
    <w:p w14:paraId="04A77356">
      <w:pPr>
        <w:spacing w:line="560" w:lineRule="exact"/>
        <w:ind w:firstLine="437"/>
        <w:rPr>
          <w:rFonts w:ascii="仿宋" w:hAnsi="仿宋" w:eastAsia="仿宋" w:cs="宋体"/>
          <w:bCs/>
          <w:snapToGrid w:val="0"/>
          <w:sz w:val="28"/>
          <w:szCs w:val="28"/>
          <w:highlight w:val="none"/>
        </w:rPr>
      </w:pPr>
      <w:r>
        <w:rPr>
          <w:rFonts w:hint="eastAsia" w:ascii="仿宋" w:hAnsi="仿宋" w:eastAsia="仿宋" w:cs="宋体"/>
          <w:bCs/>
          <w:snapToGrid w:val="0"/>
          <w:sz w:val="28"/>
          <w:szCs w:val="28"/>
          <w:highlight w:val="none"/>
        </w:rPr>
        <w:t>2.12其他：</w:t>
      </w:r>
      <w:r>
        <w:rPr>
          <w:rFonts w:hint="eastAsia" w:ascii="仿宋" w:hAnsi="仿宋" w:eastAsia="仿宋" w:cs="宋体"/>
          <w:sz w:val="28"/>
          <w:szCs w:val="28"/>
          <w:highlight w:val="none"/>
        </w:rPr>
        <w:t>无</w:t>
      </w:r>
    </w:p>
    <w:p w14:paraId="5FE8307B">
      <w:pPr>
        <w:spacing w:line="560" w:lineRule="exact"/>
        <w:outlineLvl w:val="1"/>
        <w:rPr>
          <w:rFonts w:ascii="黑体" w:hAnsi="黑体" w:eastAsia="黑体"/>
          <w:sz w:val="28"/>
          <w:szCs w:val="28"/>
          <w:highlight w:val="none"/>
        </w:rPr>
      </w:pPr>
      <w:bookmarkStart w:id="27" w:name="_Toc21370"/>
      <w:bookmarkStart w:id="28" w:name="_Toc140069384"/>
      <w:bookmarkStart w:id="29" w:name="_Toc22221"/>
      <w:r>
        <w:rPr>
          <w:rFonts w:hint="eastAsia" w:ascii="黑体" w:hAnsi="黑体" w:eastAsia="黑体"/>
          <w:sz w:val="28"/>
          <w:szCs w:val="28"/>
          <w:highlight w:val="none"/>
        </w:rPr>
        <w:t>3.投标人资格要求</w:t>
      </w:r>
      <w:bookmarkEnd w:id="22"/>
      <w:bookmarkEnd w:id="23"/>
      <w:bookmarkEnd w:id="24"/>
      <w:bookmarkEnd w:id="25"/>
      <w:bookmarkEnd w:id="27"/>
      <w:bookmarkEnd w:id="28"/>
      <w:bookmarkEnd w:id="29"/>
    </w:p>
    <w:bookmarkEnd w:id="18"/>
    <w:p w14:paraId="65A26623">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3.1 投标人应依法设立并具备承担本招标项目的如下条件：</w:t>
      </w:r>
    </w:p>
    <w:p w14:paraId="4AF6EDD1">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3.1.1 投标人资质要求：具有独立承担民事责任的能力。</w:t>
      </w:r>
    </w:p>
    <w:p w14:paraId="06EACC11">
      <w:pPr>
        <w:spacing w:line="560" w:lineRule="exact"/>
        <w:ind w:firstLine="437"/>
        <w:jc w:val="left"/>
        <w:rPr>
          <w:rFonts w:ascii="仿宋" w:hAnsi="仿宋" w:eastAsia="仿宋" w:cs="宋体"/>
          <w:bCs/>
          <w:snapToGrid w:val="0"/>
          <w:sz w:val="28"/>
          <w:szCs w:val="28"/>
          <w:highlight w:val="none"/>
        </w:rPr>
      </w:pPr>
      <w:r>
        <w:rPr>
          <w:rFonts w:hint="eastAsia" w:ascii="仿宋" w:hAnsi="仿宋" w:eastAsia="仿宋" w:cs="宋体"/>
          <w:sz w:val="28"/>
          <w:szCs w:val="28"/>
          <w:highlight w:val="none"/>
        </w:rPr>
        <w:t>3.1.2 项目负责人资格要求</w:t>
      </w:r>
      <w:r>
        <w:rPr>
          <w:rFonts w:hint="eastAsia" w:ascii="仿宋" w:hAnsi="仿宋" w:eastAsia="仿宋" w:cs="宋体"/>
          <w:bCs/>
          <w:snapToGrid w:val="0"/>
          <w:sz w:val="28"/>
          <w:szCs w:val="28"/>
          <w:highlight w:val="none"/>
        </w:rPr>
        <w:t>：</w:t>
      </w:r>
      <w:r>
        <w:rPr>
          <w:rFonts w:hint="eastAsia" w:ascii="仿宋" w:hAnsi="仿宋" w:eastAsia="仿宋" w:cs="宋体"/>
          <w:bCs/>
          <w:snapToGrid w:val="0"/>
          <w:sz w:val="28"/>
          <w:szCs w:val="28"/>
          <w:highlight w:val="none"/>
          <w:lang w:val="en-US" w:eastAsia="zh-CN"/>
        </w:rPr>
        <w:t>无</w:t>
      </w:r>
      <w:r>
        <w:rPr>
          <w:rFonts w:hint="eastAsia" w:ascii="仿宋" w:hAnsi="仿宋" w:eastAsia="仿宋" w:cs="宋体"/>
          <w:bCs/>
          <w:snapToGrid w:val="0"/>
          <w:sz w:val="28"/>
          <w:szCs w:val="28"/>
          <w:highlight w:val="none"/>
        </w:rPr>
        <w:t>。</w:t>
      </w:r>
    </w:p>
    <w:p w14:paraId="24A8D651">
      <w:pPr>
        <w:spacing w:line="560" w:lineRule="exact"/>
        <w:ind w:firstLine="437"/>
        <w:rPr>
          <w:rFonts w:ascii="仿宋" w:hAnsi="仿宋" w:eastAsia="仿宋" w:cs="宋体"/>
          <w:bCs/>
          <w:snapToGrid w:val="0"/>
          <w:sz w:val="28"/>
          <w:szCs w:val="28"/>
          <w:highlight w:val="none"/>
        </w:rPr>
      </w:pPr>
      <w:r>
        <w:rPr>
          <w:rFonts w:hint="eastAsia" w:ascii="仿宋" w:hAnsi="仿宋" w:eastAsia="仿宋" w:cs="宋体"/>
          <w:sz w:val="28"/>
          <w:szCs w:val="28"/>
          <w:highlight w:val="none"/>
        </w:rPr>
        <w:t xml:space="preserve">3.1.3 </w:t>
      </w:r>
      <w:r>
        <w:rPr>
          <w:rFonts w:hint="eastAsia" w:ascii="仿宋" w:hAnsi="仿宋" w:eastAsia="仿宋" w:cs="宋体"/>
          <w:bCs/>
          <w:snapToGrid w:val="0"/>
          <w:sz w:val="28"/>
          <w:szCs w:val="28"/>
          <w:highlight w:val="none"/>
        </w:rPr>
        <w:t>投标人业绩要求：无</w:t>
      </w:r>
      <w:r>
        <w:rPr>
          <w:rFonts w:hint="eastAsia" w:ascii="仿宋" w:hAnsi="仿宋" w:eastAsia="仿宋" w:cs="宋体"/>
          <w:sz w:val="28"/>
          <w:szCs w:val="28"/>
          <w:highlight w:val="none"/>
        </w:rPr>
        <w:t>。</w:t>
      </w:r>
    </w:p>
    <w:p w14:paraId="6D3499B8">
      <w:pPr>
        <w:spacing w:line="560" w:lineRule="exact"/>
        <w:ind w:firstLine="437"/>
        <w:jc w:val="left"/>
        <w:rPr>
          <w:rFonts w:ascii="仿宋" w:hAnsi="仿宋" w:eastAsia="仿宋" w:cs="宋体"/>
          <w:sz w:val="28"/>
          <w:szCs w:val="28"/>
          <w:highlight w:val="none"/>
        </w:rPr>
      </w:pPr>
      <w:r>
        <w:rPr>
          <w:rFonts w:hint="eastAsia" w:ascii="仿宋" w:hAnsi="仿宋" w:eastAsia="仿宋" w:cs="宋体"/>
          <w:sz w:val="28"/>
          <w:szCs w:val="28"/>
          <w:highlight w:val="none"/>
        </w:rPr>
        <w:t xml:space="preserve">3.1.4 </w:t>
      </w:r>
      <w:r>
        <w:rPr>
          <w:rFonts w:hint="eastAsia" w:ascii="仿宋" w:hAnsi="仿宋" w:eastAsia="仿宋" w:cs="宋体"/>
          <w:bCs/>
          <w:snapToGrid w:val="0"/>
          <w:sz w:val="28"/>
          <w:szCs w:val="28"/>
          <w:highlight w:val="none"/>
        </w:rPr>
        <w:t>项目负责人业绩要求：无</w:t>
      </w:r>
      <w:r>
        <w:rPr>
          <w:rFonts w:hint="eastAsia" w:ascii="仿宋" w:hAnsi="仿宋" w:eastAsia="仿宋" w:cs="宋体"/>
          <w:sz w:val="28"/>
          <w:szCs w:val="28"/>
          <w:highlight w:val="none"/>
        </w:rPr>
        <w:t>。</w:t>
      </w:r>
    </w:p>
    <w:p w14:paraId="5CE2C104">
      <w:pPr>
        <w:spacing w:line="560" w:lineRule="exact"/>
        <w:ind w:firstLine="437"/>
        <w:jc w:val="left"/>
        <w:rPr>
          <w:rFonts w:ascii="仿宋" w:hAnsi="仿宋" w:eastAsia="仿宋" w:cs="宋体"/>
          <w:sz w:val="28"/>
          <w:szCs w:val="28"/>
          <w:highlight w:val="none"/>
        </w:rPr>
      </w:pPr>
      <w:r>
        <w:rPr>
          <w:rFonts w:hint="eastAsia" w:ascii="仿宋" w:hAnsi="仿宋" w:eastAsia="仿宋" w:cs="宋体"/>
          <w:sz w:val="28"/>
          <w:szCs w:val="28"/>
          <w:highlight w:val="none"/>
        </w:rPr>
        <w:t>3.1.5 财务要求：无。</w:t>
      </w:r>
    </w:p>
    <w:p w14:paraId="51176727">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3.1.6 信誉要求：投标人未被合肥市及其所辖县（市）、区（开发区）公共资源交易监督管理部门记不良行为记录的；或被记不良行为记录（以公布日期为准），但同时符合下列情形的：</w:t>
      </w:r>
    </w:p>
    <w:p w14:paraId="22CD3362">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（1）开标日前（含当日）6个月内记分累计未满10分的；</w:t>
      </w:r>
    </w:p>
    <w:p w14:paraId="1ABBA412">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（2）开标日前（含当日）12个月内记分累计未满15分的；</w:t>
      </w:r>
    </w:p>
    <w:p w14:paraId="78A2BDD7">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（3）开标日前（含当日）18个月内记分累计未满20分的；</w:t>
      </w:r>
    </w:p>
    <w:p w14:paraId="62320D11">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（4）开标日前（含当日）24个月内记分累计未满25分的。</w:t>
      </w:r>
    </w:p>
    <w:p w14:paraId="13D2727A">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3.1.7本招标项目不接受联合体投标。</w:t>
      </w:r>
    </w:p>
    <w:p w14:paraId="11AC32C9">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 xml:space="preserve">3.2 </w:t>
      </w:r>
      <w:r>
        <w:rPr>
          <w:rFonts w:hint="eastAsia" w:ascii="仿宋" w:hAnsi="仿宋" w:eastAsia="仿宋" w:cs="宋体"/>
          <w:bCs/>
          <w:snapToGrid w:val="0"/>
          <w:sz w:val="28"/>
          <w:szCs w:val="28"/>
          <w:highlight w:val="none"/>
        </w:rPr>
        <w:t>一个制造商对同一品牌同一型号的货物，仅能委托一个代理商参加投标。（本项目不采用）</w:t>
      </w:r>
    </w:p>
    <w:p w14:paraId="3235F5EA">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3.3 投标人不得存在招标文件第二章投标人须知第1.4.3项、第1.4.4项规定的情形。</w:t>
      </w:r>
    </w:p>
    <w:p w14:paraId="60EA8BA9">
      <w:pPr>
        <w:spacing w:line="560" w:lineRule="exact"/>
        <w:ind w:firstLine="437"/>
        <w:rPr>
          <w:rFonts w:ascii="仿宋" w:hAnsi="仿宋" w:eastAsia="仿宋" w:cs="宋体"/>
          <w:sz w:val="28"/>
          <w:szCs w:val="28"/>
          <w:highlight w:val="none"/>
        </w:rPr>
      </w:pPr>
      <w:r>
        <w:rPr>
          <w:rFonts w:hint="eastAsia" w:ascii="仿宋" w:hAnsi="仿宋" w:eastAsia="仿宋" w:cs="宋体"/>
          <w:sz w:val="28"/>
          <w:szCs w:val="28"/>
          <w:highlight w:val="none"/>
        </w:rPr>
        <w:t>3.4 其他要求：无。</w:t>
      </w:r>
    </w:p>
    <w:p w14:paraId="6B0F8D01">
      <w:pPr>
        <w:spacing w:line="560" w:lineRule="exact"/>
        <w:outlineLvl w:val="1"/>
        <w:rPr>
          <w:rFonts w:ascii="黑体" w:hAnsi="黑体" w:eastAsia="黑体"/>
          <w:sz w:val="28"/>
          <w:szCs w:val="28"/>
          <w:highlight w:val="none"/>
        </w:rPr>
      </w:pPr>
      <w:bookmarkStart w:id="30" w:name="_Toc25429"/>
      <w:bookmarkStart w:id="31" w:name="_Toc6851"/>
      <w:bookmarkStart w:id="32" w:name="_Toc11249"/>
      <w:bookmarkStart w:id="33" w:name="_Toc30498"/>
      <w:bookmarkStart w:id="34" w:name="_Toc140069385"/>
      <w:bookmarkStart w:id="35" w:name="_Toc4747"/>
      <w:bookmarkStart w:id="36" w:name="_Toc14271"/>
      <w:r>
        <w:rPr>
          <w:rFonts w:hint="eastAsia" w:ascii="黑体" w:hAnsi="黑体" w:eastAsia="黑体"/>
          <w:sz w:val="28"/>
          <w:szCs w:val="28"/>
          <w:highlight w:val="none"/>
        </w:rPr>
        <w:t>4.招标文件的获取</w:t>
      </w:r>
      <w:bookmarkEnd w:id="30"/>
      <w:bookmarkEnd w:id="31"/>
      <w:bookmarkEnd w:id="32"/>
      <w:bookmarkEnd w:id="33"/>
      <w:bookmarkEnd w:id="34"/>
      <w:bookmarkEnd w:id="35"/>
      <w:bookmarkEnd w:id="36"/>
    </w:p>
    <w:p w14:paraId="0DAD6C91">
      <w:pPr>
        <w:spacing w:line="560" w:lineRule="exact"/>
        <w:ind w:firstLine="437"/>
        <w:outlineLvl w:val="2"/>
        <w:rPr>
          <w:rFonts w:ascii="仿宋" w:hAnsi="仿宋" w:eastAsia="仿宋" w:cs="宋体"/>
          <w:bCs/>
          <w:snapToGrid w:val="0"/>
          <w:sz w:val="28"/>
          <w:szCs w:val="28"/>
          <w:highlight w:val="none"/>
        </w:rPr>
      </w:pPr>
      <w:bookmarkStart w:id="37" w:name="_Toc14443"/>
      <w:bookmarkStart w:id="38" w:name="_Toc27382"/>
      <w:bookmarkStart w:id="39" w:name="_Toc9512"/>
      <w:bookmarkStart w:id="40" w:name="_Toc2764"/>
      <w:r>
        <w:rPr>
          <w:rFonts w:hint="eastAsia" w:ascii="仿宋" w:hAnsi="仿宋" w:eastAsia="仿宋" w:cs="宋体"/>
          <w:bCs/>
          <w:snapToGrid w:val="0"/>
          <w:sz w:val="28"/>
          <w:szCs w:val="28"/>
          <w:highlight w:val="none"/>
        </w:rPr>
        <w:t>4.1 获取时间：</w:t>
      </w:r>
      <w:r>
        <w:rPr>
          <w:rFonts w:hint="eastAsia" w:ascii="仿宋" w:hAnsi="仿宋" w:eastAsia="仿宋" w:cs="宋体"/>
          <w:sz w:val="28"/>
          <w:szCs w:val="28"/>
          <w:highlight w:val="none"/>
        </w:rPr>
        <w:t>202</w:t>
      </w:r>
      <w:r>
        <w:rPr>
          <w:rFonts w:hint="eastAsia" w:ascii="仿宋" w:hAnsi="仿宋" w:eastAsia="仿宋" w:cs="宋体"/>
          <w:sz w:val="28"/>
          <w:szCs w:val="28"/>
          <w:highlight w:val="none"/>
          <w:lang w:val="en-US" w:eastAsia="zh-CN"/>
        </w:rPr>
        <w:t>5</w:t>
      </w:r>
      <w:r>
        <w:rPr>
          <w:rFonts w:hint="eastAsia" w:ascii="仿宋" w:hAnsi="仿宋" w:eastAsia="仿宋" w:cs="宋体"/>
          <w:bCs/>
          <w:snapToGrid w:val="0"/>
          <w:sz w:val="28"/>
          <w:szCs w:val="28"/>
          <w:highlight w:val="none"/>
        </w:rPr>
        <w:t>年</w:t>
      </w:r>
      <w:r>
        <w:rPr>
          <w:rFonts w:hint="eastAsia" w:ascii="仿宋" w:hAnsi="仿宋" w:eastAsia="仿宋" w:cs="宋体"/>
          <w:sz w:val="28"/>
          <w:szCs w:val="28"/>
          <w:highlight w:val="none"/>
          <w:lang w:val="en-US" w:eastAsia="zh-CN"/>
        </w:rPr>
        <w:t>11</w:t>
      </w:r>
      <w:r>
        <w:rPr>
          <w:rFonts w:hint="eastAsia" w:ascii="仿宋" w:hAnsi="仿宋" w:eastAsia="仿宋" w:cs="宋体"/>
          <w:bCs/>
          <w:snapToGrid w:val="0"/>
          <w:sz w:val="28"/>
          <w:szCs w:val="28"/>
          <w:highlight w:val="none"/>
        </w:rPr>
        <w:t>月</w:t>
      </w:r>
      <w:r>
        <w:rPr>
          <w:rFonts w:hint="eastAsia" w:ascii="仿宋" w:hAnsi="仿宋" w:eastAsia="仿宋" w:cs="宋体"/>
          <w:bCs/>
          <w:snapToGrid w:val="0"/>
          <w:sz w:val="28"/>
          <w:szCs w:val="28"/>
          <w:highlight w:val="none"/>
          <w:lang w:val="en-US" w:eastAsia="zh-CN"/>
        </w:rPr>
        <w:t xml:space="preserve">  </w:t>
      </w:r>
      <w:r>
        <w:rPr>
          <w:rFonts w:hint="eastAsia" w:ascii="仿宋" w:hAnsi="仿宋" w:eastAsia="仿宋" w:cs="宋体"/>
          <w:bCs/>
          <w:snapToGrid w:val="0"/>
          <w:sz w:val="28"/>
          <w:szCs w:val="28"/>
          <w:highlight w:val="none"/>
        </w:rPr>
        <w:t>日至投标截止时间。</w:t>
      </w:r>
    </w:p>
    <w:p w14:paraId="676B1FA5">
      <w:pPr>
        <w:spacing w:line="560" w:lineRule="exact"/>
        <w:ind w:firstLine="437"/>
        <w:outlineLvl w:val="2"/>
        <w:rPr>
          <w:rFonts w:ascii="仿宋" w:hAnsi="仿宋" w:eastAsia="仿宋" w:cs="宋体"/>
          <w:bCs/>
          <w:snapToGrid w:val="0"/>
          <w:sz w:val="28"/>
          <w:szCs w:val="28"/>
          <w:highlight w:val="none"/>
        </w:rPr>
      </w:pPr>
      <w:r>
        <w:rPr>
          <w:rFonts w:hint="eastAsia" w:ascii="仿宋" w:hAnsi="仿宋" w:eastAsia="仿宋" w:cs="宋体"/>
          <w:bCs/>
          <w:snapToGrid w:val="0"/>
          <w:sz w:val="28"/>
          <w:szCs w:val="28"/>
          <w:highlight w:val="none"/>
        </w:rPr>
        <w:t>4.2 获取方式：</w:t>
      </w:r>
    </w:p>
    <w:p w14:paraId="6752A0B0">
      <w:pPr>
        <w:spacing w:line="560" w:lineRule="exact"/>
        <w:ind w:firstLine="560" w:firstLineChars="200"/>
        <w:outlineLvl w:val="2"/>
        <w:rPr>
          <w:rFonts w:hint="eastAsia" w:ascii="仿宋" w:hAnsi="仿宋" w:eastAsia="仿宋" w:cs="宋体"/>
          <w:bCs/>
          <w:snapToGrid w:val="0"/>
          <w:sz w:val="28"/>
          <w:szCs w:val="28"/>
          <w:highlight w:val="none"/>
        </w:rPr>
      </w:pPr>
      <w:r>
        <w:rPr>
          <w:rFonts w:hint="eastAsia" w:ascii="仿宋" w:hAnsi="仿宋" w:eastAsia="仿宋" w:cs="宋体"/>
          <w:bCs/>
          <w:snapToGrid w:val="0"/>
          <w:sz w:val="28"/>
          <w:szCs w:val="28"/>
          <w:highlight w:val="none"/>
        </w:rPr>
        <w:t>（1）本招标项目实行全流程电子化交易。</w:t>
      </w:r>
    </w:p>
    <w:p w14:paraId="57E9B89A">
      <w:pPr>
        <w:spacing w:line="560" w:lineRule="exact"/>
        <w:ind w:firstLine="560" w:firstLineChars="200"/>
        <w:outlineLvl w:val="2"/>
        <w:rPr>
          <w:rFonts w:hint="eastAsia" w:ascii="仿宋" w:hAnsi="仿宋" w:eastAsia="仿宋" w:cs="宋体"/>
          <w:bCs/>
          <w:snapToGrid w:val="0"/>
          <w:sz w:val="28"/>
          <w:szCs w:val="28"/>
          <w:highlight w:val="none"/>
        </w:rPr>
      </w:pPr>
      <w:r>
        <w:rPr>
          <w:rFonts w:hint="eastAsia" w:ascii="仿宋" w:hAnsi="仿宋" w:eastAsia="仿宋" w:cs="宋体"/>
          <w:bCs/>
          <w:snapToGrid w:val="0"/>
          <w:sz w:val="28"/>
          <w:szCs w:val="28"/>
          <w:highlight w:val="none"/>
        </w:rPr>
        <w:t>（2）潜在投标人可登录安徽合肥公共资源交易电子服务系统（以下简称“电子服务系统”）查阅招标文件，如参与投标，则须在本条第4.1款规定的招标文件获取时间内通过安徽合肥公共资源交易中心电子交易系统【新版】（https://jyxt.hfztb.cn/sso/）获取招标文件。</w:t>
      </w:r>
    </w:p>
    <w:p w14:paraId="2B6E7038">
      <w:pPr>
        <w:spacing w:line="560" w:lineRule="exact"/>
        <w:ind w:firstLine="560" w:firstLineChars="200"/>
        <w:outlineLvl w:val="2"/>
        <w:rPr>
          <w:rFonts w:hint="eastAsia" w:ascii="仿宋" w:hAnsi="仿宋" w:eastAsia="仿宋" w:cs="宋体"/>
          <w:bCs/>
          <w:snapToGrid w:val="0"/>
          <w:sz w:val="28"/>
          <w:szCs w:val="28"/>
          <w:highlight w:val="none"/>
        </w:rPr>
      </w:pPr>
      <w:r>
        <w:rPr>
          <w:rFonts w:hint="eastAsia" w:ascii="仿宋" w:hAnsi="仿宋" w:eastAsia="仿宋" w:cs="宋体"/>
          <w:bCs/>
          <w:snapToGrid w:val="0"/>
          <w:sz w:val="28"/>
          <w:szCs w:val="28"/>
          <w:highlight w:val="none"/>
        </w:rPr>
        <w:t>（3）招标文件获取过程中有任何疑问，请工作时间（9:00-17:30，节假日休息）拨打技术支持热线（非项目咨询）：0551-66223900，0551-66223899。项目咨询请拨打电话：0551-67758793。</w:t>
      </w:r>
    </w:p>
    <w:p w14:paraId="0146F102">
      <w:pPr>
        <w:spacing w:line="560" w:lineRule="exact"/>
        <w:ind w:firstLine="560" w:firstLineChars="200"/>
        <w:outlineLvl w:val="2"/>
        <w:rPr>
          <w:rFonts w:ascii="仿宋" w:hAnsi="仿宋" w:eastAsia="仿宋" w:cs="宋体"/>
          <w:bCs/>
          <w:snapToGrid w:val="0"/>
          <w:sz w:val="28"/>
          <w:szCs w:val="28"/>
          <w:highlight w:val="none"/>
        </w:rPr>
      </w:pPr>
      <w:r>
        <w:rPr>
          <w:rFonts w:hint="eastAsia" w:ascii="仿宋" w:hAnsi="仿宋" w:eastAsia="仿宋" w:cs="宋体"/>
          <w:bCs/>
          <w:snapToGrid w:val="0"/>
          <w:sz w:val="28"/>
          <w:szCs w:val="28"/>
          <w:highlight w:val="none"/>
        </w:rPr>
        <w:t>4.3招标文件价格：每套人民币0元。</w:t>
      </w:r>
    </w:p>
    <w:p w14:paraId="57FD2B2B">
      <w:pPr>
        <w:spacing w:line="560" w:lineRule="exact"/>
        <w:outlineLvl w:val="1"/>
        <w:rPr>
          <w:rFonts w:ascii="黑体" w:hAnsi="黑体" w:eastAsia="黑体"/>
          <w:sz w:val="28"/>
          <w:szCs w:val="28"/>
          <w:highlight w:val="none"/>
        </w:rPr>
      </w:pPr>
      <w:bookmarkStart w:id="41" w:name="_Toc26398"/>
      <w:bookmarkStart w:id="42" w:name="_Toc22981"/>
      <w:bookmarkStart w:id="43" w:name="_Toc140069386"/>
      <w:r>
        <w:rPr>
          <w:rFonts w:hint="eastAsia" w:ascii="黑体" w:hAnsi="黑体" w:eastAsia="黑体"/>
          <w:sz w:val="28"/>
          <w:szCs w:val="28"/>
          <w:highlight w:val="none"/>
        </w:rPr>
        <w:t>5.投标文件的递交</w:t>
      </w:r>
      <w:bookmarkEnd w:id="37"/>
      <w:bookmarkEnd w:id="38"/>
      <w:bookmarkEnd w:id="39"/>
      <w:bookmarkEnd w:id="40"/>
      <w:bookmarkEnd w:id="41"/>
      <w:bookmarkEnd w:id="42"/>
      <w:bookmarkEnd w:id="43"/>
    </w:p>
    <w:p w14:paraId="7335B9F3">
      <w:pPr>
        <w:pStyle w:val="49"/>
        <w:spacing w:before="0" w:beforeAutospacing="0" w:after="0" w:afterAutospacing="0" w:line="560" w:lineRule="exact"/>
        <w:ind w:firstLine="560" w:firstLineChars="200"/>
        <w:rPr>
          <w:rFonts w:ascii="仿宋" w:hAnsi="仿宋" w:eastAsia="仿宋" w:cs="楷体"/>
          <w:bCs/>
          <w:snapToGrid w:val="0"/>
          <w:color w:val="auto"/>
          <w:sz w:val="28"/>
          <w:szCs w:val="28"/>
          <w:highlight w:val="none"/>
        </w:rPr>
      </w:pPr>
      <w:r>
        <w:rPr>
          <w:rFonts w:hint="eastAsia" w:ascii="仿宋" w:hAnsi="仿宋" w:eastAsia="仿宋" w:cs="楷体"/>
          <w:bCs/>
          <w:snapToGrid w:val="0"/>
          <w:color w:val="auto"/>
          <w:sz w:val="28"/>
          <w:szCs w:val="28"/>
          <w:highlight w:val="none"/>
        </w:rPr>
        <w:t>投标文件递交的截止时间（投标截止时间，下同）为2025年1</w:t>
      </w:r>
      <w:r>
        <w:rPr>
          <w:rFonts w:hint="eastAsia" w:ascii="仿宋" w:hAnsi="仿宋" w:eastAsia="仿宋" w:cs="楷体"/>
          <w:bCs/>
          <w:snapToGrid w:val="0"/>
          <w:color w:val="auto"/>
          <w:sz w:val="28"/>
          <w:szCs w:val="28"/>
          <w:highlight w:val="none"/>
          <w:lang w:val="en-US" w:eastAsia="zh-CN"/>
        </w:rPr>
        <w:t>2</w:t>
      </w:r>
      <w:r>
        <w:rPr>
          <w:rFonts w:hint="eastAsia" w:ascii="仿宋" w:hAnsi="仿宋" w:eastAsia="仿宋" w:cs="楷体"/>
          <w:bCs/>
          <w:snapToGrid w:val="0"/>
          <w:color w:val="auto"/>
          <w:sz w:val="28"/>
          <w:szCs w:val="28"/>
          <w:highlight w:val="none"/>
        </w:rPr>
        <w:t>月</w:t>
      </w:r>
      <w:r>
        <w:rPr>
          <w:rFonts w:hint="eastAsia" w:ascii="仿宋" w:hAnsi="仿宋" w:eastAsia="仿宋" w:cs="楷体"/>
          <w:bCs/>
          <w:snapToGrid w:val="0"/>
          <w:color w:val="auto"/>
          <w:sz w:val="28"/>
          <w:szCs w:val="28"/>
          <w:highlight w:val="none"/>
          <w:lang w:val="en-US" w:eastAsia="zh-CN"/>
        </w:rPr>
        <w:t xml:space="preserve">  </w:t>
      </w:r>
      <w:r>
        <w:rPr>
          <w:rFonts w:hint="eastAsia" w:ascii="仿宋" w:hAnsi="仿宋" w:eastAsia="仿宋" w:cs="楷体"/>
          <w:bCs/>
          <w:snapToGrid w:val="0"/>
          <w:color w:val="auto"/>
          <w:sz w:val="28"/>
          <w:szCs w:val="28"/>
          <w:highlight w:val="none"/>
        </w:rPr>
        <w:t>日10时00分，投标人应在截止时间前通过安徽合肥公共资源交易中心电子交易系统【新版】（https://jyxt.hfztb.cn/sso/）递交电子投标文件。</w:t>
      </w:r>
    </w:p>
    <w:p w14:paraId="231A764C">
      <w:pPr>
        <w:spacing w:line="560" w:lineRule="exact"/>
        <w:outlineLvl w:val="1"/>
        <w:rPr>
          <w:rFonts w:ascii="黑体" w:hAnsi="黑体" w:eastAsia="黑体"/>
          <w:sz w:val="28"/>
          <w:szCs w:val="28"/>
          <w:highlight w:val="none"/>
        </w:rPr>
      </w:pPr>
      <w:bookmarkStart w:id="44" w:name="_Toc29133"/>
      <w:bookmarkStart w:id="45" w:name="_Toc12441"/>
      <w:bookmarkStart w:id="46" w:name="_Toc28141"/>
      <w:bookmarkStart w:id="47" w:name="_Toc25669"/>
      <w:bookmarkStart w:id="48" w:name="_Toc15416"/>
      <w:bookmarkStart w:id="49" w:name="_Toc15298"/>
      <w:bookmarkStart w:id="50" w:name="_Toc140069387"/>
      <w:r>
        <w:rPr>
          <w:rFonts w:hint="eastAsia" w:ascii="黑体" w:hAnsi="黑体" w:eastAsia="黑体"/>
          <w:sz w:val="28"/>
          <w:szCs w:val="28"/>
          <w:highlight w:val="none"/>
        </w:rPr>
        <w:t>6.资格审查方式</w:t>
      </w:r>
      <w:bookmarkEnd w:id="44"/>
      <w:bookmarkEnd w:id="45"/>
      <w:bookmarkEnd w:id="46"/>
      <w:bookmarkEnd w:id="47"/>
      <w:bookmarkEnd w:id="48"/>
      <w:bookmarkEnd w:id="49"/>
      <w:bookmarkEnd w:id="50"/>
    </w:p>
    <w:p w14:paraId="758A1C37">
      <w:pPr>
        <w:spacing w:line="560" w:lineRule="exact"/>
        <w:ind w:firstLine="420" w:firstLineChars="150"/>
        <w:outlineLvl w:val="1"/>
        <w:rPr>
          <w:rFonts w:hint="eastAsia" w:ascii="仿宋" w:hAnsi="仿宋" w:eastAsia="仿宋" w:cs="Calibri"/>
          <w:kern w:val="2"/>
          <w:sz w:val="28"/>
          <w:szCs w:val="28"/>
          <w:highlight w:val="none"/>
        </w:rPr>
      </w:pPr>
      <w:bookmarkStart w:id="51" w:name="_Toc17851"/>
      <w:bookmarkStart w:id="52" w:name="_Toc24572"/>
      <w:bookmarkStart w:id="53" w:name="_Toc32394"/>
      <w:bookmarkStart w:id="54" w:name="_Toc8268"/>
      <w:bookmarkStart w:id="55" w:name="_Toc140069388"/>
      <w:bookmarkStart w:id="56" w:name="_Toc18375"/>
      <w:bookmarkStart w:id="57" w:name="_Toc25618"/>
      <w:bookmarkStart w:id="58" w:name="_Toc11112"/>
      <w:r>
        <w:rPr>
          <w:rFonts w:hint="eastAsia" w:ascii="仿宋" w:hAnsi="仿宋" w:eastAsia="仿宋" w:cs="Calibri"/>
          <w:kern w:val="2"/>
          <w:sz w:val="28"/>
          <w:szCs w:val="28"/>
          <w:highlight w:val="none"/>
        </w:rPr>
        <w:t>本项目采用资格后审方式进行资格审查。</w:t>
      </w:r>
      <w:bookmarkEnd w:id="51"/>
      <w:bookmarkEnd w:id="52"/>
      <w:bookmarkEnd w:id="53"/>
    </w:p>
    <w:p w14:paraId="0D3E6F2B">
      <w:pPr>
        <w:spacing w:line="560" w:lineRule="exact"/>
        <w:outlineLvl w:val="1"/>
        <w:rPr>
          <w:rFonts w:ascii="黑体" w:hAnsi="黑体" w:eastAsia="黑体"/>
          <w:sz w:val="28"/>
          <w:szCs w:val="28"/>
          <w:highlight w:val="none"/>
        </w:rPr>
      </w:pPr>
      <w:bookmarkStart w:id="59" w:name="_Toc300"/>
      <w:bookmarkStart w:id="60" w:name="_Toc30892"/>
      <w:r>
        <w:rPr>
          <w:rFonts w:hint="eastAsia" w:ascii="黑体" w:hAnsi="黑体" w:eastAsia="黑体"/>
          <w:sz w:val="28"/>
          <w:szCs w:val="28"/>
          <w:highlight w:val="none"/>
        </w:rPr>
        <w:t>7.评标办法</w:t>
      </w:r>
      <w:bookmarkEnd w:id="54"/>
      <w:bookmarkEnd w:id="55"/>
      <w:bookmarkEnd w:id="56"/>
      <w:bookmarkEnd w:id="57"/>
      <w:bookmarkEnd w:id="58"/>
      <w:bookmarkEnd w:id="59"/>
      <w:bookmarkEnd w:id="60"/>
    </w:p>
    <w:p w14:paraId="5AC119C4">
      <w:pPr>
        <w:pStyle w:val="49"/>
        <w:spacing w:before="0" w:beforeAutospacing="0" w:after="0" w:afterAutospacing="0" w:line="560" w:lineRule="exact"/>
        <w:ind w:firstLine="560" w:firstLineChars="200"/>
        <w:rPr>
          <w:rFonts w:ascii="仿宋" w:hAnsi="仿宋" w:eastAsia="仿宋" w:cs="楷体"/>
          <w:bCs/>
          <w:snapToGrid w:val="0"/>
          <w:color w:val="auto"/>
          <w:sz w:val="28"/>
          <w:szCs w:val="28"/>
          <w:highlight w:val="none"/>
        </w:rPr>
      </w:pPr>
      <w:r>
        <w:rPr>
          <w:rFonts w:hint="eastAsia" w:ascii="仿宋" w:hAnsi="仿宋" w:eastAsia="仿宋"/>
          <w:bCs/>
          <w:snapToGrid w:val="0"/>
          <w:color w:val="auto"/>
          <w:sz w:val="28"/>
          <w:szCs w:val="28"/>
          <w:highlight w:val="none"/>
        </w:rPr>
        <w:t>本招标项目评标办法采用</w:t>
      </w:r>
      <w:bookmarkStart w:id="61" w:name="_Hlk110266409"/>
      <w:r>
        <w:rPr>
          <w:rFonts w:hint="eastAsia" w:ascii="仿宋" w:hAnsi="仿宋" w:eastAsia="仿宋"/>
          <w:color w:val="auto"/>
          <w:sz w:val="28"/>
          <w:szCs w:val="28"/>
          <w:highlight w:val="none"/>
        </w:rPr>
        <w:t>综合评估法（</w:t>
      </w:r>
      <w:r>
        <w:rPr>
          <w:rFonts w:hint="eastAsia" w:ascii="仿宋" w:hAnsi="仿宋" w:eastAsia="仿宋"/>
          <w:color w:val="auto"/>
          <w:sz w:val="28"/>
          <w:szCs w:val="28"/>
          <w:highlight w:val="none"/>
          <w:lang w:val="en-US" w:eastAsia="zh-CN"/>
        </w:rPr>
        <w:t>一次平均</w:t>
      </w:r>
      <w:r>
        <w:rPr>
          <w:rFonts w:hint="eastAsia" w:ascii="仿宋" w:hAnsi="仿宋" w:eastAsia="仿宋"/>
          <w:color w:val="auto"/>
          <w:sz w:val="28"/>
          <w:szCs w:val="28"/>
          <w:highlight w:val="none"/>
        </w:rPr>
        <w:t>）</w:t>
      </w:r>
      <w:r>
        <w:rPr>
          <w:rFonts w:hint="eastAsia" w:ascii="仿宋" w:hAnsi="仿宋" w:eastAsia="仿宋"/>
          <w:bCs/>
          <w:snapToGrid w:val="0"/>
          <w:color w:val="auto"/>
          <w:sz w:val="28"/>
          <w:szCs w:val="28"/>
          <w:highlight w:val="none"/>
        </w:rPr>
        <w:t>。（见招标文件第三章“评标办法”</w:t>
      </w:r>
      <w:bookmarkEnd w:id="61"/>
      <w:r>
        <w:rPr>
          <w:rFonts w:hint="eastAsia" w:ascii="仿宋" w:hAnsi="仿宋" w:eastAsia="仿宋" w:cs="楷体"/>
          <w:bCs/>
          <w:snapToGrid w:val="0"/>
          <w:color w:val="auto"/>
          <w:sz w:val="28"/>
          <w:szCs w:val="28"/>
          <w:highlight w:val="none"/>
        </w:rPr>
        <w:t>）</w:t>
      </w:r>
    </w:p>
    <w:p w14:paraId="2EFABCF8">
      <w:pPr>
        <w:spacing w:line="560" w:lineRule="exact"/>
        <w:outlineLvl w:val="1"/>
        <w:rPr>
          <w:rFonts w:ascii="黑体" w:hAnsi="黑体" w:eastAsia="黑体"/>
          <w:sz w:val="28"/>
          <w:szCs w:val="28"/>
          <w:highlight w:val="none"/>
        </w:rPr>
      </w:pPr>
      <w:bookmarkStart w:id="62" w:name="_Toc4043"/>
      <w:bookmarkStart w:id="63" w:name="_Toc2185"/>
      <w:bookmarkStart w:id="64" w:name="_Toc9230"/>
      <w:bookmarkStart w:id="65" w:name="_Toc28335"/>
      <w:bookmarkStart w:id="66" w:name="_Toc30763"/>
      <w:bookmarkStart w:id="67" w:name="_Toc29592"/>
      <w:bookmarkStart w:id="68" w:name="_Toc140069389"/>
      <w:r>
        <w:rPr>
          <w:rFonts w:hint="eastAsia" w:ascii="黑体" w:hAnsi="黑体" w:eastAsia="黑体"/>
          <w:sz w:val="28"/>
          <w:szCs w:val="28"/>
          <w:highlight w:val="none"/>
        </w:rPr>
        <w:t>8.开标时间及地点</w:t>
      </w:r>
      <w:bookmarkEnd w:id="62"/>
      <w:bookmarkEnd w:id="63"/>
      <w:bookmarkEnd w:id="64"/>
      <w:bookmarkEnd w:id="65"/>
      <w:bookmarkEnd w:id="66"/>
      <w:bookmarkEnd w:id="67"/>
      <w:bookmarkEnd w:id="68"/>
    </w:p>
    <w:p w14:paraId="2670274F">
      <w:pPr>
        <w:spacing w:line="560" w:lineRule="exact"/>
        <w:ind w:firstLine="437"/>
        <w:rPr>
          <w:rFonts w:hint="eastAsia" w:ascii="仿宋" w:hAnsi="仿宋" w:eastAsia="仿宋" w:cs="Calibri"/>
          <w:kern w:val="2"/>
          <w:sz w:val="28"/>
          <w:szCs w:val="28"/>
          <w:highlight w:val="none"/>
        </w:rPr>
      </w:pPr>
      <w:r>
        <w:rPr>
          <w:rFonts w:hint="eastAsia" w:ascii="仿宋" w:hAnsi="仿宋" w:eastAsia="仿宋" w:cs="Calibri"/>
          <w:kern w:val="2"/>
          <w:sz w:val="28"/>
          <w:szCs w:val="28"/>
          <w:highlight w:val="none"/>
        </w:rPr>
        <w:t>8.1 开标时间：202</w:t>
      </w:r>
      <w:r>
        <w:rPr>
          <w:rFonts w:hint="eastAsia" w:ascii="仿宋" w:hAnsi="仿宋" w:eastAsia="仿宋" w:cs="Calibri"/>
          <w:kern w:val="2"/>
          <w:sz w:val="28"/>
          <w:szCs w:val="28"/>
          <w:highlight w:val="none"/>
          <w:lang w:val="en-US" w:eastAsia="zh-CN"/>
        </w:rPr>
        <w:t>5</w:t>
      </w:r>
      <w:r>
        <w:rPr>
          <w:rFonts w:hint="eastAsia" w:ascii="仿宋" w:hAnsi="仿宋" w:eastAsia="仿宋" w:cs="Calibri"/>
          <w:kern w:val="2"/>
          <w:sz w:val="28"/>
          <w:szCs w:val="28"/>
          <w:highlight w:val="none"/>
        </w:rPr>
        <w:t>年</w:t>
      </w:r>
      <w:r>
        <w:rPr>
          <w:rFonts w:hint="eastAsia" w:ascii="仿宋" w:hAnsi="仿宋" w:eastAsia="仿宋" w:cs="Calibri"/>
          <w:kern w:val="2"/>
          <w:sz w:val="28"/>
          <w:szCs w:val="28"/>
          <w:highlight w:val="none"/>
          <w:lang w:val="en-US" w:eastAsia="zh-CN"/>
        </w:rPr>
        <w:t>12</w:t>
      </w:r>
      <w:r>
        <w:rPr>
          <w:rFonts w:hint="eastAsia" w:ascii="仿宋" w:hAnsi="仿宋" w:eastAsia="仿宋" w:cs="Calibri"/>
          <w:kern w:val="2"/>
          <w:sz w:val="28"/>
          <w:szCs w:val="28"/>
          <w:highlight w:val="none"/>
        </w:rPr>
        <w:t>月</w:t>
      </w:r>
      <w:r>
        <w:rPr>
          <w:rFonts w:hint="eastAsia" w:ascii="仿宋" w:hAnsi="仿宋" w:eastAsia="仿宋" w:cs="Calibri"/>
          <w:kern w:val="2"/>
          <w:sz w:val="28"/>
          <w:szCs w:val="28"/>
          <w:highlight w:val="none"/>
          <w:lang w:val="en-US" w:eastAsia="zh-CN"/>
        </w:rPr>
        <w:t xml:space="preserve">  </w:t>
      </w:r>
      <w:r>
        <w:rPr>
          <w:rFonts w:hint="eastAsia" w:ascii="仿宋" w:hAnsi="仿宋" w:eastAsia="仿宋" w:cs="Calibri"/>
          <w:kern w:val="2"/>
          <w:sz w:val="28"/>
          <w:szCs w:val="28"/>
          <w:highlight w:val="none"/>
        </w:rPr>
        <w:t>日</w:t>
      </w:r>
      <w:r>
        <w:rPr>
          <w:rFonts w:hint="eastAsia" w:ascii="仿宋" w:hAnsi="仿宋" w:eastAsia="仿宋" w:cs="Calibri"/>
          <w:kern w:val="2"/>
          <w:sz w:val="28"/>
          <w:szCs w:val="28"/>
          <w:highlight w:val="none"/>
          <w:lang w:val="en-US" w:eastAsia="zh-CN"/>
        </w:rPr>
        <w:t>10</w:t>
      </w:r>
      <w:r>
        <w:rPr>
          <w:rFonts w:hint="eastAsia" w:ascii="仿宋" w:hAnsi="仿宋" w:eastAsia="仿宋" w:cs="Calibri"/>
          <w:kern w:val="2"/>
          <w:sz w:val="28"/>
          <w:szCs w:val="28"/>
          <w:highlight w:val="none"/>
        </w:rPr>
        <w:t xml:space="preserve">时00分 </w:t>
      </w:r>
    </w:p>
    <w:p w14:paraId="0CE3C13F">
      <w:pPr>
        <w:spacing w:line="560" w:lineRule="exact"/>
        <w:ind w:firstLine="437"/>
        <w:rPr>
          <w:rFonts w:hint="eastAsia" w:ascii="仿宋" w:hAnsi="仿宋" w:eastAsia="仿宋" w:cs="Calibri"/>
          <w:kern w:val="2"/>
          <w:sz w:val="28"/>
          <w:szCs w:val="28"/>
          <w:highlight w:val="none"/>
        </w:rPr>
      </w:pPr>
      <w:r>
        <w:rPr>
          <w:rFonts w:hint="eastAsia" w:ascii="仿宋" w:hAnsi="仿宋" w:eastAsia="仿宋" w:cs="Calibri"/>
          <w:kern w:val="2"/>
          <w:sz w:val="28"/>
          <w:szCs w:val="28"/>
          <w:highlight w:val="none"/>
        </w:rPr>
        <w:t>8.2 开标地点：</w:t>
      </w:r>
    </w:p>
    <w:p w14:paraId="33FFF26B">
      <w:pPr>
        <w:spacing w:line="560" w:lineRule="exact"/>
        <w:ind w:firstLine="437"/>
        <w:rPr>
          <w:rFonts w:hint="eastAsia" w:ascii="仿宋" w:hAnsi="仿宋" w:eastAsia="仿宋" w:cs="Calibri"/>
          <w:kern w:val="2"/>
          <w:sz w:val="28"/>
          <w:szCs w:val="28"/>
          <w:highlight w:val="none"/>
        </w:rPr>
      </w:pPr>
      <w:r>
        <w:rPr>
          <w:rFonts w:hint="eastAsia" w:ascii="MS Mincho" w:hAnsi="MS Mincho" w:eastAsia="MS Mincho" w:cs="MS Mincho"/>
          <w:kern w:val="2"/>
          <w:sz w:val="28"/>
          <w:szCs w:val="28"/>
          <w:highlight w:val="none"/>
        </w:rPr>
        <w:t>☑</w:t>
      </w:r>
      <w:r>
        <w:rPr>
          <w:rFonts w:ascii="仿宋" w:hAnsi="仿宋" w:eastAsia="仿宋" w:cs="Calibri"/>
          <w:kern w:val="2"/>
          <w:sz w:val="28"/>
          <w:szCs w:val="28"/>
          <w:highlight w:val="none"/>
        </w:rPr>
        <w:t xml:space="preserve"> </w:t>
      </w:r>
      <w:r>
        <w:rPr>
          <w:rFonts w:hint="eastAsia" w:ascii="仿宋" w:hAnsi="仿宋" w:eastAsia="仿宋" w:cs="Calibri"/>
          <w:kern w:val="2"/>
          <w:sz w:val="28"/>
          <w:szCs w:val="28"/>
          <w:highlight w:val="none"/>
        </w:rPr>
        <w:t>合肥市肥东县店埠镇深秀路</w:t>
      </w:r>
      <w:r>
        <w:rPr>
          <w:rFonts w:ascii="仿宋" w:hAnsi="仿宋" w:eastAsia="仿宋" w:cs="Calibri"/>
          <w:kern w:val="2"/>
          <w:sz w:val="28"/>
          <w:szCs w:val="28"/>
          <w:highlight w:val="none"/>
        </w:rPr>
        <w:t>2</w:t>
      </w:r>
      <w:r>
        <w:rPr>
          <w:rFonts w:hint="eastAsia" w:ascii="仿宋" w:hAnsi="仿宋" w:eastAsia="仿宋" w:cs="Calibri"/>
          <w:kern w:val="2"/>
          <w:sz w:val="28"/>
          <w:szCs w:val="28"/>
          <w:highlight w:val="none"/>
        </w:rPr>
        <w:t>号肥东政务服务中心四楼</w:t>
      </w:r>
      <w:r>
        <w:rPr>
          <w:rFonts w:ascii="仿宋" w:hAnsi="仿宋" w:eastAsia="仿宋" w:cs="Calibri"/>
          <w:kern w:val="2"/>
          <w:sz w:val="28"/>
          <w:szCs w:val="28"/>
          <w:highlight w:val="none"/>
        </w:rPr>
        <w:t>C</w:t>
      </w:r>
      <w:r>
        <w:rPr>
          <w:rFonts w:hint="eastAsia" w:ascii="仿宋" w:hAnsi="仿宋" w:eastAsia="仿宋" w:cs="Calibri"/>
          <w:kern w:val="2"/>
          <w:sz w:val="28"/>
          <w:szCs w:val="28"/>
          <w:highlight w:val="none"/>
        </w:rPr>
        <w:t>区</w:t>
      </w:r>
      <w:r>
        <w:rPr>
          <w:rFonts w:hint="eastAsia" w:ascii="仿宋" w:hAnsi="仿宋" w:eastAsia="仿宋" w:cs="Calibri"/>
          <w:kern w:val="2"/>
          <w:sz w:val="28"/>
          <w:szCs w:val="28"/>
          <w:highlight w:val="none"/>
          <w:lang w:val="en-US" w:eastAsia="zh-CN"/>
        </w:rPr>
        <w:t>3</w:t>
      </w:r>
      <w:r>
        <w:rPr>
          <w:rFonts w:hint="eastAsia" w:ascii="仿宋" w:hAnsi="仿宋" w:eastAsia="仿宋" w:cs="Calibri"/>
          <w:kern w:val="2"/>
          <w:sz w:val="28"/>
          <w:szCs w:val="28"/>
          <w:highlight w:val="none"/>
        </w:rPr>
        <w:t>号开标室</w:t>
      </w:r>
    </w:p>
    <w:p w14:paraId="0F49FCC0">
      <w:pPr>
        <w:spacing w:line="560" w:lineRule="exact"/>
        <w:ind w:firstLine="560" w:firstLineChars="200"/>
        <w:rPr>
          <w:rFonts w:ascii="仿宋" w:hAnsi="仿宋" w:eastAsia="仿宋" w:cs="宋体"/>
          <w:bCs/>
          <w:snapToGrid w:val="0"/>
          <w:sz w:val="28"/>
          <w:szCs w:val="28"/>
          <w:highlight w:val="none"/>
        </w:rPr>
      </w:pPr>
      <w:r>
        <w:rPr>
          <w:rFonts w:hint="eastAsia" w:ascii="MS Mincho" w:hAnsi="MS Mincho" w:eastAsia="MS Mincho" w:cs="MS Mincho"/>
          <w:kern w:val="2"/>
          <w:sz w:val="28"/>
          <w:szCs w:val="28"/>
          <w:highlight w:val="none"/>
        </w:rPr>
        <w:t>☑</w:t>
      </w:r>
      <w:r>
        <w:rPr>
          <w:rFonts w:ascii="仿宋" w:hAnsi="仿宋" w:eastAsia="仿宋" w:cs="Calibri"/>
          <w:kern w:val="2"/>
          <w:sz w:val="28"/>
          <w:szCs w:val="28"/>
          <w:highlight w:val="none"/>
        </w:rPr>
        <w:t xml:space="preserve"> </w:t>
      </w:r>
      <w:r>
        <w:rPr>
          <w:rFonts w:hint="eastAsia" w:ascii="仿宋" w:hAnsi="仿宋" w:eastAsia="仿宋" w:cs="Calibri"/>
          <w:kern w:val="2"/>
          <w:sz w:val="28"/>
          <w:szCs w:val="28"/>
          <w:highlight w:val="none"/>
        </w:rPr>
        <w:t>本招标项目采用“</w:t>
      </w:r>
      <w:r>
        <w:rPr>
          <w:rFonts w:hint="eastAsia" w:ascii="仿宋" w:hAnsi="仿宋" w:eastAsia="仿宋" w:cs="Times New Roman"/>
          <w:sz w:val="28"/>
          <w:szCs w:val="28"/>
          <w:highlight w:val="none"/>
        </w:rPr>
        <w:t>不见面云上开标大厅</w:t>
      </w:r>
      <w:r>
        <w:rPr>
          <w:rFonts w:hint="eastAsia" w:ascii="仿宋" w:hAnsi="仿宋" w:eastAsia="仿宋" w:cs="Calibri"/>
          <w:kern w:val="2"/>
          <w:sz w:val="28"/>
          <w:szCs w:val="28"/>
          <w:highlight w:val="none"/>
        </w:rPr>
        <w:t>”方式开标</w:t>
      </w:r>
    </w:p>
    <w:p w14:paraId="5A01CB64">
      <w:pPr>
        <w:spacing w:line="560" w:lineRule="exact"/>
        <w:outlineLvl w:val="1"/>
        <w:rPr>
          <w:rFonts w:ascii="黑体" w:hAnsi="黑体" w:eastAsia="黑体"/>
          <w:sz w:val="28"/>
          <w:szCs w:val="28"/>
          <w:highlight w:val="none"/>
        </w:rPr>
      </w:pPr>
      <w:bookmarkStart w:id="69" w:name="_Toc13767"/>
      <w:bookmarkStart w:id="70" w:name="_Toc28548"/>
      <w:bookmarkStart w:id="71" w:name="_Toc15010"/>
      <w:bookmarkStart w:id="72" w:name="_Toc5604"/>
      <w:bookmarkStart w:id="73" w:name="_Toc262"/>
      <w:bookmarkStart w:id="74" w:name="_Toc734"/>
      <w:bookmarkStart w:id="75" w:name="_Toc140069390"/>
      <w:r>
        <w:rPr>
          <w:rFonts w:hint="eastAsia" w:ascii="黑体" w:hAnsi="黑体" w:eastAsia="黑体"/>
          <w:sz w:val="28"/>
          <w:szCs w:val="28"/>
          <w:highlight w:val="none"/>
        </w:rPr>
        <w:t>9.招标文件的异议</w:t>
      </w:r>
      <w:bookmarkEnd w:id="69"/>
      <w:bookmarkEnd w:id="70"/>
      <w:bookmarkEnd w:id="71"/>
      <w:bookmarkEnd w:id="72"/>
      <w:r>
        <w:rPr>
          <w:rFonts w:hint="eastAsia" w:ascii="黑体" w:hAnsi="黑体" w:eastAsia="黑体"/>
          <w:sz w:val="28"/>
          <w:szCs w:val="28"/>
          <w:highlight w:val="none"/>
        </w:rPr>
        <w:t>、投诉</w:t>
      </w:r>
      <w:bookmarkEnd w:id="73"/>
      <w:bookmarkEnd w:id="74"/>
      <w:bookmarkEnd w:id="75"/>
    </w:p>
    <w:p w14:paraId="66D8137A">
      <w:pPr>
        <w:spacing w:line="560" w:lineRule="exact"/>
        <w:ind w:firstLine="560" w:firstLineChars="200"/>
        <w:rPr>
          <w:rFonts w:ascii="仿宋" w:hAnsi="仿宋" w:eastAsia="仿宋" w:cs="楷体"/>
          <w:bCs/>
          <w:snapToGrid w:val="0"/>
          <w:sz w:val="28"/>
          <w:szCs w:val="28"/>
          <w:highlight w:val="none"/>
        </w:rPr>
      </w:pPr>
      <w:r>
        <w:rPr>
          <w:rFonts w:hint="eastAsia" w:ascii="仿宋" w:hAnsi="仿宋" w:eastAsia="仿宋" w:cs="楷体"/>
          <w:bCs/>
          <w:snapToGrid w:val="0"/>
          <w:sz w:val="28"/>
          <w:szCs w:val="28"/>
          <w:highlight w:val="none"/>
        </w:rPr>
        <w:t>9.1投标人或者其他利害关系人对招标文件有异议的，应当在规定时间通过电子交易系统在线提出或以其他书面形式提出。</w:t>
      </w:r>
    </w:p>
    <w:p w14:paraId="5403F2B0">
      <w:pPr>
        <w:spacing w:line="560" w:lineRule="exact"/>
        <w:ind w:firstLine="560" w:firstLineChars="200"/>
        <w:rPr>
          <w:rFonts w:ascii="仿宋" w:hAnsi="仿宋" w:eastAsia="仿宋" w:cs="楷体"/>
          <w:bCs/>
          <w:snapToGrid w:val="0"/>
          <w:sz w:val="28"/>
          <w:szCs w:val="28"/>
          <w:highlight w:val="none"/>
        </w:rPr>
      </w:pPr>
      <w:r>
        <w:rPr>
          <w:rFonts w:hint="eastAsia" w:ascii="仿宋" w:hAnsi="仿宋" w:eastAsia="仿宋" w:cs="楷体"/>
          <w:bCs/>
          <w:snapToGrid w:val="0"/>
          <w:sz w:val="28"/>
          <w:szCs w:val="28"/>
          <w:highlight w:val="none"/>
        </w:rPr>
        <w:t>9.2投标人或者其他利害关系人对招标人、招标代理机构的答复不满意，或者招标人、招标代理机构未在规定时间内作出答复的，可以在规定时间内通过网上投诉系统或以其他书面形式向监管部门提出投诉。</w:t>
      </w:r>
    </w:p>
    <w:p w14:paraId="088BBF01">
      <w:pPr>
        <w:spacing w:line="560" w:lineRule="exact"/>
        <w:ind w:firstLine="560" w:firstLineChars="200"/>
        <w:rPr>
          <w:rFonts w:ascii="仿宋" w:hAnsi="仿宋" w:eastAsia="仿宋" w:cs="楷体"/>
          <w:bCs/>
          <w:snapToGrid w:val="0"/>
          <w:sz w:val="28"/>
          <w:szCs w:val="28"/>
          <w:highlight w:val="none"/>
        </w:rPr>
      </w:pPr>
      <w:r>
        <w:rPr>
          <w:rFonts w:hint="eastAsia" w:ascii="仿宋" w:hAnsi="仿宋" w:eastAsia="仿宋" w:cs="楷体"/>
          <w:bCs/>
          <w:snapToGrid w:val="0"/>
          <w:sz w:val="28"/>
          <w:szCs w:val="28"/>
          <w:highlight w:val="none"/>
        </w:rPr>
        <w:t>9.3受理异议的联系人和联系方式见招标公告11.1和11.2。</w:t>
      </w:r>
    </w:p>
    <w:p w14:paraId="594ECC3A">
      <w:pPr>
        <w:spacing w:line="560" w:lineRule="exact"/>
        <w:outlineLvl w:val="1"/>
        <w:rPr>
          <w:rFonts w:ascii="黑体" w:hAnsi="黑体" w:eastAsia="黑体"/>
          <w:sz w:val="28"/>
          <w:szCs w:val="28"/>
          <w:highlight w:val="none"/>
        </w:rPr>
      </w:pPr>
      <w:bookmarkStart w:id="76" w:name="_Toc29144"/>
      <w:bookmarkStart w:id="77" w:name="_Toc93"/>
      <w:bookmarkStart w:id="78" w:name="_Toc8395"/>
      <w:bookmarkStart w:id="79" w:name="_Toc6145"/>
      <w:bookmarkStart w:id="80" w:name="_Toc10280"/>
      <w:bookmarkStart w:id="81" w:name="_Toc1330"/>
      <w:bookmarkStart w:id="82" w:name="_Toc140069391"/>
      <w:r>
        <w:rPr>
          <w:rFonts w:hint="eastAsia" w:ascii="黑体" w:hAnsi="黑体" w:eastAsia="黑体"/>
          <w:sz w:val="28"/>
          <w:szCs w:val="28"/>
          <w:highlight w:val="none"/>
        </w:rPr>
        <w:t>10.发布公告的媒介</w:t>
      </w:r>
      <w:bookmarkEnd w:id="76"/>
      <w:bookmarkEnd w:id="77"/>
      <w:bookmarkEnd w:id="78"/>
      <w:bookmarkEnd w:id="79"/>
      <w:bookmarkEnd w:id="80"/>
      <w:bookmarkEnd w:id="81"/>
      <w:bookmarkEnd w:id="82"/>
    </w:p>
    <w:p w14:paraId="59960D7A">
      <w:pPr>
        <w:spacing w:line="560" w:lineRule="exact"/>
        <w:ind w:firstLine="560" w:firstLineChars="200"/>
        <w:outlineLvl w:val="1"/>
        <w:rPr>
          <w:rFonts w:ascii="仿宋" w:hAnsi="仿宋" w:eastAsia="仿宋"/>
          <w:sz w:val="28"/>
          <w:szCs w:val="28"/>
          <w:highlight w:val="none"/>
        </w:rPr>
      </w:pPr>
      <w:bookmarkStart w:id="83" w:name="_Toc10538"/>
      <w:bookmarkStart w:id="84" w:name="_Toc140069392"/>
      <w:bookmarkStart w:id="85" w:name="_Toc22782"/>
      <w:bookmarkStart w:id="86" w:name="_Toc1444"/>
      <w:bookmarkStart w:id="87" w:name="_Toc16920"/>
      <w:bookmarkStart w:id="88" w:name="_Toc3970"/>
      <w:bookmarkStart w:id="89" w:name="_Toc29323"/>
      <w:r>
        <w:rPr>
          <w:rFonts w:hint="eastAsia" w:ascii="仿宋" w:hAnsi="仿宋" w:eastAsia="仿宋"/>
          <w:sz w:val="28"/>
          <w:szCs w:val="28"/>
          <w:highlight w:val="none"/>
        </w:rPr>
        <w:t>本次招标公告在安徽合肥公共资源交易中心网站、安徽省公共资源交易监管网、全国公共资源交易平台上发布。</w:t>
      </w:r>
      <w:bookmarkEnd w:id="83"/>
      <w:bookmarkEnd w:id="84"/>
      <w:bookmarkEnd w:id="85"/>
    </w:p>
    <w:bookmarkEnd w:id="86"/>
    <w:bookmarkEnd w:id="87"/>
    <w:bookmarkEnd w:id="88"/>
    <w:bookmarkEnd w:id="89"/>
    <w:p w14:paraId="79158AE8">
      <w:pPr>
        <w:spacing w:line="560" w:lineRule="exact"/>
        <w:outlineLvl w:val="1"/>
        <w:rPr>
          <w:rFonts w:hint="eastAsia" w:ascii="黑体" w:hAnsi="黑体" w:eastAsia="黑体"/>
          <w:sz w:val="28"/>
          <w:szCs w:val="28"/>
          <w:highlight w:val="none"/>
        </w:rPr>
      </w:pPr>
      <w:bookmarkStart w:id="90" w:name="_Toc13588"/>
      <w:bookmarkStart w:id="91" w:name="_Toc10221"/>
      <w:bookmarkStart w:id="92" w:name="_Toc7320"/>
      <w:r>
        <w:rPr>
          <w:rFonts w:hint="eastAsia" w:ascii="黑体" w:hAnsi="黑体" w:eastAsia="黑体"/>
          <w:sz w:val="28"/>
          <w:szCs w:val="28"/>
          <w:highlight w:val="none"/>
        </w:rPr>
        <w:t>11.联系方式</w:t>
      </w:r>
      <w:bookmarkEnd w:id="90"/>
      <w:bookmarkEnd w:id="91"/>
      <w:bookmarkEnd w:id="92"/>
    </w:p>
    <w:p w14:paraId="3433226C">
      <w:pPr>
        <w:spacing w:line="560" w:lineRule="exact"/>
        <w:ind w:firstLine="437"/>
        <w:rPr>
          <w:rFonts w:ascii="仿宋" w:hAnsi="仿宋" w:eastAsia="仿宋" w:cs="Calibri"/>
          <w:kern w:val="2"/>
          <w:sz w:val="28"/>
          <w:szCs w:val="28"/>
          <w:highlight w:val="none"/>
        </w:rPr>
      </w:pPr>
      <w:r>
        <w:rPr>
          <w:rFonts w:hint="eastAsia" w:ascii="仿宋" w:hAnsi="仿宋" w:eastAsia="仿宋" w:cs="Calibri"/>
          <w:kern w:val="2"/>
          <w:sz w:val="28"/>
          <w:szCs w:val="28"/>
          <w:highlight w:val="none"/>
        </w:rPr>
        <w:t>11.1 招标人</w:t>
      </w:r>
    </w:p>
    <w:p w14:paraId="3567093D">
      <w:pPr>
        <w:spacing w:line="560" w:lineRule="exact"/>
        <w:ind w:firstLine="437"/>
        <w:rPr>
          <w:rFonts w:hint="eastAsia" w:ascii="仿宋" w:hAnsi="仿宋" w:eastAsia="仿宋" w:cs="Calibri"/>
          <w:kern w:val="2"/>
          <w:sz w:val="28"/>
          <w:szCs w:val="28"/>
          <w:highlight w:val="none"/>
          <w:lang w:eastAsia="zh-CN"/>
        </w:rPr>
      </w:pPr>
      <w:r>
        <w:rPr>
          <w:rFonts w:hint="eastAsia" w:ascii="仿宋" w:hAnsi="仿宋" w:eastAsia="仿宋" w:cs="Calibri"/>
          <w:kern w:val="2"/>
          <w:sz w:val="28"/>
          <w:szCs w:val="28"/>
          <w:highlight w:val="none"/>
        </w:rPr>
        <w:t>招 标 人：</w:t>
      </w:r>
      <w:r>
        <w:rPr>
          <w:rFonts w:hint="eastAsia" w:ascii="仿宋" w:hAnsi="仿宋" w:eastAsia="仿宋" w:cs="宋体"/>
          <w:sz w:val="28"/>
          <w:szCs w:val="28"/>
          <w:highlight w:val="none"/>
          <w:lang w:eastAsia="zh-CN"/>
        </w:rPr>
        <w:t>肥东县梁园镇中心卫生院（肥东县第七人民医院）</w:t>
      </w:r>
    </w:p>
    <w:p w14:paraId="4AA7C4C5">
      <w:pPr>
        <w:spacing w:line="560" w:lineRule="exact"/>
        <w:ind w:firstLine="437"/>
        <w:rPr>
          <w:rFonts w:hint="default" w:ascii="仿宋" w:hAnsi="仿宋" w:eastAsia="仿宋" w:cs="Calibri"/>
          <w:kern w:val="2"/>
          <w:sz w:val="28"/>
          <w:szCs w:val="28"/>
          <w:highlight w:val="none"/>
          <w:lang w:val="en-US" w:eastAsia="zh-CN"/>
        </w:rPr>
      </w:pPr>
      <w:r>
        <w:rPr>
          <w:rFonts w:hint="eastAsia" w:ascii="仿宋" w:hAnsi="仿宋" w:eastAsia="仿宋" w:cs="Calibri"/>
          <w:kern w:val="2"/>
          <w:sz w:val="28"/>
          <w:szCs w:val="28"/>
          <w:highlight w:val="none"/>
        </w:rPr>
        <w:t>地    址：</w:t>
      </w:r>
      <w:r>
        <w:rPr>
          <w:rFonts w:hint="eastAsia" w:ascii="仿宋" w:hAnsi="仿宋" w:eastAsia="仿宋" w:cs="Calibri"/>
          <w:kern w:val="2"/>
          <w:sz w:val="28"/>
          <w:szCs w:val="28"/>
          <w:highlight w:val="none"/>
          <w:lang w:val="en-US" w:eastAsia="zh-CN"/>
        </w:rPr>
        <w:t>安徽省</w:t>
      </w:r>
      <w:r>
        <w:rPr>
          <w:rFonts w:hint="eastAsia" w:ascii="仿宋" w:hAnsi="仿宋" w:eastAsia="仿宋" w:cs="Calibri"/>
          <w:kern w:val="2"/>
          <w:sz w:val="28"/>
          <w:szCs w:val="28"/>
          <w:highlight w:val="none"/>
        </w:rPr>
        <w:t>合肥市肥东县</w:t>
      </w:r>
      <w:r>
        <w:rPr>
          <w:rFonts w:hint="eastAsia" w:ascii="仿宋" w:hAnsi="仿宋" w:eastAsia="仿宋" w:cs="Calibri"/>
          <w:kern w:val="2"/>
          <w:sz w:val="28"/>
          <w:szCs w:val="28"/>
          <w:highlight w:val="none"/>
          <w:lang w:val="en-US" w:eastAsia="zh-CN"/>
        </w:rPr>
        <w:t>店埠镇撮镇路95号</w:t>
      </w:r>
    </w:p>
    <w:p w14:paraId="6A9B2077">
      <w:pPr>
        <w:spacing w:line="560" w:lineRule="exact"/>
        <w:ind w:firstLine="437"/>
        <w:rPr>
          <w:rFonts w:ascii="仿宋" w:hAnsi="仿宋" w:eastAsia="仿宋" w:cs="Calibri"/>
          <w:kern w:val="2"/>
          <w:sz w:val="28"/>
          <w:szCs w:val="28"/>
          <w:highlight w:val="none"/>
        </w:rPr>
      </w:pPr>
      <w:r>
        <w:rPr>
          <w:rFonts w:hint="eastAsia" w:ascii="仿宋" w:hAnsi="仿宋" w:eastAsia="仿宋" w:cs="Calibri"/>
          <w:kern w:val="2"/>
          <w:sz w:val="28"/>
          <w:szCs w:val="28"/>
          <w:highlight w:val="none"/>
        </w:rPr>
        <w:t>邮    编：231600</w:t>
      </w:r>
    </w:p>
    <w:p w14:paraId="2A62A3BF">
      <w:pPr>
        <w:spacing w:line="560" w:lineRule="exact"/>
        <w:ind w:firstLine="437"/>
        <w:rPr>
          <w:rFonts w:hint="eastAsia" w:ascii="仿宋" w:hAnsi="仿宋" w:eastAsia="仿宋" w:cs="Calibri"/>
          <w:kern w:val="2"/>
          <w:sz w:val="28"/>
          <w:szCs w:val="28"/>
          <w:highlight w:val="none"/>
          <w:lang w:eastAsia="zh-CN"/>
        </w:rPr>
      </w:pPr>
      <w:r>
        <w:rPr>
          <w:rFonts w:hint="eastAsia" w:ascii="仿宋" w:hAnsi="仿宋" w:eastAsia="仿宋" w:cs="Calibri"/>
          <w:kern w:val="2"/>
          <w:sz w:val="28"/>
          <w:szCs w:val="28"/>
          <w:highlight w:val="none"/>
        </w:rPr>
        <w:t>联 系 人：</w:t>
      </w:r>
      <w:r>
        <w:rPr>
          <w:rFonts w:hint="eastAsia" w:ascii="仿宋" w:hAnsi="仿宋" w:eastAsia="仿宋" w:cs="Calibri"/>
          <w:kern w:val="2"/>
          <w:sz w:val="28"/>
          <w:szCs w:val="28"/>
          <w:highlight w:val="none"/>
          <w:lang w:val="en-US" w:eastAsia="zh-CN"/>
        </w:rPr>
        <w:t>沙志坚</w:t>
      </w:r>
    </w:p>
    <w:p w14:paraId="42F2A37C">
      <w:pPr>
        <w:spacing w:line="560" w:lineRule="exact"/>
        <w:ind w:firstLine="437"/>
        <w:rPr>
          <w:rFonts w:hint="default" w:ascii="仿宋" w:hAnsi="仿宋" w:eastAsia="仿宋" w:cs="Calibri"/>
          <w:kern w:val="2"/>
          <w:sz w:val="28"/>
          <w:szCs w:val="28"/>
          <w:highlight w:val="none"/>
          <w:lang w:val="en-US" w:eastAsia="zh-CN"/>
        </w:rPr>
      </w:pPr>
      <w:r>
        <w:rPr>
          <w:rFonts w:hint="eastAsia" w:ascii="仿宋" w:hAnsi="仿宋" w:eastAsia="仿宋" w:cs="Calibri"/>
          <w:kern w:val="2"/>
          <w:sz w:val="28"/>
          <w:szCs w:val="28"/>
          <w:highlight w:val="none"/>
        </w:rPr>
        <w:t>电    话：0551-</w:t>
      </w:r>
      <w:r>
        <w:rPr>
          <w:rFonts w:hint="eastAsia" w:ascii="仿宋" w:hAnsi="仿宋" w:eastAsia="仿宋" w:cs="Calibri"/>
          <w:kern w:val="2"/>
          <w:sz w:val="28"/>
          <w:szCs w:val="28"/>
          <w:highlight w:val="none"/>
          <w:lang w:val="en-US" w:eastAsia="zh-CN"/>
        </w:rPr>
        <w:t>67708933</w:t>
      </w:r>
    </w:p>
    <w:p w14:paraId="266A711E">
      <w:pPr>
        <w:spacing w:line="560" w:lineRule="exact"/>
        <w:ind w:firstLine="437"/>
        <w:rPr>
          <w:rFonts w:ascii="仿宋" w:hAnsi="仿宋" w:eastAsia="仿宋" w:cs="Calibri"/>
          <w:kern w:val="2"/>
          <w:sz w:val="28"/>
          <w:szCs w:val="28"/>
          <w:highlight w:val="none"/>
        </w:rPr>
      </w:pPr>
      <w:r>
        <w:rPr>
          <w:rFonts w:hint="eastAsia" w:ascii="仿宋" w:hAnsi="仿宋" w:eastAsia="仿宋" w:cs="Calibri"/>
          <w:kern w:val="2"/>
          <w:sz w:val="28"/>
          <w:szCs w:val="28"/>
          <w:highlight w:val="none"/>
        </w:rPr>
        <w:t>11.2 招标代理机构</w:t>
      </w:r>
    </w:p>
    <w:p w14:paraId="46CEDB16">
      <w:pPr>
        <w:spacing w:line="560" w:lineRule="exact"/>
        <w:ind w:firstLine="437"/>
        <w:rPr>
          <w:rFonts w:ascii="仿宋" w:hAnsi="仿宋" w:eastAsia="仿宋" w:cs="Calibri"/>
          <w:kern w:val="2"/>
          <w:sz w:val="28"/>
          <w:szCs w:val="28"/>
          <w:highlight w:val="none"/>
        </w:rPr>
      </w:pPr>
      <w:r>
        <w:rPr>
          <w:rFonts w:hint="eastAsia" w:ascii="仿宋" w:hAnsi="仿宋" w:eastAsia="仿宋" w:cs="Calibri"/>
          <w:kern w:val="2"/>
          <w:sz w:val="28"/>
          <w:szCs w:val="28"/>
          <w:highlight w:val="none"/>
        </w:rPr>
        <w:t>招标代理机构：肥东县公共资源交易有限公司</w:t>
      </w:r>
    </w:p>
    <w:p w14:paraId="35D82419">
      <w:pPr>
        <w:spacing w:line="560" w:lineRule="exact"/>
        <w:ind w:firstLine="437"/>
        <w:rPr>
          <w:rFonts w:ascii="仿宋" w:hAnsi="仿宋" w:eastAsia="仿宋" w:cs="Calibri"/>
          <w:kern w:val="2"/>
          <w:sz w:val="28"/>
          <w:szCs w:val="28"/>
          <w:highlight w:val="none"/>
        </w:rPr>
      </w:pPr>
      <w:r>
        <w:rPr>
          <w:rFonts w:hint="eastAsia" w:ascii="仿宋" w:hAnsi="仿宋" w:eastAsia="仿宋" w:cs="Calibri"/>
          <w:kern w:val="2"/>
          <w:sz w:val="28"/>
          <w:szCs w:val="28"/>
          <w:highlight w:val="none"/>
        </w:rPr>
        <w:t>地    址：</w:t>
      </w:r>
      <w:r>
        <w:rPr>
          <w:rFonts w:hint="eastAsia" w:ascii="仿宋" w:hAnsi="仿宋" w:eastAsia="仿宋" w:cs="Calibri"/>
          <w:kern w:val="2"/>
          <w:sz w:val="28"/>
          <w:szCs w:val="28"/>
          <w:highlight w:val="none"/>
          <w:lang w:val="en-US" w:eastAsia="zh-CN"/>
        </w:rPr>
        <w:t>安徽省</w:t>
      </w:r>
      <w:r>
        <w:rPr>
          <w:rFonts w:hint="eastAsia" w:ascii="仿宋" w:hAnsi="仿宋" w:eastAsia="仿宋" w:cs="Calibri"/>
          <w:kern w:val="2"/>
          <w:sz w:val="28"/>
          <w:szCs w:val="28"/>
          <w:highlight w:val="none"/>
        </w:rPr>
        <w:t>合肥市肥东县店埠镇深秀路2号肥东县政务服务中心四楼B区</w:t>
      </w:r>
    </w:p>
    <w:p w14:paraId="74E97E52">
      <w:pPr>
        <w:spacing w:line="560" w:lineRule="exact"/>
        <w:ind w:firstLine="437"/>
        <w:rPr>
          <w:rFonts w:ascii="仿宋" w:hAnsi="仿宋" w:eastAsia="仿宋" w:cs="Calibri"/>
          <w:kern w:val="2"/>
          <w:sz w:val="28"/>
          <w:szCs w:val="28"/>
          <w:highlight w:val="none"/>
        </w:rPr>
      </w:pPr>
      <w:r>
        <w:rPr>
          <w:rFonts w:hint="eastAsia" w:ascii="仿宋" w:hAnsi="仿宋" w:eastAsia="仿宋" w:cs="Calibri"/>
          <w:kern w:val="2"/>
          <w:sz w:val="28"/>
          <w:szCs w:val="28"/>
          <w:highlight w:val="none"/>
        </w:rPr>
        <w:t>邮    编：231600</w:t>
      </w:r>
    </w:p>
    <w:p w14:paraId="5AC0CB39">
      <w:pPr>
        <w:spacing w:line="560" w:lineRule="exact"/>
        <w:ind w:firstLine="437"/>
        <w:rPr>
          <w:rFonts w:hint="eastAsia" w:ascii="仿宋" w:hAnsi="仿宋" w:eastAsia="仿宋" w:cs="Calibri"/>
          <w:kern w:val="2"/>
          <w:sz w:val="28"/>
          <w:szCs w:val="28"/>
          <w:highlight w:val="none"/>
          <w:lang w:eastAsia="zh-CN"/>
        </w:rPr>
      </w:pPr>
      <w:r>
        <w:rPr>
          <w:rFonts w:hint="eastAsia" w:ascii="仿宋" w:hAnsi="仿宋" w:eastAsia="仿宋" w:cs="Calibri"/>
          <w:kern w:val="2"/>
          <w:sz w:val="28"/>
          <w:szCs w:val="28"/>
          <w:highlight w:val="none"/>
        </w:rPr>
        <w:t>联 系 人：</w:t>
      </w:r>
      <w:r>
        <w:rPr>
          <w:rFonts w:hint="eastAsia" w:ascii="仿宋" w:hAnsi="仿宋" w:eastAsia="仿宋" w:cs="Calibri"/>
          <w:kern w:val="2"/>
          <w:sz w:val="28"/>
          <w:szCs w:val="28"/>
          <w:highlight w:val="none"/>
          <w:lang w:val="en-US" w:eastAsia="zh-CN"/>
        </w:rPr>
        <w:t>方工</w:t>
      </w:r>
    </w:p>
    <w:p w14:paraId="48DAF76F">
      <w:pPr>
        <w:spacing w:line="560" w:lineRule="exact"/>
        <w:ind w:firstLine="437"/>
        <w:rPr>
          <w:rFonts w:hint="default" w:ascii="仿宋" w:hAnsi="仿宋" w:eastAsia="仿宋" w:cs="Calibri"/>
          <w:kern w:val="2"/>
          <w:sz w:val="28"/>
          <w:szCs w:val="28"/>
          <w:highlight w:val="none"/>
          <w:lang w:val="en-US" w:eastAsia="zh-CN"/>
        </w:rPr>
      </w:pPr>
      <w:r>
        <w:rPr>
          <w:rFonts w:hint="eastAsia" w:ascii="仿宋" w:hAnsi="仿宋" w:eastAsia="仿宋" w:cs="Calibri"/>
          <w:kern w:val="2"/>
          <w:sz w:val="28"/>
          <w:szCs w:val="28"/>
          <w:highlight w:val="none"/>
        </w:rPr>
        <w:t>电    话：0551-677587</w:t>
      </w:r>
      <w:r>
        <w:rPr>
          <w:rFonts w:hint="eastAsia" w:ascii="仿宋" w:hAnsi="仿宋" w:eastAsia="仿宋" w:cs="Calibri"/>
          <w:kern w:val="2"/>
          <w:sz w:val="28"/>
          <w:szCs w:val="28"/>
          <w:highlight w:val="none"/>
          <w:lang w:val="en-US" w:eastAsia="zh-CN"/>
        </w:rPr>
        <w:t>93</w:t>
      </w:r>
    </w:p>
    <w:p w14:paraId="58047182">
      <w:pPr>
        <w:spacing w:line="560" w:lineRule="exact"/>
        <w:ind w:firstLine="437"/>
        <w:rPr>
          <w:rFonts w:hint="eastAsia" w:ascii="仿宋" w:hAnsi="仿宋" w:eastAsia="仿宋" w:cs="Calibri"/>
          <w:kern w:val="2"/>
          <w:sz w:val="28"/>
          <w:szCs w:val="28"/>
          <w:highlight w:val="none"/>
        </w:rPr>
      </w:pPr>
      <w:r>
        <w:rPr>
          <w:rFonts w:hint="eastAsia" w:ascii="仿宋" w:hAnsi="仿宋" w:eastAsia="仿宋" w:cs="Calibri"/>
          <w:kern w:val="2"/>
          <w:sz w:val="28"/>
          <w:szCs w:val="28"/>
          <w:highlight w:val="none"/>
        </w:rPr>
        <w:t xml:space="preserve">11.3电子交易系统 </w:t>
      </w:r>
    </w:p>
    <w:p w14:paraId="44C83E2D">
      <w:pPr>
        <w:spacing w:line="560" w:lineRule="exact"/>
        <w:ind w:firstLine="437"/>
        <w:rPr>
          <w:rFonts w:hint="eastAsia" w:ascii="仿宋" w:hAnsi="仿宋" w:eastAsia="仿宋" w:cs="Calibri"/>
          <w:kern w:val="2"/>
          <w:sz w:val="28"/>
          <w:szCs w:val="28"/>
          <w:highlight w:val="none"/>
        </w:rPr>
      </w:pPr>
      <w:r>
        <w:rPr>
          <w:rFonts w:hint="eastAsia" w:ascii="仿宋" w:hAnsi="仿宋" w:eastAsia="仿宋" w:cs="Calibri"/>
          <w:kern w:val="2"/>
          <w:sz w:val="28"/>
          <w:szCs w:val="28"/>
          <w:highlight w:val="none"/>
        </w:rPr>
        <w:t xml:space="preserve">电子交易系统名称：安徽合肥公共资源交易中心电子交易系统【新版】（https://jyxt.hfztb.cn/sso/） </w:t>
      </w:r>
    </w:p>
    <w:p w14:paraId="19F487A7">
      <w:pPr>
        <w:spacing w:line="560" w:lineRule="exact"/>
        <w:ind w:firstLine="437"/>
        <w:rPr>
          <w:rFonts w:hint="eastAsia" w:ascii="仿宋" w:hAnsi="仿宋" w:eastAsia="仿宋" w:cs="Calibri"/>
          <w:kern w:val="2"/>
          <w:sz w:val="28"/>
          <w:szCs w:val="28"/>
          <w:highlight w:val="none"/>
        </w:rPr>
      </w:pPr>
      <w:r>
        <w:rPr>
          <w:rFonts w:hint="eastAsia" w:ascii="仿宋" w:hAnsi="仿宋" w:eastAsia="仿宋" w:cs="Calibri"/>
          <w:kern w:val="2"/>
          <w:sz w:val="28"/>
          <w:szCs w:val="28"/>
          <w:highlight w:val="none"/>
        </w:rPr>
        <w:t xml:space="preserve">电子交易系统电话：0551-66223900，0551-66223899 </w:t>
      </w:r>
    </w:p>
    <w:p w14:paraId="43361886">
      <w:pPr>
        <w:spacing w:line="560" w:lineRule="exact"/>
        <w:ind w:firstLine="437"/>
        <w:rPr>
          <w:rFonts w:hint="eastAsia" w:ascii="仿宋" w:hAnsi="仿宋" w:eastAsia="仿宋" w:cs="Calibri"/>
          <w:kern w:val="2"/>
          <w:sz w:val="28"/>
          <w:szCs w:val="28"/>
          <w:highlight w:val="none"/>
        </w:rPr>
      </w:pPr>
      <w:r>
        <w:rPr>
          <w:rFonts w:hint="eastAsia" w:ascii="仿宋" w:hAnsi="仿宋" w:eastAsia="仿宋" w:cs="Calibri"/>
          <w:kern w:val="2"/>
          <w:sz w:val="28"/>
          <w:szCs w:val="28"/>
          <w:highlight w:val="none"/>
        </w:rPr>
        <w:t xml:space="preserve">11.4电子服务系统 </w:t>
      </w:r>
    </w:p>
    <w:p w14:paraId="1AA917EE">
      <w:pPr>
        <w:spacing w:line="560" w:lineRule="exact"/>
        <w:ind w:firstLine="437"/>
        <w:rPr>
          <w:rFonts w:hint="eastAsia" w:ascii="仿宋" w:hAnsi="仿宋" w:eastAsia="仿宋" w:cs="Calibri"/>
          <w:kern w:val="2"/>
          <w:sz w:val="28"/>
          <w:szCs w:val="28"/>
          <w:highlight w:val="none"/>
        </w:rPr>
      </w:pPr>
      <w:r>
        <w:rPr>
          <w:rFonts w:hint="eastAsia" w:ascii="仿宋" w:hAnsi="仿宋" w:eastAsia="仿宋" w:cs="Calibri"/>
          <w:kern w:val="2"/>
          <w:sz w:val="28"/>
          <w:szCs w:val="28"/>
          <w:highlight w:val="none"/>
        </w:rPr>
        <w:t>电子服务系统名称：安徽合肥公共资源交易电子服务系统</w:t>
      </w:r>
    </w:p>
    <w:p w14:paraId="7F364682">
      <w:pPr>
        <w:spacing w:line="560" w:lineRule="exact"/>
        <w:ind w:firstLine="437"/>
        <w:rPr>
          <w:rFonts w:hint="eastAsia" w:ascii="仿宋" w:hAnsi="仿宋" w:eastAsia="仿宋" w:cs="Calibri"/>
          <w:kern w:val="2"/>
          <w:sz w:val="28"/>
          <w:szCs w:val="28"/>
          <w:highlight w:val="none"/>
        </w:rPr>
      </w:pPr>
      <w:r>
        <w:rPr>
          <w:rFonts w:hint="eastAsia" w:ascii="仿宋" w:hAnsi="仿宋" w:eastAsia="仿宋" w:cs="Calibri"/>
          <w:kern w:val="2"/>
          <w:sz w:val="28"/>
          <w:szCs w:val="28"/>
          <w:highlight w:val="none"/>
        </w:rPr>
        <w:t xml:space="preserve">电子服务系统电话：0551-66223830、0512-58188516 </w:t>
      </w:r>
    </w:p>
    <w:p w14:paraId="02B02D2E">
      <w:pPr>
        <w:spacing w:line="560" w:lineRule="exact"/>
        <w:ind w:firstLine="437"/>
        <w:rPr>
          <w:rFonts w:ascii="仿宋" w:hAnsi="仿宋" w:eastAsia="仿宋" w:cs="Calibri"/>
          <w:kern w:val="2"/>
          <w:sz w:val="28"/>
          <w:szCs w:val="28"/>
          <w:highlight w:val="none"/>
        </w:rPr>
      </w:pPr>
      <w:r>
        <w:rPr>
          <w:rFonts w:hint="eastAsia" w:ascii="仿宋" w:hAnsi="仿宋" w:eastAsia="仿宋" w:cs="Calibri"/>
          <w:kern w:val="2"/>
          <w:sz w:val="28"/>
          <w:szCs w:val="28"/>
          <w:highlight w:val="none"/>
        </w:rPr>
        <w:t>11.5 公共资源交易监督管理部门</w:t>
      </w:r>
    </w:p>
    <w:p w14:paraId="5DA85611">
      <w:pPr>
        <w:spacing w:line="560" w:lineRule="exact"/>
        <w:ind w:firstLine="437"/>
        <w:rPr>
          <w:rFonts w:ascii="仿宋" w:hAnsi="仿宋" w:eastAsia="仿宋" w:cs="Calibri"/>
          <w:kern w:val="2"/>
          <w:sz w:val="28"/>
          <w:szCs w:val="28"/>
          <w:highlight w:val="none"/>
        </w:rPr>
      </w:pPr>
      <w:r>
        <w:rPr>
          <w:rFonts w:hint="eastAsia" w:ascii="仿宋" w:hAnsi="仿宋" w:eastAsia="仿宋" w:cs="Calibri"/>
          <w:kern w:val="2"/>
          <w:sz w:val="28"/>
          <w:szCs w:val="28"/>
          <w:highlight w:val="none"/>
        </w:rPr>
        <w:t>公共资源交易监督管理部门：肥东县发展和改革委员会</w:t>
      </w:r>
    </w:p>
    <w:p w14:paraId="3C9B73FF">
      <w:pPr>
        <w:spacing w:line="560" w:lineRule="exact"/>
        <w:ind w:firstLine="437"/>
        <w:rPr>
          <w:rFonts w:hint="eastAsia" w:ascii="仿宋" w:hAnsi="仿宋" w:eastAsia="仿宋" w:cs="Calibri"/>
          <w:kern w:val="2"/>
          <w:sz w:val="28"/>
          <w:szCs w:val="28"/>
          <w:highlight w:val="none"/>
        </w:rPr>
      </w:pPr>
      <w:r>
        <w:rPr>
          <w:rFonts w:hint="eastAsia" w:ascii="仿宋" w:hAnsi="仿宋" w:eastAsia="仿宋" w:cs="Calibri"/>
          <w:kern w:val="2"/>
          <w:sz w:val="28"/>
          <w:szCs w:val="28"/>
          <w:highlight w:val="none"/>
        </w:rPr>
        <w:t>地    址：合肥市肥东县店埠镇龙泉路8号</w:t>
      </w:r>
    </w:p>
    <w:p w14:paraId="2D968792">
      <w:pPr>
        <w:spacing w:line="560" w:lineRule="exact"/>
        <w:ind w:firstLine="437"/>
        <w:rPr>
          <w:rFonts w:ascii="仿宋" w:hAnsi="仿宋" w:eastAsia="仿宋" w:cs="楷体"/>
          <w:bCs/>
          <w:snapToGrid w:val="0"/>
          <w:sz w:val="28"/>
          <w:szCs w:val="28"/>
          <w:highlight w:val="none"/>
        </w:rPr>
      </w:pPr>
      <w:r>
        <w:rPr>
          <w:rFonts w:hint="eastAsia" w:ascii="仿宋" w:hAnsi="仿宋" w:eastAsia="仿宋" w:cs="Calibri"/>
          <w:kern w:val="2"/>
          <w:sz w:val="28"/>
          <w:szCs w:val="28"/>
          <w:highlight w:val="none"/>
        </w:rPr>
        <w:t>电    话：</w:t>
      </w:r>
      <w:r>
        <w:rPr>
          <w:rFonts w:ascii="仿宋" w:hAnsi="仿宋" w:eastAsia="仿宋" w:cs="Calibri"/>
          <w:kern w:val="2"/>
          <w:sz w:val="28"/>
          <w:szCs w:val="28"/>
          <w:highlight w:val="none"/>
        </w:rPr>
        <w:t>0551-67711296</w:t>
      </w:r>
    </w:p>
    <w:p w14:paraId="5E244944">
      <w:pPr>
        <w:spacing w:line="560" w:lineRule="exact"/>
        <w:outlineLvl w:val="1"/>
        <w:rPr>
          <w:rFonts w:ascii="黑体" w:hAnsi="黑体" w:eastAsia="黑体"/>
          <w:sz w:val="28"/>
          <w:szCs w:val="28"/>
          <w:highlight w:val="none"/>
        </w:rPr>
      </w:pPr>
      <w:bookmarkStart w:id="93" w:name="_Toc10284"/>
      <w:bookmarkStart w:id="94" w:name="_Toc4638"/>
      <w:bookmarkStart w:id="95" w:name="_Toc23149"/>
      <w:bookmarkStart w:id="96" w:name="_Toc14370"/>
      <w:bookmarkStart w:id="97" w:name="_Toc17339"/>
      <w:bookmarkStart w:id="98" w:name="_Toc140069394"/>
      <w:bookmarkStart w:id="99" w:name="_Toc7062"/>
      <w:r>
        <w:rPr>
          <w:rFonts w:hint="eastAsia" w:ascii="黑体" w:hAnsi="黑体" w:eastAsia="黑体"/>
          <w:sz w:val="28"/>
          <w:szCs w:val="28"/>
          <w:highlight w:val="none"/>
        </w:rPr>
        <w:t>12.其他事项说明</w:t>
      </w:r>
      <w:bookmarkEnd w:id="93"/>
      <w:bookmarkEnd w:id="94"/>
      <w:bookmarkEnd w:id="95"/>
      <w:bookmarkEnd w:id="96"/>
      <w:bookmarkEnd w:id="97"/>
      <w:bookmarkEnd w:id="98"/>
      <w:bookmarkEnd w:id="99"/>
    </w:p>
    <w:p w14:paraId="2A1F1FC0">
      <w:pPr>
        <w:spacing w:line="560" w:lineRule="exact"/>
        <w:ind w:firstLine="560" w:firstLineChars="200"/>
        <w:rPr>
          <w:rFonts w:hint="eastAsia" w:ascii="仿宋" w:hAnsi="仿宋" w:eastAsia="仿宋"/>
          <w:kern w:val="2"/>
          <w:sz w:val="28"/>
          <w:szCs w:val="28"/>
          <w:highlight w:val="none"/>
        </w:rPr>
      </w:pPr>
      <w:bookmarkStart w:id="100" w:name="_Toc10307"/>
      <w:bookmarkStart w:id="101" w:name="_Toc3874"/>
      <w:bookmarkStart w:id="102" w:name="_Toc30094"/>
      <w:bookmarkStart w:id="103" w:name="_Toc8187"/>
      <w:r>
        <w:rPr>
          <w:rFonts w:hint="eastAsia" w:ascii="仿宋" w:hAnsi="仿宋" w:eastAsia="仿宋"/>
          <w:kern w:val="2"/>
          <w:sz w:val="28"/>
          <w:szCs w:val="28"/>
          <w:highlight w:val="none"/>
        </w:rPr>
        <w:t>（1）投标人应合理安排招标文件获取时间，特别是网络速度慢的地区防止在系统关闭前网络拥堵无法操作。如果因计算机及网络故障造成无法完成招标文件获取，责任自负。</w:t>
      </w:r>
    </w:p>
    <w:p w14:paraId="067509F4">
      <w:pPr>
        <w:spacing w:line="560" w:lineRule="exact"/>
        <w:ind w:firstLine="562" w:firstLineChars="200"/>
        <w:rPr>
          <w:rFonts w:ascii="仿宋" w:hAnsi="仿宋" w:eastAsia="仿宋"/>
          <w:kern w:val="2"/>
          <w:sz w:val="28"/>
          <w:szCs w:val="28"/>
          <w:highlight w:val="none"/>
        </w:rPr>
      </w:pPr>
      <w:r>
        <w:rPr>
          <w:rFonts w:hint="eastAsia" w:ascii="仿宋" w:hAnsi="仿宋" w:eastAsia="仿宋"/>
          <w:b/>
          <w:bCs/>
          <w:kern w:val="2"/>
          <w:sz w:val="28"/>
          <w:szCs w:val="28"/>
          <w:highlight w:val="none"/>
        </w:rPr>
        <w:t>（2）《新版交易系统操作帮助（投标人端）》请在新版交易系统登录页面https://jyxt.hfztb.cn/sso/查看。本项目投标文件采用“结构化”方式编制，投标人编制投标文件时，涉及营业执照、资质、业绩、人员、各类证书等信息，须引用安徽合肥公共资源交易中心智慧信息库（https://zhxxk.hfztb.cn/smart-manage/，以下简称“智慧信息库”）中的相应内容，如智慧信息库中无相应数据的，请潜在投标人及时登录智慧信息库，在相应模块填写、补充相关数据并确保所填数据的真实性、有效性和完整性，以避免投标失败。</w:t>
      </w:r>
    </w:p>
    <w:p w14:paraId="33494011">
      <w:pPr>
        <w:numPr>
          <w:ilvl w:val="0"/>
          <w:numId w:val="0"/>
        </w:numPr>
        <w:spacing w:line="560" w:lineRule="exact"/>
        <w:outlineLvl w:val="1"/>
        <w:rPr>
          <w:rFonts w:hint="eastAsia" w:ascii="黑体" w:hAnsi="黑体" w:eastAsia="黑体"/>
          <w:sz w:val="28"/>
          <w:szCs w:val="28"/>
          <w:highlight w:val="none"/>
        </w:rPr>
      </w:pPr>
      <w:bookmarkStart w:id="104" w:name="_Toc10554"/>
      <w:bookmarkStart w:id="105" w:name="_Toc140069395"/>
      <w:bookmarkStart w:id="106" w:name="_Toc8114"/>
      <w:r>
        <w:rPr>
          <w:rFonts w:hint="eastAsia" w:ascii="黑体" w:hAnsi="黑体" w:eastAsia="黑体" w:cs="Times New Roman"/>
          <w:sz w:val="28"/>
          <w:szCs w:val="28"/>
          <w:highlight w:val="none"/>
          <w:lang w:val="en-US" w:eastAsia="zh-CN" w:bidi="ar-SA"/>
        </w:rPr>
        <w:t>13.</w:t>
      </w:r>
      <w:r>
        <w:rPr>
          <w:rFonts w:hint="eastAsia" w:ascii="黑体" w:hAnsi="黑体" w:eastAsia="黑体"/>
          <w:sz w:val="28"/>
          <w:szCs w:val="28"/>
          <w:highlight w:val="none"/>
        </w:rPr>
        <w:t>投标保证金账户</w:t>
      </w:r>
      <w:bookmarkEnd w:id="100"/>
      <w:bookmarkEnd w:id="101"/>
      <w:bookmarkEnd w:id="102"/>
      <w:bookmarkEnd w:id="103"/>
      <w:r>
        <w:rPr>
          <w:rFonts w:hint="eastAsia" w:ascii="黑体" w:hAnsi="黑体" w:eastAsia="黑体"/>
          <w:sz w:val="28"/>
          <w:szCs w:val="28"/>
          <w:highlight w:val="none"/>
        </w:rPr>
        <w:t>：</w:t>
      </w:r>
      <w:bookmarkEnd w:id="104"/>
      <w:bookmarkEnd w:id="105"/>
      <w:bookmarkEnd w:id="106"/>
    </w:p>
    <w:bookmarkEnd w:id="6"/>
    <w:p w14:paraId="26E2E9A6">
      <w:pPr>
        <w:spacing w:line="560" w:lineRule="exact"/>
        <w:ind w:firstLine="280" w:firstLineChars="100"/>
        <w:rPr>
          <w:rFonts w:hint="eastAsia" w:ascii="仿宋" w:hAnsi="仿宋" w:eastAsia="仿宋"/>
          <w:color w:val="auto"/>
          <w:sz w:val="28"/>
          <w:szCs w:val="28"/>
          <w:highlight w:val="none"/>
        </w:rPr>
      </w:pPr>
      <w:bookmarkStart w:id="107" w:name="_Toc179632546"/>
      <w:bookmarkStart w:id="108" w:name="_Toc144974497"/>
      <w:bookmarkStart w:id="109" w:name="_Toc152042305"/>
      <w:bookmarkStart w:id="110" w:name="_Toc26865"/>
      <w:bookmarkStart w:id="111" w:name="_Toc38879324"/>
      <w:bookmarkStart w:id="112" w:name="_Toc152045529"/>
      <w:r>
        <w:rPr>
          <w:rFonts w:hint="eastAsia" w:ascii="仿宋" w:hAnsi="仿宋" w:eastAsia="仿宋"/>
          <w:color w:val="auto"/>
          <w:sz w:val="28"/>
          <w:szCs w:val="28"/>
          <w:highlight w:val="none"/>
        </w:rPr>
        <w:t>标段简称:1标段</w:t>
      </w:r>
    </w:p>
    <w:p w14:paraId="70AEFE3B">
      <w:pPr>
        <w:spacing w:line="56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中国银行</w:t>
      </w:r>
    </w:p>
    <w:p w14:paraId="4215728B">
      <w:pPr>
        <w:spacing w:line="56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户名：肥东县公共资源交易中心</w:t>
      </w:r>
    </w:p>
    <w:p w14:paraId="37D27704">
      <w:pPr>
        <w:spacing w:line="56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账号：176756134827</w:t>
      </w:r>
    </w:p>
    <w:p w14:paraId="0D247B4B">
      <w:pPr>
        <w:spacing w:line="560" w:lineRule="exact"/>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开户银行：中国银行肥东支行</w:t>
      </w:r>
    </w:p>
    <w:p w14:paraId="2A595B7B">
      <w:pPr>
        <w:pStyle w:val="3"/>
        <w:spacing w:beforeLines="100" w:afterLines="100" w:line="240" w:lineRule="auto"/>
        <w:jc w:val="center"/>
        <w:rPr>
          <w:rFonts w:ascii="黑体" w:hAnsi="黑体" w:eastAsia="黑体" w:cs="黑体"/>
          <w:b w:val="0"/>
          <w:bCs w:val="0"/>
          <w:highlight w:val="none"/>
        </w:rPr>
      </w:pPr>
      <w:r>
        <w:rPr>
          <w:rFonts w:hint="eastAsia"/>
          <w:b w:val="0"/>
          <w:highlight w:val="none"/>
        </w:rPr>
        <w:br w:type="page"/>
      </w:r>
      <w:bookmarkStart w:id="113" w:name="_Toc21441"/>
      <w:r>
        <w:rPr>
          <w:rFonts w:hint="eastAsia" w:ascii="黑体" w:hAnsi="黑体" w:eastAsia="黑体" w:cs="黑体"/>
          <w:b w:val="0"/>
          <w:bCs w:val="0"/>
          <w:highlight w:val="none"/>
        </w:rPr>
        <w:t>第二章  投标人须知</w:t>
      </w:r>
      <w:bookmarkEnd w:id="113"/>
    </w:p>
    <w:p w14:paraId="418820E9">
      <w:pPr>
        <w:pStyle w:val="4"/>
        <w:spacing w:beforeLines="100" w:afterLines="100" w:line="240" w:lineRule="auto"/>
        <w:jc w:val="center"/>
        <w:rPr>
          <w:rFonts w:ascii="Times New Roman" w:hAnsi="Times New Roman"/>
          <w:b w:val="0"/>
          <w:highlight w:val="none"/>
        </w:rPr>
      </w:pPr>
      <w:bookmarkStart w:id="114" w:name="_Toc38879315"/>
      <w:bookmarkStart w:id="115" w:name="_Toc140069398"/>
      <w:bookmarkStart w:id="116" w:name="_Toc32667"/>
      <w:bookmarkStart w:id="117" w:name="_Toc1416"/>
      <w:bookmarkStart w:id="118" w:name="_Toc25475"/>
      <w:r>
        <w:rPr>
          <w:rFonts w:hint="eastAsia" w:ascii="黑体" w:hAnsi="黑体" w:eastAsia="黑体" w:cs="黑体"/>
          <w:b w:val="0"/>
          <w:bCs w:val="0"/>
          <w:highlight w:val="none"/>
        </w:rPr>
        <w:t>投标人须知前附表</w:t>
      </w:r>
      <w:bookmarkEnd w:id="114"/>
      <w:bookmarkEnd w:id="115"/>
      <w:bookmarkEnd w:id="116"/>
      <w:bookmarkEnd w:id="117"/>
      <w:bookmarkEnd w:id="118"/>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776"/>
        <w:gridCol w:w="5684"/>
      </w:tblGrid>
      <w:tr w14:paraId="303C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056" w:type="dxa"/>
            <w:vAlign w:val="center"/>
          </w:tcPr>
          <w:p w14:paraId="62BFA386">
            <w:pPr>
              <w:snapToGrid w:val="0"/>
              <w:spacing w:line="360" w:lineRule="auto"/>
              <w:jc w:val="center"/>
              <w:rPr>
                <w:rFonts w:hAnsi="宋体" w:cs="宋体"/>
                <w:highlight w:val="none"/>
              </w:rPr>
            </w:pPr>
            <w:r>
              <w:rPr>
                <w:rFonts w:hint="eastAsia" w:hAnsi="宋体" w:cs="宋体"/>
                <w:highlight w:val="none"/>
              </w:rPr>
              <w:t>条款号</w:t>
            </w:r>
          </w:p>
        </w:tc>
        <w:tc>
          <w:tcPr>
            <w:tcW w:w="1776" w:type="dxa"/>
            <w:vAlign w:val="center"/>
          </w:tcPr>
          <w:p w14:paraId="6B3CCAB7">
            <w:pPr>
              <w:snapToGrid w:val="0"/>
              <w:spacing w:line="360" w:lineRule="auto"/>
              <w:jc w:val="center"/>
              <w:rPr>
                <w:rFonts w:hAnsi="宋体" w:cs="宋体"/>
                <w:highlight w:val="none"/>
              </w:rPr>
            </w:pPr>
            <w:r>
              <w:rPr>
                <w:rFonts w:hint="eastAsia" w:hAnsi="宋体" w:cs="宋体"/>
                <w:highlight w:val="none"/>
              </w:rPr>
              <w:t>条款名称</w:t>
            </w:r>
          </w:p>
        </w:tc>
        <w:tc>
          <w:tcPr>
            <w:tcW w:w="5684" w:type="dxa"/>
            <w:vAlign w:val="center"/>
          </w:tcPr>
          <w:p w14:paraId="1766FBDE">
            <w:pPr>
              <w:snapToGrid w:val="0"/>
              <w:spacing w:line="360" w:lineRule="auto"/>
              <w:jc w:val="center"/>
              <w:rPr>
                <w:rFonts w:hAnsi="宋体" w:cs="宋体"/>
                <w:highlight w:val="none"/>
              </w:rPr>
            </w:pPr>
            <w:r>
              <w:rPr>
                <w:rFonts w:hint="eastAsia" w:hAnsi="宋体" w:cs="宋体"/>
                <w:highlight w:val="none"/>
              </w:rPr>
              <w:t>编列内容</w:t>
            </w:r>
          </w:p>
        </w:tc>
      </w:tr>
      <w:tr w14:paraId="3E73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52D6B696">
            <w:pPr>
              <w:spacing w:line="360" w:lineRule="auto"/>
              <w:jc w:val="center"/>
              <w:rPr>
                <w:rFonts w:hAnsi="宋体" w:cs="宋体"/>
                <w:highlight w:val="none"/>
              </w:rPr>
            </w:pPr>
            <w:r>
              <w:rPr>
                <w:rFonts w:hint="eastAsia" w:hAnsi="宋体" w:cs="宋体"/>
                <w:highlight w:val="none"/>
              </w:rPr>
              <w:t>1.3.4</w:t>
            </w:r>
          </w:p>
        </w:tc>
        <w:tc>
          <w:tcPr>
            <w:tcW w:w="1776" w:type="dxa"/>
            <w:vAlign w:val="center"/>
          </w:tcPr>
          <w:p w14:paraId="7987667F">
            <w:pPr>
              <w:snapToGrid w:val="0"/>
              <w:spacing w:line="360" w:lineRule="auto"/>
              <w:jc w:val="center"/>
              <w:rPr>
                <w:rFonts w:hAnsi="宋体" w:cs="宋体"/>
                <w:highlight w:val="none"/>
              </w:rPr>
            </w:pPr>
            <w:r>
              <w:rPr>
                <w:rFonts w:hint="eastAsia" w:hAnsi="宋体" w:cs="宋体"/>
                <w:highlight w:val="none"/>
              </w:rPr>
              <w:t>技术性能指标</w:t>
            </w:r>
          </w:p>
        </w:tc>
        <w:tc>
          <w:tcPr>
            <w:tcW w:w="5684" w:type="dxa"/>
            <w:vAlign w:val="center"/>
          </w:tcPr>
          <w:p w14:paraId="79A3A45B">
            <w:pPr>
              <w:snapToGrid w:val="0"/>
              <w:spacing w:line="360" w:lineRule="auto"/>
              <w:rPr>
                <w:rFonts w:hAnsi="宋体" w:cs="宋体"/>
                <w:highlight w:val="none"/>
              </w:rPr>
            </w:pPr>
            <w:r>
              <w:rPr>
                <w:rFonts w:hint="eastAsia" w:hAnsi="宋体" w:cs="宋体"/>
                <w:highlight w:val="none"/>
              </w:rPr>
              <w:t>见招标文件第五章“供货要求”</w:t>
            </w:r>
          </w:p>
        </w:tc>
      </w:tr>
      <w:tr w14:paraId="221A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0AF72233">
            <w:pPr>
              <w:snapToGrid w:val="0"/>
              <w:spacing w:line="360" w:lineRule="auto"/>
              <w:jc w:val="center"/>
              <w:rPr>
                <w:rFonts w:hAnsi="宋体" w:cs="宋体"/>
                <w:highlight w:val="none"/>
              </w:rPr>
            </w:pPr>
            <w:r>
              <w:rPr>
                <w:rFonts w:hint="eastAsia" w:hAnsi="宋体" w:cs="宋体"/>
                <w:highlight w:val="none"/>
              </w:rPr>
              <w:t>1.4.1</w:t>
            </w:r>
          </w:p>
        </w:tc>
        <w:tc>
          <w:tcPr>
            <w:tcW w:w="1776" w:type="dxa"/>
            <w:vAlign w:val="center"/>
          </w:tcPr>
          <w:p w14:paraId="4063C0F0">
            <w:pPr>
              <w:snapToGrid w:val="0"/>
              <w:spacing w:line="360" w:lineRule="auto"/>
              <w:jc w:val="center"/>
              <w:rPr>
                <w:rFonts w:hAnsi="宋体" w:cs="宋体"/>
                <w:highlight w:val="none"/>
              </w:rPr>
            </w:pPr>
            <w:r>
              <w:rPr>
                <w:rFonts w:hint="eastAsia" w:hAnsi="宋体" w:cs="宋体"/>
                <w:highlight w:val="none"/>
              </w:rPr>
              <w:t>投标人资质条件、能力和信誉</w:t>
            </w:r>
          </w:p>
        </w:tc>
        <w:tc>
          <w:tcPr>
            <w:tcW w:w="5684" w:type="dxa"/>
            <w:vAlign w:val="center"/>
          </w:tcPr>
          <w:p w14:paraId="7E8FB0A1">
            <w:pPr>
              <w:snapToGrid w:val="0"/>
              <w:spacing w:line="360" w:lineRule="auto"/>
              <w:rPr>
                <w:rFonts w:hAnsi="宋体" w:cs="宋体"/>
                <w:highlight w:val="none"/>
              </w:rPr>
            </w:pPr>
            <w:r>
              <w:rPr>
                <w:rFonts w:hint="eastAsia" w:hAnsi="宋体" w:cs="宋体"/>
                <w:highlight w:val="none"/>
              </w:rPr>
              <w:t>（1）资质条件：见附录1</w:t>
            </w:r>
          </w:p>
          <w:p w14:paraId="42538A3B">
            <w:pPr>
              <w:snapToGrid w:val="0"/>
              <w:spacing w:line="360" w:lineRule="auto"/>
              <w:rPr>
                <w:rFonts w:hAnsi="宋体" w:cs="宋体"/>
                <w:highlight w:val="none"/>
              </w:rPr>
            </w:pPr>
            <w:r>
              <w:rPr>
                <w:rFonts w:hint="eastAsia" w:hAnsi="宋体" w:cs="宋体"/>
                <w:highlight w:val="none"/>
              </w:rPr>
              <w:t>（2）财务要求：见附录2</w:t>
            </w:r>
          </w:p>
          <w:p w14:paraId="2095BE5B">
            <w:pPr>
              <w:snapToGrid w:val="0"/>
              <w:spacing w:line="360" w:lineRule="auto"/>
              <w:rPr>
                <w:rFonts w:hAnsi="宋体" w:cs="宋体"/>
                <w:highlight w:val="none"/>
              </w:rPr>
            </w:pPr>
            <w:r>
              <w:rPr>
                <w:rFonts w:hint="eastAsia" w:hAnsi="宋体" w:cs="宋体"/>
                <w:highlight w:val="none"/>
              </w:rPr>
              <w:t>（3）业绩要求：见附录3</w:t>
            </w:r>
          </w:p>
          <w:p w14:paraId="7D27931F">
            <w:pPr>
              <w:snapToGrid w:val="0"/>
              <w:spacing w:line="360" w:lineRule="auto"/>
              <w:rPr>
                <w:rFonts w:hAnsi="宋体" w:cs="宋体"/>
                <w:highlight w:val="none"/>
              </w:rPr>
            </w:pPr>
            <w:r>
              <w:rPr>
                <w:rFonts w:hint="eastAsia" w:hAnsi="宋体" w:cs="宋体"/>
                <w:highlight w:val="none"/>
              </w:rPr>
              <w:t>（4）信誉要求：见附录4</w:t>
            </w:r>
          </w:p>
          <w:p w14:paraId="27CE765B">
            <w:pPr>
              <w:snapToGrid w:val="0"/>
              <w:spacing w:line="360" w:lineRule="auto"/>
              <w:rPr>
                <w:rFonts w:hAnsi="宋体" w:cs="宋体"/>
                <w:highlight w:val="none"/>
              </w:rPr>
            </w:pPr>
            <w:r>
              <w:rPr>
                <w:rFonts w:hint="eastAsia" w:hAnsi="宋体" w:cs="宋体"/>
                <w:highlight w:val="none"/>
              </w:rPr>
              <w:t>（5）项目负责人要求：见附录5</w:t>
            </w:r>
          </w:p>
          <w:p w14:paraId="3CD75A7E">
            <w:pPr>
              <w:snapToGrid w:val="0"/>
              <w:spacing w:line="360" w:lineRule="auto"/>
              <w:rPr>
                <w:rFonts w:hAnsi="宋体" w:cs="宋体"/>
                <w:highlight w:val="none"/>
              </w:rPr>
            </w:pPr>
            <w:r>
              <w:rPr>
                <w:rFonts w:hint="eastAsia" w:hAnsi="宋体" w:cs="宋体"/>
                <w:highlight w:val="none"/>
              </w:rPr>
              <w:t>（6）其他要求：见附录6</w:t>
            </w:r>
          </w:p>
        </w:tc>
      </w:tr>
      <w:tr w14:paraId="52A8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31B9B510">
            <w:pPr>
              <w:snapToGrid w:val="0"/>
              <w:spacing w:line="360" w:lineRule="auto"/>
              <w:jc w:val="center"/>
              <w:rPr>
                <w:rFonts w:hAnsi="宋体" w:cs="宋体"/>
                <w:highlight w:val="none"/>
              </w:rPr>
            </w:pPr>
            <w:r>
              <w:rPr>
                <w:rFonts w:hint="eastAsia" w:hAnsi="宋体" w:cs="宋体"/>
                <w:highlight w:val="none"/>
              </w:rPr>
              <w:t>1.4.2</w:t>
            </w:r>
          </w:p>
        </w:tc>
        <w:tc>
          <w:tcPr>
            <w:tcW w:w="1776" w:type="dxa"/>
            <w:vAlign w:val="center"/>
          </w:tcPr>
          <w:p w14:paraId="11A0AD92">
            <w:pPr>
              <w:snapToGrid w:val="0"/>
              <w:spacing w:line="360" w:lineRule="auto"/>
              <w:jc w:val="center"/>
              <w:rPr>
                <w:rFonts w:hAnsi="宋体" w:cs="宋体"/>
                <w:highlight w:val="none"/>
              </w:rPr>
            </w:pPr>
            <w:r>
              <w:rPr>
                <w:rFonts w:hint="eastAsia" w:hAnsi="宋体" w:cs="宋体"/>
                <w:highlight w:val="none"/>
              </w:rPr>
              <w:t>是否接受联合体投标</w:t>
            </w:r>
          </w:p>
        </w:tc>
        <w:tc>
          <w:tcPr>
            <w:tcW w:w="5684" w:type="dxa"/>
            <w:vAlign w:val="center"/>
          </w:tcPr>
          <w:p w14:paraId="02195CD6">
            <w:pPr>
              <w:snapToGrid w:val="0"/>
              <w:spacing w:line="360" w:lineRule="auto"/>
              <w:rPr>
                <w:rFonts w:hAnsi="宋体" w:cs="宋体"/>
                <w:highlight w:val="none"/>
              </w:rPr>
            </w:pPr>
            <w:r>
              <w:rPr>
                <w:rFonts w:hint="eastAsia" w:ascii="MS Mincho" w:hAnsi="MS Mincho" w:eastAsia="MS Mincho" w:cs="MS Mincho"/>
                <w:highlight w:val="none"/>
              </w:rPr>
              <w:t>☑</w:t>
            </w:r>
            <w:r>
              <w:rPr>
                <w:rFonts w:hint="eastAsia" w:hAnsi="宋体" w:cs="宋体"/>
                <w:highlight w:val="none"/>
              </w:rPr>
              <w:t>不接受</w:t>
            </w:r>
          </w:p>
          <w:p w14:paraId="0A98E147">
            <w:pPr>
              <w:snapToGrid w:val="0"/>
              <w:spacing w:line="360" w:lineRule="auto"/>
              <w:rPr>
                <w:rFonts w:hAnsi="宋体" w:cs="宋体"/>
                <w:highlight w:val="none"/>
              </w:rPr>
            </w:pPr>
            <w:r>
              <w:rPr>
                <w:rFonts w:hint="eastAsia" w:hAnsi="宋体" w:cs="宋体"/>
                <w:highlight w:val="none"/>
              </w:rPr>
              <w:t>□接受，应满足下列要求：</w:t>
            </w:r>
            <w:r>
              <w:rPr>
                <w:rFonts w:hint="eastAsia" w:hAnsi="宋体" w:cs="宋体"/>
                <w:bCs/>
                <w:snapToGrid w:val="0"/>
                <w:highlight w:val="none"/>
                <w:u w:val="single"/>
              </w:rPr>
              <w:t xml:space="preserve">   /   </w:t>
            </w:r>
          </w:p>
        </w:tc>
      </w:tr>
      <w:tr w14:paraId="1DB2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3A9141FD">
            <w:pPr>
              <w:snapToGrid w:val="0"/>
              <w:spacing w:line="360" w:lineRule="auto"/>
              <w:jc w:val="center"/>
              <w:rPr>
                <w:rFonts w:hAnsi="宋体" w:cs="宋体"/>
                <w:highlight w:val="none"/>
              </w:rPr>
            </w:pPr>
            <w:r>
              <w:rPr>
                <w:rFonts w:hint="eastAsia" w:hAnsi="宋体" w:cs="宋体"/>
                <w:highlight w:val="none"/>
              </w:rPr>
              <w:t>1.4.3（17）</w:t>
            </w:r>
          </w:p>
        </w:tc>
        <w:tc>
          <w:tcPr>
            <w:tcW w:w="1776" w:type="dxa"/>
            <w:vAlign w:val="center"/>
          </w:tcPr>
          <w:p w14:paraId="6DC80D6C">
            <w:pPr>
              <w:snapToGrid w:val="0"/>
              <w:spacing w:line="360" w:lineRule="auto"/>
              <w:jc w:val="center"/>
              <w:rPr>
                <w:rFonts w:hAnsi="宋体" w:cs="宋体"/>
                <w:highlight w:val="none"/>
              </w:rPr>
            </w:pPr>
            <w:r>
              <w:rPr>
                <w:rFonts w:hint="eastAsia" w:hAnsi="宋体" w:cs="宋体"/>
                <w:highlight w:val="none"/>
              </w:rPr>
              <w:t>投标人不得存在的其他情形</w:t>
            </w:r>
          </w:p>
        </w:tc>
        <w:tc>
          <w:tcPr>
            <w:tcW w:w="5684" w:type="dxa"/>
            <w:vAlign w:val="center"/>
          </w:tcPr>
          <w:p w14:paraId="481C1F5F">
            <w:pPr>
              <w:snapToGrid w:val="0"/>
              <w:spacing w:line="360" w:lineRule="auto"/>
              <w:rPr>
                <w:rFonts w:hAnsi="宋体" w:cs="宋体"/>
                <w:highlight w:val="none"/>
              </w:rPr>
            </w:pPr>
            <w:r>
              <w:rPr>
                <w:rFonts w:hint="eastAsia" w:hAnsi="宋体" w:cs="宋体"/>
                <w:highlight w:val="none"/>
              </w:rPr>
              <w:t xml:space="preserve">□与本标段的其他投标人代理同一个制造商同一品牌同一型号的货物投标； </w:t>
            </w:r>
          </w:p>
        </w:tc>
      </w:tr>
      <w:tr w14:paraId="3F12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40DADD14">
            <w:pPr>
              <w:snapToGrid w:val="0"/>
              <w:spacing w:line="360" w:lineRule="auto"/>
              <w:jc w:val="center"/>
              <w:rPr>
                <w:rFonts w:hAnsi="宋体" w:cs="宋体"/>
                <w:highlight w:val="none"/>
              </w:rPr>
            </w:pPr>
            <w:r>
              <w:rPr>
                <w:rFonts w:hint="eastAsia" w:hAnsi="宋体" w:cs="宋体"/>
                <w:highlight w:val="none"/>
              </w:rPr>
              <w:t>1.4.4（4）</w:t>
            </w:r>
          </w:p>
        </w:tc>
        <w:tc>
          <w:tcPr>
            <w:tcW w:w="1776" w:type="dxa"/>
            <w:vAlign w:val="center"/>
          </w:tcPr>
          <w:p w14:paraId="770610BE">
            <w:pPr>
              <w:snapToGrid w:val="0"/>
              <w:spacing w:line="360" w:lineRule="auto"/>
              <w:jc w:val="center"/>
              <w:rPr>
                <w:rFonts w:hAnsi="宋体" w:cs="宋体"/>
                <w:highlight w:val="none"/>
              </w:rPr>
            </w:pPr>
            <w:r>
              <w:rPr>
                <w:rFonts w:hint="eastAsia" w:hAnsi="宋体" w:cs="宋体"/>
                <w:highlight w:val="none"/>
              </w:rPr>
              <w:t>投标人不得存在的其他不良状况或不良信用记录</w:t>
            </w:r>
          </w:p>
        </w:tc>
        <w:tc>
          <w:tcPr>
            <w:tcW w:w="5684" w:type="dxa"/>
            <w:vAlign w:val="center"/>
          </w:tcPr>
          <w:p w14:paraId="772C997C">
            <w:pPr>
              <w:snapToGrid w:val="0"/>
              <w:spacing w:line="360" w:lineRule="auto"/>
              <w:rPr>
                <w:rFonts w:hAnsi="宋体" w:cs="宋体"/>
                <w:bCs/>
                <w:snapToGrid w:val="0"/>
                <w:highlight w:val="none"/>
              </w:rPr>
            </w:pPr>
            <w:r>
              <w:rPr>
                <w:rFonts w:hint="eastAsia" w:hAnsi="宋体" w:cs="宋体"/>
                <w:bCs/>
                <w:snapToGrid w:val="0"/>
                <w:highlight w:val="none"/>
              </w:rPr>
              <w:t>（1）投标人被设区的市级及以上建设行政主管部门/房屋建筑和市政基础设施工程招标投标活动的监督部门因安全生产责任事故限制本次招标项目工程所在地或公共资源交易平台所在地承接新的工程项目且在限制期内。</w:t>
            </w:r>
          </w:p>
          <w:p w14:paraId="3F1AA161">
            <w:pPr>
              <w:snapToGrid w:val="0"/>
              <w:spacing w:line="360" w:lineRule="auto"/>
              <w:rPr>
                <w:rFonts w:hAnsi="宋体" w:cs="宋体"/>
                <w:highlight w:val="none"/>
              </w:rPr>
            </w:pPr>
            <w:r>
              <w:rPr>
                <w:rFonts w:hint="eastAsia" w:hAnsi="宋体" w:cs="宋体"/>
                <w:bCs/>
                <w:snapToGrid w:val="0"/>
                <w:highlight w:val="none"/>
              </w:rPr>
              <w:t>（2）查询要求：评标委员会仅通过“电子服务系统”查询拟推荐中标候选人是否存在上述情形，并将查询截图及查询结果在评标报告中予以记录。</w:t>
            </w:r>
          </w:p>
        </w:tc>
      </w:tr>
      <w:tr w14:paraId="41B9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6734AB9">
            <w:pPr>
              <w:snapToGrid w:val="0"/>
              <w:spacing w:line="360" w:lineRule="auto"/>
              <w:jc w:val="center"/>
              <w:rPr>
                <w:rFonts w:hAnsi="宋体" w:cs="宋体"/>
                <w:highlight w:val="none"/>
              </w:rPr>
            </w:pPr>
            <w:r>
              <w:rPr>
                <w:rFonts w:hint="eastAsia" w:hAnsi="宋体" w:cs="宋体"/>
                <w:highlight w:val="none"/>
              </w:rPr>
              <w:t>1.9.1</w:t>
            </w:r>
          </w:p>
        </w:tc>
        <w:tc>
          <w:tcPr>
            <w:tcW w:w="1776" w:type="dxa"/>
            <w:vAlign w:val="center"/>
          </w:tcPr>
          <w:p w14:paraId="7448F262">
            <w:pPr>
              <w:snapToGrid w:val="0"/>
              <w:spacing w:line="360" w:lineRule="auto"/>
              <w:jc w:val="center"/>
              <w:rPr>
                <w:rFonts w:hAnsi="宋体" w:cs="宋体"/>
                <w:highlight w:val="none"/>
              </w:rPr>
            </w:pPr>
            <w:r>
              <w:rPr>
                <w:rFonts w:hint="eastAsia" w:hAnsi="宋体" w:cs="宋体"/>
                <w:highlight w:val="none"/>
              </w:rPr>
              <w:t>踏勘现场</w:t>
            </w:r>
          </w:p>
        </w:tc>
        <w:tc>
          <w:tcPr>
            <w:tcW w:w="5684" w:type="dxa"/>
            <w:vAlign w:val="center"/>
          </w:tcPr>
          <w:p w14:paraId="15B0D18F">
            <w:pPr>
              <w:snapToGrid w:val="0"/>
              <w:spacing w:line="360" w:lineRule="auto"/>
              <w:rPr>
                <w:rFonts w:hAnsi="宋体" w:cs="宋体"/>
                <w:highlight w:val="none"/>
              </w:rPr>
            </w:pPr>
            <w:r>
              <w:rPr>
                <w:rFonts w:hint="eastAsia" w:ascii="MS Mincho" w:hAnsi="MS Mincho" w:eastAsia="MS Mincho" w:cs="MS Mincho"/>
                <w:highlight w:val="none"/>
              </w:rPr>
              <w:t>☑</w:t>
            </w:r>
            <w:r>
              <w:rPr>
                <w:rFonts w:hint="eastAsia" w:hAnsi="宋体" w:cs="宋体"/>
                <w:highlight w:val="none"/>
              </w:rPr>
              <w:t>不组织，投标人自行踏勘</w:t>
            </w:r>
          </w:p>
          <w:p w14:paraId="07A60C0E">
            <w:pPr>
              <w:snapToGrid w:val="0"/>
              <w:spacing w:line="360" w:lineRule="auto"/>
              <w:rPr>
                <w:rFonts w:hAnsi="宋体" w:cs="宋体"/>
                <w:highlight w:val="none"/>
              </w:rPr>
            </w:pPr>
            <w:r>
              <w:rPr>
                <w:rFonts w:hint="eastAsia" w:hAnsi="宋体" w:cs="宋体"/>
                <w:highlight w:val="none"/>
              </w:rPr>
              <w:t>□组织，踏勘时间：</w:t>
            </w:r>
          </w:p>
          <w:p w14:paraId="58EC36B6">
            <w:pPr>
              <w:snapToGrid w:val="0"/>
              <w:spacing w:line="360" w:lineRule="auto"/>
              <w:rPr>
                <w:rFonts w:hAnsi="宋体" w:cs="宋体"/>
                <w:highlight w:val="none"/>
              </w:rPr>
            </w:pPr>
            <w:r>
              <w:rPr>
                <w:rFonts w:hint="eastAsia" w:hAnsi="宋体" w:cs="宋体"/>
                <w:highlight w:val="none"/>
              </w:rPr>
              <w:t xml:space="preserve">        踏勘集中地点：</w:t>
            </w:r>
          </w:p>
        </w:tc>
      </w:tr>
      <w:tr w14:paraId="1A9F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762126EF">
            <w:pPr>
              <w:snapToGrid w:val="0"/>
              <w:spacing w:line="360" w:lineRule="auto"/>
              <w:jc w:val="center"/>
              <w:rPr>
                <w:rFonts w:hAnsi="宋体" w:cs="宋体"/>
                <w:highlight w:val="none"/>
              </w:rPr>
            </w:pPr>
            <w:r>
              <w:rPr>
                <w:rFonts w:hint="eastAsia" w:hAnsi="宋体" w:cs="宋体"/>
                <w:highlight w:val="none"/>
              </w:rPr>
              <w:t>1.10.1</w:t>
            </w:r>
          </w:p>
        </w:tc>
        <w:tc>
          <w:tcPr>
            <w:tcW w:w="1776" w:type="dxa"/>
            <w:vAlign w:val="center"/>
          </w:tcPr>
          <w:p w14:paraId="5B411634">
            <w:pPr>
              <w:snapToGrid w:val="0"/>
              <w:spacing w:line="360" w:lineRule="auto"/>
              <w:jc w:val="center"/>
              <w:rPr>
                <w:rFonts w:hAnsi="宋体" w:cs="宋体"/>
                <w:highlight w:val="none"/>
              </w:rPr>
            </w:pPr>
            <w:r>
              <w:rPr>
                <w:rFonts w:hint="eastAsia" w:hAnsi="宋体" w:cs="宋体"/>
                <w:highlight w:val="none"/>
              </w:rPr>
              <w:t>投标预备会</w:t>
            </w:r>
          </w:p>
        </w:tc>
        <w:tc>
          <w:tcPr>
            <w:tcW w:w="5684" w:type="dxa"/>
            <w:vAlign w:val="center"/>
          </w:tcPr>
          <w:p w14:paraId="137B18D1">
            <w:pPr>
              <w:snapToGrid w:val="0"/>
              <w:spacing w:line="360" w:lineRule="auto"/>
              <w:rPr>
                <w:rFonts w:hAnsi="宋体" w:cs="宋体"/>
                <w:highlight w:val="none"/>
              </w:rPr>
            </w:pPr>
            <w:r>
              <w:rPr>
                <w:rFonts w:hint="eastAsia" w:ascii="MS Mincho" w:hAnsi="MS Mincho" w:eastAsia="MS Mincho" w:cs="MS Mincho"/>
                <w:highlight w:val="none"/>
              </w:rPr>
              <w:t>☑</w:t>
            </w:r>
            <w:r>
              <w:rPr>
                <w:rFonts w:hint="eastAsia" w:hAnsi="宋体" w:cs="宋体"/>
                <w:highlight w:val="none"/>
              </w:rPr>
              <w:t>不召开</w:t>
            </w:r>
          </w:p>
          <w:p w14:paraId="025FB667">
            <w:pPr>
              <w:snapToGrid w:val="0"/>
              <w:spacing w:line="360" w:lineRule="auto"/>
              <w:rPr>
                <w:rFonts w:hAnsi="宋体" w:cs="宋体"/>
                <w:highlight w:val="none"/>
              </w:rPr>
            </w:pPr>
            <w:r>
              <w:rPr>
                <w:rFonts w:hint="eastAsia" w:hAnsi="宋体" w:cs="宋体"/>
                <w:highlight w:val="none"/>
              </w:rPr>
              <w:t>□召开，召开时间：</w:t>
            </w:r>
          </w:p>
          <w:p w14:paraId="5E707F30">
            <w:pPr>
              <w:snapToGrid w:val="0"/>
              <w:spacing w:line="360" w:lineRule="auto"/>
              <w:rPr>
                <w:rFonts w:hAnsi="宋体" w:cs="宋体"/>
                <w:highlight w:val="none"/>
              </w:rPr>
            </w:pPr>
            <w:r>
              <w:rPr>
                <w:rFonts w:hint="eastAsia" w:hAnsi="宋体" w:cs="宋体"/>
                <w:highlight w:val="none"/>
              </w:rPr>
              <w:t xml:space="preserve">        召开形式：</w:t>
            </w:r>
          </w:p>
        </w:tc>
      </w:tr>
      <w:tr w14:paraId="5309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326E2AD6">
            <w:pPr>
              <w:snapToGrid w:val="0"/>
              <w:spacing w:line="360" w:lineRule="auto"/>
              <w:jc w:val="center"/>
              <w:rPr>
                <w:rFonts w:hAnsi="宋体" w:cs="宋体"/>
                <w:highlight w:val="none"/>
              </w:rPr>
            </w:pPr>
            <w:r>
              <w:rPr>
                <w:rFonts w:hint="eastAsia" w:hAnsi="宋体" w:cs="宋体"/>
                <w:highlight w:val="none"/>
              </w:rPr>
              <w:t>1.10.2</w:t>
            </w:r>
          </w:p>
        </w:tc>
        <w:tc>
          <w:tcPr>
            <w:tcW w:w="1776" w:type="dxa"/>
            <w:vAlign w:val="center"/>
          </w:tcPr>
          <w:p w14:paraId="178F7645">
            <w:pPr>
              <w:snapToGrid w:val="0"/>
              <w:spacing w:line="360" w:lineRule="auto"/>
              <w:jc w:val="center"/>
              <w:rPr>
                <w:rFonts w:hAnsi="宋体" w:cs="宋体"/>
                <w:highlight w:val="none"/>
              </w:rPr>
            </w:pPr>
            <w:r>
              <w:rPr>
                <w:rFonts w:hint="eastAsia" w:hAnsi="宋体" w:cs="宋体"/>
                <w:highlight w:val="none"/>
              </w:rPr>
              <w:t>投标人在投标预备会前提出问题</w:t>
            </w:r>
          </w:p>
        </w:tc>
        <w:tc>
          <w:tcPr>
            <w:tcW w:w="5684" w:type="dxa"/>
            <w:vAlign w:val="center"/>
          </w:tcPr>
          <w:p w14:paraId="2A624BBD">
            <w:pPr>
              <w:snapToGrid w:val="0"/>
              <w:spacing w:line="360" w:lineRule="auto"/>
              <w:rPr>
                <w:rFonts w:hAnsi="宋体" w:cs="宋体"/>
                <w:highlight w:val="none"/>
              </w:rPr>
            </w:pPr>
            <w:r>
              <w:rPr>
                <w:rFonts w:hint="eastAsia" w:hAnsi="宋体" w:cs="宋体"/>
                <w:highlight w:val="none"/>
              </w:rPr>
              <w:t>时间：</w:t>
            </w:r>
            <w:r>
              <w:rPr>
                <w:rFonts w:hint="eastAsia" w:hAnsi="宋体" w:cs="宋体"/>
                <w:bCs/>
                <w:snapToGrid w:val="0"/>
                <w:highlight w:val="none"/>
                <w:u w:val="single"/>
              </w:rPr>
              <w:t xml:space="preserve">   /   </w:t>
            </w:r>
          </w:p>
          <w:p w14:paraId="4FB74761">
            <w:pPr>
              <w:snapToGrid w:val="0"/>
              <w:spacing w:line="360" w:lineRule="auto"/>
              <w:rPr>
                <w:rFonts w:hAnsi="宋体" w:cs="宋体"/>
                <w:highlight w:val="none"/>
              </w:rPr>
            </w:pPr>
            <w:r>
              <w:rPr>
                <w:rFonts w:hint="eastAsia" w:hAnsi="宋体" w:cs="宋体"/>
                <w:highlight w:val="none"/>
              </w:rPr>
              <w:t>形式：</w:t>
            </w:r>
            <w:r>
              <w:rPr>
                <w:rFonts w:hint="eastAsia" w:hAnsi="宋体" w:cs="宋体"/>
                <w:bCs/>
                <w:snapToGrid w:val="0"/>
                <w:highlight w:val="none"/>
                <w:u w:val="single"/>
              </w:rPr>
              <w:t xml:space="preserve">   /   </w:t>
            </w:r>
          </w:p>
        </w:tc>
      </w:tr>
      <w:tr w14:paraId="3732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523680C6">
            <w:pPr>
              <w:snapToGrid w:val="0"/>
              <w:spacing w:line="360" w:lineRule="auto"/>
              <w:jc w:val="center"/>
              <w:rPr>
                <w:rFonts w:hAnsi="宋体" w:cs="宋体"/>
                <w:highlight w:val="none"/>
              </w:rPr>
            </w:pPr>
            <w:r>
              <w:rPr>
                <w:rFonts w:hint="eastAsia" w:hAnsi="宋体" w:cs="宋体"/>
                <w:highlight w:val="none"/>
              </w:rPr>
              <w:t>1.11.1</w:t>
            </w:r>
          </w:p>
        </w:tc>
        <w:tc>
          <w:tcPr>
            <w:tcW w:w="1776" w:type="dxa"/>
            <w:vAlign w:val="center"/>
          </w:tcPr>
          <w:p w14:paraId="28602B9C">
            <w:pPr>
              <w:snapToGrid w:val="0"/>
              <w:spacing w:line="360" w:lineRule="auto"/>
              <w:jc w:val="center"/>
              <w:rPr>
                <w:rFonts w:hAnsi="宋体" w:cs="宋体"/>
                <w:highlight w:val="none"/>
              </w:rPr>
            </w:pPr>
            <w:r>
              <w:rPr>
                <w:rFonts w:hint="eastAsia" w:hAnsi="宋体" w:cs="宋体"/>
                <w:highlight w:val="none"/>
              </w:rPr>
              <w:t>分包</w:t>
            </w:r>
          </w:p>
        </w:tc>
        <w:tc>
          <w:tcPr>
            <w:tcW w:w="5684" w:type="dxa"/>
            <w:vAlign w:val="center"/>
          </w:tcPr>
          <w:p w14:paraId="554D5ACE">
            <w:pPr>
              <w:snapToGrid w:val="0"/>
              <w:spacing w:line="360" w:lineRule="auto"/>
              <w:rPr>
                <w:rFonts w:hAnsi="宋体" w:cs="宋体"/>
                <w:highlight w:val="none"/>
              </w:rPr>
            </w:pPr>
            <w:r>
              <w:rPr>
                <w:rFonts w:hint="eastAsia" w:ascii="MS Mincho" w:hAnsi="MS Mincho" w:eastAsia="MS Mincho" w:cs="MS Mincho"/>
                <w:highlight w:val="none"/>
              </w:rPr>
              <w:t>☑</w:t>
            </w:r>
            <w:r>
              <w:rPr>
                <w:rFonts w:hint="eastAsia" w:hAnsi="宋体" w:cs="宋体"/>
                <w:highlight w:val="none"/>
              </w:rPr>
              <w:t>不允许</w:t>
            </w:r>
          </w:p>
          <w:p w14:paraId="7E352A3E">
            <w:pPr>
              <w:snapToGrid w:val="0"/>
              <w:spacing w:line="360" w:lineRule="auto"/>
              <w:rPr>
                <w:rFonts w:hAnsi="宋体" w:cs="宋体"/>
                <w:highlight w:val="none"/>
              </w:rPr>
            </w:pPr>
            <w:r>
              <w:rPr>
                <w:rFonts w:hint="eastAsia" w:hAnsi="宋体" w:cs="宋体"/>
                <w:highlight w:val="none"/>
              </w:rPr>
              <w:t>□允许，分包内容要求：</w:t>
            </w:r>
          </w:p>
          <w:p w14:paraId="7E44389D">
            <w:pPr>
              <w:snapToGrid w:val="0"/>
              <w:spacing w:line="360" w:lineRule="auto"/>
              <w:rPr>
                <w:rFonts w:hAnsi="宋体" w:cs="宋体"/>
                <w:highlight w:val="none"/>
              </w:rPr>
            </w:pPr>
            <w:r>
              <w:rPr>
                <w:rFonts w:hint="eastAsia" w:hAnsi="宋体" w:cs="宋体"/>
                <w:highlight w:val="none"/>
              </w:rPr>
              <w:t xml:space="preserve">        分包金额要求：</w:t>
            </w:r>
          </w:p>
          <w:p w14:paraId="014ACFC8">
            <w:pPr>
              <w:snapToGrid w:val="0"/>
              <w:spacing w:line="360" w:lineRule="auto"/>
              <w:rPr>
                <w:rFonts w:hAnsi="宋体" w:cs="宋体"/>
                <w:highlight w:val="none"/>
              </w:rPr>
            </w:pPr>
            <w:r>
              <w:rPr>
                <w:rFonts w:hint="eastAsia" w:hAnsi="宋体" w:cs="宋体"/>
                <w:highlight w:val="none"/>
              </w:rPr>
              <w:t xml:space="preserve">        接受分包的第三人资质要求：</w:t>
            </w:r>
          </w:p>
        </w:tc>
      </w:tr>
      <w:tr w14:paraId="2F65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377EB677">
            <w:pPr>
              <w:snapToGrid w:val="0"/>
              <w:spacing w:line="360" w:lineRule="auto"/>
              <w:jc w:val="center"/>
              <w:rPr>
                <w:rFonts w:hAnsi="宋体" w:cs="宋体"/>
                <w:highlight w:val="none"/>
              </w:rPr>
            </w:pPr>
            <w:r>
              <w:rPr>
                <w:rFonts w:hint="eastAsia" w:hAnsi="宋体" w:cs="宋体"/>
                <w:highlight w:val="none"/>
              </w:rPr>
              <w:t>1.12.1</w:t>
            </w:r>
          </w:p>
        </w:tc>
        <w:tc>
          <w:tcPr>
            <w:tcW w:w="1776" w:type="dxa"/>
            <w:vAlign w:val="center"/>
          </w:tcPr>
          <w:p w14:paraId="1E518D0C">
            <w:pPr>
              <w:snapToGrid w:val="0"/>
              <w:spacing w:line="360" w:lineRule="auto"/>
              <w:jc w:val="center"/>
              <w:rPr>
                <w:rFonts w:hAnsi="宋体" w:cs="宋体"/>
                <w:highlight w:val="none"/>
              </w:rPr>
            </w:pPr>
            <w:r>
              <w:rPr>
                <w:rFonts w:hint="eastAsia" w:hAnsi="宋体" w:cs="宋体"/>
                <w:highlight w:val="none"/>
              </w:rPr>
              <w:t>实质性要求和条件</w:t>
            </w:r>
          </w:p>
        </w:tc>
        <w:tc>
          <w:tcPr>
            <w:tcW w:w="5684" w:type="dxa"/>
            <w:vAlign w:val="center"/>
          </w:tcPr>
          <w:p w14:paraId="49B1DF66">
            <w:pPr>
              <w:snapToGrid w:val="0"/>
              <w:spacing w:line="360" w:lineRule="auto"/>
              <w:rPr>
                <w:rFonts w:hAnsi="宋体" w:cs="宋体"/>
                <w:highlight w:val="none"/>
              </w:rPr>
            </w:pPr>
            <w:r>
              <w:rPr>
                <w:rFonts w:hint="eastAsia" w:hAnsi="宋体" w:cs="宋体"/>
                <w:highlight w:val="none"/>
              </w:rPr>
              <w:t>/</w:t>
            </w:r>
          </w:p>
        </w:tc>
      </w:tr>
      <w:tr w14:paraId="449E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AFB4717">
            <w:pPr>
              <w:spacing w:line="360" w:lineRule="auto"/>
              <w:jc w:val="center"/>
              <w:rPr>
                <w:rFonts w:hAnsi="宋体" w:cs="宋体"/>
                <w:highlight w:val="none"/>
              </w:rPr>
            </w:pPr>
            <w:r>
              <w:rPr>
                <w:rFonts w:hint="eastAsia" w:hAnsi="宋体" w:cs="宋体"/>
                <w:highlight w:val="none"/>
              </w:rPr>
              <w:t>1.12.3</w:t>
            </w:r>
          </w:p>
        </w:tc>
        <w:tc>
          <w:tcPr>
            <w:tcW w:w="1776" w:type="dxa"/>
            <w:vAlign w:val="center"/>
          </w:tcPr>
          <w:p w14:paraId="08C12B29">
            <w:pPr>
              <w:snapToGrid w:val="0"/>
              <w:spacing w:line="360" w:lineRule="auto"/>
              <w:jc w:val="center"/>
              <w:rPr>
                <w:rFonts w:hAnsi="宋体" w:cs="宋体"/>
                <w:highlight w:val="none"/>
              </w:rPr>
            </w:pPr>
            <w:r>
              <w:rPr>
                <w:rFonts w:hint="eastAsia" w:hAnsi="宋体" w:cs="宋体"/>
                <w:highlight w:val="none"/>
              </w:rPr>
              <w:t>其他可以被接受的技术支持资料</w:t>
            </w:r>
          </w:p>
        </w:tc>
        <w:tc>
          <w:tcPr>
            <w:tcW w:w="5684" w:type="dxa"/>
            <w:vAlign w:val="center"/>
          </w:tcPr>
          <w:p w14:paraId="36CFB3B1">
            <w:pPr>
              <w:pStyle w:val="18"/>
              <w:topLinePunct/>
              <w:spacing w:line="360" w:lineRule="auto"/>
              <w:rPr>
                <w:rFonts w:ascii="宋体" w:eastAsia="宋体" w:cs="宋体"/>
                <w:bCs w:val="0"/>
                <w:color w:val="auto"/>
                <w:kern w:val="0"/>
                <w:szCs w:val="24"/>
                <w:highlight w:val="none"/>
              </w:rPr>
            </w:pPr>
            <w:r>
              <w:rPr>
                <w:rFonts w:hint="eastAsia" w:ascii="宋体" w:eastAsia="宋体" w:cs="宋体"/>
                <w:bCs w:val="0"/>
                <w:color w:val="auto"/>
                <w:kern w:val="0"/>
                <w:szCs w:val="24"/>
                <w:highlight w:val="none"/>
              </w:rPr>
              <w:t>/</w:t>
            </w:r>
          </w:p>
        </w:tc>
      </w:tr>
      <w:tr w14:paraId="268F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5B100F28">
            <w:pPr>
              <w:spacing w:line="360" w:lineRule="auto"/>
              <w:jc w:val="center"/>
              <w:rPr>
                <w:rFonts w:hAnsi="宋体" w:cs="宋体"/>
                <w:highlight w:val="none"/>
              </w:rPr>
            </w:pPr>
            <w:r>
              <w:rPr>
                <w:rFonts w:hint="eastAsia" w:hAnsi="宋体" w:cs="宋体"/>
                <w:highlight w:val="none"/>
              </w:rPr>
              <w:t>1.12.4</w:t>
            </w:r>
          </w:p>
        </w:tc>
        <w:tc>
          <w:tcPr>
            <w:tcW w:w="1776" w:type="dxa"/>
            <w:vAlign w:val="center"/>
          </w:tcPr>
          <w:p w14:paraId="49ACE9C9">
            <w:pPr>
              <w:snapToGrid w:val="0"/>
              <w:spacing w:line="360" w:lineRule="auto"/>
              <w:jc w:val="center"/>
              <w:rPr>
                <w:rFonts w:hAnsi="宋体" w:cs="宋体"/>
                <w:highlight w:val="none"/>
              </w:rPr>
            </w:pPr>
            <w:r>
              <w:rPr>
                <w:rFonts w:hint="eastAsia" w:hAnsi="宋体" w:cs="宋体"/>
                <w:highlight w:val="none"/>
              </w:rPr>
              <w:t>偏差</w:t>
            </w:r>
          </w:p>
        </w:tc>
        <w:tc>
          <w:tcPr>
            <w:tcW w:w="5684" w:type="dxa"/>
          </w:tcPr>
          <w:p w14:paraId="16756E39">
            <w:pPr>
              <w:snapToGrid w:val="0"/>
              <w:spacing w:line="360" w:lineRule="auto"/>
              <w:rPr>
                <w:rFonts w:hAnsi="宋体" w:cs="宋体"/>
                <w:highlight w:val="none"/>
              </w:rPr>
            </w:pPr>
            <w:r>
              <w:rPr>
                <w:rFonts w:hint="eastAsia" w:ascii="MS Mincho" w:hAnsi="MS Mincho" w:cs="MS Mincho"/>
                <w:highlight w:val="none"/>
                <w:lang w:eastAsia="zh-CN"/>
              </w:rPr>
              <w:t>☑</w:t>
            </w:r>
            <w:r>
              <w:rPr>
                <w:rFonts w:hint="eastAsia" w:hAnsi="宋体" w:cs="宋体"/>
                <w:highlight w:val="none"/>
              </w:rPr>
              <w:t>不允许</w:t>
            </w:r>
          </w:p>
          <w:p w14:paraId="3D8D4435">
            <w:pPr>
              <w:snapToGrid w:val="0"/>
              <w:spacing w:line="360" w:lineRule="auto"/>
              <w:rPr>
                <w:rFonts w:hAnsi="宋体" w:cs="宋体"/>
                <w:highlight w:val="none"/>
              </w:rPr>
            </w:pPr>
            <w:r>
              <w:rPr>
                <w:rFonts w:hint="eastAsia" w:hAnsi="宋体" w:cs="宋体"/>
                <w:highlight w:val="none"/>
                <w:lang w:eastAsia="zh-CN"/>
              </w:rPr>
              <w:t>□</w:t>
            </w:r>
            <w:r>
              <w:rPr>
                <w:rFonts w:hint="eastAsia" w:hAnsi="宋体" w:cs="宋体"/>
                <w:highlight w:val="none"/>
              </w:rPr>
              <w:t>允许，偏差范围：见招标文件第五章“供货要求”</w:t>
            </w:r>
          </w:p>
          <w:p w14:paraId="0627EAF1">
            <w:pPr>
              <w:snapToGrid w:val="0"/>
              <w:spacing w:line="360" w:lineRule="auto"/>
              <w:ind w:firstLine="960" w:firstLineChars="400"/>
              <w:rPr>
                <w:rFonts w:hAnsi="宋体" w:cs="宋体"/>
                <w:highlight w:val="none"/>
              </w:rPr>
            </w:pPr>
            <w:r>
              <w:rPr>
                <w:rFonts w:hint="eastAsia" w:hAnsi="宋体" w:cs="宋体"/>
                <w:highlight w:val="none"/>
              </w:rPr>
              <w:t>最高项数：见招标文件第五章“供货要求”</w:t>
            </w:r>
          </w:p>
        </w:tc>
      </w:tr>
      <w:tr w14:paraId="5BF2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6A772EBF">
            <w:pPr>
              <w:snapToGrid w:val="0"/>
              <w:spacing w:line="360" w:lineRule="auto"/>
              <w:jc w:val="center"/>
              <w:rPr>
                <w:rFonts w:hAnsi="宋体" w:cs="宋体"/>
                <w:highlight w:val="none"/>
              </w:rPr>
            </w:pPr>
            <w:r>
              <w:rPr>
                <w:rFonts w:hint="eastAsia" w:hAnsi="宋体" w:cs="宋体"/>
                <w:highlight w:val="none"/>
              </w:rPr>
              <w:t>2.1（7）</w:t>
            </w:r>
          </w:p>
        </w:tc>
        <w:tc>
          <w:tcPr>
            <w:tcW w:w="1776" w:type="dxa"/>
            <w:vAlign w:val="center"/>
          </w:tcPr>
          <w:p w14:paraId="0F908A11">
            <w:pPr>
              <w:snapToGrid w:val="0"/>
              <w:spacing w:line="360" w:lineRule="auto"/>
              <w:jc w:val="center"/>
              <w:rPr>
                <w:rFonts w:hAnsi="宋体" w:cs="宋体"/>
                <w:highlight w:val="none"/>
              </w:rPr>
            </w:pPr>
            <w:r>
              <w:rPr>
                <w:rFonts w:hint="eastAsia" w:hAnsi="宋体" w:cs="宋体"/>
                <w:highlight w:val="none"/>
              </w:rPr>
              <w:t>构成招标文件的其他材料</w:t>
            </w:r>
          </w:p>
        </w:tc>
        <w:tc>
          <w:tcPr>
            <w:tcW w:w="5684" w:type="dxa"/>
            <w:vAlign w:val="center"/>
          </w:tcPr>
          <w:p w14:paraId="2E20723C">
            <w:pPr>
              <w:snapToGrid w:val="0"/>
              <w:spacing w:line="360" w:lineRule="auto"/>
              <w:rPr>
                <w:rFonts w:hAnsi="宋体" w:cs="宋体"/>
                <w:highlight w:val="none"/>
              </w:rPr>
            </w:pPr>
            <w:r>
              <w:rPr>
                <w:rFonts w:hint="eastAsia" w:hAnsi="宋体" w:cs="宋体"/>
                <w:bCs/>
                <w:snapToGrid w:val="0"/>
                <w:highlight w:val="none"/>
                <w:u w:val="single"/>
              </w:rPr>
              <w:t>/</w:t>
            </w:r>
          </w:p>
        </w:tc>
      </w:tr>
      <w:tr w14:paraId="6256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230BA029">
            <w:pPr>
              <w:snapToGrid w:val="0"/>
              <w:spacing w:line="360" w:lineRule="auto"/>
              <w:jc w:val="center"/>
              <w:rPr>
                <w:rFonts w:hAnsi="宋体" w:cs="宋体"/>
                <w:highlight w:val="none"/>
              </w:rPr>
            </w:pPr>
            <w:r>
              <w:rPr>
                <w:rFonts w:hint="eastAsia" w:hAnsi="宋体" w:cs="宋体"/>
                <w:highlight w:val="none"/>
              </w:rPr>
              <w:t>2.2.1</w:t>
            </w:r>
          </w:p>
        </w:tc>
        <w:tc>
          <w:tcPr>
            <w:tcW w:w="1776" w:type="dxa"/>
            <w:vAlign w:val="center"/>
          </w:tcPr>
          <w:p w14:paraId="1C097134">
            <w:pPr>
              <w:snapToGrid w:val="0"/>
              <w:spacing w:line="360" w:lineRule="auto"/>
              <w:jc w:val="center"/>
              <w:rPr>
                <w:rFonts w:hAnsi="宋体" w:cs="宋体"/>
                <w:highlight w:val="none"/>
              </w:rPr>
            </w:pPr>
            <w:r>
              <w:rPr>
                <w:rFonts w:hint="eastAsia" w:hAnsi="宋体" w:cs="宋体"/>
                <w:highlight w:val="none"/>
              </w:rPr>
              <w:t>投标人要求澄清招标文件</w:t>
            </w:r>
          </w:p>
        </w:tc>
        <w:tc>
          <w:tcPr>
            <w:tcW w:w="5684" w:type="dxa"/>
            <w:vAlign w:val="center"/>
          </w:tcPr>
          <w:p w14:paraId="4CDF5907">
            <w:pPr>
              <w:snapToGrid w:val="0"/>
              <w:spacing w:line="360" w:lineRule="auto"/>
              <w:rPr>
                <w:rFonts w:hAnsi="宋体" w:cs="宋体"/>
                <w:highlight w:val="none"/>
              </w:rPr>
            </w:pPr>
            <w:r>
              <w:rPr>
                <w:rFonts w:hint="eastAsia" w:hAnsi="宋体" w:cs="宋体"/>
                <w:highlight w:val="none"/>
              </w:rPr>
              <w:t>时间：</w:t>
            </w:r>
            <w:r>
              <w:rPr>
                <w:rFonts w:hint="eastAsia" w:hAnsi="宋体" w:cs="宋体"/>
                <w:bCs/>
                <w:snapToGrid w:val="0"/>
                <w:highlight w:val="none"/>
                <w:u w:val="single"/>
              </w:rPr>
              <w:t>202</w:t>
            </w:r>
            <w:r>
              <w:rPr>
                <w:rFonts w:hint="eastAsia" w:hAnsi="宋体" w:cs="宋体"/>
                <w:bCs/>
                <w:snapToGrid w:val="0"/>
                <w:highlight w:val="none"/>
                <w:u w:val="single"/>
                <w:lang w:val="en-US" w:eastAsia="zh-CN"/>
              </w:rPr>
              <w:t>5</w:t>
            </w:r>
            <w:r>
              <w:rPr>
                <w:rFonts w:hint="eastAsia" w:hAnsi="宋体" w:cs="宋体"/>
                <w:bCs/>
                <w:snapToGrid w:val="0"/>
                <w:highlight w:val="none"/>
              </w:rPr>
              <w:t>年</w:t>
            </w:r>
            <w:r>
              <w:rPr>
                <w:rFonts w:hint="eastAsia" w:hAnsi="宋体" w:cs="宋体"/>
                <w:bCs/>
                <w:snapToGrid w:val="0"/>
                <w:highlight w:val="none"/>
                <w:u w:val="single"/>
                <w:lang w:val="en-US" w:eastAsia="zh-CN"/>
              </w:rPr>
              <w:t>12</w:t>
            </w:r>
            <w:r>
              <w:rPr>
                <w:rFonts w:hint="eastAsia" w:hAnsi="宋体" w:cs="宋体"/>
                <w:bCs/>
                <w:snapToGrid w:val="0"/>
                <w:highlight w:val="none"/>
              </w:rPr>
              <w:t>月</w:t>
            </w:r>
            <w:r>
              <w:rPr>
                <w:rFonts w:hint="eastAsia" w:hAnsi="宋体" w:cs="宋体"/>
                <w:bCs/>
                <w:snapToGrid w:val="0"/>
                <w:highlight w:val="none"/>
                <w:u w:val="single"/>
                <w:lang w:val="en-US" w:eastAsia="zh-CN"/>
              </w:rPr>
              <w:t xml:space="preserve">   </w:t>
            </w:r>
            <w:r>
              <w:rPr>
                <w:rFonts w:hint="eastAsia" w:hAnsi="宋体" w:cs="宋体"/>
                <w:bCs/>
                <w:snapToGrid w:val="0"/>
                <w:highlight w:val="none"/>
              </w:rPr>
              <w:t>日</w:t>
            </w:r>
            <w:r>
              <w:rPr>
                <w:rFonts w:hint="eastAsia" w:hAnsi="宋体" w:cs="宋体"/>
                <w:bCs/>
                <w:snapToGrid w:val="0"/>
                <w:highlight w:val="none"/>
                <w:u w:val="single"/>
              </w:rPr>
              <w:t>17</w:t>
            </w:r>
            <w:r>
              <w:rPr>
                <w:rFonts w:hint="eastAsia" w:hAnsi="宋体" w:cs="宋体"/>
                <w:bCs/>
                <w:snapToGrid w:val="0"/>
                <w:highlight w:val="none"/>
              </w:rPr>
              <w:t>时</w:t>
            </w:r>
            <w:r>
              <w:rPr>
                <w:rFonts w:hint="eastAsia" w:hAnsi="宋体" w:cs="宋体"/>
                <w:bCs/>
                <w:snapToGrid w:val="0"/>
                <w:highlight w:val="none"/>
                <w:u w:val="single"/>
              </w:rPr>
              <w:t>30</w:t>
            </w:r>
            <w:r>
              <w:rPr>
                <w:rFonts w:hint="eastAsia" w:hAnsi="宋体" w:cs="宋体"/>
                <w:bCs/>
                <w:snapToGrid w:val="0"/>
                <w:highlight w:val="none"/>
              </w:rPr>
              <w:t>分前。</w:t>
            </w:r>
          </w:p>
          <w:p w14:paraId="7A149D96">
            <w:pPr>
              <w:snapToGrid w:val="0"/>
              <w:spacing w:line="360" w:lineRule="auto"/>
              <w:rPr>
                <w:rFonts w:hAnsi="宋体" w:cs="宋体"/>
                <w:highlight w:val="none"/>
              </w:rPr>
            </w:pPr>
            <w:r>
              <w:rPr>
                <w:rFonts w:hint="eastAsia" w:hAnsi="宋体" w:cs="宋体"/>
                <w:bCs/>
                <w:snapToGrid w:val="0"/>
                <w:highlight w:val="none"/>
              </w:rPr>
              <w:t>形式：通过电子交易系统在线提出</w:t>
            </w:r>
          </w:p>
        </w:tc>
      </w:tr>
      <w:tr w14:paraId="5E02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8437D77">
            <w:pPr>
              <w:snapToGrid w:val="0"/>
              <w:spacing w:line="360" w:lineRule="auto"/>
              <w:jc w:val="center"/>
              <w:rPr>
                <w:rFonts w:hAnsi="宋体" w:cs="宋体"/>
                <w:highlight w:val="none"/>
              </w:rPr>
            </w:pPr>
            <w:r>
              <w:rPr>
                <w:rFonts w:hint="eastAsia" w:hAnsi="宋体" w:cs="宋体"/>
                <w:highlight w:val="none"/>
              </w:rPr>
              <w:t>2.2.2</w:t>
            </w:r>
          </w:p>
        </w:tc>
        <w:tc>
          <w:tcPr>
            <w:tcW w:w="1776" w:type="dxa"/>
            <w:vAlign w:val="center"/>
          </w:tcPr>
          <w:p w14:paraId="3D1DDE94">
            <w:pPr>
              <w:snapToGrid w:val="0"/>
              <w:spacing w:line="360" w:lineRule="auto"/>
              <w:jc w:val="center"/>
              <w:rPr>
                <w:rFonts w:hAnsi="宋体" w:cs="宋体"/>
                <w:highlight w:val="none"/>
              </w:rPr>
            </w:pPr>
            <w:r>
              <w:rPr>
                <w:rFonts w:hint="eastAsia" w:hAnsi="宋体" w:cs="宋体"/>
                <w:snapToGrid w:val="0"/>
                <w:highlight w:val="none"/>
              </w:rPr>
              <w:t>招标文件澄清发出的形式</w:t>
            </w:r>
          </w:p>
        </w:tc>
        <w:tc>
          <w:tcPr>
            <w:tcW w:w="5684" w:type="dxa"/>
            <w:vAlign w:val="center"/>
          </w:tcPr>
          <w:p w14:paraId="30EC336C">
            <w:pPr>
              <w:snapToGrid w:val="0"/>
              <w:spacing w:line="360" w:lineRule="auto"/>
              <w:rPr>
                <w:rFonts w:hAnsi="宋体" w:cs="宋体"/>
                <w:highlight w:val="none"/>
              </w:rPr>
            </w:pPr>
            <w:r>
              <w:rPr>
                <w:rFonts w:hint="eastAsia" w:hAnsi="宋体" w:cs="宋体"/>
                <w:snapToGrid w:val="0"/>
                <w:highlight w:val="none"/>
              </w:rPr>
              <w:t>通过</w:t>
            </w:r>
            <w:r>
              <w:rPr>
                <w:rFonts w:hint="eastAsia" w:hAnsi="宋体" w:cs="宋体"/>
                <w:bCs/>
                <w:snapToGrid w:val="0"/>
                <w:highlight w:val="none"/>
              </w:rPr>
              <w:t>电子服务系统</w:t>
            </w:r>
            <w:r>
              <w:rPr>
                <w:rFonts w:hint="eastAsia" w:hAnsi="宋体" w:cs="宋体"/>
                <w:snapToGrid w:val="0"/>
                <w:highlight w:val="none"/>
              </w:rPr>
              <w:t>发出</w:t>
            </w:r>
          </w:p>
        </w:tc>
      </w:tr>
      <w:tr w14:paraId="41B7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724A1F73">
            <w:pPr>
              <w:snapToGrid w:val="0"/>
              <w:spacing w:line="360" w:lineRule="auto"/>
              <w:ind w:left="120" w:leftChars="50" w:right="120" w:rightChars="50"/>
              <w:jc w:val="center"/>
              <w:rPr>
                <w:rFonts w:hAnsi="宋体" w:cs="宋体"/>
                <w:snapToGrid w:val="0"/>
                <w:highlight w:val="none"/>
              </w:rPr>
            </w:pPr>
            <w:r>
              <w:rPr>
                <w:rFonts w:hint="eastAsia" w:hAnsi="宋体" w:cs="宋体"/>
                <w:snapToGrid w:val="0"/>
                <w:highlight w:val="none"/>
              </w:rPr>
              <w:t>2.3.1</w:t>
            </w:r>
          </w:p>
        </w:tc>
        <w:tc>
          <w:tcPr>
            <w:tcW w:w="1776" w:type="dxa"/>
            <w:vAlign w:val="center"/>
          </w:tcPr>
          <w:p w14:paraId="5E87C141">
            <w:pPr>
              <w:kinsoku w:val="0"/>
              <w:overflowPunct w:val="0"/>
              <w:autoSpaceDE w:val="0"/>
              <w:autoSpaceDN w:val="0"/>
              <w:adjustRightInd w:val="0"/>
              <w:snapToGrid w:val="0"/>
              <w:spacing w:line="360" w:lineRule="auto"/>
              <w:ind w:right="-120" w:rightChars="-50"/>
              <w:jc w:val="center"/>
              <w:rPr>
                <w:rFonts w:hAnsi="宋体" w:cs="宋体"/>
                <w:snapToGrid w:val="0"/>
                <w:highlight w:val="none"/>
              </w:rPr>
            </w:pPr>
            <w:r>
              <w:rPr>
                <w:rFonts w:hint="eastAsia" w:hAnsi="宋体" w:cs="宋体"/>
                <w:snapToGrid w:val="0"/>
                <w:highlight w:val="none"/>
              </w:rPr>
              <w:t>招标文件修改发出的形式</w:t>
            </w:r>
          </w:p>
        </w:tc>
        <w:tc>
          <w:tcPr>
            <w:tcW w:w="5684" w:type="dxa"/>
            <w:vAlign w:val="center"/>
          </w:tcPr>
          <w:p w14:paraId="51C78B3C">
            <w:pPr>
              <w:autoSpaceDE w:val="0"/>
              <w:autoSpaceDN w:val="0"/>
              <w:adjustRightInd w:val="0"/>
              <w:snapToGrid w:val="0"/>
              <w:spacing w:line="360" w:lineRule="auto"/>
              <w:ind w:right="120" w:rightChars="50"/>
              <w:jc w:val="left"/>
              <w:rPr>
                <w:rFonts w:hAnsi="宋体" w:cs="宋体"/>
                <w:snapToGrid w:val="0"/>
                <w:highlight w:val="none"/>
              </w:rPr>
            </w:pPr>
            <w:r>
              <w:rPr>
                <w:rFonts w:hint="eastAsia" w:hAnsi="宋体" w:cs="宋体"/>
                <w:snapToGrid w:val="0"/>
                <w:highlight w:val="none"/>
              </w:rPr>
              <w:t>通过</w:t>
            </w:r>
            <w:r>
              <w:rPr>
                <w:rFonts w:hint="eastAsia" w:hAnsi="宋体" w:cs="宋体"/>
                <w:bCs/>
                <w:snapToGrid w:val="0"/>
                <w:highlight w:val="none"/>
              </w:rPr>
              <w:t>电子服务系统</w:t>
            </w:r>
            <w:r>
              <w:rPr>
                <w:rFonts w:hint="eastAsia" w:hAnsi="宋体" w:cs="宋体"/>
                <w:snapToGrid w:val="0"/>
                <w:highlight w:val="none"/>
              </w:rPr>
              <w:t>发出</w:t>
            </w:r>
          </w:p>
        </w:tc>
      </w:tr>
      <w:tr w14:paraId="6D2C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5A5698E6">
            <w:pPr>
              <w:snapToGrid w:val="0"/>
              <w:spacing w:line="360" w:lineRule="auto"/>
              <w:jc w:val="center"/>
              <w:rPr>
                <w:rFonts w:hAnsi="宋体" w:cs="宋体"/>
                <w:highlight w:val="none"/>
              </w:rPr>
            </w:pPr>
            <w:r>
              <w:rPr>
                <w:rFonts w:hint="eastAsia" w:hAnsi="宋体" w:cs="宋体"/>
                <w:highlight w:val="none"/>
              </w:rPr>
              <w:t>3.2.1</w:t>
            </w:r>
          </w:p>
        </w:tc>
        <w:tc>
          <w:tcPr>
            <w:tcW w:w="1776" w:type="dxa"/>
            <w:vAlign w:val="center"/>
          </w:tcPr>
          <w:p w14:paraId="0B8273D8">
            <w:pPr>
              <w:snapToGrid w:val="0"/>
              <w:spacing w:line="360" w:lineRule="auto"/>
              <w:jc w:val="center"/>
              <w:rPr>
                <w:rFonts w:hAnsi="宋体" w:cs="宋体"/>
                <w:highlight w:val="none"/>
              </w:rPr>
            </w:pPr>
            <w:r>
              <w:rPr>
                <w:rFonts w:hint="eastAsia" w:hAnsi="宋体" w:cs="宋体"/>
                <w:highlight w:val="none"/>
              </w:rPr>
              <w:t>增值税税金相关要求</w:t>
            </w:r>
          </w:p>
        </w:tc>
        <w:tc>
          <w:tcPr>
            <w:tcW w:w="5684" w:type="dxa"/>
            <w:vAlign w:val="center"/>
          </w:tcPr>
          <w:p w14:paraId="2D7E5E7E">
            <w:pPr>
              <w:snapToGrid w:val="0"/>
              <w:spacing w:line="360" w:lineRule="auto"/>
              <w:rPr>
                <w:rFonts w:hAnsi="宋体" w:cs="宋体"/>
                <w:bCs/>
                <w:snapToGrid w:val="0"/>
                <w:highlight w:val="none"/>
              </w:rPr>
            </w:pPr>
            <w:r>
              <w:rPr>
                <w:rFonts w:hint="eastAsia" w:ascii="Times New Roman" w:cs="宋体"/>
                <w:bCs/>
                <w:snapToGrid w:val="0"/>
                <w:szCs w:val="24"/>
                <w:highlight w:val="none"/>
              </w:rPr>
              <w:t>（1）</w:t>
            </w:r>
            <w:r>
              <w:rPr>
                <w:rFonts w:hint="eastAsia" w:hAnsi="宋体" w:cs="宋体"/>
                <w:bCs/>
                <w:snapToGrid w:val="0"/>
                <w:highlight w:val="none"/>
              </w:rPr>
              <w:t>计税方法：</w:t>
            </w:r>
          </w:p>
          <w:p w14:paraId="5AE72831">
            <w:pPr>
              <w:snapToGrid w:val="0"/>
              <w:spacing w:line="360" w:lineRule="auto"/>
              <w:rPr>
                <w:rFonts w:hAnsi="宋体" w:cs="宋体"/>
                <w:bCs/>
                <w:snapToGrid w:val="0"/>
                <w:highlight w:val="none"/>
              </w:rPr>
            </w:pPr>
            <w:r>
              <w:rPr>
                <w:rFonts w:hint="eastAsia" w:ascii="MS Mincho" w:hAnsi="MS Mincho" w:eastAsia="MS Mincho" w:cs="MS Mincho"/>
                <w:highlight w:val="none"/>
              </w:rPr>
              <w:t>☑</w:t>
            </w:r>
            <w:r>
              <w:rPr>
                <w:rFonts w:hint="eastAsia" w:hAnsi="宋体" w:cs="宋体"/>
                <w:bCs/>
                <w:snapToGrid w:val="0"/>
                <w:highlight w:val="none"/>
              </w:rPr>
              <w:t>一般计税方法</w:t>
            </w:r>
          </w:p>
          <w:p w14:paraId="33617FAD">
            <w:pPr>
              <w:snapToGrid w:val="0"/>
              <w:spacing w:line="360" w:lineRule="auto"/>
              <w:rPr>
                <w:rFonts w:hAnsi="宋体" w:cs="宋体"/>
                <w:bCs/>
                <w:snapToGrid w:val="0"/>
                <w:highlight w:val="none"/>
              </w:rPr>
            </w:pPr>
            <w:r>
              <w:rPr>
                <w:rFonts w:hint="eastAsia" w:hAnsi="宋体" w:cs="宋体"/>
                <w:bCs/>
                <w:snapToGrid w:val="0"/>
                <w:highlight w:val="none"/>
              </w:rPr>
              <w:t xml:space="preserve">□简易计算方法 </w:t>
            </w:r>
          </w:p>
          <w:p w14:paraId="23A92B93">
            <w:pPr>
              <w:snapToGrid w:val="0"/>
              <w:spacing w:line="360" w:lineRule="auto"/>
              <w:rPr>
                <w:rFonts w:hAnsi="宋体" w:cs="宋体"/>
                <w:bCs/>
                <w:snapToGrid w:val="0"/>
                <w:highlight w:val="none"/>
              </w:rPr>
            </w:pPr>
            <w:r>
              <w:rPr>
                <w:rFonts w:hint="eastAsia" w:ascii="Times New Roman" w:cs="宋体"/>
                <w:bCs/>
                <w:snapToGrid w:val="0"/>
                <w:szCs w:val="24"/>
                <w:highlight w:val="none"/>
              </w:rPr>
              <w:t>（2）</w:t>
            </w:r>
            <w:r>
              <w:rPr>
                <w:rFonts w:hint="eastAsia" w:hAnsi="宋体" w:cs="宋体"/>
                <w:bCs/>
                <w:snapToGrid w:val="0"/>
                <w:highlight w:val="none"/>
              </w:rPr>
              <w:t>发票类型：</w:t>
            </w:r>
          </w:p>
          <w:p w14:paraId="466F2418">
            <w:pPr>
              <w:snapToGrid w:val="0"/>
              <w:spacing w:line="360" w:lineRule="auto"/>
              <w:rPr>
                <w:rFonts w:hAnsi="宋体" w:cs="宋体"/>
                <w:bCs/>
                <w:snapToGrid w:val="0"/>
                <w:highlight w:val="none"/>
              </w:rPr>
            </w:pPr>
            <w:r>
              <w:rPr>
                <w:rFonts w:hint="eastAsia" w:ascii="MS Mincho" w:hAnsi="MS Mincho" w:eastAsia="MS Mincho" w:cs="MS Mincho"/>
                <w:highlight w:val="none"/>
              </w:rPr>
              <w:t>☑</w:t>
            </w:r>
            <w:r>
              <w:rPr>
                <w:rFonts w:hint="eastAsia" w:hAnsi="宋体" w:cs="宋体"/>
                <w:bCs/>
                <w:snapToGrid w:val="0"/>
                <w:highlight w:val="none"/>
              </w:rPr>
              <w:t>增值税专用发票</w:t>
            </w:r>
          </w:p>
          <w:p w14:paraId="554C8241">
            <w:pPr>
              <w:snapToGrid w:val="0"/>
              <w:spacing w:line="360" w:lineRule="auto"/>
              <w:rPr>
                <w:rFonts w:hAnsi="宋体" w:cs="宋体"/>
                <w:bCs/>
                <w:snapToGrid w:val="0"/>
                <w:highlight w:val="none"/>
              </w:rPr>
            </w:pPr>
            <w:r>
              <w:rPr>
                <w:rFonts w:hint="eastAsia" w:hAnsi="宋体" w:cs="宋体"/>
                <w:bCs/>
                <w:snapToGrid w:val="0"/>
                <w:highlight w:val="none"/>
              </w:rPr>
              <w:t>□增值税普通发票</w:t>
            </w:r>
          </w:p>
          <w:p w14:paraId="04CB3055">
            <w:pPr>
              <w:snapToGrid w:val="0"/>
              <w:spacing w:line="360" w:lineRule="auto"/>
              <w:rPr>
                <w:rFonts w:hAnsi="宋体" w:cs="宋体"/>
                <w:bCs/>
                <w:snapToGrid w:val="0"/>
                <w:highlight w:val="none"/>
              </w:rPr>
            </w:pPr>
            <w:r>
              <w:rPr>
                <w:rFonts w:hint="eastAsia" w:ascii="Times New Roman" w:cs="宋体"/>
                <w:bCs/>
                <w:snapToGrid w:val="0"/>
                <w:szCs w:val="24"/>
                <w:highlight w:val="none"/>
              </w:rPr>
              <w:t>（3）</w:t>
            </w:r>
            <w:r>
              <w:rPr>
                <w:rFonts w:hint="eastAsia" w:hAnsi="宋体" w:cs="宋体"/>
                <w:bCs/>
                <w:snapToGrid w:val="0"/>
                <w:highlight w:val="none"/>
              </w:rPr>
              <w:t>增值税税率按照国家有关规定执行。</w:t>
            </w:r>
          </w:p>
          <w:p w14:paraId="17F37B70">
            <w:pPr>
              <w:snapToGrid w:val="0"/>
              <w:spacing w:line="360" w:lineRule="auto"/>
              <w:rPr>
                <w:rFonts w:hAnsi="宋体" w:cs="宋体"/>
                <w:bCs/>
                <w:snapToGrid w:val="0"/>
                <w:highlight w:val="none"/>
              </w:rPr>
            </w:pPr>
            <w:r>
              <w:rPr>
                <w:rFonts w:hint="eastAsia" w:ascii="Times New Roman" w:cs="宋体"/>
                <w:bCs/>
                <w:snapToGrid w:val="0"/>
                <w:szCs w:val="24"/>
                <w:highlight w:val="none"/>
              </w:rPr>
              <w:t>（4）</w:t>
            </w:r>
            <w:r>
              <w:rPr>
                <w:rFonts w:hint="eastAsia" w:hAnsi="宋体" w:cs="宋体"/>
                <w:bCs/>
                <w:snapToGrid w:val="0"/>
                <w:highlight w:val="none"/>
              </w:rPr>
              <w:t>注册地不在合肥市行政区域范围（含四县一市）的中标人，应按照国家税务总局规定，在建筑服务发生地及时足额预缴增值税。</w:t>
            </w:r>
          </w:p>
        </w:tc>
      </w:tr>
      <w:tr w14:paraId="569B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6EB952AD">
            <w:pPr>
              <w:snapToGrid w:val="0"/>
              <w:spacing w:line="360" w:lineRule="auto"/>
              <w:jc w:val="center"/>
              <w:rPr>
                <w:rFonts w:hAnsi="宋体" w:cs="宋体"/>
                <w:highlight w:val="none"/>
              </w:rPr>
            </w:pPr>
            <w:r>
              <w:rPr>
                <w:rFonts w:hint="eastAsia" w:hAnsi="宋体" w:cs="宋体"/>
                <w:highlight w:val="none"/>
              </w:rPr>
              <w:t>3.2.4</w:t>
            </w:r>
          </w:p>
        </w:tc>
        <w:tc>
          <w:tcPr>
            <w:tcW w:w="1776" w:type="dxa"/>
            <w:vAlign w:val="center"/>
          </w:tcPr>
          <w:p w14:paraId="2D65A31B">
            <w:pPr>
              <w:snapToGrid w:val="0"/>
              <w:spacing w:line="360" w:lineRule="auto"/>
              <w:jc w:val="center"/>
              <w:rPr>
                <w:rFonts w:hAnsi="宋体" w:cs="宋体"/>
                <w:highlight w:val="none"/>
              </w:rPr>
            </w:pPr>
            <w:r>
              <w:rPr>
                <w:rFonts w:hint="eastAsia" w:hAnsi="宋体" w:cs="宋体"/>
                <w:highlight w:val="none"/>
              </w:rPr>
              <w:t>最高投标限价</w:t>
            </w:r>
          </w:p>
        </w:tc>
        <w:tc>
          <w:tcPr>
            <w:tcW w:w="5684" w:type="dxa"/>
            <w:vAlign w:val="center"/>
          </w:tcPr>
          <w:p w14:paraId="1700CFA1">
            <w:pPr>
              <w:snapToGrid w:val="0"/>
              <w:spacing w:line="360" w:lineRule="auto"/>
              <w:rPr>
                <w:rFonts w:hAnsi="宋体" w:cs="宋体"/>
                <w:bCs/>
                <w:snapToGrid w:val="0"/>
                <w:highlight w:val="none"/>
              </w:rPr>
            </w:pPr>
            <w:r>
              <w:rPr>
                <w:rFonts w:hint="eastAsia" w:hAnsi="宋体" w:cs="宋体"/>
                <w:bCs/>
                <w:snapToGrid w:val="0"/>
                <w:highlight w:val="none"/>
              </w:rPr>
              <w:t>□无</w:t>
            </w:r>
          </w:p>
          <w:p w14:paraId="09935B4A">
            <w:pPr>
              <w:snapToGrid w:val="0"/>
              <w:spacing w:line="360" w:lineRule="auto"/>
              <w:rPr>
                <w:rFonts w:hAnsi="宋体" w:cs="宋体"/>
                <w:bCs/>
                <w:snapToGrid w:val="0"/>
                <w:highlight w:val="none"/>
              </w:rPr>
            </w:pPr>
            <w:r>
              <w:rPr>
                <w:rFonts w:hint="eastAsia" w:ascii="MS Mincho" w:hAnsi="MS Mincho" w:eastAsia="MS Mincho" w:cs="MS Mincho"/>
                <w:highlight w:val="none"/>
              </w:rPr>
              <w:t>☑</w:t>
            </w:r>
            <w:r>
              <w:rPr>
                <w:rFonts w:hint="eastAsia" w:hAnsi="宋体" w:cs="宋体"/>
                <w:bCs/>
                <w:snapToGrid w:val="0"/>
                <w:highlight w:val="none"/>
              </w:rPr>
              <w:t>有，最高投标限价：</w:t>
            </w:r>
            <w:r>
              <w:rPr>
                <w:rFonts w:hint="eastAsia" w:hAnsi="宋体" w:cs="宋体"/>
                <w:bCs/>
                <w:snapToGrid w:val="0"/>
                <w:highlight w:val="none"/>
                <w:u w:val="single"/>
                <w:lang w:val="en-US" w:eastAsia="zh-CN"/>
              </w:rPr>
              <w:t>364.49458</w:t>
            </w:r>
            <w:r>
              <w:rPr>
                <w:rFonts w:hint="eastAsia" w:hAnsi="宋体" w:cs="宋体"/>
                <w:bCs/>
                <w:snapToGrid w:val="0"/>
                <w:highlight w:val="none"/>
                <w:u w:val="single"/>
              </w:rPr>
              <w:t>万元</w:t>
            </w:r>
          </w:p>
        </w:tc>
      </w:tr>
      <w:tr w14:paraId="2886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6F5555D">
            <w:pPr>
              <w:snapToGrid w:val="0"/>
              <w:spacing w:line="360" w:lineRule="auto"/>
              <w:jc w:val="center"/>
              <w:rPr>
                <w:rFonts w:hAnsi="宋体" w:cs="宋体"/>
                <w:highlight w:val="none"/>
              </w:rPr>
            </w:pPr>
            <w:r>
              <w:rPr>
                <w:rFonts w:hint="eastAsia" w:hAnsi="宋体" w:cs="宋体"/>
                <w:highlight w:val="none"/>
              </w:rPr>
              <w:t>3.2.5</w:t>
            </w:r>
          </w:p>
        </w:tc>
        <w:tc>
          <w:tcPr>
            <w:tcW w:w="1776" w:type="dxa"/>
            <w:vAlign w:val="center"/>
          </w:tcPr>
          <w:p w14:paraId="737A43B1">
            <w:pPr>
              <w:snapToGrid w:val="0"/>
              <w:spacing w:line="360" w:lineRule="auto"/>
              <w:jc w:val="center"/>
              <w:rPr>
                <w:rFonts w:hAnsi="宋体" w:cs="宋体"/>
                <w:highlight w:val="none"/>
              </w:rPr>
            </w:pPr>
            <w:r>
              <w:rPr>
                <w:rFonts w:hint="eastAsia" w:hAnsi="宋体" w:cs="宋体"/>
                <w:highlight w:val="none"/>
              </w:rPr>
              <w:t>投标报价的其他要求</w:t>
            </w:r>
          </w:p>
        </w:tc>
        <w:tc>
          <w:tcPr>
            <w:tcW w:w="5684" w:type="dxa"/>
            <w:vAlign w:val="center"/>
          </w:tcPr>
          <w:p w14:paraId="5E9A7A63">
            <w:pPr>
              <w:snapToGrid w:val="0"/>
              <w:spacing w:line="360" w:lineRule="auto"/>
              <w:rPr>
                <w:rFonts w:hAnsi="宋体" w:cs="宋体"/>
                <w:bCs/>
                <w:snapToGrid w:val="0"/>
                <w:highlight w:val="none"/>
              </w:rPr>
            </w:pPr>
            <w:r>
              <w:rPr>
                <w:rFonts w:hint="eastAsia" w:hAnsi="宋体" w:cs="宋体"/>
                <w:bCs/>
                <w:snapToGrid w:val="0"/>
                <w:highlight w:val="none"/>
                <w:u w:val="single"/>
              </w:rPr>
              <w:t xml:space="preserve">   /   </w:t>
            </w:r>
          </w:p>
        </w:tc>
      </w:tr>
      <w:tr w14:paraId="3C4B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D9C8759">
            <w:pPr>
              <w:snapToGrid w:val="0"/>
              <w:spacing w:line="360" w:lineRule="auto"/>
              <w:jc w:val="center"/>
              <w:rPr>
                <w:rFonts w:hAnsi="宋体" w:cs="宋体"/>
                <w:highlight w:val="none"/>
              </w:rPr>
            </w:pPr>
            <w:r>
              <w:rPr>
                <w:rFonts w:hint="eastAsia" w:hAnsi="宋体" w:cs="宋体"/>
                <w:highlight w:val="none"/>
              </w:rPr>
              <w:t>3.3.1</w:t>
            </w:r>
          </w:p>
        </w:tc>
        <w:tc>
          <w:tcPr>
            <w:tcW w:w="1776" w:type="dxa"/>
            <w:vAlign w:val="center"/>
          </w:tcPr>
          <w:p w14:paraId="0BBBCFC6">
            <w:pPr>
              <w:snapToGrid w:val="0"/>
              <w:spacing w:line="360" w:lineRule="auto"/>
              <w:jc w:val="center"/>
              <w:rPr>
                <w:rFonts w:hAnsi="宋体" w:cs="宋体"/>
                <w:highlight w:val="none"/>
              </w:rPr>
            </w:pPr>
            <w:r>
              <w:rPr>
                <w:rFonts w:hint="eastAsia" w:hAnsi="宋体" w:cs="宋体"/>
                <w:highlight w:val="none"/>
              </w:rPr>
              <w:t>投标有效期</w:t>
            </w:r>
          </w:p>
        </w:tc>
        <w:tc>
          <w:tcPr>
            <w:tcW w:w="5684" w:type="dxa"/>
            <w:vAlign w:val="center"/>
          </w:tcPr>
          <w:p w14:paraId="3E34764C">
            <w:pPr>
              <w:snapToGrid w:val="0"/>
              <w:spacing w:line="360" w:lineRule="auto"/>
              <w:rPr>
                <w:rFonts w:hAnsi="宋体" w:cs="宋体"/>
                <w:snapToGrid w:val="0"/>
                <w:highlight w:val="none"/>
              </w:rPr>
            </w:pPr>
            <w:r>
              <w:rPr>
                <w:rFonts w:hint="eastAsia" w:hAnsi="宋体" w:cs="宋体"/>
                <w:snapToGrid w:val="0"/>
                <w:highlight w:val="none"/>
              </w:rPr>
              <w:t>自投标人递交投标文件截止之日起计算</w:t>
            </w:r>
            <w:r>
              <w:rPr>
                <w:rFonts w:hint="eastAsia" w:hAnsi="宋体" w:cs="宋体"/>
                <w:bCs/>
                <w:snapToGrid w:val="0"/>
                <w:highlight w:val="none"/>
                <w:u w:val="single"/>
              </w:rPr>
              <w:t xml:space="preserve"> 120 </w:t>
            </w:r>
            <w:r>
              <w:rPr>
                <w:rFonts w:hint="eastAsia" w:hAnsi="宋体" w:cs="宋体"/>
                <w:snapToGrid w:val="0"/>
                <w:highlight w:val="none"/>
              </w:rPr>
              <w:t>日</w:t>
            </w:r>
          </w:p>
        </w:tc>
      </w:tr>
      <w:tr w14:paraId="795B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365643BE">
            <w:pPr>
              <w:snapToGrid w:val="0"/>
              <w:spacing w:line="360" w:lineRule="auto"/>
              <w:jc w:val="center"/>
              <w:rPr>
                <w:rFonts w:hAnsi="宋体" w:cs="宋体"/>
                <w:highlight w:val="none"/>
              </w:rPr>
            </w:pPr>
            <w:r>
              <w:rPr>
                <w:rFonts w:hint="eastAsia" w:hAnsi="宋体" w:cs="宋体"/>
                <w:highlight w:val="none"/>
              </w:rPr>
              <w:t>3.4.1</w:t>
            </w:r>
          </w:p>
        </w:tc>
        <w:tc>
          <w:tcPr>
            <w:tcW w:w="1776" w:type="dxa"/>
            <w:vAlign w:val="center"/>
          </w:tcPr>
          <w:p w14:paraId="080C239E">
            <w:pPr>
              <w:snapToGrid w:val="0"/>
              <w:spacing w:line="360" w:lineRule="auto"/>
              <w:jc w:val="center"/>
              <w:rPr>
                <w:rFonts w:hAnsi="宋体" w:cs="宋体"/>
                <w:highlight w:val="none"/>
              </w:rPr>
            </w:pPr>
            <w:r>
              <w:rPr>
                <w:rFonts w:hint="eastAsia" w:hAnsi="宋体" w:cs="宋体"/>
                <w:bCs/>
                <w:szCs w:val="24"/>
                <w:highlight w:val="none"/>
              </w:rPr>
              <w:t>投标保证金</w:t>
            </w:r>
          </w:p>
        </w:tc>
        <w:tc>
          <w:tcPr>
            <w:tcW w:w="5684" w:type="dxa"/>
            <w:vAlign w:val="center"/>
          </w:tcPr>
          <w:p w14:paraId="4E48FCFC">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是否要求投标人提交投标保证金：</w:t>
            </w:r>
          </w:p>
          <w:p w14:paraId="170A16B4">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sym w:font="Wingdings 2" w:char="00A3"/>
            </w:r>
            <w:r>
              <w:rPr>
                <w:rFonts w:hint="eastAsia" w:ascii="Times New Roman" w:cs="宋体"/>
                <w:bCs/>
                <w:sz w:val="24"/>
                <w:szCs w:val="24"/>
                <w:highlight w:val="none"/>
              </w:rPr>
              <w:t>不要求</w:t>
            </w:r>
          </w:p>
          <w:p w14:paraId="012AC6AD">
            <w:pPr>
              <w:snapToGrid w:val="0"/>
              <w:spacing w:line="360" w:lineRule="auto"/>
              <w:rPr>
                <w:rFonts w:hint="eastAsia" w:ascii="Times New Roman" w:cs="宋体"/>
                <w:bCs/>
                <w:sz w:val="24"/>
                <w:szCs w:val="24"/>
                <w:highlight w:val="none"/>
              </w:rPr>
            </w:pPr>
            <w:r>
              <w:rPr>
                <w:rFonts w:hint="eastAsia" w:hAnsi="宋体"/>
                <w:b/>
                <w:bCs/>
                <w:szCs w:val="21"/>
                <w:highlight w:val="none"/>
              </w:rPr>
              <w:sym w:font="Wingdings" w:char="F0FE"/>
            </w:r>
            <w:r>
              <w:rPr>
                <w:rFonts w:hint="eastAsia" w:ascii="Times New Roman" w:cs="宋体"/>
                <w:bCs/>
                <w:sz w:val="24"/>
                <w:szCs w:val="24"/>
                <w:highlight w:val="none"/>
              </w:rPr>
              <w:t>要求，具体如下：</w:t>
            </w:r>
          </w:p>
          <w:p w14:paraId="7AD54365">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（1）投标保证金的金额：</w:t>
            </w:r>
            <w:r>
              <w:rPr>
                <w:rFonts w:hint="eastAsia" w:ascii="Times New Roman" w:cs="宋体"/>
                <w:bCs/>
                <w:sz w:val="24"/>
                <w:szCs w:val="24"/>
                <w:highlight w:val="none"/>
                <w:u w:val="single"/>
              </w:rPr>
              <w:t xml:space="preserve"> </w:t>
            </w:r>
            <w:r>
              <w:rPr>
                <w:rFonts w:hint="eastAsia" w:ascii="Times New Roman" w:cs="宋体"/>
                <w:bCs/>
                <w:sz w:val="24"/>
                <w:szCs w:val="24"/>
                <w:highlight w:val="none"/>
                <w:u w:val="single"/>
                <w:lang w:val="en-US" w:eastAsia="zh-CN"/>
              </w:rPr>
              <w:t>6</w:t>
            </w:r>
            <w:r>
              <w:rPr>
                <w:rFonts w:hint="eastAsia" w:ascii="Times New Roman" w:cs="宋体"/>
                <w:bCs/>
                <w:sz w:val="24"/>
                <w:szCs w:val="24"/>
                <w:highlight w:val="none"/>
                <w:u w:val="single"/>
              </w:rPr>
              <w:t>万元</w:t>
            </w:r>
          </w:p>
          <w:p w14:paraId="173E1339">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（2）投标保证金的形式：</w:t>
            </w:r>
          </w:p>
          <w:p w14:paraId="52EA83C3">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sym w:font="Wingdings 2" w:char="0052"/>
            </w:r>
            <w:r>
              <w:rPr>
                <w:rFonts w:hint="eastAsia" w:ascii="Times New Roman" w:cs="宋体"/>
                <w:bCs/>
                <w:sz w:val="24"/>
                <w:szCs w:val="24"/>
                <w:highlight w:val="none"/>
              </w:rPr>
              <w:t>电子保函</w:t>
            </w:r>
          </w:p>
          <w:p w14:paraId="1728FB54">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sym w:font="Wingdings 2" w:char="0052"/>
            </w:r>
            <w:r>
              <w:rPr>
                <w:rFonts w:hint="eastAsia" w:ascii="Times New Roman" w:cs="宋体"/>
                <w:bCs/>
                <w:sz w:val="24"/>
                <w:szCs w:val="24"/>
                <w:highlight w:val="none"/>
              </w:rPr>
              <w:t>现金（银行转账、银行电汇）</w:t>
            </w:r>
          </w:p>
          <w:p w14:paraId="2DAEA4D9">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sym w:font="Wingdings 2" w:char="0052"/>
            </w:r>
            <w:r>
              <w:rPr>
                <w:rFonts w:hint="eastAsia" w:ascii="Times New Roman" w:cs="宋体"/>
                <w:bCs/>
                <w:sz w:val="24"/>
                <w:szCs w:val="24"/>
                <w:highlight w:val="none"/>
              </w:rPr>
              <w:t>纸质保函（纸质银行保函、纸质担保机构担保、纸质保证保险）</w:t>
            </w:r>
          </w:p>
          <w:p w14:paraId="1A8A550C">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（3）具体要求：</w:t>
            </w:r>
          </w:p>
          <w:p w14:paraId="2B8D04F7">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5387C581">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②采用纸质银行保函的，应为投标人基本存款账户开户行出具的不可撤销、不可转让的见索即付独立保函。</w:t>
            </w:r>
          </w:p>
          <w:p w14:paraId="6472751F">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③采用纸质担保机构担保的，应为经安徽省地方金融监督管理局审查批准，依法取得融资担保业务经营许可证的融资担保机构出具的不可撤销、不可转让的见索即付独立保函。</w:t>
            </w:r>
          </w:p>
          <w:p w14:paraId="4252C971">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④采用纸质保证保险的，应为保险公司出具的不可撤销、不可转让的见索即付保证保险。</w:t>
            </w:r>
          </w:p>
          <w:p w14:paraId="360A23C6">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14:paraId="4E855BF2">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⑥采用电子保函的，请登录全国公共资源交易平台（安徽省•合肥市）（安徽合肥公共资源交易中心网站）“电子保函”栏目查看《合肥市（信易贷）电子保函平台投标保函操作手册》并按照操作手册规定内容办理。</w:t>
            </w:r>
          </w:p>
          <w:p w14:paraId="66479625">
            <w:pPr>
              <w:pStyle w:val="2"/>
              <w:spacing w:before="0" w:after="0" w:line="360" w:lineRule="auto"/>
              <w:ind w:firstLine="118"/>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（4）是否适用免缴投标保证金政策：</w:t>
            </w:r>
          </w:p>
          <w:p w14:paraId="5DFEC1A2">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sym w:font="Wingdings 2" w:char="00A3"/>
            </w:r>
            <w:r>
              <w:rPr>
                <w:rFonts w:hint="eastAsia" w:ascii="Times New Roman" w:cs="宋体"/>
                <w:bCs/>
                <w:sz w:val="24"/>
                <w:szCs w:val="24"/>
                <w:highlight w:val="none"/>
              </w:rPr>
              <w:t>不适用</w:t>
            </w:r>
          </w:p>
          <w:p w14:paraId="536E3007">
            <w:pPr>
              <w:pStyle w:val="19"/>
              <w:spacing w:after="0" w:line="360" w:lineRule="auto"/>
              <w:rPr>
                <w:rFonts w:hint="eastAsia" w:cs="宋体"/>
                <w:bCs/>
                <w:sz w:val="24"/>
                <w:szCs w:val="24"/>
                <w:highlight w:val="none"/>
                <w:lang w:val="en-US" w:eastAsia="zh-CN"/>
              </w:rPr>
            </w:pPr>
            <w:r>
              <w:rPr>
                <w:rFonts w:hint="eastAsia" w:cs="宋体"/>
                <w:b/>
                <w:bCs/>
                <w:sz w:val="24"/>
                <w:szCs w:val="24"/>
                <w:highlight w:val="none"/>
                <w:lang w:val="en-US" w:eastAsia="zh-CN"/>
              </w:rPr>
              <w:sym w:font="Wingdings" w:char="F0FE"/>
            </w:r>
            <w:r>
              <w:rPr>
                <w:rFonts w:hint="eastAsia" w:cs="宋体"/>
                <w:bCs/>
                <w:sz w:val="24"/>
                <w:szCs w:val="24"/>
                <w:highlight w:val="none"/>
                <w:lang w:val="en-US" w:eastAsia="zh-CN"/>
              </w:rPr>
              <w:t>适用，适用免缴投标保证金的情形：</w:t>
            </w:r>
            <w:r>
              <w:rPr>
                <w:rFonts w:hint="eastAsia" w:cs="宋体"/>
                <w:b/>
                <w:bCs/>
                <w:sz w:val="24"/>
                <w:szCs w:val="24"/>
                <w:highlight w:val="none"/>
                <w:u w:val="single"/>
                <w:lang w:val="en-US" w:eastAsia="zh-CN"/>
              </w:rPr>
              <w:t>投标人按招标文件第六章“投标人免缴投标保证金信用承诺函”格式进行承诺后，免缴投标保证金。</w:t>
            </w:r>
          </w:p>
          <w:p w14:paraId="5F9EA443">
            <w:pPr>
              <w:spacing w:line="360" w:lineRule="auto"/>
              <w:rPr>
                <w:rFonts w:hint="eastAsia" w:ascii="Times New Roman" w:cs="宋体"/>
                <w:bCs/>
                <w:sz w:val="24"/>
                <w:szCs w:val="24"/>
                <w:highlight w:val="none"/>
              </w:rPr>
            </w:pPr>
            <w:r>
              <w:rPr>
                <w:rFonts w:hint="eastAsia" w:ascii="Times New Roman" w:cs="宋体"/>
                <w:bCs/>
                <w:sz w:val="24"/>
                <w:szCs w:val="24"/>
                <w:highlight w:val="none"/>
              </w:rPr>
              <w:t>（5）其他要求：</w:t>
            </w:r>
          </w:p>
          <w:p w14:paraId="3303CC3C">
            <w:pPr>
              <w:spacing w:line="360" w:lineRule="auto"/>
              <w:rPr>
                <w:rFonts w:hint="eastAsia" w:ascii="Times New Roman" w:cs="宋体"/>
                <w:bCs/>
                <w:sz w:val="24"/>
                <w:szCs w:val="24"/>
                <w:highlight w:val="none"/>
              </w:rPr>
            </w:pPr>
            <w:r>
              <w:rPr>
                <w:rFonts w:hint="eastAsia" w:ascii="Times New Roman" w:cs="宋体"/>
                <w:bCs/>
                <w:sz w:val="24"/>
                <w:szCs w:val="24"/>
                <w:highlight w:val="none"/>
              </w:rPr>
              <w:t>①特别提醒</w:t>
            </w:r>
          </w:p>
          <w:p w14:paraId="19754911">
            <w:pPr>
              <w:spacing w:line="360" w:lineRule="auto"/>
              <w:rPr>
                <w:rFonts w:hint="eastAsia" w:ascii="Times New Roman" w:cs="宋体"/>
                <w:bCs/>
                <w:sz w:val="24"/>
                <w:szCs w:val="24"/>
                <w:highlight w:val="none"/>
              </w:rPr>
            </w:pPr>
            <w:r>
              <w:rPr>
                <w:rFonts w:hint="eastAsia" w:ascii="Times New Roman" w:cs="宋体"/>
                <w:bCs/>
                <w:sz w:val="24"/>
                <w:szCs w:val="24"/>
                <w:highlight w:val="none"/>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14:paraId="3AFA71F9">
            <w:pPr>
              <w:spacing w:line="360" w:lineRule="auto"/>
              <w:rPr>
                <w:rFonts w:hint="eastAsia" w:ascii="Times New Roman" w:cs="宋体"/>
                <w:bCs/>
                <w:sz w:val="24"/>
                <w:szCs w:val="24"/>
                <w:highlight w:val="none"/>
              </w:rPr>
            </w:pPr>
            <w:r>
              <w:rPr>
                <w:rFonts w:hint="eastAsia" w:ascii="Times New Roman" w:cs="宋体"/>
                <w:bCs/>
                <w:sz w:val="24"/>
                <w:szCs w:val="24"/>
                <w:highlight w:val="none"/>
              </w:rPr>
              <w:t>②投标保证金弄虚作假情形</w:t>
            </w:r>
          </w:p>
          <w:p w14:paraId="65938242">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14:paraId="33232C3D">
            <w:pPr>
              <w:snapToGrid w:val="0"/>
              <w:spacing w:line="360" w:lineRule="auto"/>
              <w:rPr>
                <w:rFonts w:hint="eastAsia" w:ascii="Times New Roman" w:cs="宋体"/>
                <w:bCs/>
                <w:sz w:val="24"/>
                <w:szCs w:val="24"/>
                <w:highlight w:val="none"/>
                <w:u w:val="single"/>
              </w:rPr>
            </w:pPr>
            <w:r>
              <w:rPr>
                <w:rFonts w:hint="eastAsia" w:ascii="Times New Roman" w:cs="宋体"/>
                <w:bCs/>
                <w:sz w:val="24"/>
                <w:szCs w:val="24"/>
                <w:highlight w:val="none"/>
              </w:rPr>
              <w:t>（6）投标保证金注意事项：</w:t>
            </w:r>
          </w:p>
          <w:p w14:paraId="01723A30">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①投标人采用纸质保函形式的，须提供明确有效的查询途径（网址链接及查询方式），否则无效。</w:t>
            </w:r>
          </w:p>
          <w:p w14:paraId="521F3759">
            <w:pPr>
              <w:snapToGrid w:val="0"/>
              <w:spacing w:line="360" w:lineRule="auto"/>
              <w:rPr>
                <w:rFonts w:hint="eastAsia" w:ascii="Times New Roman" w:cs="宋体"/>
                <w:bCs/>
                <w:sz w:val="24"/>
                <w:szCs w:val="24"/>
                <w:highlight w:val="none"/>
              </w:rPr>
            </w:pPr>
            <w:r>
              <w:rPr>
                <w:rFonts w:hint="eastAsia" w:ascii="Times New Roman" w:cs="宋体"/>
                <w:bCs/>
                <w:sz w:val="24"/>
                <w:szCs w:val="24"/>
                <w:highlight w:val="none"/>
              </w:rPr>
              <w:t>②保函存在明显异常情形的（如多家投标人的保函编号相同；保函存在明显伪造痕迹、内容前后矛盾等情形），评标委员会应根据投标人提供的查询途径进行核查，并在评标报告中予以记录。</w:t>
            </w:r>
          </w:p>
          <w:p w14:paraId="5FD5EC11">
            <w:pPr>
              <w:snapToGrid w:val="0"/>
              <w:spacing w:line="360" w:lineRule="auto"/>
              <w:rPr>
                <w:rFonts w:hAnsi="宋体" w:cs="宋体"/>
                <w:bCs/>
                <w:szCs w:val="24"/>
                <w:highlight w:val="none"/>
                <w:u w:val="single"/>
              </w:rPr>
            </w:pPr>
            <w:r>
              <w:rPr>
                <w:rFonts w:hint="eastAsia" w:ascii="Times New Roman" w:cs="宋体"/>
                <w:bCs/>
                <w:sz w:val="24"/>
                <w:szCs w:val="24"/>
                <w:highlight w:val="none"/>
              </w:rPr>
              <w:t>③中标候选人须在中标候选人公示期间将其开具至本招标项目的纸质保函原件提交招标人（或招标代理机构），且原件须与投标文件中提供的扫描件一致，如存在未按照规定提交或提交内容不一致，或发现弄虚作假的，招标人（或招标代理机构）应报公共资源交易监督管理部门。</w:t>
            </w:r>
          </w:p>
        </w:tc>
      </w:tr>
      <w:tr w14:paraId="5A39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233CCCC8">
            <w:pPr>
              <w:snapToGrid w:val="0"/>
              <w:spacing w:line="360" w:lineRule="auto"/>
              <w:jc w:val="center"/>
              <w:rPr>
                <w:rFonts w:ascii="Times New Roman" w:cs="宋体"/>
                <w:bCs/>
                <w:szCs w:val="24"/>
                <w:highlight w:val="none"/>
              </w:rPr>
            </w:pPr>
            <w:r>
              <w:rPr>
                <w:rFonts w:hint="eastAsia" w:ascii="Times New Roman" w:cs="宋体"/>
                <w:bCs/>
                <w:szCs w:val="24"/>
                <w:highlight w:val="none"/>
              </w:rPr>
              <w:t>3.4.3</w:t>
            </w:r>
          </w:p>
        </w:tc>
        <w:tc>
          <w:tcPr>
            <w:tcW w:w="1776" w:type="dxa"/>
            <w:vAlign w:val="center"/>
          </w:tcPr>
          <w:p w14:paraId="0EC9A518">
            <w:pPr>
              <w:snapToGrid w:val="0"/>
              <w:spacing w:line="360" w:lineRule="auto"/>
              <w:jc w:val="center"/>
              <w:rPr>
                <w:rFonts w:ascii="Times New Roman" w:cs="宋体"/>
                <w:bCs/>
                <w:szCs w:val="24"/>
                <w:highlight w:val="none"/>
              </w:rPr>
            </w:pPr>
            <w:r>
              <w:rPr>
                <w:rFonts w:hint="eastAsia" w:ascii="Times New Roman" w:cs="宋体"/>
                <w:bCs/>
                <w:szCs w:val="24"/>
                <w:highlight w:val="none"/>
              </w:rPr>
              <w:t>投标保证金的退还</w:t>
            </w:r>
          </w:p>
        </w:tc>
        <w:tc>
          <w:tcPr>
            <w:tcW w:w="5684" w:type="dxa"/>
            <w:vAlign w:val="center"/>
          </w:tcPr>
          <w:p w14:paraId="0902DD7B">
            <w:pPr>
              <w:snapToGrid w:val="0"/>
              <w:spacing w:line="360" w:lineRule="auto"/>
              <w:rPr>
                <w:rFonts w:ascii="Times New Roman" w:cs="宋体"/>
                <w:bCs/>
                <w:szCs w:val="24"/>
                <w:highlight w:val="none"/>
              </w:rPr>
            </w:pPr>
            <w:r>
              <w:rPr>
                <w:rFonts w:hint="eastAsia" w:ascii="Times New Roman" w:cs="宋体"/>
                <w:bCs/>
                <w:szCs w:val="24"/>
                <w:highlight w:val="none"/>
              </w:rPr>
              <w:t>按照安徽合肥公共资源交易中心《关于进一步优化投标保证金退还流程的通知》（合公中心〔2023〕3号）执行。</w:t>
            </w:r>
          </w:p>
          <w:p w14:paraId="477CFCDC">
            <w:pPr>
              <w:snapToGrid w:val="0"/>
              <w:spacing w:line="360" w:lineRule="auto"/>
              <w:rPr>
                <w:rFonts w:ascii="Times New Roman" w:cs="宋体"/>
                <w:bCs/>
                <w:szCs w:val="24"/>
                <w:highlight w:val="none"/>
              </w:rPr>
            </w:pPr>
            <w:r>
              <w:rPr>
                <w:rFonts w:hint="eastAsia" w:ascii="Times New Roman" w:cs="宋体"/>
                <w:bCs/>
                <w:szCs w:val="24"/>
                <w:highlight w:val="none"/>
              </w:rPr>
              <w:t>（如有最新规定，按照最新规定执行）</w:t>
            </w:r>
          </w:p>
        </w:tc>
      </w:tr>
      <w:tr w14:paraId="3F31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40EF38EF">
            <w:pPr>
              <w:snapToGrid w:val="0"/>
              <w:spacing w:line="360" w:lineRule="auto"/>
              <w:jc w:val="center"/>
              <w:rPr>
                <w:rFonts w:hAnsi="宋体" w:cs="宋体"/>
                <w:highlight w:val="none"/>
              </w:rPr>
            </w:pPr>
            <w:r>
              <w:rPr>
                <w:rFonts w:hint="eastAsia" w:hAnsi="宋体" w:cs="宋体"/>
                <w:highlight w:val="none"/>
              </w:rPr>
              <w:t>3.4.4（3）</w:t>
            </w:r>
          </w:p>
        </w:tc>
        <w:tc>
          <w:tcPr>
            <w:tcW w:w="1776" w:type="dxa"/>
            <w:vAlign w:val="center"/>
          </w:tcPr>
          <w:p w14:paraId="131520E7">
            <w:pPr>
              <w:snapToGrid w:val="0"/>
              <w:spacing w:line="360" w:lineRule="auto"/>
              <w:jc w:val="center"/>
              <w:rPr>
                <w:rFonts w:hAnsi="宋体" w:cs="宋体"/>
                <w:highlight w:val="none"/>
              </w:rPr>
            </w:pPr>
            <w:r>
              <w:rPr>
                <w:rFonts w:hint="eastAsia" w:hAnsi="宋体" w:cs="宋体"/>
                <w:highlight w:val="none"/>
              </w:rPr>
              <w:t>其他不予退还投标保证金的情形</w:t>
            </w:r>
          </w:p>
        </w:tc>
        <w:tc>
          <w:tcPr>
            <w:tcW w:w="5684" w:type="dxa"/>
            <w:vAlign w:val="center"/>
          </w:tcPr>
          <w:p w14:paraId="2790F834">
            <w:pPr>
              <w:snapToGrid w:val="0"/>
              <w:spacing w:line="360" w:lineRule="auto"/>
              <w:rPr>
                <w:rFonts w:hAnsi="宋体" w:cs="宋体"/>
                <w:highlight w:val="none"/>
                <w:u w:val="single"/>
              </w:rPr>
            </w:pPr>
            <w:r>
              <w:rPr>
                <w:rFonts w:hint="eastAsia" w:ascii="Times New Roman"/>
                <w:bCs/>
                <w:kern w:val="2"/>
                <w:sz w:val="21"/>
                <w:szCs w:val="24"/>
                <w:highlight w:val="none"/>
              </w:rPr>
              <w:t>/</w:t>
            </w:r>
          </w:p>
        </w:tc>
      </w:tr>
      <w:tr w14:paraId="5EAE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69AAAD18">
            <w:pPr>
              <w:snapToGrid w:val="0"/>
              <w:spacing w:line="360" w:lineRule="auto"/>
              <w:jc w:val="center"/>
              <w:rPr>
                <w:rFonts w:hAnsi="宋体" w:cs="宋体"/>
                <w:highlight w:val="none"/>
              </w:rPr>
            </w:pPr>
            <w:r>
              <w:rPr>
                <w:rFonts w:hint="eastAsia" w:hAnsi="宋体" w:cs="宋体"/>
                <w:highlight w:val="none"/>
              </w:rPr>
              <w:t>3.6.1</w:t>
            </w:r>
          </w:p>
        </w:tc>
        <w:tc>
          <w:tcPr>
            <w:tcW w:w="1776" w:type="dxa"/>
            <w:vAlign w:val="center"/>
          </w:tcPr>
          <w:p w14:paraId="18291250">
            <w:pPr>
              <w:snapToGrid w:val="0"/>
              <w:spacing w:line="360" w:lineRule="auto"/>
              <w:jc w:val="center"/>
              <w:rPr>
                <w:rFonts w:hAnsi="宋体" w:cs="宋体"/>
                <w:highlight w:val="none"/>
              </w:rPr>
            </w:pPr>
            <w:r>
              <w:rPr>
                <w:rFonts w:hint="eastAsia" w:hAnsi="宋体" w:cs="宋体"/>
                <w:highlight w:val="none"/>
              </w:rPr>
              <w:t>是否允许递交备选投标方案</w:t>
            </w:r>
          </w:p>
        </w:tc>
        <w:tc>
          <w:tcPr>
            <w:tcW w:w="5684" w:type="dxa"/>
            <w:vAlign w:val="center"/>
          </w:tcPr>
          <w:p w14:paraId="55DE14DE">
            <w:pPr>
              <w:adjustRightInd w:val="0"/>
              <w:snapToGrid w:val="0"/>
              <w:spacing w:line="360" w:lineRule="auto"/>
              <w:rPr>
                <w:rFonts w:hAnsi="宋体" w:cs="宋体"/>
                <w:highlight w:val="none"/>
              </w:rPr>
            </w:pPr>
            <w:r>
              <w:rPr>
                <w:rFonts w:hint="eastAsia" w:ascii="MS Mincho" w:hAnsi="MS Mincho" w:eastAsia="MS Mincho" w:cs="MS Mincho"/>
                <w:highlight w:val="none"/>
              </w:rPr>
              <w:t>☑</w:t>
            </w:r>
            <w:r>
              <w:rPr>
                <w:rFonts w:hint="eastAsia" w:hAnsi="宋体" w:cs="宋体"/>
                <w:highlight w:val="none"/>
              </w:rPr>
              <w:t>不允许。</w:t>
            </w:r>
          </w:p>
          <w:p w14:paraId="6485862F">
            <w:pPr>
              <w:adjustRightInd w:val="0"/>
              <w:snapToGrid w:val="0"/>
              <w:spacing w:line="360" w:lineRule="auto"/>
              <w:rPr>
                <w:rFonts w:hAnsi="宋体" w:cs="宋体"/>
                <w:snapToGrid w:val="0"/>
                <w:highlight w:val="none"/>
                <w:shd w:val="clear" w:color="auto" w:fill="FFFFFF"/>
              </w:rPr>
            </w:pPr>
            <w:r>
              <w:rPr>
                <w:rFonts w:hint="eastAsia" w:hAnsi="宋体" w:cs="宋体"/>
                <w:highlight w:val="none"/>
              </w:rPr>
              <w:t>□允许，具体要求：</w:t>
            </w:r>
          </w:p>
        </w:tc>
      </w:tr>
      <w:tr w14:paraId="4C53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46C7C0E3">
            <w:pPr>
              <w:snapToGrid w:val="0"/>
              <w:spacing w:line="360" w:lineRule="auto"/>
              <w:jc w:val="center"/>
              <w:rPr>
                <w:rFonts w:hAnsi="宋体" w:cs="宋体"/>
                <w:highlight w:val="none"/>
              </w:rPr>
            </w:pPr>
            <w:r>
              <w:rPr>
                <w:rFonts w:hint="eastAsia" w:hAnsi="宋体" w:cs="宋体"/>
                <w:highlight w:val="none"/>
              </w:rPr>
              <w:t>3.7.4</w:t>
            </w:r>
          </w:p>
        </w:tc>
        <w:tc>
          <w:tcPr>
            <w:tcW w:w="1776" w:type="dxa"/>
            <w:vAlign w:val="center"/>
          </w:tcPr>
          <w:p w14:paraId="47879F9C">
            <w:pPr>
              <w:snapToGrid w:val="0"/>
              <w:spacing w:line="360" w:lineRule="auto"/>
              <w:jc w:val="center"/>
              <w:rPr>
                <w:rFonts w:hAnsi="宋体" w:cs="宋体"/>
                <w:snapToGrid w:val="0"/>
                <w:highlight w:val="none"/>
                <w:shd w:val="clear" w:color="auto" w:fill="FFFFFF"/>
              </w:rPr>
            </w:pPr>
            <w:r>
              <w:rPr>
                <w:rFonts w:hint="eastAsia" w:hAnsi="宋体" w:cs="宋体"/>
                <w:snapToGrid w:val="0"/>
                <w:highlight w:val="none"/>
                <w:shd w:val="clear" w:color="auto" w:fill="FFFFFF"/>
              </w:rPr>
              <w:t>非加密投标文件递交</w:t>
            </w:r>
          </w:p>
        </w:tc>
        <w:tc>
          <w:tcPr>
            <w:tcW w:w="5684" w:type="dxa"/>
            <w:vAlign w:val="center"/>
          </w:tcPr>
          <w:p w14:paraId="7B223C84">
            <w:pPr>
              <w:adjustRightInd w:val="0"/>
              <w:snapToGrid w:val="0"/>
              <w:spacing w:line="360" w:lineRule="auto"/>
              <w:rPr>
                <w:rFonts w:hAnsi="宋体" w:cs="宋体"/>
                <w:highlight w:val="none"/>
              </w:rPr>
            </w:pPr>
            <w:r>
              <w:rPr>
                <w:rFonts w:hint="eastAsia" w:ascii="MS Mincho" w:hAnsi="MS Mincho" w:eastAsia="MS Mincho" w:cs="MS Mincho"/>
                <w:highlight w:val="none"/>
              </w:rPr>
              <w:t>☑</w:t>
            </w:r>
            <w:r>
              <w:rPr>
                <w:rFonts w:hint="eastAsia" w:hAnsi="宋体" w:cs="宋体"/>
                <w:highlight w:val="none"/>
              </w:rPr>
              <w:t>不允许。</w:t>
            </w:r>
          </w:p>
          <w:p w14:paraId="19215B9C">
            <w:pPr>
              <w:pStyle w:val="97"/>
              <w:spacing w:line="360" w:lineRule="auto"/>
              <w:ind w:firstLine="0" w:firstLineChars="0"/>
              <w:rPr>
                <w:rFonts w:ascii="宋体" w:hAnsi="宋体" w:cs="宋体"/>
                <w:szCs w:val="24"/>
                <w:highlight w:val="none"/>
              </w:rPr>
            </w:pPr>
            <w:r>
              <w:rPr>
                <w:rFonts w:hint="eastAsia" w:ascii="宋体" w:hAnsi="宋体" w:cs="宋体"/>
                <w:szCs w:val="24"/>
                <w:highlight w:val="none"/>
              </w:rPr>
              <w:t>□允许，具体要求如下：</w:t>
            </w:r>
          </w:p>
          <w:p w14:paraId="215E527F">
            <w:pPr>
              <w:pStyle w:val="97"/>
              <w:spacing w:line="360" w:lineRule="auto"/>
              <w:ind w:firstLine="0" w:firstLineChars="0"/>
              <w:rPr>
                <w:rFonts w:ascii="宋体" w:hAnsi="宋体" w:cs="宋体"/>
                <w:szCs w:val="24"/>
                <w:highlight w:val="none"/>
              </w:rPr>
            </w:pPr>
            <w:r>
              <w:rPr>
                <w:rFonts w:hint="eastAsia" w:ascii="宋体" w:hAnsi="宋体" w:cs="宋体"/>
                <w:szCs w:val="24"/>
                <w:highlight w:val="none"/>
              </w:rPr>
              <w:t>非加密投标文件由投标人自行确定是否递交。</w:t>
            </w:r>
          </w:p>
          <w:p w14:paraId="4BF8A8A0">
            <w:pPr>
              <w:pStyle w:val="97"/>
              <w:spacing w:line="360" w:lineRule="auto"/>
              <w:ind w:firstLine="0" w:firstLineChars="0"/>
              <w:rPr>
                <w:rFonts w:ascii="宋体" w:hAnsi="宋体" w:cs="宋体"/>
                <w:szCs w:val="24"/>
                <w:highlight w:val="none"/>
              </w:rPr>
            </w:pPr>
            <w:r>
              <w:rPr>
                <w:rFonts w:hint="eastAsia" w:ascii="宋体" w:hAnsi="宋体" w:cs="宋体"/>
                <w:szCs w:val="24"/>
                <w:highlight w:val="none"/>
              </w:rPr>
              <w:t>如递交，应在投标截止时间前在开标地点递交，并提供以下证明材料，否则招标人不予接收。</w:t>
            </w:r>
          </w:p>
          <w:p w14:paraId="08899CD0">
            <w:pPr>
              <w:pStyle w:val="97"/>
              <w:spacing w:line="360" w:lineRule="auto"/>
              <w:ind w:firstLine="0" w:firstLineChars="0"/>
              <w:rPr>
                <w:rFonts w:ascii="宋体" w:hAnsi="宋体" w:cs="宋体"/>
                <w:szCs w:val="24"/>
                <w:highlight w:val="none"/>
              </w:rPr>
            </w:pPr>
            <w:r>
              <w:rPr>
                <w:rFonts w:hint="eastAsia" w:ascii="宋体" w:hAnsi="宋体" w:cs="宋体"/>
                <w:szCs w:val="24"/>
                <w:highlight w:val="none"/>
              </w:rPr>
              <w:t>（1）法定代表人亲自递交的，应提供法定代表人身份证明和法定代表人的有效身份证件；</w:t>
            </w:r>
          </w:p>
          <w:p w14:paraId="10B9B9C7">
            <w:pPr>
              <w:pStyle w:val="97"/>
              <w:spacing w:line="360" w:lineRule="auto"/>
              <w:ind w:firstLine="0" w:firstLineChars="0"/>
              <w:rPr>
                <w:rFonts w:ascii="宋体" w:hAnsi="宋体" w:cs="宋体"/>
                <w:szCs w:val="24"/>
                <w:highlight w:val="none"/>
              </w:rPr>
            </w:pPr>
            <w:r>
              <w:rPr>
                <w:rFonts w:hint="eastAsia" w:ascii="宋体" w:hAnsi="宋体" w:cs="宋体"/>
                <w:szCs w:val="24"/>
                <w:highlight w:val="none"/>
              </w:rPr>
              <w:t>（2）委托代理人递交的，应提供授权委托书和委托代理人的有效身份证件。</w:t>
            </w:r>
          </w:p>
          <w:p w14:paraId="0B1E38B9">
            <w:pPr>
              <w:pStyle w:val="97"/>
              <w:spacing w:line="360" w:lineRule="auto"/>
              <w:ind w:firstLine="0" w:firstLineChars="0"/>
              <w:rPr>
                <w:rFonts w:ascii="宋体" w:hAnsi="宋体" w:cs="宋体"/>
                <w:szCs w:val="24"/>
                <w:highlight w:val="none"/>
              </w:rPr>
            </w:pPr>
            <w:r>
              <w:rPr>
                <w:rFonts w:hint="eastAsia" w:ascii="宋体" w:hAnsi="宋体" w:cs="宋体"/>
                <w:szCs w:val="24"/>
                <w:highlight w:val="none"/>
              </w:rPr>
              <w:t>非加密投标文件介质：光盘或U盘</w:t>
            </w:r>
          </w:p>
        </w:tc>
      </w:tr>
      <w:tr w14:paraId="3AD9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67E95C69">
            <w:pPr>
              <w:snapToGrid w:val="0"/>
              <w:spacing w:line="360" w:lineRule="auto"/>
              <w:jc w:val="center"/>
              <w:rPr>
                <w:rFonts w:hAnsi="宋体" w:cs="宋体"/>
                <w:highlight w:val="none"/>
              </w:rPr>
            </w:pPr>
            <w:r>
              <w:rPr>
                <w:rFonts w:hint="eastAsia" w:hAnsi="宋体" w:cs="宋体"/>
                <w:highlight w:val="none"/>
              </w:rPr>
              <w:t>4.1.2</w:t>
            </w:r>
          </w:p>
        </w:tc>
        <w:tc>
          <w:tcPr>
            <w:tcW w:w="1776" w:type="dxa"/>
            <w:vAlign w:val="center"/>
          </w:tcPr>
          <w:p w14:paraId="07580E48">
            <w:pPr>
              <w:snapToGrid w:val="0"/>
              <w:spacing w:line="360" w:lineRule="auto"/>
              <w:jc w:val="center"/>
              <w:rPr>
                <w:rFonts w:hAnsi="宋体" w:cs="宋体"/>
                <w:snapToGrid w:val="0"/>
                <w:highlight w:val="none"/>
                <w:shd w:val="clear" w:color="auto" w:fill="FFFFFF"/>
              </w:rPr>
            </w:pPr>
            <w:r>
              <w:rPr>
                <w:rFonts w:hint="eastAsia" w:hAnsi="宋体" w:cs="宋体"/>
                <w:snapToGrid w:val="0"/>
                <w:highlight w:val="none"/>
                <w:shd w:val="clear" w:color="auto" w:fill="FFFFFF"/>
              </w:rPr>
              <w:t>非加密投标文件密封和标记要求</w:t>
            </w:r>
          </w:p>
        </w:tc>
        <w:tc>
          <w:tcPr>
            <w:tcW w:w="5684" w:type="dxa"/>
            <w:vAlign w:val="center"/>
          </w:tcPr>
          <w:p w14:paraId="1FB7A98A">
            <w:pPr>
              <w:snapToGrid w:val="0"/>
              <w:spacing w:line="360" w:lineRule="auto"/>
              <w:rPr>
                <w:rFonts w:hAnsi="宋体" w:cs="宋体"/>
                <w:bCs/>
                <w:snapToGrid w:val="0"/>
                <w:highlight w:val="none"/>
              </w:rPr>
            </w:pPr>
            <w:r>
              <w:rPr>
                <w:rFonts w:hint="eastAsia" w:hAnsi="宋体" w:cs="宋体"/>
                <w:bCs/>
                <w:snapToGrid w:val="0"/>
                <w:highlight w:val="none"/>
              </w:rPr>
              <w:t>非加密投标文件封套：</w:t>
            </w:r>
          </w:p>
          <w:p w14:paraId="5E631237">
            <w:pPr>
              <w:snapToGrid w:val="0"/>
              <w:spacing w:line="360" w:lineRule="auto"/>
              <w:rPr>
                <w:rFonts w:hAnsi="宋体" w:cs="宋体"/>
                <w:bCs/>
                <w:snapToGrid w:val="0"/>
                <w:highlight w:val="none"/>
              </w:rPr>
            </w:pPr>
            <w:r>
              <w:rPr>
                <w:rFonts w:hint="eastAsia" w:hAnsi="宋体" w:cs="宋体"/>
                <w:bCs/>
                <w:snapToGrid w:val="0"/>
                <w:highlight w:val="none"/>
              </w:rPr>
              <w:t>投标人名称：</w:t>
            </w:r>
          </w:p>
          <w:p w14:paraId="5CFAE2B3">
            <w:pPr>
              <w:snapToGrid w:val="0"/>
              <w:spacing w:line="360" w:lineRule="auto"/>
              <w:rPr>
                <w:rFonts w:hAnsi="宋体" w:cs="宋体"/>
                <w:bCs/>
                <w:snapToGrid w:val="0"/>
                <w:highlight w:val="none"/>
              </w:rPr>
            </w:pPr>
            <w:r>
              <w:rPr>
                <w:rFonts w:hint="eastAsia" w:hAnsi="宋体" w:cs="宋体"/>
                <w:bCs/>
                <w:snapToGrid w:val="0"/>
                <w:highlight w:val="none"/>
                <w:u w:val="single"/>
              </w:rPr>
              <w:t>（招标项目名称）</w:t>
            </w:r>
            <w:r>
              <w:rPr>
                <w:rFonts w:hint="eastAsia" w:hAnsi="宋体" w:cs="宋体"/>
                <w:bCs/>
                <w:snapToGrid w:val="0"/>
                <w:highlight w:val="none"/>
              </w:rPr>
              <w:t>标段投标文件</w:t>
            </w:r>
          </w:p>
          <w:p w14:paraId="2DA25497">
            <w:pPr>
              <w:snapToGrid w:val="0"/>
              <w:spacing w:line="360" w:lineRule="auto"/>
              <w:rPr>
                <w:rFonts w:hAnsi="宋体" w:cs="宋体"/>
                <w:bCs/>
                <w:snapToGrid w:val="0"/>
                <w:highlight w:val="none"/>
              </w:rPr>
            </w:pPr>
            <w:r>
              <w:rPr>
                <w:rFonts w:hint="eastAsia" w:hAnsi="宋体" w:cs="宋体"/>
                <w:bCs/>
                <w:snapToGrid w:val="0"/>
                <w:highlight w:val="none"/>
              </w:rPr>
              <w:t>（非加密投标文件）</w:t>
            </w:r>
          </w:p>
          <w:p w14:paraId="5C02E49D">
            <w:pPr>
              <w:snapToGrid w:val="0"/>
              <w:spacing w:line="360" w:lineRule="auto"/>
              <w:rPr>
                <w:rFonts w:hAnsi="宋体" w:cs="宋体"/>
                <w:highlight w:val="none"/>
              </w:rPr>
            </w:pPr>
            <w:r>
              <w:rPr>
                <w:rFonts w:hint="eastAsia" w:hAnsi="宋体" w:cs="宋体"/>
                <w:bCs/>
                <w:snapToGrid w:val="0"/>
                <w:highlight w:val="none"/>
              </w:rPr>
              <w:t>在年月日时分前不得开启</w:t>
            </w:r>
          </w:p>
        </w:tc>
      </w:tr>
      <w:tr w14:paraId="6B73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4BDD12AD">
            <w:pPr>
              <w:snapToGrid w:val="0"/>
              <w:spacing w:line="360" w:lineRule="auto"/>
              <w:jc w:val="center"/>
              <w:rPr>
                <w:rFonts w:hAnsi="宋体" w:cs="宋体"/>
                <w:highlight w:val="none"/>
              </w:rPr>
            </w:pPr>
            <w:r>
              <w:rPr>
                <w:rFonts w:hint="eastAsia" w:hAnsi="宋体" w:cs="宋体"/>
                <w:highlight w:val="none"/>
              </w:rPr>
              <w:t>4.2.2</w:t>
            </w:r>
          </w:p>
        </w:tc>
        <w:tc>
          <w:tcPr>
            <w:tcW w:w="1776" w:type="dxa"/>
            <w:vAlign w:val="center"/>
          </w:tcPr>
          <w:p w14:paraId="23D7E553">
            <w:pPr>
              <w:snapToGrid w:val="0"/>
              <w:spacing w:line="360" w:lineRule="auto"/>
              <w:jc w:val="center"/>
              <w:rPr>
                <w:rFonts w:hAnsi="宋体" w:cs="宋体"/>
                <w:snapToGrid w:val="0"/>
                <w:highlight w:val="none"/>
                <w:shd w:val="clear" w:color="auto" w:fill="FFFFFF"/>
              </w:rPr>
            </w:pPr>
            <w:r>
              <w:rPr>
                <w:rFonts w:hint="eastAsia" w:hAnsi="宋体" w:cs="宋体"/>
                <w:snapToGrid w:val="0"/>
                <w:highlight w:val="none"/>
                <w:shd w:val="clear" w:color="auto" w:fill="FFFFFF"/>
              </w:rPr>
              <w:t>递交非加密投标文件地点</w:t>
            </w:r>
          </w:p>
        </w:tc>
        <w:tc>
          <w:tcPr>
            <w:tcW w:w="5684" w:type="dxa"/>
            <w:vAlign w:val="center"/>
          </w:tcPr>
          <w:p w14:paraId="4F722E85">
            <w:pPr>
              <w:snapToGrid w:val="0"/>
              <w:spacing w:line="360" w:lineRule="auto"/>
              <w:rPr>
                <w:rFonts w:hAnsi="宋体" w:cs="宋体"/>
                <w:bCs/>
                <w:snapToGrid w:val="0"/>
                <w:szCs w:val="24"/>
                <w:highlight w:val="none"/>
              </w:rPr>
            </w:pPr>
            <w:r>
              <w:rPr>
                <w:rFonts w:hint="eastAsia" w:hAnsi="宋体" w:cs="宋体"/>
                <w:bCs/>
                <w:snapToGrid w:val="0"/>
                <w:highlight w:val="none"/>
              </w:rPr>
              <w:t>同开标地点</w:t>
            </w:r>
          </w:p>
        </w:tc>
      </w:tr>
      <w:tr w14:paraId="4AA9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E4A73C1">
            <w:pPr>
              <w:snapToGrid w:val="0"/>
              <w:spacing w:line="360" w:lineRule="auto"/>
              <w:jc w:val="center"/>
              <w:rPr>
                <w:rFonts w:hAnsi="宋体" w:cs="宋体"/>
                <w:highlight w:val="none"/>
              </w:rPr>
            </w:pPr>
            <w:r>
              <w:rPr>
                <w:rFonts w:hint="eastAsia" w:hAnsi="宋体" w:cs="宋体"/>
                <w:highlight w:val="none"/>
              </w:rPr>
              <w:t>4.2.3</w:t>
            </w:r>
          </w:p>
        </w:tc>
        <w:tc>
          <w:tcPr>
            <w:tcW w:w="1776" w:type="dxa"/>
            <w:vAlign w:val="center"/>
          </w:tcPr>
          <w:p w14:paraId="22A27460">
            <w:pPr>
              <w:snapToGrid w:val="0"/>
              <w:spacing w:line="360" w:lineRule="auto"/>
              <w:jc w:val="center"/>
              <w:rPr>
                <w:rFonts w:hAnsi="宋体" w:cs="宋体"/>
                <w:highlight w:val="none"/>
              </w:rPr>
            </w:pPr>
            <w:r>
              <w:rPr>
                <w:rFonts w:hint="eastAsia" w:hAnsi="宋体" w:cs="宋体"/>
                <w:highlight w:val="none"/>
              </w:rPr>
              <w:t>是否退还投标文件</w:t>
            </w:r>
          </w:p>
        </w:tc>
        <w:tc>
          <w:tcPr>
            <w:tcW w:w="5684" w:type="dxa"/>
            <w:vAlign w:val="center"/>
          </w:tcPr>
          <w:p w14:paraId="0D9FDA8F">
            <w:pPr>
              <w:snapToGrid w:val="0"/>
              <w:spacing w:line="360" w:lineRule="auto"/>
              <w:rPr>
                <w:rFonts w:hAnsi="宋体" w:cs="宋体"/>
                <w:highlight w:val="none"/>
              </w:rPr>
            </w:pPr>
            <w:r>
              <w:rPr>
                <w:rFonts w:hint="eastAsia" w:ascii="MS Mincho" w:hAnsi="MS Mincho" w:eastAsia="MS Mincho" w:cs="MS Mincho"/>
                <w:highlight w:val="none"/>
              </w:rPr>
              <w:t>☑</w:t>
            </w:r>
            <w:r>
              <w:rPr>
                <w:rFonts w:hint="eastAsia" w:hAnsi="宋体" w:cs="宋体"/>
                <w:highlight w:val="none"/>
              </w:rPr>
              <w:t>否</w:t>
            </w:r>
          </w:p>
          <w:p w14:paraId="03653122">
            <w:pPr>
              <w:snapToGrid w:val="0"/>
              <w:spacing w:line="360" w:lineRule="auto"/>
              <w:rPr>
                <w:rFonts w:hAnsi="宋体" w:cs="宋体"/>
                <w:highlight w:val="none"/>
                <w:u w:val="single"/>
              </w:rPr>
            </w:pPr>
            <w:r>
              <w:rPr>
                <w:rFonts w:hint="eastAsia" w:hAnsi="宋体" w:cs="宋体"/>
                <w:highlight w:val="none"/>
              </w:rPr>
              <w:t>□是，退还安排：</w:t>
            </w:r>
          </w:p>
        </w:tc>
      </w:tr>
      <w:tr w14:paraId="31DC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3DB1AA7D">
            <w:pPr>
              <w:snapToGrid w:val="0"/>
              <w:spacing w:line="360" w:lineRule="auto"/>
              <w:jc w:val="center"/>
              <w:rPr>
                <w:rFonts w:hAnsi="宋体" w:cs="宋体"/>
                <w:highlight w:val="none"/>
              </w:rPr>
            </w:pPr>
            <w:r>
              <w:rPr>
                <w:rFonts w:hint="eastAsia" w:hAnsi="宋体" w:cs="宋体"/>
                <w:highlight w:val="none"/>
              </w:rPr>
              <w:t>5.1</w:t>
            </w:r>
          </w:p>
        </w:tc>
        <w:tc>
          <w:tcPr>
            <w:tcW w:w="1776" w:type="dxa"/>
            <w:vAlign w:val="center"/>
          </w:tcPr>
          <w:p w14:paraId="420D3068">
            <w:pPr>
              <w:snapToGrid w:val="0"/>
              <w:spacing w:line="360" w:lineRule="auto"/>
              <w:jc w:val="center"/>
              <w:rPr>
                <w:rFonts w:hAnsi="宋体" w:cs="宋体"/>
                <w:highlight w:val="none"/>
              </w:rPr>
            </w:pPr>
            <w:r>
              <w:rPr>
                <w:rFonts w:hint="eastAsia" w:hAnsi="宋体" w:cs="宋体"/>
                <w:highlight w:val="none"/>
              </w:rPr>
              <w:t>开标时间和地点</w:t>
            </w:r>
          </w:p>
        </w:tc>
        <w:tc>
          <w:tcPr>
            <w:tcW w:w="5684" w:type="dxa"/>
            <w:vAlign w:val="center"/>
          </w:tcPr>
          <w:p w14:paraId="618B9C45">
            <w:pPr>
              <w:snapToGrid w:val="0"/>
              <w:spacing w:line="360" w:lineRule="auto"/>
              <w:rPr>
                <w:rFonts w:hAnsi="宋体" w:cs="宋体"/>
                <w:highlight w:val="none"/>
              </w:rPr>
            </w:pPr>
            <w:r>
              <w:rPr>
                <w:rFonts w:hint="eastAsia" w:hAnsi="宋体" w:cs="宋体"/>
                <w:highlight w:val="none"/>
              </w:rPr>
              <w:t>开标时间：同投标截止时间</w:t>
            </w:r>
          </w:p>
          <w:p w14:paraId="73DF6425">
            <w:pPr>
              <w:snapToGrid w:val="0"/>
              <w:spacing w:line="360" w:lineRule="auto"/>
              <w:rPr>
                <w:rFonts w:hAnsi="宋体" w:cs="宋体"/>
                <w:highlight w:val="none"/>
              </w:rPr>
            </w:pPr>
            <w:r>
              <w:rPr>
                <w:rFonts w:hint="eastAsia" w:hAnsi="宋体" w:cs="宋体"/>
                <w:highlight w:val="none"/>
              </w:rPr>
              <w:t>开标地点：见招标公告</w:t>
            </w:r>
          </w:p>
        </w:tc>
      </w:tr>
      <w:tr w14:paraId="03AB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01E6A8BB">
            <w:pPr>
              <w:snapToGrid w:val="0"/>
              <w:spacing w:line="360" w:lineRule="auto"/>
              <w:jc w:val="center"/>
              <w:rPr>
                <w:rFonts w:hAnsi="宋体" w:cs="宋体"/>
                <w:highlight w:val="none"/>
              </w:rPr>
            </w:pPr>
            <w:r>
              <w:rPr>
                <w:rFonts w:hint="eastAsia" w:hAnsi="宋体" w:cs="宋体"/>
                <w:highlight w:val="none"/>
              </w:rPr>
              <w:t>5.2</w:t>
            </w:r>
          </w:p>
        </w:tc>
        <w:tc>
          <w:tcPr>
            <w:tcW w:w="1776" w:type="dxa"/>
            <w:vAlign w:val="center"/>
          </w:tcPr>
          <w:p w14:paraId="6FE70D2B">
            <w:pPr>
              <w:snapToGrid w:val="0"/>
              <w:spacing w:line="360" w:lineRule="auto"/>
              <w:jc w:val="center"/>
              <w:rPr>
                <w:rFonts w:hAnsi="宋体" w:cs="宋体"/>
                <w:highlight w:val="none"/>
              </w:rPr>
            </w:pPr>
            <w:r>
              <w:rPr>
                <w:rFonts w:hint="eastAsia" w:hAnsi="宋体" w:cs="宋体"/>
                <w:highlight w:val="none"/>
              </w:rPr>
              <w:t>开标程序</w:t>
            </w:r>
          </w:p>
        </w:tc>
        <w:tc>
          <w:tcPr>
            <w:tcW w:w="5684" w:type="dxa"/>
            <w:vAlign w:val="center"/>
          </w:tcPr>
          <w:p w14:paraId="2237B011">
            <w:pPr>
              <w:snapToGrid w:val="0"/>
              <w:spacing w:line="360" w:lineRule="auto"/>
              <w:rPr>
                <w:rFonts w:hAnsi="宋体" w:cs="宋体"/>
                <w:bCs/>
                <w:snapToGrid w:val="0"/>
                <w:highlight w:val="none"/>
              </w:rPr>
            </w:pPr>
            <w:r>
              <w:rPr>
                <w:rFonts w:hint="eastAsia" w:hAnsi="宋体" w:cs="宋体"/>
                <w:highlight w:val="none"/>
              </w:rPr>
              <w:t>（3）解密时间：</w:t>
            </w:r>
            <w:r>
              <w:rPr>
                <w:rFonts w:hint="eastAsia" w:hAnsi="宋体" w:cs="宋体"/>
                <w:highlight w:val="none"/>
                <w:u w:val="single"/>
              </w:rPr>
              <w:t xml:space="preserve"> 30</w:t>
            </w:r>
            <w:r>
              <w:rPr>
                <w:rFonts w:hint="eastAsia" w:hAnsi="宋体" w:cs="宋体"/>
                <w:highlight w:val="none"/>
              </w:rPr>
              <w:t>分钟</w:t>
            </w:r>
            <w:r>
              <w:rPr>
                <w:rFonts w:hint="eastAsia" w:hAnsi="宋体" w:cs="宋体"/>
                <w:bCs/>
                <w:snapToGrid w:val="0"/>
                <w:highlight w:val="none"/>
              </w:rPr>
              <w:t>（以电子交易系统解密倒计时为准）；</w:t>
            </w:r>
          </w:p>
          <w:p w14:paraId="1C8E82DB">
            <w:pPr>
              <w:snapToGrid w:val="0"/>
              <w:spacing w:line="360" w:lineRule="auto"/>
              <w:rPr>
                <w:rFonts w:hAnsi="宋体" w:cs="宋体"/>
                <w:highlight w:val="none"/>
              </w:rPr>
            </w:pPr>
            <w:r>
              <w:rPr>
                <w:rFonts w:hint="eastAsia" w:hAnsi="宋体" w:cs="宋体"/>
                <w:highlight w:val="none"/>
              </w:rPr>
              <w:t>□（5）公布投标人名称、标段名称、投标报价。</w:t>
            </w:r>
          </w:p>
          <w:p w14:paraId="304AB99D">
            <w:pPr>
              <w:snapToGrid w:val="0"/>
              <w:spacing w:line="360" w:lineRule="auto"/>
              <w:jc w:val="left"/>
              <w:rPr>
                <w:rFonts w:ascii="Times New Roman" w:cs="宋体"/>
                <w:szCs w:val="24"/>
                <w:highlight w:val="none"/>
              </w:rPr>
            </w:pPr>
            <w:r>
              <w:rPr>
                <w:rFonts w:hint="eastAsia" w:ascii="MS Mincho" w:hAnsi="MS Mincho" w:eastAsia="MS Mincho" w:cs="MS Mincho"/>
                <w:highlight w:val="none"/>
              </w:rPr>
              <w:t>☑</w:t>
            </w:r>
            <w:r>
              <w:rPr>
                <w:rFonts w:hint="eastAsia" w:hAnsi="宋体" w:cs="宋体"/>
                <w:highlight w:val="none"/>
              </w:rPr>
              <w:t>（5）公布投标人名称、标段名称；商务、技术文件评审完成后，根据第三章“评标办法”的规定再公布所有投标人的投标报价。</w:t>
            </w:r>
          </w:p>
          <w:p w14:paraId="415866C6">
            <w:pPr>
              <w:snapToGrid w:val="0"/>
              <w:spacing w:line="360" w:lineRule="auto"/>
              <w:rPr>
                <w:rFonts w:hAnsi="宋体" w:cs="宋体"/>
                <w:highlight w:val="none"/>
              </w:rPr>
            </w:pPr>
            <w:r>
              <w:rPr>
                <w:rFonts w:hint="eastAsia" w:hAnsi="宋体" w:cs="宋体"/>
                <w:bCs/>
                <w:highlight w:val="none"/>
              </w:rPr>
              <w:t>多标段开标顺序：/</w:t>
            </w:r>
          </w:p>
        </w:tc>
      </w:tr>
      <w:tr w14:paraId="0CD1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38D9385E">
            <w:pPr>
              <w:snapToGrid w:val="0"/>
              <w:spacing w:line="360" w:lineRule="auto"/>
              <w:jc w:val="center"/>
              <w:rPr>
                <w:rFonts w:hAnsi="宋体" w:cs="宋体"/>
                <w:highlight w:val="none"/>
              </w:rPr>
            </w:pPr>
            <w:r>
              <w:rPr>
                <w:rFonts w:hint="eastAsia" w:hAnsi="宋体" w:cs="宋体"/>
                <w:highlight w:val="none"/>
              </w:rPr>
              <w:t>6.3.2</w:t>
            </w:r>
          </w:p>
        </w:tc>
        <w:tc>
          <w:tcPr>
            <w:tcW w:w="1776" w:type="dxa"/>
            <w:vAlign w:val="center"/>
          </w:tcPr>
          <w:p w14:paraId="5A9BE312">
            <w:pPr>
              <w:snapToGrid w:val="0"/>
              <w:spacing w:line="360" w:lineRule="auto"/>
              <w:jc w:val="center"/>
              <w:rPr>
                <w:rFonts w:hAnsi="宋体" w:cs="宋体"/>
                <w:highlight w:val="none"/>
              </w:rPr>
            </w:pPr>
            <w:r>
              <w:rPr>
                <w:rFonts w:hint="eastAsia" w:hAnsi="宋体" w:cs="宋体"/>
                <w:highlight w:val="none"/>
              </w:rPr>
              <w:t>评标委员会推荐中标候选人的数量</w:t>
            </w:r>
          </w:p>
        </w:tc>
        <w:tc>
          <w:tcPr>
            <w:tcW w:w="5684" w:type="dxa"/>
            <w:vAlign w:val="center"/>
          </w:tcPr>
          <w:p w14:paraId="44AA1114">
            <w:pPr>
              <w:snapToGrid w:val="0"/>
              <w:spacing w:line="360" w:lineRule="auto"/>
              <w:rPr>
                <w:rFonts w:hAnsi="宋体" w:cs="宋体"/>
                <w:highlight w:val="none"/>
              </w:rPr>
            </w:pPr>
            <w:r>
              <w:rPr>
                <w:rFonts w:hint="eastAsia" w:ascii="Times New Roman" w:cs="宋体"/>
                <w:bCs/>
                <w:szCs w:val="24"/>
                <w:highlight w:val="none"/>
                <w:u w:val="single"/>
              </w:rPr>
              <w:t>1名</w:t>
            </w:r>
          </w:p>
        </w:tc>
      </w:tr>
      <w:tr w14:paraId="0868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3235E893">
            <w:pPr>
              <w:snapToGrid w:val="0"/>
              <w:spacing w:line="360" w:lineRule="auto"/>
              <w:jc w:val="center"/>
              <w:rPr>
                <w:rFonts w:hAnsi="宋体" w:cs="宋体"/>
                <w:highlight w:val="none"/>
              </w:rPr>
            </w:pPr>
            <w:r>
              <w:rPr>
                <w:rFonts w:hint="eastAsia" w:hAnsi="宋体" w:cs="宋体"/>
                <w:highlight w:val="none"/>
              </w:rPr>
              <w:t>6.4</w:t>
            </w:r>
          </w:p>
        </w:tc>
        <w:tc>
          <w:tcPr>
            <w:tcW w:w="1776" w:type="dxa"/>
            <w:vAlign w:val="center"/>
          </w:tcPr>
          <w:p w14:paraId="5142D842">
            <w:pPr>
              <w:snapToGrid w:val="0"/>
              <w:spacing w:line="360" w:lineRule="auto"/>
              <w:jc w:val="center"/>
              <w:rPr>
                <w:rFonts w:hAnsi="宋体" w:cs="宋体"/>
                <w:highlight w:val="none"/>
              </w:rPr>
            </w:pPr>
            <w:r>
              <w:rPr>
                <w:rFonts w:hint="eastAsia" w:hAnsi="宋体" w:cs="宋体"/>
                <w:highlight w:val="none"/>
              </w:rPr>
              <w:t>中标候选人公示媒介、期限及其他要求</w:t>
            </w:r>
          </w:p>
        </w:tc>
        <w:tc>
          <w:tcPr>
            <w:tcW w:w="5684" w:type="dxa"/>
            <w:vAlign w:val="center"/>
          </w:tcPr>
          <w:p w14:paraId="7C933FB6">
            <w:pPr>
              <w:snapToGrid w:val="0"/>
              <w:spacing w:line="360" w:lineRule="auto"/>
              <w:rPr>
                <w:rFonts w:hAnsi="宋体" w:cs="宋体"/>
                <w:highlight w:val="none"/>
              </w:rPr>
            </w:pPr>
            <w:r>
              <w:rPr>
                <w:rFonts w:hint="eastAsia" w:ascii="Times New Roman" w:cs="宋体"/>
                <w:bCs/>
                <w:szCs w:val="24"/>
                <w:highlight w:val="none"/>
              </w:rPr>
              <w:t>（1）</w:t>
            </w:r>
            <w:r>
              <w:rPr>
                <w:rFonts w:hint="eastAsia" w:hAnsi="宋体" w:cs="宋体"/>
                <w:highlight w:val="none"/>
              </w:rPr>
              <w:t>公示媒介：同招标公告发布媒介</w:t>
            </w:r>
          </w:p>
          <w:p w14:paraId="3C25CA78">
            <w:pPr>
              <w:snapToGrid w:val="0"/>
              <w:spacing w:line="360" w:lineRule="auto"/>
              <w:rPr>
                <w:rFonts w:hAnsi="宋体" w:cs="宋体"/>
                <w:highlight w:val="none"/>
                <w:u w:val="single"/>
              </w:rPr>
            </w:pPr>
            <w:r>
              <w:rPr>
                <w:rFonts w:hint="eastAsia" w:ascii="Times New Roman" w:cs="宋体"/>
                <w:bCs/>
                <w:szCs w:val="24"/>
                <w:highlight w:val="none"/>
              </w:rPr>
              <w:t>（2）</w:t>
            </w:r>
            <w:r>
              <w:rPr>
                <w:rFonts w:hint="eastAsia" w:hAnsi="宋体" w:cs="宋体"/>
                <w:highlight w:val="none"/>
              </w:rPr>
              <w:t>公示期限：</w:t>
            </w:r>
            <w:r>
              <w:rPr>
                <w:rFonts w:hint="eastAsia" w:hAnsi="宋体" w:cs="宋体"/>
                <w:highlight w:val="none"/>
                <w:u w:val="single"/>
                <w:lang w:val="en-US" w:eastAsia="zh-CN"/>
              </w:rPr>
              <w:t>不少于</w:t>
            </w:r>
            <w:r>
              <w:rPr>
                <w:rFonts w:hint="eastAsia" w:hAnsi="宋体" w:cs="宋体"/>
                <w:highlight w:val="none"/>
                <w:u w:val="single"/>
              </w:rPr>
              <w:t>3</w:t>
            </w:r>
            <w:r>
              <w:rPr>
                <w:rFonts w:hint="eastAsia" w:hAnsi="宋体" w:cs="宋体"/>
                <w:highlight w:val="none"/>
              </w:rPr>
              <w:t>日（公示期截止时间在法定休息日的应顺延至首个工作日）</w:t>
            </w:r>
          </w:p>
          <w:p w14:paraId="65B9BD6C">
            <w:pPr>
              <w:snapToGrid w:val="0"/>
              <w:spacing w:line="360" w:lineRule="auto"/>
              <w:rPr>
                <w:rFonts w:ascii="Times New Roman" w:cs="宋体"/>
                <w:bCs/>
                <w:szCs w:val="24"/>
                <w:highlight w:val="none"/>
                <w:u w:val="single"/>
              </w:rPr>
            </w:pPr>
            <w:r>
              <w:rPr>
                <w:rFonts w:hint="eastAsia" w:ascii="Times New Roman" w:cs="宋体"/>
                <w:bCs/>
                <w:szCs w:val="24"/>
                <w:highlight w:val="none"/>
              </w:rPr>
              <w:t>（3）其他要求：</w:t>
            </w:r>
          </w:p>
          <w:p w14:paraId="38D7F717">
            <w:pPr>
              <w:snapToGrid w:val="0"/>
              <w:spacing w:line="360" w:lineRule="auto"/>
              <w:rPr>
                <w:rFonts w:ascii="Times New Roman" w:cs="宋体"/>
                <w:bCs/>
                <w:szCs w:val="24"/>
                <w:highlight w:val="none"/>
              </w:rPr>
            </w:pPr>
            <w:r>
              <w:rPr>
                <w:rFonts w:hint="eastAsia" w:ascii="Times New Roman" w:cs="宋体"/>
                <w:bCs/>
                <w:szCs w:val="24"/>
                <w:highlight w:val="none"/>
              </w:rPr>
              <w:t>①招标人（或委托代理机构）在发布中标候选人公示时应当同时公开以下评标情况：</w:t>
            </w:r>
          </w:p>
          <w:p w14:paraId="6189CBBA">
            <w:pPr>
              <w:snapToGrid w:val="0"/>
              <w:spacing w:line="360" w:lineRule="auto"/>
              <w:rPr>
                <w:rFonts w:ascii="Times New Roman" w:cs="宋体"/>
                <w:bCs/>
                <w:szCs w:val="24"/>
                <w:highlight w:val="none"/>
              </w:rPr>
            </w:pPr>
            <w:r>
              <w:rPr>
                <w:rFonts w:hint="eastAsia" w:ascii="Times New Roman" w:cs="宋体"/>
                <w:bCs/>
                <w:szCs w:val="24"/>
                <w:highlight w:val="none"/>
              </w:rPr>
              <w:t>a.投标人名称、投标报价、投标文件被否决的原因及依据；</w:t>
            </w:r>
          </w:p>
          <w:p w14:paraId="4A0400E5">
            <w:pPr>
              <w:snapToGrid w:val="0"/>
              <w:spacing w:line="360" w:lineRule="auto"/>
              <w:rPr>
                <w:rFonts w:ascii="Times New Roman" w:cs="宋体"/>
                <w:bCs/>
                <w:szCs w:val="24"/>
                <w:highlight w:val="none"/>
              </w:rPr>
            </w:pPr>
            <w:r>
              <w:rPr>
                <w:rFonts w:hint="eastAsia" w:ascii="Times New Roman" w:cs="宋体"/>
                <w:bCs/>
                <w:szCs w:val="24"/>
                <w:highlight w:val="none"/>
              </w:rPr>
              <w:t>b</w:t>
            </w:r>
            <w:r>
              <w:rPr>
                <w:rFonts w:ascii="Times New Roman" w:cs="宋体"/>
                <w:bCs/>
                <w:szCs w:val="24"/>
                <w:highlight w:val="none"/>
              </w:rPr>
              <w:t>.</w:t>
            </w:r>
            <w:r>
              <w:rPr>
                <w:rFonts w:hint="eastAsia" w:ascii="Times New Roman" w:cs="宋体"/>
                <w:bCs/>
                <w:szCs w:val="24"/>
                <w:highlight w:val="none"/>
              </w:rPr>
              <w:t>评标委员会的评分情况。包括商务文件、技术文件、报价文件评分，其中技术文件还需公开采用编码标注的各评标委员会成员评分；</w:t>
            </w:r>
          </w:p>
          <w:p w14:paraId="1CA221CF">
            <w:pPr>
              <w:pStyle w:val="2"/>
              <w:rPr>
                <w:rFonts w:ascii="宋体" w:hAnsi="Times New Roman" w:eastAsia="宋体"/>
                <w:bCs w:val="0"/>
                <w:kern w:val="0"/>
                <w:szCs w:val="20"/>
                <w:highlight w:val="none"/>
              </w:rPr>
            </w:pPr>
            <w:r>
              <w:rPr>
                <w:rFonts w:hint="eastAsia" w:ascii="宋体" w:hAnsi="Times New Roman" w:eastAsia="宋体"/>
                <w:bCs w:val="0"/>
                <w:kern w:val="0"/>
                <w:szCs w:val="20"/>
                <w:highlight w:val="none"/>
              </w:rPr>
              <w:t>c.中标候选人经评审通过的拟任项目负责人（如有）：</w:t>
            </w:r>
          </w:p>
          <w:p w14:paraId="3B338B6D">
            <w:pPr>
              <w:pStyle w:val="2"/>
              <w:rPr>
                <w:rFonts w:ascii="宋体" w:hAnsi="Times New Roman" w:eastAsia="宋体"/>
                <w:bCs w:val="0"/>
                <w:kern w:val="0"/>
                <w:szCs w:val="20"/>
                <w:highlight w:val="none"/>
              </w:rPr>
            </w:pPr>
            <w:r>
              <w:rPr>
                <w:rFonts w:hint="eastAsia" w:ascii="宋体" w:hAnsi="Times New Roman" w:eastAsia="宋体"/>
                <w:bCs w:val="0"/>
                <w:kern w:val="0"/>
                <w:szCs w:val="20"/>
                <w:highlight w:val="none"/>
              </w:rPr>
              <w:t>项目负责人姓名；</w:t>
            </w:r>
          </w:p>
          <w:p w14:paraId="5186FE14">
            <w:pPr>
              <w:pStyle w:val="2"/>
              <w:rPr>
                <w:rFonts w:ascii="宋体" w:hAnsi="Times New Roman" w:eastAsia="宋体"/>
                <w:bCs w:val="0"/>
                <w:kern w:val="0"/>
                <w:szCs w:val="20"/>
                <w:highlight w:val="none"/>
              </w:rPr>
            </w:pPr>
            <w:r>
              <w:rPr>
                <w:rFonts w:hint="eastAsia" w:ascii="宋体" w:hAnsi="Times New Roman" w:eastAsia="宋体"/>
                <w:bCs w:val="0"/>
                <w:kern w:val="0"/>
                <w:szCs w:val="20"/>
                <w:highlight w:val="none"/>
              </w:rPr>
              <w:t>d.中标候选人经评审通过的项目负责人业绩（如有，</w:t>
            </w:r>
          </w:p>
          <w:p w14:paraId="09A951AF">
            <w:pPr>
              <w:pStyle w:val="2"/>
              <w:rPr>
                <w:rFonts w:ascii="宋体" w:hAnsi="Times New Roman" w:eastAsia="宋体"/>
                <w:bCs w:val="0"/>
                <w:kern w:val="0"/>
                <w:szCs w:val="20"/>
                <w:highlight w:val="none"/>
              </w:rPr>
            </w:pPr>
            <w:r>
              <w:rPr>
                <w:rFonts w:hint="eastAsia" w:ascii="宋体" w:hAnsi="Times New Roman" w:eastAsia="宋体"/>
                <w:bCs w:val="0"/>
                <w:kern w:val="0"/>
                <w:szCs w:val="20"/>
                <w:highlight w:val="none"/>
              </w:rPr>
              <w:t>含资格审查用业绩和商务文件评分用业绩）：项目名</w:t>
            </w:r>
          </w:p>
          <w:p w14:paraId="783A82DD">
            <w:pPr>
              <w:pStyle w:val="2"/>
              <w:rPr>
                <w:rFonts w:ascii="宋体" w:hAnsi="Times New Roman" w:eastAsia="宋体"/>
                <w:bCs w:val="0"/>
                <w:kern w:val="0"/>
                <w:szCs w:val="20"/>
                <w:highlight w:val="none"/>
              </w:rPr>
            </w:pPr>
            <w:r>
              <w:rPr>
                <w:rFonts w:hint="eastAsia" w:ascii="宋体" w:hAnsi="Times New Roman" w:eastAsia="宋体"/>
                <w:bCs w:val="0"/>
                <w:kern w:val="0"/>
                <w:szCs w:val="20"/>
                <w:highlight w:val="none"/>
              </w:rPr>
              <w:t>称；</w:t>
            </w:r>
          </w:p>
          <w:p w14:paraId="2682E159">
            <w:pPr>
              <w:pStyle w:val="2"/>
              <w:rPr>
                <w:rFonts w:ascii="宋体" w:hAnsi="Times New Roman" w:eastAsia="宋体"/>
                <w:bCs w:val="0"/>
                <w:kern w:val="0"/>
                <w:szCs w:val="20"/>
                <w:highlight w:val="none"/>
              </w:rPr>
            </w:pPr>
            <w:r>
              <w:rPr>
                <w:rFonts w:hint="eastAsia" w:ascii="宋体" w:hAnsi="Times New Roman" w:eastAsia="宋体"/>
                <w:bCs w:val="0"/>
                <w:kern w:val="0"/>
                <w:szCs w:val="20"/>
                <w:highlight w:val="none"/>
              </w:rPr>
              <w:t>e.中标候选人经评审通过的投标人业绩（如有，含资格审查用业绩和商务文件评分用业绩）：项目名称；</w:t>
            </w:r>
          </w:p>
        </w:tc>
      </w:tr>
      <w:tr w14:paraId="109C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01E16C79">
            <w:pPr>
              <w:snapToGrid w:val="0"/>
              <w:spacing w:line="360" w:lineRule="auto"/>
              <w:jc w:val="center"/>
              <w:rPr>
                <w:rFonts w:hAnsi="宋体" w:cs="宋体"/>
                <w:highlight w:val="none"/>
              </w:rPr>
            </w:pPr>
            <w:r>
              <w:rPr>
                <w:rFonts w:hint="eastAsia" w:hAnsi="宋体" w:cs="宋体"/>
                <w:highlight w:val="none"/>
              </w:rPr>
              <w:t>7.1</w:t>
            </w:r>
          </w:p>
        </w:tc>
        <w:tc>
          <w:tcPr>
            <w:tcW w:w="1776" w:type="dxa"/>
            <w:vAlign w:val="center"/>
          </w:tcPr>
          <w:p w14:paraId="4A3B9EA0">
            <w:pPr>
              <w:snapToGrid w:val="0"/>
              <w:spacing w:line="360" w:lineRule="auto"/>
              <w:jc w:val="center"/>
              <w:rPr>
                <w:rFonts w:hAnsi="宋体" w:cs="宋体"/>
                <w:highlight w:val="none"/>
              </w:rPr>
            </w:pPr>
            <w:r>
              <w:rPr>
                <w:rFonts w:hint="eastAsia" w:hAnsi="宋体" w:cs="宋体"/>
                <w:highlight w:val="none"/>
              </w:rPr>
              <w:t>是否授权评标委员会确定中标人</w:t>
            </w:r>
          </w:p>
        </w:tc>
        <w:tc>
          <w:tcPr>
            <w:tcW w:w="5684" w:type="dxa"/>
            <w:vAlign w:val="center"/>
          </w:tcPr>
          <w:p w14:paraId="76ED08AD">
            <w:pPr>
              <w:snapToGrid w:val="0"/>
              <w:spacing w:line="360" w:lineRule="auto"/>
              <w:rPr>
                <w:highlight w:val="none"/>
              </w:rPr>
            </w:pPr>
            <w:r>
              <w:rPr>
                <w:rFonts w:hint="eastAsia" w:ascii="MS Mincho" w:hAnsi="MS Mincho" w:eastAsia="MS Mincho" w:cs="MS Mincho"/>
                <w:highlight w:val="none"/>
              </w:rPr>
              <w:t>☑</w:t>
            </w:r>
            <w:r>
              <w:rPr>
                <w:rFonts w:hint="eastAsia"/>
                <w:highlight w:val="none"/>
              </w:rPr>
              <w:t>是</w:t>
            </w:r>
          </w:p>
          <w:p w14:paraId="36370DE0">
            <w:pPr>
              <w:snapToGrid w:val="0"/>
              <w:spacing w:line="360" w:lineRule="auto"/>
              <w:rPr>
                <w:highlight w:val="none"/>
              </w:rPr>
            </w:pPr>
            <w:r>
              <w:rPr>
                <w:rFonts w:hint="eastAsia"/>
                <w:highlight w:val="none"/>
              </w:rPr>
              <w:sym w:font="Wingdings 2" w:char="00A3"/>
            </w:r>
            <w:r>
              <w:rPr>
                <w:rFonts w:hint="eastAsia"/>
                <w:highlight w:val="none"/>
              </w:rPr>
              <w:t>否</w:t>
            </w:r>
          </w:p>
        </w:tc>
      </w:tr>
      <w:tr w14:paraId="39E2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5BC5115B">
            <w:pPr>
              <w:snapToGrid w:val="0"/>
              <w:spacing w:line="360" w:lineRule="auto"/>
              <w:jc w:val="center"/>
              <w:rPr>
                <w:rFonts w:hAnsi="宋体" w:cs="宋体"/>
                <w:highlight w:val="none"/>
              </w:rPr>
            </w:pPr>
            <w:r>
              <w:rPr>
                <w:rFonts w:hint="eastAsia" w:hAnsi="宋体" w:cs="宋体"/>
                <w:highlight w:val="none"/>
              </w:rPr>
              <w:t>7.2</w:t>
            </w:r>
          </w:p>
        </w:tc>
        <w:tc>
          <w:tcPr>
            <w:tcW w:w="1776" w:type="dxa"/>
            <w:vAlign w:val="center"/>
          </w:tcPr>
          <w:p w14:paraId="4F80D09B">
            <w:pPr>
              <w:snapToGrid w:val="0"/>
              <w:spacing w:line="360" w:lineRule="auto"/>
              <w:jc w:val="center"/>
              <w:rPr>
                <w:rFonts w:hAnsi="宋体" w:cs="宋体"/>
                <w:highlight w:val="none"/>
              </w:rPr>
            </w:pPr>
            <w:r>
              <w:rPr>
                <w:rFonts w:hint="eastAsia" w:hAnsi="宋体" w:cs="宋体"/>
                <w:highlight w:val="none"/>
              </w:rPr>
              <w:t>中标结果公示媒介</w:t>
            </w:r>
          </w:p>
        </w:tc>
        <w:tc>
          <w:tcPr>
            <w:tcW w:w="5684" w:type="dxa"/>
            <w:vAlign w:val="center"/>
          </w:tcPr>
          <w:p w14:paraId="49877703">
            <w:pPr>
              <w:snapToGrid w:val="0"/>
              <w:spacing w:line="360" w:lineRule="auto"/>
              <w:rPr>
                <w:rFonts w:hAnsi="宋体" w:cs="宋体"/>
                <w:highlight w:val="none"/>
              </w:rPr>
            </w:pPr>
            <w:r>
              <w:rPr>
                <w:rFonts w:hint="eastAsia" w:hAnsi="宋体" w:cs="宋体"/>
                <w:highlight w:val="none"/>
              </w:rPr>
              <w:t>同招标公告发布媒介</w:t>
            </w:r>
          </w:p>
        </w:tc>
      </w:tr>
      <w:tr w14:paraId="3C05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4EC57B8">
            <w:pPr>
              <w:snapToGrid w:val="0"/>
              <w:spacing w:line="360" w:lineRule="auto"/>
              <w:jc w:val="center"/>
              <w:rPr>
                <w:rFonts w:hAnsi="宋体" w:cs="宋体"/>
                <w:highlight w:val="none"/>
              </w:rPr>
            </w:pPr>
            <w:r>
              <w:rPr>
                <w:rFonts w:hint="eastAsia" w:hAnsi="宋体" w:cs="宋体"/>
                <w:highlight w:val="none"/>
              </w:rPr>
              <w:t>7.3</w:t>
            </w:r>
          </w:p>
        </w:tc>
        <w:tc>
          <w:tcPr>
            <w:tcW w:w="1776" w:type="dxa"/>
            <w:vAlign w:val="center"/>
          </w:tcPr>
          <w:p w14:paraId="0A2A0023">
            <w:pPr>
              <w:snapToGrid w:val="0"/>
              <w:spacing w:line="360" w:lineRule="auto"/>
              <w:jc w:val="center"/>
              <w:rPr>
                <w:rFonts w:hAnsi="宋体" w:cs="宋体"/>
                <w:highlight w:val="none"/>
              </w:rPr>
            </w:pPr>
            <w:r>
              <w:rPr>
                <w:rFonts w:hint="eastAsia" w:hAnsi="宋体" w:cs="宋体"/>
                <w:highlight w:val="none"/>
              </w:rPr>
              <w:t>中标通知书和中标结果通知发出的形式</w:t>
            </w:r>
          </w:p>
        </w:tc>
        <w:tc>
          <w:tcPr>
            <w:tcW w:w="5684" w:type="dxa"/>
            <w:vAlign w:val="center"/>
          </w:tcPr>
          <w:p w14:paraId="7FEBAF0C">
            <w:pPr>
              <w:snapToGrid w:val="0"/>
              <w:spacing w:line="360" w:lineRule="auto"/>
              <w:rPr>
                <w:rFonts w:hAnsi="宋体" w:cs="宋体"/>
                <w:highlight w:val="none"/>
              </w:rPr>
            </w:pPr>
            <w:r>
              <w:rPr>
                <w:rFonts w:hint="eastAsia" w:ascii="Times New Roman" w:cs="宋体"/>
                <w:bCs/>
                <w:szCs w:val="24"/>
                <w:highlight w:val="none"/>
              </w:rPr>
              <w:t>（1）</w:t>
            </w:r>
            <w:r>
              <w:rPr>
                <w:rFonts w:hint="eastAsia" w:hAnsi="宋体" w:cs="宋体"/>
                <w:highlight w:val="none"/>
              </w:rPr>
              <w:t>中标通知书发出的形式：</w:t>
            </w:r>
            <w:r>
              <w:rPr>
                <w:rFonts w:hint="eastAsia" w:hAnsi="宋体" w:cs="宋体"/>
                <w:highlight w:val="none"/>
              </w:rPr>
              <w:sym w:font="Wingdings 2" w:char="0052"/>
            </w:r>
            <w:r>
              <w:rPr>
                <w:rFonts w:hint="eastAsia" w:hAnsi="宋体" w:cs="宋体"/>
                <w:highlight w:val="none"/>
              </w:rPr>
              <w:t xml:space="preserve">数据电文  </w:t>
            </w:r>
            <w:r>
              <w:rPr>
                <w:rFonts w:hint="eastAsia" w:hAnsi="宋体" w:cs="宋体"/>
                <w:highlight w:val="none"/>
              </w:rPr>
              <w:sym w:font="Wingdings 2" w:char="00A3"/>
            </w:r>
            <w:r>
              <w:rPr>
                <w:rFonts w:hint="eastAsia" w:hAnsi="宋体" w:cs="宋体"/>
                <w:highlight w:val="none"/>
              </w:rPr>
              <w:t>纸质</w:t>
            </w:r>
          </w:p>
          <w:p w14:paraId="4C5D3F82">
            <w:pPr>
              <w:snapToGrid w:val="0"/>
              <w:spacing w:line="360" w:lineRule="auto"/>
              <w:rPr>
                <w:rFonts w:hAnsi="宋体" w:cs="宋体"/>
                <w:highlight w:val="none"/>
              </w:rPr>
            </w:pPr>
            <w:r>
              <w:rPr>
                <w:rFonts w:hint="eastAsia" w:ascii="Times New Roman" w:cs="宋体"/>
                <w:bCs/>
                <w:szCs w:val="24"/>
                <w:highlight w:val="none"/>
              </w:rPr>
              <w:t>（2）</w:t>
            </w:r>
            <w:r>
              <w:rPr>
                <w:rFonts w:hint="eastAsia" w:hAnsi="宋体" w:cs="宋体"/>
                <w:highlight w:val="none"/>
              </w:rPr>
              <w:t>中标结果通知发出的形式：</w:t>
            </w:r>
            <w:r>
              <w:rPr>
                <w:rFonts w:hint="eastAsia" w:hAnsi="宋体" w:cs="宋体"/>
                <w:highlight w:val="none"/>
              </w:rPr>
              <w:sym w:font="Wingdings 2" w:char="0052"/>
            </w:r>
            <w:r>
              <w:rPr>
                <w:rFonts w:hint="eastAsia" w:hAnsi="宋体" w:cs="宋体"/>
                <w:highlight w:val="none"/>
              </w:rPr>
              <w:t xml:space="preserve">数据电文 </w:t>
            </w:r>
            <w:r>
              <w:rPr>
                <w:rFonts w:hint="eastAsia" w:hAnsi="宋体" w:cs="宋体"/>
                <w:highlight w:val="none"/>
              </w:rPr>
              <w:sym w:font="Wingdings 2" w:char="00A3"/>
            </w:r>
            <w:r>
              <w:rPr>
                <w:rFonts w:hint="eastAsia" w:hAnsi="宋体" w:cs="宋体"/>
                <w:highlight w:val="none"/>
              </w:rPr>
              <w:t>纸质</w:t>
            </w:r>
          </w:p>
          <w:p w14:paraId="7E7A710D">
            <w:pPr>
              <w:snapToGrid w:val="0"/>
              <w:spacing w:line="360" w:lineRule="auto"/>
              <w:rPr>
                <w:rFonts w:hAnsi="宋体" w:cs="宋体"/>
                <w:highlight w:val="none"/>
              </w:rPr>
            </w:pPr>
            <w:r>
              <w:rPr>
                <w:rFonts w:hint="eastAsia" w:hAnsi="宋体" w:cs="宋体"/>
                <w:highlight w:val="none"/>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5194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001DF1FF">
            <w:pPr>
              <w:snapToGrid w:val="0"/>
              <w:spacing w:line="360" w:lineRule="auto"/>
              <w:jc w:val="center"/>
              <w:rPr>
                <w:rFonts w:hAnsi="宋体" w:cs="宋体"/>
                <w:highlight w:val="none"/>
              </w:rPr>
            </w:pPr>
            <w:r>
              <w:rPr>
                <w:rFonts w:hint="eastAsia" w:hAnsi="宋体" w:cs="宋体"/>
                <w:highlight w:val="none"/>
              </w:rPr>
              <w:t>8.1.1</w:t>
            </w:r>
          </w:p>
        </w:tc>
        <w:tc>
          <w:tcPr>
            <w:tcW w:w="1776" w:type="dxa"/>
            <w:vAlign w:val="center"/>
          </w:tcPr>
          <w:p w14:paraId="1D480307">
            <w:pPr>
              <w:snapToGrid w:val="0"/>
              <w:spacing w:line="360" w:lineRule="auto"/>
              <w:jc w:val="center"/>
              <w:rPr>
                <w:rFonts w:hAnsi="宋体" w:cs="宋体"/>
                <w:highlight w:val="none"/>
              </w:rPr>
            </w:pPr>
            <w:r>
              <w:rPr>
                <w:rFonts w:hint="eastAsia" w:hAnsi="宋体" w:cs="宋体"/>
                <w:highlight w:val="none"/>
              </w:rPr>
              <w:t>履约保证金</w:t>
            </w:r>
          </w:p>
        </w:tc>
        <w:tc>
          <w:tcPr>
            <w:tcW w:w="5684" w:type="dxa"/>
            <w:vAlign w:val="center"/>
          </w:tcPr>
          <w:p w14:paraId="3BF9E744">
            <w:pPr>
              <w:snapToGrid w:val="0"/>
              <w:spacing w:line="360" w:lineRule="auto"/>
              <w:rPr>
                <w:rFonts w:hAnsi="宋体" w:cs="宋体"/>
                <w:bCs/>
                <w:snapToGrid w:val="0"/>
                <w:highlight w:val="none"/>
              </w:rPr>
            </w:pPr>
            <w:r>
              <w:rPr>
                <w:rFonts w:hint="eastAsia" w:hAnsi="宋体" w:cs="宋体"/>
                <w:snapToGrid w:val="0"/>
                <w:highlight w:val="none"/>
              </w:rPr>
              <w:t>是否要求投标人递交</w:t>
            </w:r>
            <w:r>
              <w:rPr>
                <w:rFonts w:hint="eastAsia" w:hAnsi="宋体" w:cs="宋体"/>
                <w:highlight w:val="none"/>
              </w:rPr>
              <w:t>履约保证金</w:t>
            </w:r>
            <w:r>
              <w:rPr>
                <w:rFonts w:hint="eastAsia" w:hAnsi="宋体" w:cs="宋体"/>
                <w:snapToGrid w:val="0"/>
                <w:highlight w:val="none"/>
              </w:rPr>
              <w:t>：</w:t>
            </w:r>
          </w:p>
          <w:p w14:paraId="7994221E">
            <w:pPr>
              <w:snapToGrid w:val="0"/>
              <w:spacing w:line="360" w:lineRule="auto"/>
              <w:rPr>
                <w:rFonts w:hAnsi="宋体" w:cs="宋体"/>
                <w:snapToGrid w:val="0"/>
                <w:highlight w:val="none"/>
              </w:rPr>
            </w:pPr>
            <w:r>
              <w:rPr>
                <w:rFonts w:hint="eastAsia" w:hAnsi="宋体" w:cs="宋体"/>
                <w:snapToGrid w:val="0"/>
                <w:highlight w:val="none"/>
              </w:rPr>
              <w:sym w:font="Wingdings 2" w:char="00A3"/>
            </w:r>
            <w:r>
              <w:rPr>
                <w:rFonts w:hint="eastAsia" w:hAnsi="宋体" w:cs="宋体"/>
                <w:snapToGrid w:val="0"/>
                <w:highlight w:val="none"/>
              </w:rPr>
              <w:t>不要求</w:t>
            </w:r>
          </w:p>
          <w:p w14:paraId="330D12A1">
            <w:pPr>
              <w:snapToGrid w:val="0"/>
              <w:spacing w:line="360" w:lineRule="auto"/>
              <w:rPr>
                <w:rFonts w:hAnsi="宋体" w:cs="宋体"/>
                <w:snapToGrid w:val="0"/>
                <w:highlight w:val="none"/>
              </w:rPr>
            </w:pPr>
            <w:r>
              <w:rPr>
                <w:rFonts w:hint="eastAsia" w:ascii="MS Mincho" w:hAnsi="MS Mincho" w:eastAsia="MS Mincho" w:cs="MS Mincho"/>
                <w:highlight w:val="none"/>
              </w:rPr>
              <w:t>☑</w:t>
            </w:r>
            <w:r>
              <w:rPr>
                <w:rFonts w:hint="eastAsia" w:hAnsi="宋体" w:cs="宋体"/>
                <w:snapToGrid w:val="0"/>
                <w:highlight w:val="none"/>
              </w:rPr>
              <w:t>要求，具体如下：</w:t>
            </w:r>
          </w:p>
          <w:p w14:paraId="2920209C">
            <w:pPr>
              <w:snapToGrid w:val="0"/>
              <w:spacing w:line="360" w:lineRule="auto"/>
              <w:rPr>
                <w:rFonts w:hAnsi="宋体" w:cs="宋体"/>
                <w:bCs/>
                <w:snapToGrid w:val="0"/>
                <w:highlight w:val="none"/>
              </w:rPr>
            </w:pPr>
            <w:r>
              <w:rPr>
                <w:rFonts w:hint="eastAsia" w:hAnsi="宋体" w:cs="宋体"/>
                <w:bCs/>
                <w:snapToGrid w:val="0"/>
                <w:highlight w:val="none"/>
              </w:rPr>
              <w:t>（1）履约保证金金额：</w:t>
            </w:r>
            <w:r>
              <w:rPr>
                <w:rFonts w:hint="eastAsia" w:hAnsi="宋体" w:cs="宋体"/>
                <w:bCs/>
                <w:snapToGrid w:val="0"/>
                <w:highlight w:val="none"/>
                <w:u w:val="single"/>
              </w:rPr>
              <w:t>中标金额的2%</w:t>
            </w:r>
          </w:p>
          <w:p w14:paraId="4B0B2552">
            <w:pPr>
              <w:snapToGrid w:val="0"/>
              <w:spacing w:line="360" w:lineRule="auto"/>
              <w:rPr>
                <w:rFonts w:hAnsi="宋体" w:cs="宋体"/>
                <w:highlight w:val="none"/>
              </w:rPr>
            </w:pPr>
            <w:r>
              <w:rPr>
                <w:rFonts w:hint="eastAsia" w:hAnsi="宋体" w:cs="宋体"/>
                <w:bCs/>
                <w:snapToGrid w:val="0"/>
                <w:highlight w:val="none"/>
              </w:rPr>
              <w:t>（2）履约保证金形式</w:t>
            </w:r>
            <w:r>
              <w:rPr>
                <w:rFonts w:hint="eastAsia" w:hAnsi="宋体" w:cs="宋体"/>
                <w:highlight w:val="none"/>
              </w:rPr>
              <w:t>：</w:t>
            </w:r>
          </w:p>
          <w:p w14:paraId="48CA2688">
            <w:pPr>
              <w:snapToGrid w:val="0"/>
              <w:spacing w:line="360" w:lineRule="auto"/>
              <w:rPr>
                <w:rFonts w:hint="eastAsia" w:ascii="Times New Roman" w:hAnsi="Times New Roman" w:cs="宋体"/>
                <w:bCs/>
                <w:snapToGrid w:val="0"/>
                <w:sz w:val="24"/>
                <w:szCs w:val="24"/>
                <w:highlight w:val="none"/>
              </w:rPr>
            </w:pPr>
            <w:r>
              <w:rPr>
                <w:rFonts w:hint="eastAsia" w:ascii="Times New Roman" w:hAnsi="Times New Roman" w:cs="宋体"/>
                <w:bCs/>
                <w:snapToGrid w:val="0"/>
                <w:sz w:val="24"/>
                <w:szCs w:val="24"/>
                <w:highlight w:val="none"/>
              </w:rPr>
              <w:sym w:font="Wingdings 2" w:char="0052"/>
            </w:r>
            <w:r>
              <w:rPr>
                <w:rFonts w:hint="eastAsia" w:ascii="Times New Roman" w:hAnsi="Times New Roman" w:cs="宋体"/>
                <w:bCs/>
                <w:snapToGrid w:val="0"/>
                <w:sz w:val="24"/>
                <w:szCs w:val="24"/>
                <w:highlight w:val="none"/>
              </w:rPr>
              <w:t>电子保函</w:t>
            </w:r>
          </w:p>
          <w:p w14:paraId="5CB3AB8F">
            <w:pPr>
              <w:snapToGrid w:val="0"/>
              <w:spacing w:line="360" w:lineRule="auto"/>
              <w:rPr>
                <w:rFonts w:hint="eastAsia" w:ascii="Times New Roman" w:hAnsi="Times New Roman" w:cs="宋体"/>
                <w:bCs/>
                <w:snapToGrid w:val="0"/>
                <w:sz w:val="24"/>
                <w:szCs w:val="24"/>
                <w:highlight w:val="none"/>
              </w:rPr>
            </w:pPr>
            <w:r>
              <w:rPr>
                <w:rFonts w:hint="eastAsia" w:ascii="Times New Roman" w:hAnsi="Times New Roman" w:cs="宋体"/>
                <w:bCs/>
                <w:snapToGrid w:val="0"/>
                <w:sz w:val="24"/>
                <w:szCs w:val="24"/>
                <w:highlight w:val="none"/>
              </w:rPr>
              <w:sym w:font="Wingdings 2" w:char="0052"/>
            </w:r>
            <w:r>
              <w:rPr>
                <w:rFonts w:hint="eastAsia" w:ascii="Times New Roman" w:hAnsi="Times New Roman" w:cs="宋体"/>
                <w:bCs/>
                <w:snapToGrid w:val="0"/>
                <w:sz w:val="24"/>
                <w:szCs w:val="24"/>
                <w:highlight w:val="none"/>
              </w:rPr>
              <w:t>现金（银行转账、银行电汇）</w:t>
            </w:r>
          </w:p>
          <w:p w14:paraId="04A64774">
            <w:pPr>
              <w:snapToGrid w:val="0"/>
              <w:spacing w:line="360" w:lineRule="auto"/>
              <w:rPr>
                <w:rFonts w:hint="eastAsia" w:ascii="Times New Roman" w:hAnsi="Times New Roman" w:cs="宋体"/>
                <w:bCs/>
                <w:snapToGrid w:val="0"/>
                <w:sz w:val="24"/>
                <w:szCs w:val="24"/>
                <w:highlight w:val="none"/>
              </w:rPr>
            </w:pPr>
            <w:r>
              <w:rPr>
                <w:rFonts w:hint="eastAsia" w:ascii="Times New Roman" w:hAnsi="Times New Roman" w:cs="宋体"/>
                <w:bCs/>
                <w:snapToGrid w:val="0"/>
                <w:sz w:val="24"/>
                <w:szCs w:val="24"/>
                <w:highlight w:val="none"/>
              </w:rPr>
              <w:sym w:font="Wingdings 2" w:char="0052"/>
            </w:r>
            <w:r>
              <w:rPr>
                <w:rFonts w:hint="eastAsia" w:ascii="Times New Roman" w:hAnsi="Times New Roman" w:cs="宋体"/>
                <w:bCs/>
                <w:snapToGrid w:val="0"/>
                <w:sz w:val="24"/>
                <w:szCs w:val="24"/>
                <w:highlight w:val="none"/>
              </w:rPr>
              <w:t>纸质保函（纸质银行保函、纸质担保机构担保、纸质保证保险）</w:t>
            </w:r>
          </w:p>
          <w:p w14:paraId="70A80182">
            <w:pPr>
              <w:snapToGrid w:val="0"/>
              <w:spacing w:line="360" w:lineRule="auto"/>
              <w:rPr>
                <w:rFonts w:hAnsi="宋体" w:cs="宋体"/>
                <w:highlight w:val="none"/>
              </w:rPr>
            </w:pPr>
            <w:r>
              <w:rPr>
                <w:rFonts w:hint="eastAsia" w:ascii="Times New Roman" w:cs="宋体"/>
                <w:bCs/>
                <w:szCs w:val="24"/>
                <w:highlight w:val="none"/>
              </w:rPr>
              <w:t>（3）</w:t>
            </w:r>
            <w:r>
              <w:rPr>
                <w:rFonts w:hint="eastAsia" w:hAnsi="宋体" w:cs="宋体"/>
                <w:highlight w:val="none"/>
              </w:rPr>
              <w:t>具体要求：</w:t>
            </w:r>
          </w:p>
          <w:p w14:paraId="521C3F17">
            <w:pPr>
              <w:snapToGrid w:val="0"/>
              <w:spacing w:line="360" w:lineRule="auto"/>
              <w:rPr>
                <w:rFonts w:hint="eastAsia" w:ascii="Times New Roman" w:hAnsi="Times New Roman" w:cs="宋体"/>
                <w:bCs/>
                <w:snapToGrid w:val="0"/>
                <w:sz w:val="24"/>
                <w:szCs w:val="24"/>
                <w:highlight w:val="none"/>
              </w:rPr>
            </w:pPr>
            <w:r>
              <w:rPr>
                <w:rFonts w:hint="eastAsia" w:ascii="Times New Roman" w:hAnsi="Times New Roman" w:cs="宋体"/>
                <w:bCs/>
                <w:snapToGrid w:val="0"/>
                <w:sz w:val="24"/>
                <w:szCs w:val="24"/>
                <w:highlight w:val="none"/>
              </w:rPr>
              <w:t>①采用纸质银行保函的，应为不可撤销、不可转让的见索即付独立保函。</w:t>
            </w:r>
          </w:p>
          <w:p w14:paraId="4C0FB586">
            <w:pPr>
              <w:snapToGrid w:val="0"/>
              <w:spacing w:line="360" w:lineRule="auto"/>
              <w:rPr>
                <w:rFonts w:hint="eastAsia" w:ascii="Times New Roman" w:hAnsi="Times New Roman" w:cs="宋体"/>
                <w:bCs/>
                <w:snapToGrid w:val="0"/>
                <w:sz w:val="24"/>
                <w:szCs w:val="24"/>
                <w:highlight w:val="none"/>
              </w:rPr>
            </w:pPr>
            <w:r>
              <w:rPr>
                <w:rFonts w:hint="eastAsia" w:ascii="Times New Roman" w:hAnsi="Times New Roman" w:cs="宋体"/>
                <w:bCs/>
                <w:snapToGrid w:val="0"/>
                <w:sz w:val="24"/>
                <w:szCs w:val="24"/>
                <w:highlight w:val="none"/>
              </w:rPr>
              <w:t>②采用纸质担保机构担保的，应为经安徽省地方金融监督管理局审查批准，依法取得融资担保业务经营许可证的融资担保机构出具的不可撤销、不可转让的见索即付独立保函。</w:t>
            </w:r>
          </w:p>
          <w:p w14:paraId="23A9A210">
            <w:pPr>
              <w:snapToGrid w:val="0"/>
              <w:spacing w:line="360" w:lineRule="auto"/>
              <w:rPr>
                <w:rFonts w:hint="eastAsia" w:ascii="Times New Roman" w:hAnsi="Times New Roman" w:cs="宋体"/>
                <w:bCs/>
                <w:snapToGrid w:val="0"/>
                <w:sz w:val="24"/>
                <w:szCs w:val="24"/>
                <w:highlight w:val="none"/>
              </w:rPr>
            </w:pPr>
            <w:r>
              <w:rPr>
                <w:rFonts w:hint="eastAsia" w:ascii="Times New Roman" w:hAnsi="Times New Roman" w:cs="宋体"/>
                <w:bCs/>
                <w:snapToGrid w:val="0"/>
                <w:sz w:val="24"/>
                <w:szCs w:val="24"/>
                <w:highlight w:val="none"/>
              </w:rPr>
              <w:t>③采用纸质保证保险的，应为保险公司出具的不可撤销、不可转让的见索即付保证保险。</w:t>
            </w:r>
          </w:p>
          <w:p w14:paraId="0B7EB711">
            <w:pPr>
              <w:snapToGrid w:val="0"/>
              <w:spacing w:line="360" w:lineRule="auto"/>
              <w:rPr>
                <w:rFonts w:hint="eastAsia" w:ascii="Times New Roman" w:hAnsi="Times New Roman" w:cs="宋体"/>
                <w:bCs/>
                <w:snapToGrid w:val="0"/>
                <w:sz w:val="24"/>
                <w:szCs w:val="24"/>
                <w:highlight w:val="none"/>
              </w:rPr>
            </w:pPr>
            <w:r>
              <w:rPr>
                <w:rFonts w:hint="eastAsia" w:ascii="Times New Roman" w:hAnsi="Times New Roman" w:cs="宋体"/>
                <w:bCs/>
                <w:snapToGrid w:val="0"/>
                <w:sz w:val="24"/>
                <w:szCs w:val="24"/>
                <w:highlight w:val="none"/>
              </w:rPr>
              <w:t>④采用电子保函的，请登录全国公共资源交易平台（安徽省•合肥市）（安徽合肥公共资源交易中心网站）“电子保函”栏目查看《合肥市（信易贷）电子保函平台履约保函操作手册》并按照操作手册规定内容办理。</w:t>
            </w:r>
          </w:p>
          <w:p w14:paraId="004072C3">
            <w:pPr>
              <w:spacing w:line="360" w:lineRule="auto"/>
              <w:rPr>
                <w:rFonts w:hAnsi="宋体" w:cs="宋体"/>
                <w:bCs/>
                <w:highlight w:val="none"/>
              </w:rPr>
            </w:pPr>
            <w:r>
              <w:rPr>
                <w:rFonts w:hint="eastAsia" w:ascii="Times New Roman" w:cs="宋体"/>
                <w:bCs/>
                <w:szCs w:val="24"/>
                <w:highlight w:val="none"/>
              </w:rPr>
              <w:t>（4）</w:t>
            </w:r>
            <w:r>
              <w:rPr>
                <w:rFonts w:hint="eastAsia" w:hAnsi="宋体" w:cs="宋体"/>
                <w:bCs/>
                <w:highlight w:val="none"/>
              </w:rPr>
              <w:t>本招标项目是否减免履约保证金：</w:t>
            </w:r>
          </w:p>
          <w:p w14:paraId="232E2C2C">
            <w:pPr>
              <w:spacing w:line="360" w:lineRule="auto"/>
              <w:rPr>
                <w:rFonts w:hAnsi="宋体" w:cs="宋体"/>
                <w:bCs/>
                <w:highlight w:val="none"/>
              </w:rPr>
            </w:pPr>
            <w:r>
              <w:rPr>
                <w:rFonts w:hint="eastAsia" w:ascii="MS Mincho" w:hAnsi="MS Mincho" w:eastAsia="MS Mincho" w:cs="MS Mincho"/>
                <w:highlight w:val="none"/>
              </w:rPr>
              <w:t>☑</w:t>
            </w:r>
            <w:r>
              <w:rPr>
                <w:rFonts w:hint="eastAsia" w:hAnsi="宋体" w:cs="宋体"/>
                <w:bCs/>
                <w:highlight w:val="none"/>
              </w:rPr>
              <w:t>不减免</w:t>
            </w:r>
          </w:p>
          <w:p w14:paraId="66C5CFF3">
            <w:pPr>
              <w:spacing w:line="360" w:lineRule="auto"/>
              <w:rPr>
                <w:rFonts w:hAnsi="宋体" w:cs="宋体"/>
                <w:highlight w:val="none"/>
                <w:u w:val="single"/>
              </w:rPr>
            </w:pPr>
            <w:r>
              <w:rPr>
                <w:rFonts w:hint="eastAsia" w:hAnsi="宋体" w:cs="宋体"/>
                <w:bCs/>
                <w:highlight w:val="none"/>
              </w:rPr>
              <w:t>□减免，</w:t>
            </w:r>
            <w:r>
              <w:rPr>
                <w:rFonts w:hint="eastAsia" w:hAnsi="宋体" w:cs="宋体"/>
                <w:highlight w:val="none"/>
              </w:rPr>
              <w:t>适用减免履约保证金的情形：</w:t>
            </w:r>
          </w:p>
          <w:p w14:paraId="36EAA9F5">
            <w:pPr>
              <w:spacing w:line="360" w:lineRule="auto"/>
              <w:rPr>
                <w:rFonts w:hAnsi="宋体" w:cs="宋体"/>
                <w:highlight w:val="none"/>
              </w:rPr>
            </w:pPr>
            <w:r>
              <w:rPr>
                <w:rFonts w:hint="eastAsia" w:ascii="Times New Roman" w:cs="宋体"/>
                <w:bCs/>
                <w:szCs w:val="24"/>
                <w:highlight w:val="none"/>
              </w:rPr>
              <w:t>（5）</w:t>
            </w:r>
            <w:r>
              <w:rPr>
                <w:rFonts w:hint="eastAsia" w:hAnsi="宋体" w:cs="宋体"/>
                <w:highlight w:val="none"/>
              </w:rPr>
              <w:t>其他要求：</w:t>
            </w:r>
            <w:r>
              <w:rPr>
                <w:rFonts w:hint="eastAsia" w:hAnsi="宋体" w:cs="宋体"/>
                <w:highlight w:val="none"/>
                <w:u w:val="single"/>
                <w:lang w:val="en-US" w:eastAsia="zh-CN"/>
              </w:rPr>
              <w:t>如</w:t>
            </w:r>
            <w:r>
              <w:rPr>
                <w:rFonts w:hint="eastAsia" w:hAnsi="宋体" w:cs="宋体"/>
                <w:bCs/>
                <w:snapToGrid w:val="0"/>
                <w:highlight w:val="none"/>
                <w:u w:val="single"/>
              </w:rPr>
              <w:t>投标人采用现金（银行转账、银行电汇）形式提交履约保证金的，同时退还银行同期活期存款利息。</w:t>
            </w:r>
          </w:p>
        </w:tc>
      </w:tr>
      <w:tr w14:paraId="0FE5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6" w:type="dxa"/>
            <w:gridSpan w:val="3"/>
            <w:vAlign w:val="center"/>
          </w:tcPr>
          <w:p w14:paraId="1CEC9DA5">
            <w:pPr>
              <w:snapToGrid w:val="0"/>
              <w:spacing w:line="360" w:lineRule="auto"/>
              <w:jc w:val="left"/>
              <w:rPr>
                <w:rFonts w:hAnsi="宋体" w:cs="宋体"/>
                <w:highlight w:val="none"/>
              </w:rPr>
            </w:pPr>
            <w:r>
              <w:rPr>
                <w:rFonts w:hint="eastAsia" w:hAnsi="宋体" w:cs="宋体"/>
                <w:highlight w:val="none"/>
              </w:rPr>
              <w:t>10. 需要补充的其他内容</w:t>
            </w:r>
          </w:p>
        </w:tc>
      </w:tr>
      <w:tr w14:paraId="250F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B645490">
            <w:pPr>
              <w:snapToGrid w:val="0"/>
              <w:spacing w:line="360" w:lineRule="auto"/>
              <w:jc w:val="center"/>
              <w:rPr>
                <w:rFonts w:hAnsi="宋体" w:cs="宋体"/>
                <w:highlight w:val="none"/>
              </w:rPr>
            </w:pPr>
            <w:r>
              <w:rPr>
                <w:rFonts w:hint="eastAsia" w:hAnsi="宋体" w:cs="宋体"/>
                <w:highlight w:val="none"/>
              </w:rPr>
              <w:t>10.1</w:t>
            </w:r>
          </w:p>
        </w:tc>
        <w:tc>
          <w:tcPr>
            <w:tcW w:w="1776" w:type="dxa"/>
            <w:vAlign w:val="center"/>
          </w:tcPr>
          <w:p w14:paraId="14FB96A7">
            <w:pPr>
              <w:snapToGrid w:val="0"/>
              <w:spacing w:line="360" w:lineRule="auto"/>
              <w:jc w:val="center"/>
              <w:rPr>
                <w:rFonts w:hAnsi="宋体" w:cs="宋体"/>
                <w:bCs/>
                <w:snapToGrid w:val="0"/>
                <w:highlight w:val="none"/>
              </w:rPr>
            </w:pPr>
            <w:r>
              <w:rPr>
                <w:rFonts w:hint="eastAsia" w:ascii="Times New Roman" w:cs="宋体"/>
                <w:bCs/>
                <w:snapToGrid w:val="0"/>
                <w:szCs w:val="24"/>
                <w:highlight w:val="none"/>
              </w:rPr>
              <w:t>获取与查看通知</w:t>
            </w:r>
          </w:p>
        </w:tc>
        <w:tc>
          <w:tcPr>
            <w:tcW w:w="5684" w:type="dxa"/>
            <w:vAlign w:val="center"/>
          </w:tcPr>
          <w:p w14:paraId="55843DD2">
            <w:pPr>
              <w:widowControl/>
              <w:snapToGrid w:val="0"/>
              <w:spacing w:line="360" w:lineRule="auto"/>
              <w:jc w:val="left"/>
              <w:rPr>
                <w:rFonts w:hAnsi="宋体" w:cs="宋体"/>
                <w:highlight w:val="none"/>
              </w:rPr>
            </w:pPr>
            <w:r>
              <w:rPr>
                <w:rFonts w:hint="eastAsia" w:ascii="Times New Roman" w:cs="宋体"/>
                <w:bCs/>
                <w:szCs w:val="24"/>
                <w:highlight w:val="none"/>
              </w:rPr>
              <w:t>本招标项目的招标文件、图纸、工程量清单、最高投标限价、澄清及修改等相关资料均通过电子服务系统发布；投标人应当及时登录电子服务系统自行查看并下载。</w:t>
            </w:r>
          </w:p>
        </w:tc>
      </w:tr>
      <w:tr w14:paraId="4A83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AB15B15">
            <w:pPr>
              <w:snapToGrid w:val="0"/>
              <w:spacing w:line="360" w:lineRule="auto"/>
              <w:jc w:val="center"/>
              <w:rPr>
                <w:rFonts w:hAnsi="宋体" w:cs="宋体"/>
                <w:highlight w:val="none"/>
              </w:rPr>
            </w:pPr>
            <w:r>
              <w:rPr>
                <w:rFonts w:hint="eastAsia" w:hAnsi="宋体" w:cs="宋体"/>
                <w:highlight w:val="none"/>
              </w:rPr>
              <w:t>10.2</w:t>
            </w:r>
          </w:p>
        </w:tc>
        <w:tc>
          <w:tcPr>
            <w:tcW w:w="1776" w:type="dxa"/>
            <w:vAlign w:val="center"/>
          </w:tcPr>
          <w:p w14:paraId="1BD27983">
            <w:pPr>
              <w:snapToGrid w:val="0"/>
              <w:spacing w:line="360" w:lineRule="auto"/>
              <w:jc w:val="center"/>
              <w:rPr>
                <w:rFonts w:hAnsi="宋体" w:cs="宋体"/>
                <w:bCs/>
                <w:snapToGrid w:val="0"/>
                <w:highlight w:val="none"/>
              </w:rPr>
            </w:pPr>
            <w:r>
              <w:rPr>
                <w:rFonts w:hint="eastAsia" w:hAnsi="宋体" w:cs="宋体"/>
                <w:bCs/>
                <w:snapToGrid w:val="0"/>
                <w:highlight w:val="none"/>
              </w:rPr>
              <w:t>电子招标</w:t>
            </w:r>
          </w:p>
        </w:tc>
        <w:tc>
          <w:tcPr>
            <w:tcW w:w="5684" w:type="dxa"/>
            <w:vAlign w:val="center"/>
          </w:tcPr>
          <w:p w14:paraId="36BC8404">
            <w:pPr>
              <w:widowControl/>
              <w:snapToGrid w:val="0"/>
              <w:spacing w:line="360" w:lineRule="auto"/>
              <w:jc w:val="left"/>
              <w:rPr>
                <w:rFonts w:hAnsi="宋体" w:cs="宋体"/>
                <w:highlight w:val="none"/>
              </w:rPr>
            </w:pPr>
            <w:r>
              <w:rPr>
                <w:rFonts w:hint="eastAsia" w:hAnsi="宋体" w:cs="宋体"/>
                <w:highlight w:val="none"/>
              </w:rPr>
              <w:t>本招标项目实行全流程电子化交易，除招标文件另有规定外，电子招标投标操作要求见本章附件《合肥市公共资源交易电子招标投标操作规程》。</w:t>
            </w:r>
          </w:p>
        </w:tc>
      </w:tr>
      <w:tr w14:paraId="5CA9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6EC3BD87">
            <w:pPr>
              <w:snapToGrid w:val="0"/>
              <w:spacing w:line="360" w:lineRule="auto"/>
              <w:jc w:val="center"/>
              <w:rPr>
                <w:rFonts w:hAnsi="宋体" w:cs="宋体"/>
                <w:highlight w:val="none"/>
              </w:rPr>
            </w:pPr>
            <w:r>
              <w:rPr>
                <w:rFonts w:hint="eastAsia" w:hAnsi="宋体" w:cs="宋体"/>
                <w:highlight w:val="none"/>
              </w:rPr>
              <w:t>10.3</w:t>
            </w:r>
          </w:p>
        </w:tc>
        <w:tc>
          <w:tcPr>
            <w:tcW w:w="1776" w:type="dxa"/>
            <w:vAlign w:val="center"/>
          </w:tcPr>
          <w:p w14:paraId="37F59B22">
            <w:pPr>
              <w:snapToGrid w:val="0"/>
              <w:spacing w:line="360" w:lineRule="auto"/>
              <w:jc w:val="center"/>
              <w:rPr>
                <w:rFonts w:hAnsi="宋体" w:cs="宋体"/>
                <w:bCs/>
                <w:snapToGrid w:val="0"/>
                <w:highlight w:val="none"/>
              </w:rPr>
            </w:pPr>
            <w:r>
              <w:rPr>
                <w:rFonts w:hint="eastAsia" w:hAnsi="宋体" w:cs="宋体"/>
                <w:bCs/>
                <w:snapToGrid w:val="0"/>
                <w:highlight w:val="none"/>
              </w:rPr>
              <w:t>相关政策要求</w:t>
            </w:r>
          </w:p>
        </w:tc>
        <w:tc>
          <w:tcPr>
            <w:tcW w:w="5684" w:type="dxa"/>
            <w:vAlign w:val="center"/>
          </w:tcPr>
          <w:p w14:paraId="0C79EA19">
            <w:pPr>
              <w:spacing w:line="360" w:lineRule="auto"/>
              <w:rPr>
                <w:rFonts w:hint="eastAsia" w:hAnsi="宋体" w:cs="宋体"/>
                <w:highlight w:val="none"/>
              </w:rPr>
            </w:pPr>
            <w:r>
              <w:rPr>
                <w:rFonts w:hint="eastAsia" w:hAnsi="宋体" w:cs="宋体"/>
                <w:highlight w:val="none"/>
              </w:rPr>
              <w:t>（1）省外建设工程企业按照《关于优化进皖建设工程企业信息登记服务和管理有关工作的通知》（建市规〔2025〕4号）执行。</w:t>
            </w:r>
          </w:p>
          <w:p w14:paraId="0581AC32">
            <w:pPr>
              <w:spacing w:line="360" w:lineRule="auto"/>
              <w:rPr>
                <w:rFonts w:hint="eastAsia" w:hAnsi="宋体" w:cs="宋体"/>
                <w:highlight w:val="none"/>
              </w:rPr>
            </w:pPr>
            <w:r>
              <w:rPr>
                <w:rFonts w:hint="eastAsia" w:hAnsi="宋体" w:cs="宋体"/>
                <w:highlight w:val="none"/>
              </w:rPr>
              <w:t>（2）工程质量保证金执行《关于以保函等方式替代工程质量保证金的通知》（合建〔2020〕29 号）。</w:t>
            </w:r>
          </w:p>
          <w:p w14:paraId="4BF3D240">
            <w:pPr>
              <w:spacing w:line="360" w:lineRule="auto"/>
              <w:rPr>
                <w:rFonts w:hint="eastAsia" w:hAnsi="宋体" w:cs="宋体"/>
                <w:highlight w:val="none"/>
              </w:rPr>
            </w:pPr>
            <w:r>
              <w:rPr>
                <w:rFonts w:hint="eastAsia" w:hAnsi="宋体" w:cs="宋体"/>
                <w:highlight w:val="none"/>
              </w:rPr>
              <w:t>（3）关于投标保证金、履约保证金、工程质量保证金执行《关于加快推进房屋建筑和市政基础设施工程实行工程担保制度的通知》（建市〔2020〕84 号）。</w:t>
            </w:r>
          </w:p>
          <w:p w14:paraId="69E798E6">
            <w:pPr>
              <w:spacing w:line="360" w:lineRule="auto"/>
              <w:rPr>
                <w:rFonts w:hint="eastAsia" w:hAnsi="宋体" w:cs="宋体"/>
                <w:highlight w:val="none"/>
              </w:rPr>
            </w:pPr>
            <w:r>
              <w:rPr>
                <w:rFonts w:hint="eastAsia" w:hAnsi="宋体" w:cs="宋体"/>
                <w:highlight w:val="none"/>
              </w:rPr>
              <w:t>（4）保证保险产品应按《中国银保监会办公厅关于进一步加强和改进财产保险公司产品监管有关问题的通知》执行。</w:t>
            </w:r>
          </w:p>
          <w:p w14:paraId="427B5869">
            <w:pPr>
              <w:spacing w:line="360" w:lineRule="auto"/>
              <w:rPr>
                <w:rFonts w:hint="eastAsia" w:hAnsi="宋体" w:cs="宋体"/>
                <w:highlight w:val="none"/>
              </w:rPr>
            </w:pPr>
            <w:r>
              <w:rPr>
                <w:rFonts w:hint="eastAsia" w:hAnsi="宋体" w:cs="宋体"/>
                <w:highlight w:val="none"/>
              </w:rPr>
              <w:t>（5）采用一级建造师投标的应按《住房和城乡建设部办公厅关于全面实行一级建造师电子注册证书的通知》（建办市〔2021〕40 号）执行。</w:t>
            </w:r>
          </w:p>
          <w:p w14:paraId="1F99B8E7">
            <w:pPr>
              <w:spacing w:line="360" w:lineRule="auto"/>
              <w:rPr>
                <w:rFonts w:hint="eastAsia" w:hAnsi="宋体" w:cs="宋体"/>
                <w:highlight w:val="none"/>
              </w:rPr>
            </w:pPr>
            <w:r>
              <w:rPr>
                <w:rFonts w:hint="eastAsia" w:hAnsi="宋体" w:cs="宋体"/>
                <w:highlight w:val="none"/>
              </w:rPr>
              <w:t>（6）采用一级注册建筑师投标的应符合《全国注册建筑师管理委员会关于开展使用一级注册建筑师电子注册证书工作的通知》（注建〔2021〕2 号）规定，投标文件提供的一级注册建筑师证书应在个人签名处手写本人签名，未手写签名或与签名图像笔迹不一致的，该电子证书无效。</w:t>
            </w:r>
          </w:p>
          <w:p w14:paraId="2C79F834">
            <w:pPr>
              <w:spacing w:line="360" w:lineRule="auto"/>
              <w:rPr>
                <w:rFonts w:hint="eastAsia" w:hAnsi="宋体" w:cs="宋体"/>
                <w:highlight w:val="none"/>
              </w:rPr>
            </w:pPr>
            <w:r>
              <w:rPr>
                <w:rFonts w:hint="eastAsia" w:hAnsi="宋体" w:cs="宋体"/>
                <w:highlight w:val="none"/>
              </w:rPr>
              <w:t>（7）采用安徽省二级建造师投标的应按《关于加强二级建造师事中事后监管工作的通知》（建市函〔2024〕137号）执行，2024年8月31日之前新旧二级建造师电子证书具有同等法律效力。自2024年9月1日起，旧二级建造师电子证书失效。二级建造师打印电子证书后，应在个人签名处手写本人签名，未手写签名或与签名图像笔迹不一致的，该电子证书无效。</w:t>
            </w:r>
          </w:p>
          <w:p w14:paraId="6F602F46">
            <w:pPr>
              <w:spacing w:line="360" w:lineRule="auto"/>
              <w:rPr>
                <w:rFonts w:hint="eastAsia" w:hAnsi="宋体" w:cs="宋体"/>
                <w:highlight w:val="none"/>
              </w:rPr>
            </w:pPr>
            <w:r>
              <w:rPr>
                <w:rFonts w:hint="eastAsia" w:hAnsi="宋体" w:cs="宋体"/>
                <w:highlight w:val="none"/>
              </w:rPr>
              <w:t>（8）投标保证金、履约保证金、预付款担保、质量保证金缴纳执行安徽合肥公共资源交易中心发布的《关于全面推行投标保证金、履约保证金、预付款担保、质量保证金电子保函的通知》。</w:t>
            </w:r>
          </w:p>
          <w:p w14:paraId="708DE48F">
            <w:pPr>
              <w:spacing w:line="360" w:lineRule="auto"/>
              <w:rPr>
                <w:rFonts w:hint="eastAsia" w:hAnsi="宋体" w:cs="宋体"/>
                <w:highlight w:val="none"/>
              </w:rPr>
            </w:pPr>
            <w:r>
              <w:rPr>
                <w:rFonts w:hint="eastAsia" w:hAnsi="宋体" w:cs="宋体"/>
                <w:highlight w:val="none"/>
              </w:rPr>
              <w:t>注：①未列明的按照国家、省、市相关政策执行。</w:t>
            </w:r>
          </w:p>
          <w:p w14:paraId="12D0F4CB">
            <w:pPr>
              <w:spacing w:line="360" w:lineRule="auto"/>
              <w:rPr>
                <w:rFonts w:hAnsi="宋体" w:cs="宋体"/>
                <w:highlight w:val="none"/>
              </w:rPr>
            </w:pPr>
            <w:r>
              <w:rPr>
                <w:rFonts w:hint="eastAsia" w:hAnsi="宋体" w:cs="宋体"/>
                <w:highlight w:val="none"/>
              </w:rPr>
              <w:t>②如有相关政策文件更新，按照最新政策文件执行。</w:t>
            </w:r>
          </w:p>
        </w:tc>
      </w:tr>
      <w:tr w14:paraId="5CBB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423918E6">
            <w:pPr>
              <w:snapToGrid w:val="0"/>
              <w:spacing w:line="360" w:lineRule="auto"/>
              <w:jc w:val="center"/>
              <w:rPr>
                <w:rFonts w:hAnsi="宋体" w:cs="宋体"/>
                <w:highlight w:val="none"/>
              </w:rPr>
            </w:pPr>
            <w:r>
              <w:rPr>
                <w:rFonts w:hint="eastAsia" w:hAnsi="宋体" w:cs="宋体"/>
                <w:highlight w:val="none"/>
              </w:rPr>
              <w:t>10.4</w:t>
            </w:r>
          </w:p>
        </w:tc>
        <w:tc>
          <w:tcPr>
            <w:tcW w:w="1776" w:type="dxa"/>
            <w:vAlign w:val="center"/>
          </w:tcPr>
          <w:p w14:paraId="35DE23FA">
            <w:pPr>
              <w:snapToGrid w:val="0"/>
              <w:spacing w:line="360" w:lineRule="auto"/>
              <w:jc w:val="center"/>
              <w:rPr>
                <w:rFonts w:hAnsi="宋体" w:cs="宋体"/>
                <w:bCs/>
                <w:snapToGrid w:val="0"/>
                <w:highlight w:val="none"/>
              </w:rPr>
            </w:pPr>
            <w:r>
              <w:rPr>
                <w:rFonts w:hint="eastAsia" w:ascii="Times New Roman" w:cs="宋体"/>
                <w:bCs/>
                <w:snapToGrid w:val="0"/>
                <w:szCs w:val="24"/>
                <w:highlight w:val="none"/>
              </w:rPr>
              <w:t>评标过程中的澄清、说明或补正</w:t>
            </w:r>
          </w:p>
        </w:tc>
        <w:tc>
          <w:tcPr>
            <w:tcW w:w="5684" w:type="dxa"/>
            <w:vAlign w:val="center"/>
          </w:tcPr>
          <w:p w14:paraId="2D24812B">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（1）评标委员会通过电子交易系统将需要澄清、说明或补正的内容以询标函的形式发送给投标人，投标人应安排专人登录电子交易系统并保持在线状态，以便及时接收评标委员会可能发出的询标函。</w:t>
            </w:r>
          </w:p>
          <w:p w14:paraId="14DC3A76">
            <w:pPr>
              <w:widowControl/>
              <w:snapToGrid w:val="0"/>
              <w:spacing w:line="360" w:lineRule="auto"/>
              <w:jc w:val="left"/>
              <w:rPr>
                <w:rFonts w:hAnsi="宋体" w:cs="宋体"/>
                <w:bCs/>
                <w:snapToGrid w:val="0"/>
                <w:highlight w:val="none"/>
              </w:rPr>
            </w:pPr>
            <w:r>
              <w:rPr>
                <w:rFonts w:hint="eastAsia" w:ascii="Times New Roman" w:cs="宋体"/>
                <w:bCs/>
                <w:szCs w:val="24"/>
                <w:highlight w:val="none"/>
              </w:rPr>
              <w:t>（2）因投标人未登录电子交易系统导致无法及时接收询标函（远程网上询标）或未在规定时间（</w:t>
            </w:r>
            <w:r>
              <w:rPr>
                <w:rFonts w:hint="eastAsia" w:ascii="Times New Roman" w:cs="宋体"/>
                <w:bCs/>
                <w:szCs w:val="24"/>
                <w:highlight w:val="none"/>
                <w:u w:val="single"/>
              </w:rPr>
              <w:t>15</w:t>
            </w:r>
            <w:r>
              <w:rPr>
                <w:rFonts w:hint="eastAsia" w:ascii="Times New Roman" w:cs="宋体"/>
                <w:bCs/>
                <w:szCs w:val="24"/>
                <w:highlight w:val="none"/>
              </w:rPr>
              <w:t>分钟）内按照评标委员会要求进行澄清、说明或补正内容的，视同投标人放弃澄清、说明或补正内容的权利，评标委员会可按照对投标人不利的解释进行判定。</w:t>
            </w:r>
          </w:p>
        </w:tc>
      </w:tr>
      <w:tr w14:paraId="17C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2FCC90D2">
            <w:pPr>
              <w:snapToGrid w:val="0"/>
              <w:spacing w:line="360" w:lineRule="auto"/>
              <w:jc w:val="center"/>
              <w:rPr>
                <w:rFonts w:hAnsi="宋体" w:cs="宋体"/>
                <w:szCs w:val="24"/>
                <w:highlight w:val="none"/>
              </w:rPr>
            </w:pPr>
            <w:r>
              <w:rPr>
                <w:rFonts w:hint="eastAsia" w:hAnsi="宋体" w:cs="宋体"/>
                <w:bCs/>
                <w:szCs w:val="24"/>
                <w:highlight w:val="none"/>
              </w:rPr>
              <w:t>10.5</w:t>
            </w:r>
          </w:p>
        </w:tc>
        <w:tc>
          <w:tcPr>
            <w:tcW w:w="1776" w:type="dxa"/>
            <w:vAlign w:val="center"/>
          </w:tcPr>
          <w:p w14:paraId="7126C8C1">
            <w:pPr>
              <w:snapToGrid w:val="0"/>
              <w:spacing w:line="360" w:lineRule="auto"/>
              <w:jc w:val="center"/>
              <w:rPr>
                <w:rFonts w:hAnsi="宋体" w:cs="宋体"/>
                <w:bCs/>
                <w:snapToGrid w:val="0"/>
                <w:szCs w:val="24"/>
                <w:highlight w:val="none"/>
              </w:rPr>
            </w:pPr>
            <w:r>
              <w:rPr>
                <w:rFonts w:hint="eastAsia" w:hAnsi="宋体" w:cs="宋体"/>
                <w:bCs/>
                <w:snapToGrid w:val="0"/>
                <w:szCs w:val="24"/>
                <w:highlight w:val="none"/>
              </w:rPr>
              <w:t>投标人对所提供材料应承担的责任</w:t>
            </w:r>
          </w:p>
        </w:tc>
        <w:tc>
          <w:tcPr>
            <w:tcW w:w="5684" w:type="dxa"/>
            <w:vAlign w:val="center"/>
          </w:tcPr>
          <w:p w14:paraId="13F0D924">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（1）投标人提供虚假材料谋取中标的，公共资源交易监督管理部门将依法处理，并记入不良行为记录，予以披露。</w:t>
            </w:r>
          </w:p>
          <w:p w14:paraId="2F95F4E1">
            <w:pPr>
              <w:widowControl/>
              <w:snapToGrid w:val="0"/>
              <w:spacing w:line="360" w:lineRule="auto"/>
              <w:jc w:val="left"/>
              <w:rPr>
                <w:rFonts w:hAnsi="宋体" w:cs="宋体"/>
                <w:szCs w:val="24"/>
                <w:highlight w:val="none"/>
              </w:rPr>
            </w:pPr>
            <w:r>
              <w:rPr>
                <w:rFonts w:hint="eastAsia" w:ascii="Times New Roman" w:cs="宋体"/>
                <w:bCs/>
                <w:szCs w:val="24"/>
                <w:highlight w:val="none"/>
              </w:rPr>
              <w:t>（2）投标人对所提供的材料承担缔约过失责任和法律责任。若投诉人或举报人对前述材料存在争议，进行有效投诉或举报，被投诉人、被举报人应当主动配合公共资源交易监督管理部门调查，并在规定期限内举证，提供有关证明材料；拒绝配合</w:t>
            </w:r>
            <w:r>
              <w:rPr>
                <w:rFonts w:ascii="Times New Roman" w:cs="宋体"/>
                <w:bCs/>
                <w:szCs w:val="24"/>
                <w:highlight w:val="none"/>
              </w:rPr>
              <w:t>调查</w:t>
            </w:r>
            <w:r>
              <w:rPr>
                <w:rFonts w:hint="eastAsia" w:ascii="Times New Roman" w:cs="宋体"/>
                <w:bCs/>
                <w:szCs w:val="24"/>
                <w:highlight w:val="none"/>
              </w:rPr>
              <w:t>，且未在规定期限内举证、提供证明材料的，公共资源交易监督管理部门将依法处理。</w:t>
            </w:r>
          </w:p>
        </w:tc>
      </w:tr>
      <w:tr w14:paraId="7A07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2D375727">
            <w:pPr>
              <w:snapToGrid w:val="0"/>
              <w:spacing w:line="360" w:lineRule="auto"/>
              <w:jc w:val="center"/>
              <w:rPr>
                <w:rFonts w:hAnsi="宋体" w:cs="宋体"/>
                <w:highlight w:val="none"/>
              </w:rPr>
            </w:pPr>
            <w:r>
              <w:rPr>
                <w:rFonts w:hint="eastAsia" w:hAnsi="宋体" w:cs="宋体"/>
                <w:highlight w:val="none"/>
              </w:rPr>
              <w:t>10.6</w:t>
            </w:r>
          </w:p>
        </w:tc>
        <w:tc>
          <w:tcPr>
            <w:tcW w:w="1776" w:type="dxa"/>
            <w:vAlign w:val="center"/>
          </w:tcPr>
          <w:p w14:paraId="10484578">
            <w:pPr>
              <w:snapToGrid w:val="0"/>
              <w:spacing w:line="360" w:lineRule="auto"/>
              <w:jc w:val="center"/>
              <w:rPr>
                <w:rFonts w:hAnsi="宋体" w:cs="宋体"/>
                <w:bCs/>
                <w:snapToGrid w:val="0"/>
                <w:highlight w:val="none"/>
              </w:rPr>
            </w:pPr>
            <w:r>
              <w:rPr>
                <w:rFonts w:hint="eastAsia" w:ascii="Times New Roman" w:cs="宋体"/>
                <w:bCs/>
                <w:snapToGrid w:val="0"/>
                <w:szCs w:val="24"/>
                <w:highlight w:val="none"/>
              </w:rPr>
              <w:t>中标人未履行相关义务的责任</w:t>
            </w:r>
          </w:p>
        </w:tc>
        <w:tc>
          <w:tcPr>
            <w:tcW w:w="5684" w:type="dxa"/>
            <w:vAlign w:val="center"/>
          </w:tcPr>
          <w:p w14:paraId="778A60BF">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中标人未履行相关义务的，公共资源交易监督管理部门将依法对中标人进行处理，追究相关责任：</w:t>
            </w:r>
          </w:p>
          <w:p w14:paraId="10EE5257">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（1）中标后，中标人被公共资源交易监督管理部门查实存在违法行为，不满足中标条件的，由招标人取消其中标资格，并做好项目后续工作；</w:t>
            </w:r>
          </w:p>
          <w:p w14:paraId="31F78DE1">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（2）中标人应在规定期限内提交履约保证金并与招标人签订合同，若中标人未能在规定期限内提交履约保证金或签订合同，招标人有权取消其中标资格，并报公共资源交易监督管理部门；</w:t>
            </w:r>
          </w:p>
          <w:p w14:paraId="76A6C2EF">
            <w:pPr>
              <w:widowControl/>
              <w:snapToGrid w:val="0"/>
              <w:spacing w:line="360" w:lineRule="auto"/>
              <w:jc w:val="left"/>
              <w:rPr>
                <w:rFonts w:hAnsi="宋体" w:cs="宋体"/>
                <w:highlight w:val="none"/>
              </w:rPr>
            </w:pPr>
            <w:r>
              <w:rPr>
                <w:rFonts w:hint="eastAsia" w:ascii="Times New Roman" w:cs="宋体"/>
                <w:bCs/>
                <w:szCs w:val="24"/>
                <w:highlight w:val="none"/>
              </w:rPr>
              <w:t>（3）合同签订后，中标人存在规定时间内不组织人员进场开工、不履行合同义务等情况，招标人有权解除合同，追究其违约责任，并报公共资源交易监督管理部门。</w:t>
            </w:r>
          </w:p>
        </w:tc>
      </w:tr>
      <w:tr w14:paraId="7608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09E91243">
            <w:pPr>
              <w:snapToGrid w:val="0"/>
              <w:spacing w:line="360" w:lineRule="auto"/>
              <w:jc w:val="center"/>
              <w:rPr>
                <w:rFonts w:hAnsi="宋体" w:cs="宋体"/>
                <w:highlight w:val="none"/>
              </w:rPr>
            </w:pPr>
            <w:r>
              <w:rPr>
                <w:rFonts w:hint="eastAsia" w:hAnsi="宋体" w:cs="宋体"/>
                <w:highlight w:val="none"/>
              </w:rPr>
              <w:t>10.7</w:t>
            </w:r>
          </w:p>
        </w:tc>
        <w:tc>
          <w:tcPr>
            <w:tcW w:w="1776" w:type="dxa"/>
            <w:vAlign w:val="center"/>
          </w:tcPr>
          <w:p w14:paraId="4B38FF84">
            <w:pPr>
              <w:snapToGrid w:val="0"/>
              <w:spacing w:line="360" w:lineRule="auto"/>
              <w:jc w:val="center"/>
              <w:rPr>
                <w:rFonts w:hAnsi="宋体" w:cs="宋体"/>
                <w:bCs/>
                <w:snapToGrid w:val="0"/>
                <w:highlight w:val="none"/>
              </w:rPr>
            </w:pPr>
            <w:r>
              <w:rPr>
                <w:rFonts w:hint="eastAsia" w:hAnsi="宋体" w:cs="宋体"/>
                <w:bCs/>
                <w:snapToGrid w:val="0"/>
                <w:highlight w:val="none"/>
              </w:rPr>
              <w:t>同义词语</w:t>
            </w:r>
          </w:p>
        </w:tc>
        <w:tc>
          <w:tcPr>
            <w:tcW w:w="5684" w:type="dxa"/>
            <w:vAlign w:val="center"/>
          </w:tcPr>
          <w:p w14:paraId="0F1E470E">
            <w:pPr>
              <w:widowControl/>
              <w:snapToGrid w:val="0"/>
              <w:spacing w:line="360" w:lineRule="auto"/>
              <w:jc w:val="left"/>
              <w:rPr>
                <w:rFonts w:hAnsi="宋体" w:cs="宋体"/>
                <w:highlight w:val="none"/>
              </w:rPr>
            </w:pPr>
            <w:r>
              <w:rPr>
                <w:rFonts w:hint="eastAsia" w:hAnsi="宋体" w:cs="宋体"/>
                <w:highlight w:val="none"/>
              </w:rPr>
              <w:t>构成招标文件组成部分的“通用合同条款”、“专用合同条款”和“供货要求”等章节中“买方”和“卖方”，等同于招标投标阶段的“招标人”和“投标人/中标人”。</w:t>
            </w:r>
          </w:p>
        </w:tc>
      </w:tr>
      <w:tr w14:paraId="3CE0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614DBE45">
            <w:pPr>
              <w:snapToGrid w:val="0"/>
              <w:spacing w:line="360" w:lineRule="auto"/>
              <w:jc w:val="center"/>
              <w:rPr>
                <w:rFonts w:hAnsi="宋体" w:cs="宋体"/>
                <w:highlight w:val="none"/>
              </w:rPr>
            </w:pPr>
            <w:r>
              <w:rPr>
                <w:rFonts w:hint="eastAsia" w:hAnsi="宋体" w:cs="宋体"/>
                <w:highlight w:val="none"/>
              </w:rPr>
              <w:t>10.8</w:t>
            </w:r>
          </w:p>
        </w:tc>
        <w:tc>
          <w:tcPr>
            <w:tcW w:w="1776" w:type="dxa"/>
            <w:vAlign w:val="center"/>
          </w:tcPr>
          <w:p w14:paraId="657881A7">
            <w:pPr>
              <w:snapToGrid w:val="0"/>
              <w:spacing w:line="360" w:lineRule="auto"/>
              <w:jc w:val="center"/>
              <w:rPr>
                <w:rFonts w:hAnsi="宋体" w:cs="宋体"/>
                <w:bCs/>
                <w:snapToGrid w:val="0"/>
                <w:highlight w:val="none"/>
              </w:rPr>
            </w:pPr>
            <w:r>
              <w:rPr>
                <w:rFonts w:hint="eastAsia" w:ascii="Times New Roman" w:cs="宋体"/>
                <w:bCs/>
                <w:snapToGrid w:val="0"/>
                <w:szCs w:val="24"/>
                <w:highlight w:val="none"/>
              </w:rPr>
              <w:t>解释权</w:t>
            </w:r>
          </w:p>
        </w:tc>
        <w:tc>
          <w:tcPr>
            <w:tcW w:w="5684" w:type="dxa"/>
            <w:vAlign w:val="center"/>
          </w:tcPr>
          <w:p w14:paraId="1DA53A87">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（1）构成本招标文件的各个组成文件应互为解释，互为说明；</w:t>
            </w:r>
          </w:p>
          <w:p w14:paraId="12944559">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（2）同一组成文件中就同一事项的规定或约定不一致的，以编排顺序在后者为准；</w:t>
            </w:r>
          </w:p>
          <w:p w14:paraId="1D1E1070">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（3）如有不明确或不一致，构成合同文件组成内容的，以合同文件约定内容为准，且以专用合同条款约定的合同文件优先顺序解释；</w:t>
            </w:r>
          </w:p>
          <w:p w14:paraId="33E37EA3">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（4）除招标文件中有特别规定外，仅适用于招标投标阶段的规定，按照招标公告、投标人须知、评标办法、投标文件格式的先后顺序解释；</w:t>
            </w:r>
          </w:p>
          <w:p w14:paraId="34FEB4A4">
            <w:pPr>
              <w:widowControl/>
              <w:snapToGrid w:val="0"/>
              <w:spacing w:line="360" w:lineRule="auto"/>
              <w:jc w:val="left"/>
              <w:rPr>
                <w:rFonts w:hAnsi="宋体" w:cs="宋体"/>
                <w:highlight w:val="none"/>
              </w:rPr>
            </w:pPr>
            <w:r>
              <w:rPr>
                <w:rFonts w:hint="eastAsia" w:ascii="Times New Roman" w:cs="宋体"/>
                <w:bCs/>
                <w:szCs w:val="24"/>
                <w:highlight w:val="none"/>
              </w:rPr>
              <w:t>（5）按照本款前述规定仍不能形成结论的，由招标人负责解释。</w:t>
            </w:r>
          </w:p>
        </w:tc>
      </w:tr>
      <w:tr w14:paraId="48B3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6408978D">
            <w:pPr>
              <w:snapToGrid w:val="0"/>
              <w:spacing w:line="360" w:lineRule="auto"/>
              <w:jc w:val="center"/>
              <w:rPr>
                <w:rFonts w:hAnsi="宋体" w:cs="宋体"/>
                <w:highlight w:val="none"/>
              </w:rPr>
            </w:pPr>
            <w:r>
              <w:rPr>
                <w:rFonts w:hint="eastAsia" w:hAnsi="宋体" w:cs="宋体"/>
                <w:highlight w:val="none"/>
              </w:rPr>
              <w:t>10.9</w:t>
            </w:r>
          </w:p>
        </w:tc>
        <w:tc>
          <w:tcPr>
            <w:tcW w:w="1776" w:type="dxa"/>
            <w:vAlign w:val="center"/>
          </w:tcPr>
          <w:p w14:paraId="31E942D2">
            <w:pPr>
              <w:snapToGrid w:val="0"/>
              <w:spacing w:line="360" w:lineRule="auto"/>
              <w:jc w:val="center"/>
              <w:rPr>
                <w:rFonts w:hAnsi="宋体" w:cs="宋体"/>
                <w:bCs/>
                <w:snapToGrid w:val="0"/>
                <w:highlight w:val="none"/>
              </w:rPr>
            </w:pPr>
            <w:r>
              <w:rPr>
                <w:rFonts w:hint="eastAsia" w:hAnsi="宋体" w:cs="宋体"/>
                <w:bCs/>
                <w:snapToGrid w:val="0"/>
                <w:highlight w:val="none"/>
              </w:rPr>
              <w:t>异议提出方式</w:t>
            </w:r>
          </w:p>
        </w:tc>
        <w:tc>
          <w:tcPr>
            <w:tcW w:w="5684" w:type="dxa"/>
            <w:vAlign w:val="center"/>
          </w:tcPr>
          <w:p w14:paraId="484C9005">
            <w:pPr>
              <w:widowControl/>
              <w:snapToGrid w:val="0"/>
              <w:spacing w:line="360" w:lineRule="auto"/>
              <w:jc w:val="left"/>
              <w:rPr>
                <w:rFonts w:hAnsi="宋体" w:cs="宋体"/>
                <w:bCs/>
                <w:snapToGrid w:val="0"/>
                <w:highlight w:val="none"/>
              </w:rPr>
            </w:pPr>
            <w:r>
              <w:rPr>
                <w:rFonts w:hint="eastAsia" w:hAnsi="宋体" w:cs="宋体"/>
                <w:highlight w:val="none"/>
              </w:rPr>
              <w:t>通过电子交易系统在线提出或以其他书面形式提出</w:t>
            </w:r>
          </w:p>
        </w:tc>
      </w:tr>
      <w:tr w14:paraId="2778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5E40A5F">
            <w:pPr>
              <w:snapToGrid w:val="0"/>
              <w:spacing w:line="360" w:lineRule="auto"/>
              <w:jc w:val="center"/>
              <w:rPr>
                <w:rFonts w:hAnsi="宋体" w:cs="宋体"/>
                <w:highlight w:val="none"/>
              </w:rPr>
            </w:pPr>
            <w:r>
              <w:rPr>
                <w:rFonts w:hint="eastAsia" w:hAnsi="宋体" w:cs="宋体"/>
                <w:bCs/>
                <w:snapToGrid w:val="0"/>
                <w:highlight w:val="none"/>
              </w:rPr>
              <w:t>10.10</w:t>
            </w:r>
          </w:p>
        </w:tc>
        <w:tc>
          <w:tcPr>
            <w:tcW w:w="1776" w:type="dxa"/>
            <w:vAlign w:val="center"/>
          </w:tcPr>
          <w:p w14:paraId="46E541F4">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招标代理服务费及工程量清单和最高投标限价（招标控制价）编制费</w:t>
            </w:r>
          </w:p>
        </w:tc>
        <w:tc>
          <w:tcPr>
            <w:tcW w:w="5684" w:type="dxa"/>
            <w:vAlign w:val="center"/>
          </w:tcPr>
          <w:p w14:paraId="7E6E75B9">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1、中标人须向肥东县公共资源交易有限公司缴纳招标代理服务费，可以采用转账方式。</w:t>
            </w:r>
          </w:p>
          <w:p w14:paraId="7482FE2D">
            <w:pPr>
              <w:pStyle w:val="131"/>
              <w:widowControl/>
              <w:spacing w:line="360" w:lineRule="auto"/>
              <w:jc w:val="left"/>
              <w:rPr>
                <w:rFonts w:ascii="Times New Roman" w:cs="宋体"/>
                <w:bCs/>
                <w:szCs w:val="24"/>
                <w:highlight w:val="none"/>
              </w:rPr>
            </w:pPr>
            <w:r>
              <w:rPr>
                <w:rFonts w:hint="eastAsia" w:ascii="Times New Roman" w:hAnsi="Times New Roman" w:cs="宋体"/>
                <w:bCs/>
                <w:kern w:val="0"/>
                <w:sz w:val="24"/>
                <w:szCs w:val="24"/>
                <w:highlight w:val="none"/>
              </w:rPr>
              <w:t>2、招标代理服务费：以中标价为计算基数按照差额定率累进法，分标段按下表收费标准收取。</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73"/>
              <w:gridCol w:w="1248"/>
              <w:gridCol w:w="1171"/>
              <w:gridCol w:w="1366"/>
            </w:tblGrid>
            <w:tr w14:paraId="2C7D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09BC2026">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中标金额</w:t>
                  </w:r>
                </w:p>
              </w:tc>
              <w:tc>
                <w:tcPr>
                  <w:tcW w:w="1276" w:type="dxa"/>
                </w:tcPr>
                <w:p w14:paraId="28A21EEA">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货物招标</w:t>
                  </w:r>
                </w:p>
              </w:tc>
              <w:tc>
                <w:tcPr>
                  <w:tcW w:w="1195" w:type="dxa"/>
                </w:tcPr>
                <w:p w14:paraId="24A7E8F2">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服务招标</w:t>
                  </w:r>
                </w:p>
              </w:tc>
              <w:tc>
                <w:tcPr>
                  <w:tcW w:w="1400" w:type="dxa"/>
                </w:tcPr>
                <w:p w14:paraId="7DE9EE0C">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工程招标</w:t>
                  </w:r>
                </w:p>
              </w:tc>
            </w:tr>
            <w:tr w14:paraId="54A00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3188D76C">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100万元以下（含100万元）</w:t>
                  </w:r>
                </w:p>
              </w:tc>
              <w:tc>
                <w:tcPr>
                  <w:tcW w:w="1276" w:type="dxa"/>
                </w:tcPr>
                <w:p w14:paraId="070AF4D6">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1.5%</w:t>
                  </w:r>
                </w:p>
              </w:tc>
              <w:tc>
                <w:tcPr>
                  <w:tcW w:w="1195" w:type="dxa"/>
                </w:tcPr>
                <w:p w14:paraId="13ACB402">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1.5%</w:t>
                  </w:r>
                </w:p>
              </w:tc>
              <w:tc>
                <w:tcPr>
                  <w:tcW w:w="1400" w:type="dxa"/>
                </w:tcPr>
                <w:p w14:paraId="67F9EFAC">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1.0%</w:t>
                  </w:r>
                </w:p>
              </w:tc>
            </w:tr>
            <w:tr w14:paraId="50186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63E184E6">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100万元-500万元（含500万元）</w:t>
                  </w:r>
                </w:p>
              </w:tc>
              <w:tc>
                <w:tcPr>
                  <w:tcW w:w="1276" w:type="dxa"/>
                </w:tcPr>
                <w:p w14:paraId="67A07AC5">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1.1%</w:t>
                  </w:r>
                </w:p>
              </w:tc>
              <w:tc>
                <w:tcPr>
                  <w:tcW w:w="1195" w:type="dxa"/>
                </w:tcPr>
                <w:p w14:paraId="48022F22">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0.8%</w:t>
                  </w:r>
                </w:p>
              </w:tc>
              <w:tc>
                <w:tcPr>
                  <w:tcW w:w="1400" w:type="dxa"/>
                </w:tcPr>
                <w:p w14:paraId="773E6BBB">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0.7%</w:t>
                  </w:r>
                </w:p>
              </w:tc>
            </w:tr>
            <w:tr w14:paraId="5048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6E9B9913">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500万元-1000万元（含1000万元）</w:t>
                  </w:r>
                </w:p>
              </w:tc>
              <w:tc>
                <w:tcPr>
                  <w:tcW w:w="1276" w:type="dxa"/>
                </w:tcPr>
                <w:p w14:paraId="209C1DB7">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0.8%</w:t>
                  </w:r>
                </w:p>
              </w:tc>
              <w:tc>
                <w:tcPr>
                  <w:tcW w:w="1195" w:type="dxa"/>
                </w:tcPr>
                <w:p w14:paraId="5104DC8F">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0.45%</w:t>
                  </w:r>
                </w:p>
              </w:tc>
              <w:tc>
                <w:tcPr>
                  <w:tcW w:w="1400" w:type="dxa"/>
                </w:tcPr>
                <w:p w14:paraId="35222248">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0.55%</w:t>
                  </w:r>
                </w:p>
              </w:tc>
            </w:tr>
            <w:tr w14:paraId="2AA16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6509F664">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1000万元-5000万元（含5000万元）</w:t>
                  </w:r>
                </w:p>
              </w:tc>
              <w:tc>
                <w:tcPr>
                  <w:tcW w:w="1276" w:type="dxa"/>
                </w:tcPr>
                <w:p w14:paraId="0F645EF8">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0.5%</w:t>
                  </w:r>
                </w:p>
              </w:tc>
              <w:tc>
                <w:tcPr>
                  <w:tcW w:w="1195" w:type="dxa"/>
                </w:tcPr>
                <w:p w14:paraId="3937840B">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0.25%</w:t>
                  </w:r>
                </w:p>
              </w:tc>
              <w:tc>
                <w:tcPr>
                  <w:tcW w:w="1400" w:type="dxa"/>
                </w:tcPr>
                <w:p w14:paraId="5CA66AA6">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0.35%</w:t>
                  </w:r>
                </w:p>
              </w:tc>
            </w:tr>
            <w:tr w14:paraId="0B365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4015ACE6">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5000万元-1亿元（含1亿元）</w:t>
                  </w:r>
                </w:p>
              </w:tc>
              <w:tc>
                <w:tcPr>
                  <w:tcW w:w="1276" w:type="dxa"/>
                </w:tcPr>
                <w:p w14:paraId="76C1FA53">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0.25%</w:t>
                  </w:r>
                </w:p>
              </w:tc>
              <w:tc>
                <w:tcPr>
                  <w:tcW w:w="1195" w:type="dxa"/>
                </w:tcPr>
                <w:p w14:paraId="651A2C55">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0.1%</w:t>
                  </w:r>
                </w:p>
              </w:tc>
              <w:tc>
                <w:tcPr>
                  <w:tcW w:w="1400" w:type="dxa"/>
                </w:tcPr>
                <w:p w14:paraId="4B6A2AEB">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0.2%</w:t>
                  </w:r>
                </w:p>
              </w:tc>
            </w:tr>
            <w:tr w14:paraId="266CD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27E3328B">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1亿元-10亿元（含10亿元）</w:t>
                  </w:r>
                </w:p>
              </w:tc>
              <w:tc>
                <w:tcPr>
                  <w:tcW w:w="1276" w:type="dxa"/>
                </w:tcPr>
                <w:p w14:paraId="437C0E18">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0.05%</w:t>
                  </w:r>
                </w:p>
              </w:tc>
              <w:tc>
                <w:tcPr>
                  <w:tcW w:w="1195" w:type="dxa"/>
                </w:tcPr>
                <w:p w14:paraId="206203E9">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0.05%</w:t>
                  </w:r>
                </w:p>
              </w:tc>
              <w:tc>
                <w:tcPr>
                  <w:tcW w:w="1400" w:type="dxa"/>
                </w:tcPr>
                <w:p w14:paraId="18CDA17D">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0.05%</w:t>
                  </w:r>
                </w:p>
              </w:tc>
            </w:tr>
            <w:tr w14:paraId="1D3A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3807391B">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10亿元以上</w:t>
                  </w:r>
                </w:p>
              </w:tc>
              <w:tc>
                <w:tcPr>
                  <w:tcW w:w="1276" w:type="dxa"/>
                </w:tcPr>
                <w:p w14:paraId="069B8C3E">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0.01%</w:t>
                  </w:r>
                </w:p>
              </w:tc>
              <w:tc>
                <w:tcPr>
                  <w:tcW w:w="1195" w:type="dxa"/>
                </w:tcPr>
                <w:p w14:paraId="519B3143">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0.01%</w:t>
                  </w:r>
                </w:p>
              </w:tc>
              <w:tc>
                <w:tcPr>
                  <w:tcW w:w="1400" w:type="dxa"/>
                </w:tcPr>
                <w:p w14:paraId="6EBB5596">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0.01%</w:t>
                  </w:r>
                </w:p>
              </w:tc>
            </w:tr>
          </w:tbl>
          <w:p w14:paraId="60E2B469">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注：招标代理服务费按差额定率累进法计算。例如：某工程招标代理业务中标金额为 6000 万元，计算招标代理服务费如下：</w:t>
            </w:r>
          </w:p>
          <w:p w14:paraId="4DE9E84D">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100 万元×1.0％＝1万元</w:t>
            </w:r>
          </w:p>
          <w:p w14:paraId="66482D32">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（500－100）万元×0.7％＝2.8 万元</w:t>
            </w:r>
          </w:p>
          <w:p w14:paraId="25D33378">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（1000－500）万元×0.55％＝2.75万元</w:t>
            </w:r>
          </w:p>
          <w:p w14:paraId="0B97F031">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（5000－1000）万元×0.35％＝14万元</w:t>
            </w:r>
          </w:p>
          <w:p w14:paraId="502E0C42">
            <w:pPr>
              <w:pStyle w:val="131"/>
              <w:widowControl/>
              <w:snapToGrid w:val="0"/>
              <w:spacing w:line="360" w:lineRule="auto"/>
              <w:jc w:val="left"/>
              <w:rPr>
                <w:rFonts w:ascii="Times New Roman" w:cs="宋体"/>
                <w:bCs/>
                <w:szCs w:val="24"/>
                <w:highlight w:val="none"/>
              </w:rPr>
            </w:pPr>
            <w:r>
              <w:rPr>
                <w:rFonts w:hint="eastAsia" w:ascii="Times New Roman" w:cs="宋体"/>
                <w:bCs/>
                <w:szCs w:val="24"/>
                <w:highlight w:val="none"/>
              </w:rPr>
              <w:t>（6000－5000）万元×0.2％＝2万元</w:t>
            </w:r>
          </w:p>
          <w:p w14:paraId="1222E2D8">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合计收费＝1＋2.8＋2.75＋14＋2＝22.55(万元)</w:t>
            </w:r>
          </w:p>
        </w:tc>
      </w:tr>
      <w:tr w14:paraId="7129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1114EB76">
            <w:pPr>
              <w:snapToGrid w:val="0"/>
              <w:spacing w:line="360" w:lineRule="auto"/>
              <w:jc w:val="center"/>
              <w:rPr>
                <w:rFonts w:hAnsi="宋体" w:cs="宋体"/>
                <w:bCs/>
                <w:snapToGrid w:val="0"/>
                <w:highlight w:val="none"/>
              </w:rPr>
            </w:pPr>
            <w:r>
              <w:rPr>
                <w:rFonts w:hint="eastAsia" w:hAnsi="宋体" w:cs="宋体"/>
                <w:bCs/>
                <w:snapToGrid w:val="0"/>
                <w:highlight w:val="none"/>
              </w:rPr>
              <w:t>10.11</w:t>
            </w:r>
          </w:p>
        </w:tc>
        <w:tc>
          <w:tcPr>
            <w:tcW w:w="1776" w:type="dxa"/>
            <w:vAlign w:val="center"/>
          </w:tcPr>
          <w:p w14:paraId="3C9A44F2">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投标所需资料</w:t>
            </w:r>
          </w:p>
        </w:tc>
        <w:tc>
          <w:tcPr>
            <w:tcW w:w="5684" w:type="dxa"/>
            <w:vAlign w:val="center"/>
          </w:tcPr>
          <w:p w14:paraId="17A8F53D">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1）投标人按照招标文件要求编制投标文件并对投标文件进行电子签章并使用数字证书加密，并于招标文件规定的投标截止时间前通过电子交易系统完成上传。投标人应合理安排投标文件递交时间，特别是网络速度慢的地区防止在系统关闭前网络拥堵无法操作。如果因计算机及网络故障造成无法完成投标文件递交情形，责任自负。</w:t>
            </w:r>
          </w:p>
          <w:p w14:paraId="4CB87ED6">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（2）投标人应及时查看上传的相关资料，如出现上传的相应投标资料不全、模糊不清、超出有效期等情况，评标委员会将作出对投标人不利的认定，由此产生的一切后果由投标人自行承担。</w:t>
            </w:r>
          </w:p>
          <w:p w14:paraId="5CC5E799">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3）投标人提供的营业执照、资质证书、安全生产许可证、安全生产考核合格证书、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14:paraId="7B8D3F89">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（4）采用一级建造师投标的应符合《住房和城乡建设部办公厅关于全面实行一级建造师电子注册证书的通知》(建办市〔2021〕40 号)规定，投标文件应提供一级建造师电子注册证书，且应在个人签名处手写本人签名，未手写签名或与签名图像笔迹不一致的，该电子证书无效。</w:t>
            </w:r>
          </w:p>
          <w:p w14:paraId="566652DD">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（5）采用一级注册建筑师投标的应符合《全国注册建筑师管理委员会关于开展使用一级注册建筑师电子注册证书工作的通知》（注建〔2021〕2 号）规定，投标文件提供的一级注册建筑师证书应在个人签名处手写本人签名，未手写签名或与签名图像笔迹不一致的，该电子证书无效。</w:t>
            </w:r>
          </w:p>
          <w:p w14:paraId="493AFD23">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（6）具体资料以第三章“评标办法”和第六章“投标文件格式”要求为准。</w:t>
            </w:r>
          </w:p>
          <w:p w14:paraId="115467E5">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注：请投标人务必对照招标文件内容及要求制作投标文件，若遇到投标文件模板格式与招标文件格式不一致时一律以招标文件格式为准。招标文件中未出现而投标文件模板中存在的内容，无需提供。</w:t>
            </w:r>
          </w:p>
        </w:tc>
      </w:tr>
      <w:tr w14:paraId="3B10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473DE27D">
            <w:pPr>
              <w:snapToGrid w:val="0"/>
              <w:spacing w:line="360" w:lineRule="auto"/>
              <w:jc w:val="center"/>
              <w:rPr>
                <w:rFonts w:hAnsi="宋体" w:cs="宋体"/>
                <w:bCs/>
                <w:snapToGrid w:val="0"/>
                <w:highlight w:val="none"/>
              </w:rPr>
            </w:pPr>
            <w:r>
              <w:rPr>
                <w:rFonts w:hint="eastAsia" w:hAnsi="宋体" w:cs="宋体"/>
                <w:bCs/>
                <w:snapToGrid w:val="0"/>
                <w:highlight w:val="none"/>
              </w:rPr>
              <w:t>10.12</w:t>
            </w:r>
          </w:p>
        </w:tc>
        <w:tc>
          <w:tcPr>
            <w:tcW w:w="1776" w:type="dxa"/>
            <w:vAlign w:val="center"/>
          </w:tcPr>
          <w:p w14:paraId="2D67CA0B">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招标人补充的</w:t>
            </w:r>
          </w:p>
          <w:p w14:paraId="42ECEB6D">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其他内容</w:t>
            </w:r>
          </w:p>
        </w:tc>
        <w:tc>
          <w:tcPr>
            <w:tcW w:w="5684" w:type="dxa"/>
            <w:vAlign w:val="center"/>
          </w:tcPr>
          <w:p w14:paraId="2E3CA219">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1）投标人投标文件中填报人员及投标人按招标文件提出的最低要求填报派驻投标标段的其他管理和技术人员，经招标人审核后不得进行更换。除非招标文件另有约定，投标人派驻投标标段的项目负责人及项目管理机构主要人员均应为投标单位在职人员（不含外聘人员、返聘人员、临时聘用人员），否则招标人有权取消其中标资格。</w:t>
            </w:r>
          </w:p>
          <w:p w14:paraId="6EC6738D">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（2）因电子服务系统或电子交易系统出现软件设计或功能缺陷、运行异常等情况，可能影响招投标活动公平、公正进行的，招标人（或招标代理机构）有权中止或终止招投标活动，招投标各方免责。</w:t>
            </w:r>
          </w:p>
          <w:p w14:paraId="76F1C677">
            <w:pPr>
              <w:pStyle w:val="131"/>
              <w:widowControl/>
              <w:snapToGrid w:val="0"/>
              <w:spacing w:line="360" w:lineRule="auto"/>
              <w:jc w:val="left"/>
              <w:rPr>
                <w:rFonts w:ascii="Times New Roman" w:hAnsi="Times New Roman" w:cs="宋体"/>
                <w:bCs/>
                <w:kern w:val="0"/>
                <w:sz w:val="24"/>
                <w:szCs w:val="24"/>
                <w:highlight w:val="none"/>
              </w:rPr>
            </w:pPr>
            <w:r>
              <w:rPr>
                <w:rFonts w:hint="eastAsia" w:ascii="Times New Roman" w:hAnsi="Times New Roman" w:cs="宋体"/>
                <w:bCs/>
                <w:kern w:val="0"/>
                <w:sz w:val="24"/>
                <w:szCs w:val="24"/>
                <w:highlight w:val="none"/>
              </w:rPr>
              <w:t>（3）唱标信息内容与投标函中不一致的，以投标函中内容为准。</w:t>
            </w:r>
          </w:p>
        </w:tc>
      </w:tr>
      <w:tr w14:paraId="1595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6" w:type="dxa"/>
            <w:vAlign w:val="center"/>
          </w:tcPr>
          <w:p w14:paraId="06ECE3D4">
            <w:pPr>
              <w:snapToGrid w:val="0"/>
              <w:spacing w:line="360" w:lineRule="auto"/>
              <w:jc w:val="center"/>
              <w:rPr>
                <w:rFonts w:hAnsi="宋体" w:cs="宋体"/>
                <w:bCs/>
                <w:snapToGrid w:val="0"/>
                <w:highlight w:val="none"/>
              </w:rPr>
            </w:pPr>
            <w:r>
              <w:rPr>
                <w:rFonts w:hint="eastAsia" w:hAnsi="宋体" w:cs="宋体"/>
                <w:bCs/>
                <w:snapToGrid w:val="0"/>
                <w:highlight w:val="none"/>
              </w:rPr>
              <w:t>10.13</w:t>
            </w:r>
          </w:p>
        </w:tc>
        <w:tc>
          <w:tcPr>
            <w:tcW w:w="1776" w:type="dxa"/>
            <w:vAlign w:val="center"/>
          </w:tcPr>
          <w:p w14:paraId="710FEEC9">
            <w:pPr>
              <w:widowControl/>
              <w:snapToGrid w:val="0"/>
              <w:spacing w:line="360" w:lineRule="auto"/>
              <w:jc w:val="left"/>
              <w:rPr>
                <w:rFonts w:ascii="Times New Roman" w:cs="宋体"/>
                <w:bCs/>
                <w:szCs w:val="24"/>
                <w:highlight w:val="none"/>
              </w:rPr>
            </w:pPr>
            <w:r>
              <w:rPr>
                <w:rFonts w:hint="eastAsia" w:ascii="Times New Roman" w:cs="宋体"/>
                <w:bCs/>
                <w:szCs w:val="24"/>
                <w:highlight w:val="none"/>
              </w:rPr>
              <w:t>招标人其他要求</w:t>
            </w:r>
          </w:p>
        </w:tc>
        <w:tc>
          <w:tcPr>
            <w:tcW w:w="5684" w:type="dxa"/>
            <w:vAlign w:val="center"/>
          </w:tcPr>
          <w:p w14:paraId="1BC5208D">
            <w:pPr>
              <w:pStyle w:val="131"/>
              <w:widowControl/>
              <w:snapToGrid w:val="0"/>
              <w:spacing w:line="360" w:lineRule="auto"/>
              <w:jc w:val="left"/>
              <w:rPr>
                <w:rFonts w:hint="eastAsia" w:ascii="Times New Roman" w:hAnsi="Times New Roman" w:eastAsia="宋体" w:cs="宋体"/>
                <w:bCs/>
                <w:kern w:val="0"/>
                <w:sz w:val="24"/>
                <w:szCs w:val="24"/>
                <w:highlight w:val="none"/>
                <w:lang w:eastAsia="zh-CN"/>
              </w:rPr>
            </w:pPr>
            <w:r>
              <w:rPr>
                <w:rFonts w:hint="eastAsia" w:ascii="Times New Roman" w:hAnsi="Times New Roman" w:cs="宋体"/>
                <w:bCs/>
                <w:kern w:val="0"/>
                <w:sz w:val="24"/>
                <w:szCs w:val="24"/>
                <w:highlight w:val="none"/>
                <w:lang w:val="en-US" w:eastAsia="zh-CN"/>
              </w:rPr>
              <w:t>无</w:t>
            </w:r>
          </w:p>
        </w:tc>
      </w:tr>
    </w:tbl>
    <w:p w14:paraId="3D55260C">
      <w:pPr>
        <w:pStyle w:val="4"/>
        <w:spacing w:beforeLines="100" w:afterLines="100" w:line="240" w:lineRule="auto"/>
        <w:jc w:val="center"/>
        <w:rPr>
          <w:rFonts w:ascii="Times New Roman" w:hAnsi="Times New Roman" w:eastAsia="黑体"/>
          <w:b w:val="0"/>
          <w:bCs w:val="0"/>
          <w:highlight w:val="none"/>
        </w:rPr>
      </w:pPr>
      <w:r>
        <w:rPr>
          <w:rFonts w:ascii="Times New Roman" w:hAnsi="Times New Roman" w:eastAsia="黑体"/>
          <w:b w:val="0"/>
          <w:sz w:val="28"/>
          <w:szCs w:val="28"/>
          <w:highlight w:val="none"/>
        </w:rPr>
        <w:br w:type="page"/>
      </w:r>
      <w:bookmarkStart w:id="119" w:name="_Toc283798416"/>
      <w:bookmarkStart w:id="120" w:name="_Toc14045"/>
      <w:bookmarkStart w:id="121" w:name="_Toc460660062"/>
      <w:bookmarkStart w:id="122" w:name="_Toc460226989"/>
      <w:bookmarkStart w:id="123" w:name="_Toc421916975"/>
      <w:bookmarkStart w:id="124" w:name="_Toc11078137"/>
      <w:bookmarkStart w:id="125" w:name="_Toc460226720"/>
      <w:bookmarkStart w:id="126" w:name="_Toc511"/>
      <w:bookmarkStart w:id="127" w:name="_Toc140069399"/>
      <w:bookmarkStart w:id="128" w:name="_Toc20536"/>
      <w:bookmarkStart w:id="129" w:name="_Toc14420"/>
      <w:bookmarkStart w:id="130" w:name="_Toc24087"/>
      <w:bookmarkStart w:id="131" w:name="_Toc38879316"/>
      <w:bookmarkStart w:id="132" w:name="_Toc184635071"/>
      <w:r>
        <w:rPr>
          <w:rFonts w:hint="eastAsia" w:ascii="Times New Roman" w:hAnsi="Times New Roman" w:eastAsia="黑体"/>
          <w:b w:val="0"/>
          <w:bCs w:val="0"/>
          <w:highlight w:val="none"/>
        </w:rPr>
        <w:t>附录1  资格审查条件（资质最低条件）</w:t>
      </w:r>
      <w:bookmarkEnd w:id="119"/>
      <w:bookmarkEnd w:id="120"/>
      <w:bookmarkEnd w:id="121"/>
      <w:bookmarkEnd w:id="122"/>
      <w:bookmarkEnd w:id="123"/>
      <w:bookmarkEnd w:id="124"/>
      <w:bookmarkEnd w:id="125"/>
      <w:bookmarkEnd w:id="126"/>
      <w:bookmarkEnd w:id="127"/>
      <w:bookmarkEnd w:id="128"/>
      <w:bookmarkEnd w:id="129"/>
      <w:bookmarkEnd w:id="130"/>
      <w:bookmarkEnd w:id="131"/>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10E4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A3EC8E8">
            <w:pPr>
              <w:pStyle w:val="165"/>
              <w:adjustRightInd w:val="0"/>
              <w:snapToGrid w:val="0"/>
              <w:jc w:val="center"/>
              <w:rPr>
                <w:rFonts w:ascii="Times New Roman" w:hAnsi="Times New Roman"/>
                <w:bCs/>
                <w:sz w:val="24"/>
                <w:szCs w:val="24"/>
                <w:highlight w:val="none"/>
              </w:rPr>
            </w:pPr>
            <w:r>
              <w:rPr>
                <w:rFonts w:hint="eastAsia" w:ascii="Times New Roman" w:hAnsi="Times New Roman"/>
                <w:bCs/>
                <w:sz w:val="24"/>
                <w:szCs w:val="24"/>
                <w:highlight w:val="none"/>
              </w:rPr>
              <w:t>资质证书及其他要求</w:t>
            </w:r>
          </w:p>
        </w:tc>
      </w:tr>
      <w:tr w14:paraId="381C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tcBorders>
              <w:top w:val="single" w:color="auto" w:sz="4" w:space="0"/>
              <w:left w:val="single" w:color="auto" w:sz="4" w:space="0"/>
              <w:bottom w:val="single" w:color="auto" w:sz="4" w:space="0"/>
              <w:right w:val="single" w:color="auto" w:sz="4" w:space="0"/>
            </w:tcBorders>
          </w:tcPr>
          <w:p w14:paraId="7FBBB053">
            <w:pPr>
              <w:pStyle w:val="165"/>
              <w:adjustRightInd w:val="0"/>
              <w:snapToGrid w:val="0"/>
              <w:spacing w:beforeLines="50" w:line="360" w:lineRule="auto"/>
              <w:rPr>
                <w:rFonts w:ascii="Times New Roman" w:hAnsi="Times New Roman"/>
                <w:bCs/>
                <w:snapToGrid w:val="0"/>
                <w:sz w:val="24"/>
                <w:szCs w:val="24"/>
                <w:highlight w:val="none"/>
              </w:rPr>
            </w:pPr>
            <w:r>
              <w:rPr>
                <w:rFonts w:hint="eastAsia" w:ascii="Times New Roman" w:hAnsi="Times New Roman"/>
                <w:bCs/>
                <w:snapToGrid w:val="0"/>
                <w:kern w:val="0"/>
                <w:sz w:val="24"/>
                <w:szCs w:val="24"/>
                <w:highlight w:val="none"/>
              </w:rPr>
              <w:t>具备有效的营业执照。</w:t>
            </w:r>
          </w:p>
        </w:tc>
      </w:tr>
    </w:tbl>
    <w:p w14:paraId="4E8F4143">
      <w:pPr>
        <w:pStyle w:val="165"/>
        <w:adjustRightInd w:val="0"/>
        <w:snapToGrid w:val="0"/>
        <w:spacing w:line="300" w:lineRule="exact"/>
        <w:ind w:firstLine="480" w:firstLineChars="200"/>
        <w:rPr>
          <w:rFonts w:ascii="Times New Roman" w:hAnsi="Times New Roman"/>
          <w:bCs/>
          <w:snapToGrid w:val="0"/>
          <w:kern w:val="0"/>
          <w:sz w:val="24"/>
          <w:szCs w:val="24"/>
          <w:highlight w:val="none"/>
        </w:rPr>
      </w:pPr>
      <w:r>
        <w:rPr>
          <w:rFonts w:hint="eastAsia" w:ascii="Times New Roman" w:hAnsi="Times New Roman"/>
          <w:bCs/>
          <w:snapToGrid w:val="0"/>
          <w:kern w:val="0"/>
          <w:sz w:val="24"/>
          <w:szCs w:val="24"/>
          <w:highlight w:val="none"/>
        </w:rPr>
        <w:t>注：投标人应提供营业执照</w:t>
      </w:r>
      <w:bookmarkStart w:id="133" w:name="_Toc421916976"/>
      <w:bookmarkStart w:id="134" w:name="_Toc460226721"/>
      <w:bookmarkStart w:id="135" w:name="_Toc283798417"/>
      <w:bookmarkStart w:id="136" w:name="_Toc460660063"/>
      <w:bookmarkStart w:id="137" w:name="_Toc460226990"/>
      <w:r>
        <w:rPr>
          <w:rFonts w:hint="eastAsia" w:ascii="Times New Roman" w:hAnsi="Times New Roman"/>
          <w:bCs/>
          <w:snapToGrid w:val="0"/>
          <w:kern w:val="0"/>
          <w:sz w:val="24"/>
          <w:szCs w:val="24"/>
          <w:highlight w:val="none"/>
        </w:rPr>
        <w:t>扫描件。</w:t>
      </w:r>
    </w:p>
    <w:p w14:paraId="1EF9CAAE">
      <w:pPr>
        <w:pStyle w:val="4"/>
        <w:spacing w:beforeLines="100" w:afterLines="100" w:line="240" w:lineRule="auto"/>
        <w:jc w:val="center"/>
        <w:rPr>
          <w:rFonts w:ascii="Times New Roman" w:hAnsi="Times New Roman" w:eastAsia="黑体"/>
          <w:b w:val="0"/>
          <w:bCs w:val="0"/>
          <w:highlight w:val="none"/>
        </w:rPr>
      </w:pPr>
      <w:r>
        <w:rPr>
          <w:rFonts w:ascii="Times New Roman" w:hAnsi="Times New Roman" w:eastAsia="仿宋"/>
          <w:b w:val="0"/>
          <w:highlight w:val="none"/>
        </w:rPr>
        <w:br w:type="page"/>
      </w:r>
      <w:bookmarkStart w:id="138" w:name="_Toc13564"/>
      <w:bookmarkStart w:id="139" w:name="_Toc697"/>
      <w:bookmarkStart w:id="140" w:name="_Toc140069400"/>
      <w:bookmarkStart w:id="141" w:name="_Toc38879317"/>
      <w:bookmarkStart w:id="142" w:name="_Toc11731"/>
      <w:bookmarkStart w:id="143" w:name="_Toc11078138"/>
      <w:bookmarkStart w:id="144" w:name="_Toc25359"/>
      <w:bookmarkStart w:id="145" w:name="_Toc23161"/>
      <w:r>
        <w:rPr>
          <w:rFonts w:hint="eastAsia" w:ascii="Times New Roman" w:hAnsi="Times New Roman" w:eastAsia="黑体"/>
          <w:b w:val="0"/>
          <w:bCs w:val="0"/>
          <w:highlight w:val="none"/>
        </w:rPr>
        <w:t>附录2  资格审查条件（财务最低要求）</w:t>
      </w:r>
      <w:bookmarkEnd w:id="133"/>
      <w:bookmarkEnd w:id="134"/>
      <w:bookmarkEnd w:id="135"/>
      <w:bookmarkEnd w:id="136"/>
      <w:bookmarkEnd w:id="137"/>
      <w:bookmarkEnd w:id="138"/>
      <w:bookmarkEnd w:id="139"/>
      <w:bookmarkEnd w:id="140"/>
      <w:bookmarkEnd w:id="141"/>
      <w:bookmarkEnd w:id="142"/>
      <w:bookmarkEnd w:id="143"/>
      <w:bookmarkEnd w:id="144"/>
      <w:bookmarkEnd w:id="145"/>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60EE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1CE55F3">
            <w:pPr>
              <w:pStyle w:val="165"/>
              <w:adjustRightInd w:val="0"/>
              <w:snapToGrid w:val="0"/>
              <w:jc w:val="center"/>
              <w:rPr>
                <w:rFonts w:ascii="Times New Roman" w:hAnsi="Times New Roman"/>
                <w:bCs/>
                <w:sz w:val="24"/>
                <w:szCs w:val="24"/>
                <w:highlight w:val="none"/>
              </w:rPr>
            </w:pPr>
            <w:r>
              <w:rPr>
                <w:rFonts w:hint="eastAsia" w:ascii="Times New Roman" w:hAnsi="Times New Roman"/>
                <w:bCs/>
                <w:sz w:val="24"/>
                <w:szCs w:val="24"/>
                <w:highlight w:val="none"/>
              </w:rPr>
              <w:t>财务要求</w:t>
            </w:r>
          </w:p>
        </w:tc>
      </w:tr>
      <w:tr w14:paraId="0BF5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CFDB7BE">
            <w:pPr>
              <w:pStyle w:val="165"/>
              <w:adjustRightInd w:val="0"/>
              <w:snapToGrid w:val="0"/>
              <w:spacing w:line="360" w:lineRule="auto"/>
              <w:jc w:val="left"/>
              <w:rPr>
                <w:rFonts w:ascii="Times New Roman" w:hAnsi="Times New Roman"/>
                <w:bCs/>
                <w:sz w:val="24"/>
                <w:szCs w:val="24"/>
                <w:highlight w:val="none"/>
              </w:rPr>
            </w:pPr>
            <w:r>
              <w:rPr>
                <w:rFonts w:hint="eastAsia" w:ascii="MS Mincho" w:hAnsi="MS Mincho" w:eastAsia="MS Mincho" w:cs="MS Mincho"/>
                <w:highlight w:val="none"/>
              </w:rPr>
              <w:t>☑</w:t>
            </w:r>
            <w:r>
              <w:rPr>
                <w:rFonts w:hint="eastAsia" w:ascii="Times New Roman" w:hAnsi="Times New Roman"/>
                <w:bCs/>
                <w:sz w:val="24"/>
                <w:szCs w:val="24"/>
                <w:highlight w:val="none"/>
              </w:rPr>
              <w:t>无需提供。</w:t>
            </w:r>
          </w:p>
          <w:p w14:paraId="3E1776A1">
            <w:pPr>
              <w:pStyle w:val="165"/>
              <w:adjustRightInd w:val="0"/>
              <w:snapToGrid w:val="0"/>
              <w:spacing w:line="360" w:lineRule="auto"/>
              <w:jc w:val="left"/>
              <w:rPr>
                <w:rFonts w:ascii="Times New Roman" w:hAnsi="Times New Roman"/>
                <w:bCs/>
                <w:sz w:val="24"/>
                <w:szCs w:val="24"/>
                <w:highlight w:val="none"/>
              </w:rPr>
            </w:pPr>
            <w:r>
              <w:rPr>
                <w:rFonts w:hint="eastAsia" w:ascii="Times New Roman" w:hAnsi="Times New Roman"/>
                <w:bCs/>
                <w:sz w:val="24"/>
                <w:szCs w:val="24"/>
                <w:highlight w:val="none"/>
              </w:rPr>
              <w:t>□需提供以下材料：</w:t>
            </w:r>
          </w:p>
          <w:p w14:paraId="2B735FCD">
            <w:pPr>
              <w:pStyle w:val="165"/>
              <w:adjustRightInd w:val="0"/>
              <w:snapToGrid w:val="0"/>
              <w:spacing w:line="360" w:lineRule="auto"/>
              <w:jc w:val="left"/>
              <w:rPr>
                <w:rFonts w:ascii="Times New Roman" w:hAnsi="Times New Roman"/>
                <w:bCs/>
                <w:sz w:val="24"/>
                <w:szCs w:val="24"/>
                <w:highlight w:val="none"/>
              </w:rPr>
            </w:pPr>
            <w:r>
              <w:rPr>
                <w:rFonts w:hint="eastAsia" w:ascii="Times New Roman" w:hAnsi="Times New Roman"/>
                <w:bCs/>
                <w:sz w:val="24"/>
                <w:szCs w:val="24"/>
                <w:highlight w:val="none"/>
              </w:rPr>
              <w:t>经会计师事务所或审计机构审计的财务会计报表，包括资产负债表、现金流量表、利润表、财务情况说明书。</w:t>
            </w:r>
          </w:p>
        </w:tc>
      </w:tr>
    </w:tbl>
    <w:p w14:paraId="7F795C36">
      <w:pPr>
        <w:pStyle w:val="165"/>
        <w:adjustRightInd w:val="0"/>
        <w:snapToGrid w:val="0"/>
        <w:spacing w:line="300" w:lineRule="exact"/>
        <w:ind w:firstLine="480" w:firstLineChars="200"/>
        <w:rPr>
          <w:rFonts w:ascii="Times New Roman" w:hAnsi="Times New Roman"/>
          <w:bCs/>
          <w:snapToGrid w:val="0"/>
          <w:kern w:val="0"/>
          <w:sz w:val="24"/>
          <w:szCs w:val="24"/>
          <w:highlight w:val="none"/>
        </w:rPr>
      </w:pPr>
      <w:r>
        <w:rPr>
          <w:rFonts w:hint="eastAsia" w:ascii="Times New Roman" w:hAnsi="Times New Roman"/>
          <w:bCs/>
          <w:kern w:val="0"/>
          <w:sz w:val="24"/>
          <w:szCs w:val="24"/>
          <w:highlight w:val="none"/>
        </w:rPr>
        <w:t>注：</w:t>
      </w:r>
      <w:r>
        <w:rPr>
          <w:rFonts w:hint="eastAsia" w:ascii="Times New Roman" w:hAnsi="Times New Roman"/>
          <w:bCs/>
          <w:snapToGrid w:val="0"/>
          <w:kern w:val="0"/>
          <w:sz w:val="24"/>
          <w:szCs w:val="24"/>
          <w:highlight w:val="none"/>
        </w:rPr>
        <w:t>证明材料</w:t>
      </w:r>
      <w:r>
        <w:rPr>
          <w:rFonts w:hint="eastAsia" w:ascii="Times New Roman" w:hAnsi="Times New Roman"/>
          <w:bCs/>
          <w:kern w:val="0"/>
          <w:sz w:val="24"/>
          <w:szCs w:val="24"/>
          <w:highlight w:val="none"/>
        </w:rPr>
        <w:t>的信息应完整或能充分证明满足评审需要</w:t>
      </w:r>
      <w:r>
        <w:rPr>
          <w:rFonts w:hint="eastAsia" w:ascii="Times New Roman" w:hAnsi="Times New Roman"/>
          <w:bCs/>
          <w:snapToGrid w:val="0"/>
          <w:kern w:val="0"/>
          <w:sz w:val="24"/>
          <w:szCs w:val="24"/>
          <w:highlight w:val="none"/>
        </w:rPr>
        <w:t>。</w:t>
      </w:r>
    </w:p>
    <w:p w14:paraId="46E6F171">
      <w:pPr>
        <w:pStyle w:val="4"/>
        <w:spacing w:beforeLines="100" w:afterLines="100" w:line="240" w:lineRule="auto"/>
        <w:jc w:val="center"/>
        <w:rPr>
          <w:rFonts w:ascii="Times New Roman" w:hAnsi="Times New Roman" w:eastAsia="黑体"/>
          <w:b w:val="0"/>
          <w:bCs w:val="0"/>
          <w:highlight w:val="none"/>
        </w:rPr>
      </w:pPr>
      <w:r>
        <w:rPr>
          <w:rFonts w:ascii="Times New Roman" w:hAnsi="Times New Roman"/>
          <w:b w:val="0"/>
          <w:bCs w:val="0"/>
          <w:szCs w:val="21"/>
          <w:highlight w:val="none"/>
        </w:rPr>
        <w:br w:type="page"/>
      </w:r>
      <w:bookmarkStart w:id="146" w:name="_Toc283798418"/>
      <w:bookmarkStart w:id="147" w:name="_Toc460226722"/>
      <w:bookmarkStart w:id="148" w:name="_Toc8062"/>
      <w:bookmarkStart w:id="149" w:name="_Toc460660064"/>
      <w:bookmarkStart w:id="150" w:name="_Toc19832"/>
      <w:bookmarkStart w:id="151" w:name="_Toc28740"/>
      <w:bookmarkStart w:id="152" w:name="_Toc460226991"/>
      <w:bookmarkStart w:id="153" w:name="_Toc11078139"/>
      <w:bookmarkStart w:id="154" w:name="_Toc421916977"/>
      <w:bookmarkStart w:id="155" w:name="_Toc38879318"/>
      <w:bookmarkStart w:id="156" w:name="_Toc140069401"/>
      <w:bookmarkStart w:id="157" w:name="_Toc19248"/>
      <w:bookmarkStart w:id="158" w:name="_Toc24452"/>
      <w:r>
        <w:rPr>
          <w:rFonts w:hint="eastAsia" w:ascii="Times New Roman" w:hAnsi="Times New Roman" w:eastAsia="黑体"/>
          <w:b w:val="0"/>
          <w:bCs w:val="0"/>
          <w:highlight w:val="none"/>
        </w:rPr>
        <w:t>附录3  资格审查条件</w:t>
      </w:r>
      <w:bookmarkEnd w:id="146"/>
      <w:bookmarkEnd w:id="147"/>
      <w:bookmarkEnd w:id="148"/>
      <w:bookmarkEnd w:id="149"/>
      <w:bookmarkEnd w:id="150"/>
      <w:bookmarkEnd w:id="151"/>
      <w:bookmarkEnd w:id="152"/>
      <w:bookmarkEnd w:id="153"/>
      <w:bookmarkEnd w:id="154"/>
      <w:bookmarkEnd w:id="155"/>
      <w:r>
        <w:rPr>
          <w:rFonts w:hint="eastAsia" w:ascii="Times New Roman" w:hAnsi="Times New Roman" w:eastAsia="黑体"/>
          <w:b w:val="0"/>
          <w:bCs w:val="0"/>
          <w:highlight w:val="none"/>
        </w:rPr>
        <w:t>（业绩最低要求）</w:t>
      </w:r>
      <w:bookmarkEnd w:id="156"/>
      <w:bookmarkEnd w:id="157"/>
      <w:bookmarkEnd w:id="158"/>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2F7B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4F79E19">
            <w:pPr>
              <w:pStyle w:val="165"/>
              <w:adjustRightInd w:val="0"/>
              <w:snapToGrid w:val="0"/>
              <w:jc w:val="center"/>
              <w:rPr>
                <w:rFonts w:ascii="Times New Roman" w:hAnsi="Times New Roman"/>
                <w:bCs/>
                <w:sz w:val="24"/>
                <w:szCs w:val="24"/>
                <w:highlight w:val="none"/>
              </w:rPr>
            </w:pPr>
            <w:r>
              <w:rPr>
                <w:rFonts w:ascii="Times New Roman" w:hAnsi="Times New Roman"/>
                <w:bCs/>
                <w:sz w:val="24"/>
                <w:szCs w:val="24"/>
                <w:highlight w:val="none"/>
              </w:rPr>
              <w:t>投标人</w:t>
            </w:r>
            <w:r>
              <w:rPr>
                <w:rFonts w:hint="eastAsia" w:ascii="Times New Roman" w:hAnsi="Times New Roman"/>
                <w:bCs/>
                <w:sz w:val="24"/>
                <w:szCs w:val="24"/>
                <w:highlight w:val="none"/>
              </w:rPr>
              <w:t>业绩要求</w:t>
            </w:r>
          </w:p>
        </w:tc>
      </w:tr>
      <w:tr w14:paraId="2677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B600145">
            <w:pPr>
              <w:spacing w:line="360" w:lineRule="auto"/>
              <w:rPr>
                <w:rFonts w:ascii="Times New Roman"/>
                <w:bCs/>
                <w:szCs w:val="24"/>
                <w:highlight w:val="none"/>
              </w:rPr>
            </w:pPr>
            <w:r>
              <w:rPr>
                <w:rFonts w:hint="eastAsia" w:ascii="Times New Roman"/>
                <w:bCs/>
                <w:szCs w:val="24"/>
                <w:highlight w:val="none"/>
              </w:rPr>
              <w:t>见招标公告。</w:t>
            </w:r>
          </w:p>
        </w:tc>
      </w:tr>
    </w:tbl>
    <w:p w14:paraId="2DC37A8C">
      <w:pPr>
        <w:adjustRightInd w:val="0"/>
        <w:snapToGrid w:val="0"/>
        <w:spacing w:line="360" w:lineRule="auto"/>
        <w:ind w:firstLine="480" w:firstLineChars="200"/>
        <w:rPr>
          <w:rFonts w:hAnsi="宋体" w:cs="宋体"/>
          <w:bCs/>
          <w:snapToGrid w:val="0"/>
          <w:highlight w:val="none"/>
        </w:rPr>
      </w:pPr>
      <w:r>
        <w:rPr>
          <w:rFonts w:hint="eastAsia" w:hAnsi="宋体" w:cs="宋体"/>
          <w:bCs/>
          <w:snapToGrid w:val="0"/>
          <w:highlight w:val="none"/>
        </w:rPr>
        <w:t>注：</w:t>
      </w:r>
    </w:p>
    <w:p w14:paraId="2E57DA77">
      <w:pPr>
        <w:spacing w:line="360" w:lineRule="auto"/>
        <w:ind w:firstLine="480" w:firstLineChars="200"/>
        <w:rPr>
          <w:rFonts w:hAnsi="宋体" w:cs="宋体"/>
          <w:bCs/>
          <w:highlight w:val="none"/>
        </w:rPr>
      </w:pPr>
      <w:r>
        <w:rPr>
          <w:rFonts w:hint="eastAsia" w:hAnsi="宋体" w:cs="宋体"/>
          <w:bCs/>
          <w:highlight w:val="none"/>
        </w:rPr>
        <w:t>1.</w:t>
      </w:r>
      <w:r>
        <w:rPr>
          <w:rFonts w:hint="eastAsia" w:hAnsi="宋体"/>
          <w:highlight w:val="none"/>
        </w:rPr>
        <w:t>投标人应提供下列勾选的业绩证明材料</w:t>
      </w:r>
      <w:r>
        <w:rPr>
          <w:rFonts w:hint="eastAsia" w:hAnsi="宋体" w:cs="宋体"/>
          <w:bCs/>
          <w:highlight w:val="none"/>
        </w:rPr>
        <w:t>：</w:t>
      </w:r>
    </w:p>
    <w:p w14:paraId="29B3E890">
      <w:pPr>
        <w:spacing w:line="360" w:lineRule="auto"/>
        <w:ind w:firstLine="480" w:firstLineChars="200"/>
        <w:rPr>
          <w:rFonts w:hAnsi="宋体" w:cs="宋体"/>
          <w:bCs/>
          <w:highlight w:val="none"/>
        </w:rPr>
      </w:pPr>
      <w:r>
        <w:rPr>
          <w:rFonts w:hint="eastAsia" w:hAnsi="宋体" w:cs="宋体"/>
          <w:bCs/>
          <w:highlight w:val="none"/>
        </w:rPr>
        <w:t>□（1）合同；</w:t>
      </w:r>
    </w:p>
    <w:p w14:paraId="2B31CF85">
      <w:pPr>
        <w:spacing w:line="360" w:lineRule="auto"/>
        <w:ind w:firstLine="480" w:firstLineChars="200"/>
        <w:rPr>
          <w:rFonts w:hAnsi="宋体" w:cs="宋体"/>
          <w:bCs/>
          <w:highlight w:val="none"/>
        </w:rPr>
      </w:pPr>
      <w:r>
        <w:rPr>
          <w:rFonts w:hint="eastAsia" w:hAnsi="宋体" w:cs="宋体"/>
          <w:bCs/>
          <w:highlight w:val="none"/>
        </w:rPr>
        <w:t>□（2）供货安装完毕并验收合格的相关证明文件（如验收证书或合同甲方开具的证明等）；</w:t>
      </w:r>
    </w:p>
    <w:p w14:paraId="435731E6">
      <w:pPr>
        <w:adjustRightInd w:val="0"/>
        <w:snapToGrid w:val="0"/>
        <w:spacing w:line="360" w:lineRule="auto"/>
        <w:ind w:firstLine="480" w:firstLineChars="200"/>
        <w:rPr>
          <w:rFonts w:hAnsi="宋体" w:cs="宋体"/>
          <w:bCs/>
          <w:snapToGrid w:val="0"/>
          <w:highlight w:val="none"/>
        </w:rPr>
      </w:pPr>
      <w:r>
        <w:rPr>
          <w:rFonts w:hint="eastAsia" w:hAnsi="宋体" w:cs="宋体"/>
          <w:highlight w:val="none"/>
        </w:rPr>
        <w:t>□（3）其他材料：</w:t>
      </w:r>
      <w:r>
        <w:rPr>
          <w:rFonts w:hint="eastAsia" w:hAnsi="宋体" w:cs="宋体"/>
          <w:highlight w:val="none"/>
          <w:u w:val="single"/>
        </w:rPr>
        <w:t xml:space="preserve">  /    </w:t>
      </w:r>
    </w:p>
    <w:p w14:paraId="0108D636">
      <w:pPr>
        <w:adjustRightInd w:val="0"/>
        <w:snapToGrid w:val="0"/>
        <w:spacing w:line="360" w:lineRule="auto"/>
        <w:ind w:firstLine="480" w:firstLineChars="200"/>
        <w:rPr>
          <w:rFonts w:ascii="Times New Roman"/>
          <w:szCs w:val="21"/>
          <w:highlight w:val="none"/>
        </w:rPr>
      </w:pPr>
      <w:r>
        <w:rPr>
          <w:rFonts w:hint="eastAsia" w:hAnsi="宋体" w:cs="宋体"/>
          <w:highlight w:val="none"/>
        </w:rPr>
        <w:t>2.业绩需在商务文件中“资格审查资料”栏“投标人业绩情况表（资格审查）”中注明并提供相关证明材料。如投标人提供的上述业绩证明材料未能完整或充分反映评审因素（如</w:t>
      </w:r>
      <w:r>
        <w:rPr>
          <w:rFonts w:hint="eastAsia" w:hAnsi="宋体" w:cs="宋体"/>
          <w:highlight w:val="none"/>
          <w:u w:val="single"/>
        </w:rPr>
        <w:t xml:space="preserve">  /    </w:t>
      </w:r>
      <w:r>
        <w:rPr>
          <w:rFonts w:hint="eastAsia" w:hAnsi="宋体" w:cs="宋体"/>
          <w:highlight w:val="none"/>
        </w:rPr>
        <w:t>）的，应另附合同甲方证明材料（须加盖合同甲方单位章）予以明确说明，否则评标委员会不予认可</w:t>
      </w:r>
      <w:r>
        <w:rPr>
          <w:rFonts w:hint="eastAsia" w:ascii="Times New Roman"/>
          <w:szCs w:val="21"/>
          <w:highlight w:val="none"/>
        </w:rPr>
        <w:t>。</w:t>
      </w:r>
    </w:p>
    <w:p w14:paraId="5E3E598E">
      <w:pPr>
        <w:spacing w:line="360" w:lineRule="auto"/>
        <w:ind w:firstLine="480" w:firstLineChars="200"/>
        <w:rPr>
          <w:rFonts w:hAnsi="宋体" w:cs="宋体"/>
          <w:bCs/>
          <w:highlight w:val="none"/>
        </w:rPr>
      </w:pPr>
      <w:r>
        <w:rPr>
          <w:rFonts w:hint="eastAsia" w:hAnsi="宋体" w:cs="宋体"/>
          <w:bCs/>
          <w:highlight w:val="none"/>
        </w:rPr>
        <w:t>3.本招标项目投标人业绩(资格审查)数量:</w:t>
      </w:r>
      <w:r>
        <w:rPr>
          <w:rFonts w:hint="eastAsia" w:hAnsi="宋体" w:cs="宋体"/>
          <w:bCs/>
          <w:highlight w:val="none"/>
          <w:u w:val="single"/>
        </w:rPr>
        <w:t xml:space="preserve">   0   </w:t>
      </w:r>
      <w:r>
        <w:rPr>
          <w:rFonts w:hint="eastAsia" w:hAnsi="宋体" w:cs="宋体"/>
          <w:bCs/>
          <w:highlight w:val="none"/>
        </w:rPr>
        <w:t>个。</w:t>
      </w:r>
    </w:p>
    <w:p w14:paraId="477ED2F0">
      <w:pPr>
        <w:rPr>
          <w:highlight w:val="none"/>
        </w:rPr>
      </w:pPr>
    </w:p>
    <w:p w14:paraId="3714DA5F">
      <w:pPr>
        <w:rPr>
          <w:highlight w:val="none"/>
        </w:rPr>
      </w:pPr>
    </w:p>
    <w:p w14:paraId="0DACD409">
      <w:pPr>
        <w:pStyle w:val="4"/>
        <w:spacing w:beforeLines="100" w:afterLines="100" w:line="240" w:lineRule="auto"/>
        <w:jc w:val="center"/>
        <w:rPr>
          <w:rFonts w:ascii="Times New Roman" w:hAnsi="Times New Roman" w:eastAsia="黑体"/>
          <w:b w:val="0"/>
          <w:bCs w:val="0"/>
          <w:highlight w:val="none"/>
        </w:rPr>
      </w:pPr>
      <w:r>
        <w:rPr>
          <w:rFonts w:ascii="Times New Roman" w:hAnsi="Times New Roman"/>
          <w:b w:val="0"/>
          <w:snapToGrid w:val="0"/>
          <w:sz w:val="21"/>
          <w:szCs w:val="21"/>
          <w:highlight w:val="none"/>
        </w:rPr>
        <w:br w:type="page"/>
      </w:r>
      <w:bookmarkStart w:id="159" w:name="_Toc8976"/>
      <w:bookmarkStart w:id="160" w:name="_Toc11078140"/>
      <w:bookmarkStart w:id="161" w:name="_Toc4225"/>
      <w:bookmarkStart w:id="162" w:name="_Toc10084"/>
      <w:bookmarkStart w:id="163" w:name="_Toc30200"/>
      <w:bookmarkStart w:id="164" w:name="_Toc38879319"/>
      <w:bookmarkStart w:id="165" w:name="_Toc140069402"/>
      <w:bookmarkStart w:id="166" w:name="_Toc25129"/>
      <w:bookmarkStart w:id="167" w:name="_Toc460226723"/>
      <w:bookmarkStart w:id="168" w:name="_Toc421916978"/>
      <w:bookmarkStart w:id="169" w:name="_Toc460226992"/>
      <w:r>
        <w:rPr>
          <w:rFonts w:hint="eastAsia" w:ascii="Times New Roman" w:hAnsi="Times New Roman" w:eastAsia="黑体"/>
          <w:b w:val="0"/>
          <w:bCs w:val="0"/>
          <w:highlight w:val="none"/>
        </w:rPr>
        <w:t>附录4  资格审查条件（信誉最低要求）</w:t>
      </w:r>
      <w:bookmarkEnd w:id="159"/>
      <w:bookmarkEnd w:id="160"/>
      <w:bookmarkEnd w:id="161"/>
      <w:bookmarkEnd w:id="162"/>
      <w:bookmarkEnd w:id="163"/>
      <w:bookmarkEnd w:id="164"/>
      <w:bookmarkEnd w:id="165"/>
      <w:bookmarkEnd w:id="166"/>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7CD4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BC88309">
            <w:pPr>
              <w:pStyle w:val="165"/>
              <w:adjustRightInd w:val="0"/>
              <w:snapToGrid w:val="0"/>
              <w:jc w:val="center"/>
              <w:rPr>
                <w:rFonts w:ascii="Times New Roman" w:hAnsi="Times New Roman"/>
                <w:bCs/>
                <w:sz w:val="24"/>
                <w:szCs w:val="24"/>
                <w:highlight w:val="none"/>
              </w:rPr>
            </w:pPr>
            <w:r>
              <w:rPr>
                <w:rFonts w:hint="eastAsia" w:ascii="Times New Roman" w:hAnsi="Times New Roman"/>
                <w:bCs/>
                <w:sz w:val="24"/>
                <w:szCs w:val="24"/>
                <w:highlight w:val="none"/>
              </w:rPr>
              <w:t>信誉要求</w:t>
            </w:r>
          </w:p>
        </w:tc>
      </w:tr>
      <w:tr w14:paraId="416F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CA33E60">
            <w:pPr>
              <w:spacing w:line="460" w:lineRule="exact"/>
              <w:rPr>
                <w:rFonts w:ascii="Times New Roman"/>
                <w:bCs/>
                <w:szCs w:val="24"/>
                <w:highlight w:val="none"/>
              </w:rPr>
            </w:pPr>
            <w:r>
              <w:rPr>
                <w:rFonts w:hint="eastAsia" w:ascii="Times New Roman"/>
                <w:bCs/>
                <w:highlight w:val="none"/>
              </w:rPr>
              <w:t>见招标公告。</w:t>
            </w:r>
          </w:p>
        </w:tc>
      </w:tr>
    </w:tbl>
    <w:p w14:paraId="4BE7E1F7">
      <w:pPr>
        <w:pStyle w:val="165"/>
        <w:adjustRightInd w:val="0"/>
        <w:snapToGrid w:val="0"/>
        <w:spacing w:line="360" w:lineRule="auto"/>
        <w:ind w:firstLine="480" w:firstLineChars="200"/>
        <w:rPr>
          <w:rFonts w:ascii="Times New Roman" w:hAnsi="Times New Roman"/>
          <w:bCs/>
          <w:snapToGrid w:val="0"/>
          <w:kern w:val="0"/>
          <w:sz w:val="24"/>
          <w:szCs w:val="24"/>
          <w:highlight w:val="none"/>
        </w:rPr>
      </w:pPr>
      <w:bookmarkStart w:id="170" w:name="_Toc38879320"/>
      <w:bookmarkStart w:id="171" w:name="_Toc11078141"/>
      <w:bookmarkStart w:id="172" w:name="_Toc460660065"/>
      <w:r>
        <w:rPr>
          <w:rFonts w:hint="eastAsia" w:ascii="Times New Roman" w:hAnsi="Times New Roman"/>
          <w:bCs/>
          <w:snapToGrid w:val="0"/>
          <w:kern w:val="0"/>
          <w:sz w:val="24"/>
          <w:szCs w:val="24"/>
          <w:highlight w:val="none"/>
        </w:rPr>
        <w:t>注：投标人无需提供证明材料，由评标委员会通过电子服务系统查询。</w:t>
      </w:r>
    </w:p>
    <w:p w14:paraId="6F8A8196">
      <w:pPr>
        <w:pStyle w:val="4"/>
        <w:spacing w:beforeLines="100" w:afterLines="100" w:line="240" w:lineRule="auto"/>
        <w:jc w:val="center"/>
        <w:rPr>
          <w:rFonts w:ascii="Times New Roman" w:hAnsi="Times New Roman" w:eastAsia="黑体"/>
          <w:b w:val="0"/>
          <w:bCs w:val="0"/>
          <w:highlight w:val="none"/>
        </w:rPr>
      </w:pPr>
      <w:r>
        <w:rPr>
          <w:rFonts w:ascii="Times New Roman" w:hAnsi="Times New Roman" w:eastAsia="黑体"/>
          <w:b w:val="0"/>
          <w:highlight w:val="none"/>
        </w:rPr>
        <w:br w:type="page"/>
      </w:r>
      <w:bookmarkStart w:id="173" w:name="_Toc140069403"/>
      <w:bookmarkStart w:id="174" w:name="_Toc22030"/>
      <w:bookmarkStart w:id="175" w:name="_Toc2606"/>
      <w:bookmarkStart w:id="176" w:name="_Toc27994"/>
      <w:bookmarkStart w:id="177" w:name="_Toc10109"/>
      <w:bookmarkStart w:id="178" w:name="_Toc30197"/>
      <w:r>
        <w:rPr>
          <w:rFonts w:hint="eastAsia" w:ascii="Times New Roman" w:hAnsi="Times New Roman" w:eastAsia="黑体"/>
          <w:b w:val="0"/>
          <w:bCs w:val="0"/>
          <w:highlight w:val="none"/>
        </w:rPr>
        <w:t>附录5  资格审查条件（</w:t>
      </w:r>
      <w:r>
        <w:rPr>
          <w:rFonts w:hint="eastAsia" w:ascii="黑体" w:hAnsi="黑体" w:eastAsia="黑体" w:cs="黑体"/>
          <w:b w:val="0"/>
          <w:highlight w:val="none"/>
        </w:rPr>
        <w:t>项目负责人最低要求</w:t>
      </w:r>
      <w:r>
        <w:rPr>
          <w:rFonts w:hint="eastAsia" w:ascii="Times New Roman" w:hAnsi="Times New Roman" w:eastAsia="黑体"/>
          <w:b w:val="0"/>
          <w:bCs w:val="0"/>
          <w:highlight w:val="none"/>
        </w:rPr>
        <w:t>）</w:t>
      </w:r>
      <w:bookmarkEnd w:id="167"/>
      <w:bookmarkEnd w:id="168"/>
      <w:bookmarkEnd w:id="169"/>
      <w:bookmarkEnd w:id="170"/>
      <w:bookmarkEnd w:id="171"/>
      <w:bookmarkEnd w:id="172"/>
      <w:bookmarkEnd w:id="173"/>
      <w:bookmarkEnd w:id="174"/>
      <w:bookmarkEnd w:id="175"/>
      <w:bookmarkEnd w:id="176"/>
      <w:bookmarkEnd w:id="177"/>
      <w:bookmarkEnd w:id="178"/>
    </w:p>
    <w:tbl>
      <w:tblPr>
        <w:tblStyle w:val="52"/>
        <w:tblW w:w="44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0"/>
      </w:tblGrid>
      <w:tr w14:paraId="3BE9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25B458BE">
            <w:pPr>
              <w:pStyle w:val="165"/>
              <w:adjustRightInd w:val="0"/>
              <w:snapToGrid w:val="0"/>
              <w:jc w:val="center"/>
              <w:rPr>
                <w:rFonts w:ascii="Times New Roman" w:hAnsi="Times New Roman"/>
                <w:bCs/>
                <w:sz w:val="24"/>
                <w:szCs w:val="24"/>
                <w:highlight w:val="none"/>
              </w:rPr>
            </w:pPr>
            <w:r>
              <w:rPr>
                <w:rFonts w:hint="eastAsia" w:ascii="Times New Roman" w:hAnsi="Times New Roman"/>
                <w:bCs/>
                <w:sz w:val="24"/>
                <w:szCs w:val="24"/>
                <w:highlight w:val="none"/>
              </w:rPr>
              <w:t>资格要求</w:t>
            </w:r>
          </w:p>
        </w:tc>
      </w:tr>
      <w:tr w14:paraId="0CC4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5A0A3D08">
            <w:pPr>
              <w:pStyle w:val="165"/>
              <w:widowControl/>
              <w:spacing w:line="360" w:lineRule="auto"/>
              <w:jc w:val="left"/>
              <w:rPr>
                <w:rFonts w:ascii="宋体" w:hAnsi="宋体" w:cs="宋体"/>
                <w:bCs/>
                <w:snapToGrid w:val="0"/>
                <w:kern w:val="0"/>
                <w:sz w:val="24"/>
                <w:szCs w:val="24"/>
                <w:highlight w:val="none"/>
              </w:rPr>
            </w:pPr>
            <w:r>
              <w:rPr>
                <w:rFonts w:hint="eastAsia" w:ascii="宋体" w:hAnsi="宋体" w:cs="宋体"/>
                <w:sz w:val="24"/>
                <w:highlight w:val="none"/>
              </w:rPr>
              <w:t>1.</w:t>
            </w:r>
            <w:r>
              <w:rPr>
                <w:rFonts w:hint="eastAsia" w:ascii="宋体" w:hAnsi="宋体" w:cs="宋体"/>
                <w:bCs/>
                <w:snapToGrid w:val="0"/>
                <w:kern w:val="0"/>
                <w:sz w:val="24"/>
                <w:szCs w:val="24"/>
                <w:highlight w:val="none"/>
              </w:rPr>
              <w:t>项目负责人必须是本单位人员。</w:t>
            </w:r>
          </w:p>
          <w:p w14:paraId="5D7D6CB2">
            <w:pPr>
              <w:widowControl/>
              <w:spacing w:line="360" w:lineRule="auto"/>
              <w:jc w:val="left"/>
              <w:rPr>
                <w:rFonts w:hAnsi="宋体" w:cs="宋体"/>
                <w:bCs/>
                <w:snapToGrid w:val="0"/>
                <w:highlight w:val="none"/>
              </w:rPr>
            </w:pPr>
            <w:r>
              <w:rPr>
                <w:rFonts w:hint="eastAsia" w:hAnsi="宋体" w:cs="宋体"/>
                <w:bCs/>
                <w:highlight w:val="none"/>
              </w:rPr>
              <w:t>2.</w:t>
            </w:r>
            <w:r>
              <w:rPr>
                <w:rFonts w:hint="eastAsia" w:hAnsi="宋体" w:cs="宋体"/>
                <w:bCs/>
                <w:snapToGrid w:val="0"/>
                <w:highlight w:val="none"/>
              </w:rPr>
              <w:t>项目负责人业绩具体要求见招标公告</w:t>
            </w:r>
            <w:r>
              <w:rPr>
                <w:rFonts w:hint="eastAsia" w:hAnsi="宋体" w:cs="宋体"/>
                <w:bCs/>
                <w:snapToGrid w:val="0"/>
                <w:highlight w:val="none"/>
                <w:lang w:eastAsia="zh-CN"/>
              </w:rPr>
              <w:t>（</w:t>
            </w:r>
            <w:r>
              <w:rPr>
                <w:rFonts w:hint="eastAsia" w:hAnsi="宋体" w:cs="宋体"/>
                <w:bCs/>
                <w:snapToGrid w:val="0"/>
                <w:highlight w:val="none"/>
                <w:lang w:val="en-US" w:eastAsia="zh-CN"/>
              </w:rPr>
              <w:t>如有</w:t>
            </w:r>
            <w:r>
              <w:rPr>
                <w:rFonts w:hint="eastAsia" w:hAnsi="宋体" w:cs="宋体"/>
                <w:bCs/>
                <w:snapToGrid w:val="0"/>
                <w:highlight w:val="none"/>
                <w:lang w:eastAsia="zh-CN"/>
              </w:rPr>
              <w:t>）</w:t>
            </w:r>
            <w:r>
              <w:rPr>
                <w:rFonts w:hint="eastAsia" w:hAnsi="宋体" w:cs="宋体"/>
                <w:bCs/>
                <w:snapToGrid w:val="0"/>
                <w:highlight w:val="none"/>
              </w:rPr>
              <w:t>。</w:t>
            </w:r>
          </w:p>
          <w:p w14:paraId="622545C4">
            <w:pPr>
              <w:spacing w:line="360" w:lineRule="auto"/>
              <w:rPr>
                <w:rFonts w:ascii="Times New Roman" w:cs="楷体"/>
                <w:bCs/>
                <w:snapToGrid w:val="0"/>
                <w:szCs w:val="24"/>
                <w:highlight w:val="none"/>
              </w:rPr>
            </w:pPr>
            <w:r>
              <w:rPr>
                <w:rFonts w:hint="eastAsia" w:ascii="MS Mincho" w:hAnsi="MS Mincho" w:eastAsia="MS Mincho" w:cs="MS Mincho"/>
                <w:highlight w:val="none"/>
              </w:rPr>
              <w:t>☑</w:t>
            </w:r>
            <w:r>
              <w:rPr>
                <w:rFonts w:hint="eastAsia" w:hAnsi="宋体" w:cs="宋体"/>
                <w:bCs/>
                <w:snapToGrid w:val="0"/>
                <w:highlight w:val="none"/>
              </w:rPr>
              <w:t>社保要求：</w:t>
            </w:r>
            <w:r>
              <w:rPr>
                <w:rFonts w:hint="eastAsia" w:ascii="Times New Roman" w:cs="楷体"/>
                <w:bCs/>
                <w:snapToGrid w:val="0"/>
                <w:szCs w:val="24"/>
                <w:highlight w:val="none"/>
              </w:rPr>
              <w:t>提供投标人所属社保机构出具的项目负责人</w:t>
            </w:r>
            <w:r>
              <w:rPr>
                <w:rFonts w:hint="eastAsia" w:ascii="Times New Roman" w:cs="楷体"/>
                <w:bCs/>
                <w:snapToGrid w:val="0"/>
                <w:szCs w:val="24"/>
                <w:highlight w:val="none"/>
                <w:u w:val="single"/>
              </w:rPr>
              <w:t>自202</w:t>
            </w:r>
            <w:r>
              <w:rPr>
                <w:rFonts w:hint="eastAsia" w:ascii="Times New Roman" w:cs="楷体"/>
                <w:bCs/>
                <w:snapToGrid w:val="0"/>
                <w:szCs w:val="24"/>
                <w:highlight w:val="none"/>
                <w:u w:val="single"/>
                <w:lang w:val="en-US" w:eastAsia="zh-CN"/>
              </w:rPr>
              <w:t>5</w:t>
            </w:r>
            <w:r>
              <w:rPr>
                <w:rFonts w:hint="eastAsia" w:ascii="Times New Roman" w:cs="楷体"/>
                <w:bCs/>
                <w:snapToGrid w:val="0"/>
                <w:szCs w:val="24"/>
                <w:highlight w:val="none"/>
                <w:u w:val="single"/>
              </w:rPr>
              <w:t>年</w:t>
            </w:r>
            <w:r>
              <w:rPr>
                <w:rFonts w:hint="eastAsia" w:ascii="Times New Roman" w:cs="楷体"/>
                <w:bCs/>
                <w:snapToGrid w:val="0"/>
                <w:szCs w:val="24"/>
                <w:highlight w:val="none"/>
                <w:u w:val="single"/>
                <w:lang w:val="en-US" w:eastAsia="zh-CN"/>
              </w:rPr>
              <w:t>1</w:t>
            </w:r>
            <w:r>
              <w:rPr>
                <w:rFonts w:hint="eastAsia" w:ascii="Times New Roman" w:cs="楷体"/>
                <w:bCs/>
                <w:snapToGrid w:val="0"/>
                <w:szCs w:val="24"/>
                <w:highlight w:val="none"/>
                <w:u w:val="single"/>
              </w:rPr>
              <w:t>月1日以来任意连续三个月的</w:t>
            </w:r>
            <w:r>
              <w:rPr>
                <w:rFonts w:hint="eastAsia" w:ascii="Times New Roman" w:cs="楷体"/>
                <w:bCs/>
                <w:snapToGrid w:val="0"/>
                <w:szCs w:val="24"/>
                <w:highlight w:val="none"/>
              </w:rPr>
              <w:t>社保缴费证明（或其他能够证明项目负责人参加社保的有效证明）材料，项目负责人的社保缴纳单位应当是投标人或者投标人不具备独立法人资格的分支机构。</w:t>
            </w:r>
          </w:p>
          <w:p w14:paraId="3241079A">
            <w:pPr>
              <w:spacing w:line="360" w:lineRule="auto"/>
              <w:rPr>
                <w:highlight w:val="none"/>
              </w:rPr>
            </w:pPr>
            <w:r>
              <w:rPr>
                <w:rFonts w:hint="eastAsia" w:ascii="Times New Roman" w:cs="楷体"/>
                <w:bCs/>
                <w:snapToGrid w:val="0"/>
                <w:szCs w:val="24"/>
                <w:highlight w:val="none"/>
              </w:rPr>
              <w:t>（社保缴费证明或社保的有效证明材料至少含养老保险）</w:t>
            </w:r>
          </w:p>
        </w:tc>
      </w:tr>
    </w:tbl>
    <w:p w14:paraId="606F3545">
      <w:pPr>
        <w:pStyle w:val="165"/>
        <w:adjustRightInd w:val="0"/>
        <w:snapToGrid w:val="0"/>
        <w:spacing w:line="360" w:lineRule="auto"/>
        <w:ind w:firstLine="480" w:firstLineChars="200"/>
        <w:rPr>
          <w:rFonts w:ascii="宋体" w:hAnsi="宋体" w:cs="宋体"/>
          <w:bCs/>
          <w:snapToGrid w:val="0"/>
          <w:kern w:val="0"/>
          <w:sz w:val="24"/>
          <w:highlight w:val="none"/>
        </w:rPr>
      </w:pPr>
      <w:r>
        <w:rPr>
          <w:rFonts w:hint="eastAsia" w:ascii="宋体" w:hAnsi="宋体" w:cs="宋体"/>
          <w:bCs/>
          <w:snapToGrid w:val="0"/>
          <w:kern w:val="0"/>
          <w:sz w:val="24"/>
          <w:highlight w:val="none"/>
        </w:rPr>
        <w:t>注：</w:t>
      </w:r>
    </w:p>
    <w:p w14:paraId="716A212F">
      <w:pPr>
        <w:spacing w:line="360" w:lineRule="auto"/>
        <w:ind w:firstLine="480" w:firstLineChars="200"/>
        <w:rPr>
          <w:rFonts w:hAnsi="宋体" w:cs="宋体"/>
          <w:bCs/>
          <w:snapToGrid w:val="0"/>
          <w:highlight w:val="none"/>
        </w:rPr>
      </w:pPr>
      <w:r>
        <w:rPr>
          <w:rFonts w:hint="eastAsia" w:hAnsi="宋体" w:cs="宋体"/>
          <w:bCs/>
          <w:snapToGrid w:val="0"/>
          <w:highlight w:val="none"/>
        </w:rPr>
        <w:t>1.</w:t>
      </w:r>
      <w:r>
        <w:rPr>
          <w:rFonts w:hint="eastAsia" w:ascii="Times New Roman"/>
          <w:szCs w:val="21"/>
          <w:highlight w:val="none"/>
        </w:rPr>
        <w:t>投标人应提供</w:t>
      </w:r>
      <w:r>
        <w:rPr>
          <w:rFonts w:hint="eastAsia" w:hAnsi="宋体" w:cs="宋体"/>
          <w:highlight w:val="none"/>
        </w:rPr>
        <w:t>项目负责人</w:t>
      </w:r>
      <w:r>
        <w:rPr>
          <w:rFonts w:hint="eastAsia" w:ascii="Times New Roman"/>
          <w:szCs w:val="21"/>
          <w:highlight w:val="none"/>
        </w:rPr>
        <w:t>参加社保的有效证明材料。</w:t>
      </w:r>
    </w:p>
    <w:p w14:paraId="2BEB74EA">
      <w:pPr>
        <w:spacing w:line="360" w:lineRule="auto"/>
        <w:ind w:firstLine="480" w:firstLineChars="200"/>
        <w:rPr>
          <w:rFonts w:hAnsi="宋体" w:cs="宋体"/>
          <w:highlight w:val="none"/>
        </w:rPr>
      </w:pPr>
      <w:r>
        <w:rPr>
          <w:rFonts w:hint="eastAsia" w:hAnsi="宋体" w:cs="宋体"/>
          <w:bCs/>
          <w:snapToGrid w:val="0"/>
          <w:highlight w:val="none"/>
        </w:rPr>
        <w:t>2.</w:t>
      </w:r>
      <w:r>
        <w:rPr>
          <w:rFonts w:hint="eastAsia" w:ascii="Times New Roman"/>
          <w:szCs w:val="24"/>
          <w:highlight w:val="none"/>
        </w:rPr>
        <w:t>投标人应提供下列类别勾选的业绩证明材料：</w:t>
      </w:r>
    </w:p>
    <w:p w14:paraId="15096378">
      <w:pPr>
        <w:spacing w:line="360" w:lineRule="auto"/>
        <w:ind w:firstLine="480" w:firstLineChars="200"/>
        <w:rPr>
          <w:rFonts w:hAnsi="宋体" w:cs="宋体"/>
          <w:bCs/>
          <w:highlight w:val="none"/>
        </w:rPr>
      </w:pPr>
      <w:r>
        <w:rPr>
          <w:rFonts w:hint="eastAsia" w:hAnsi="宋体" w:cs="宋体"/>
          <w:bCs/>
          <w:highlight w:val="none"/>
        </w:rPr>
        <w:t>□（1）合同；</w:t>
      </w:r>
    </w:p>
    <w:p w14:paraId="7DAFE46F">
      <w:pPr>
        <w:spacing w:line="360" w:lineRule="auto"/>
        <w:ind w:firstLine="480" w:firstLineChars="200"/>
        <w:rPr>
          <w:rFonts w:hAnsi="宋体" w:cs="宋体"/>
          <w:bCs/>
          <w:highlight w:val="none"/>
        </w:rPr>
      </w:pPr>
      <w:r>
        <w:rPr>
          <w:rFonts w:hint="eastAsia" w:hAnsi="宋体" w:cs="宋体"/>
          <w:bCs/>
          <w:highlight w:val="none"/>
        </w:rPr>
        <w:t>□（2）供货安装完毕并验收合格的相关证明文件（如验收证书或合同甲方开具的证明等）；</w:t>
      </w:r>
    </w:p>
    <w:p w14:paraId="46E99267">
      <w:pPr>
        <w:spacing w:line="360" w:lineRule="auto"/>
        <w:ind w:firstLine="480" w:firstLineChars="200"/>
        <w:rPr>
          <w:rFonts w:hAnsi="宋体" w:cs="宋体"/>
          <w:highlight w:val="none"/>
          <w:u w:val="single"/>
        </w:rPr>
      </w:pPr>
      <w:r>
        <w:rPr>
          <w:rFonts w:hint="eastAsia" w:hAnsi="宋体" w:cs="宋体"/>
          <w:highlight w:val="none"/>
        </w:rPr>
        <w:t>□（3）其他材料：</w:t>
      </w:r>
      <w:r>
        <w:rPr>
          <w:rFonts w:hint="eastAsia" w:hAnsi="宋体" w:cs="宋体"/>
          <w:highlight w:val="none"/>
          <w:u w:val="single"/>
        </w:rPr>
        <w:t xml:space="preserve">   /   </w:t>
      </w:r>
    </w:p>
    <w:p w14:paraId="0500495E">
      <w:pPr>
        <w:adjustRightInd w:val="0"/>
        <w:snapToGrid w:val="0"/>
        <w:spacing w:line="360" w:lineRule="auto"/>
        <w:ind w:firstLine="480" w:firstLineChars="200"/>
        <w:rPr>
          <w:rFonts w:ascii="Times New Roman"/>
          <w:szCs w:val="24"/>
          <w:highlight w:val="none"/>
        </w:rPr>
      </w:pPr>
      <w:r>
        <w:rPr>
          <w:rFonts w:hint="eastAsia" w:hAnsi="宋体" w:cs="宋体"/>
          <w:highlight w:val="none"/>
        </w:rPr>
        <w:t>注：</w:t>
      </w:r>
      <w:r>
        <w:rPr>
          <w:rFonts w:hint="eastAsia" w:ascii="Times New Roman"/>
          <w:szCs w:val="24"/>
          <w:highlight w:val="none"/>
        </w:rPr>
        <w:t>业绩需在商务文件中“资格审查资料”栏“项目负责人业绩情况表（资格审查）”中注明并提供相关证明材料。如投标人提供的上述业绩证明材料未能完整或充分反映评审因素（如</w:t>
      </w:r>
      <w:r>
        <w:rPr>
          <w:rFonts w:hint="eastAsia" w:ascii="Times New Roman"/>
          <w:szCs w:val="24"/>
          <w:highlight w:val="none"/>
          <w:u w:val="single"/>
        </w:rPr>
        <w:t xml:space="preserve">  /    </w:t>
      </w:r>
      <w:r>
        <w:rPr>
          <w:rFonts w:hint="eastAsia" w:ascii="Times New Roman"/>
          <w:szCs w:val="24"/>
          <w:highlight w:val="none"/>
        </w:rPr>
        <w:t>）的，应另附合同甲方证明材料（须加盖合同甲方单位章）予以明确说明，否则评标委员会不予认可。</w:t>
      </w:r>
    </w:p>
    <w:p w14:paraId="2252C239">
      <w:pPr>
        <w:adjustRightInd w:val="0"/>
        <w:snapToGrid w:val="0"/>
        <w:spacing w:line="360" w:lineRule="auto"/>
        <w:ind w:firstLine="480" w:firstLineChars="200"/>
        <w:rPr>
          <w:rFonts w:ascii="Times New Roman"/>
          <w:szCs w:val="24"/>
          <w:highlight w:val="none"/>
        </w:rPr>
      </w:pPr>
      <w:r>
        <w:rPr>
          <w:rFonts w:hint="eastAsia" w:ascii="Times New Roman"/>
          <w:szCs w:val="24"/>
          <w:highlight w:val="none"/>
        </w:rPr>
        <w:t>3.投标人提供的项目负责人业绩证明材料应反映出本招标项目的项目负责人在此业绩中担任过</w:t>
      </w:r>
      <w:r>
        <w:rPr>
          <w:rFonts w:hint="eastAsia" w:ascii="Times New Roman"/>
          <w:szCs w:val="24"/>
          <w:highlight w:val="none"/>
          <w:u w:val="single"/>
        </w:rPr>
        <w:t xml:space="preserve">   /   </w:t>
      </w:r>
      <w:r>
        <w:rPr>
          <w:rFonts w:hint="eastAsia" w:ascii="Times New Roman"/>
          <w:szCs w:val="24"/>
          <w:highlight w:val="none"/>
        </w:rPr>
        <w:t>的岗位。</w:t>
      </w:r>
    </w:p>
    <w:p w14:paraId="469E3B54">
      <w:pPr>
        <w:spacing w:line="360" w:lineRule="auto"/>
        <w:ind w:firstLine="480" w:firstLineChars="200"/>
        <w:rPr>
          <w:rFonts w:hAnsi="宋体" w:cs="宋体"/>
          <w:bCs/>
          <w:highlight w:val="none"/>
        </w:rPr>
      </w:pPr>
      <w:r>
        <w:rPr>
          <w:rFonts w:hint="eastAsia" w:hAnsi="宋体" w:cs="宋体"/>
          <w:bCs/>
          <w:highlight w:val="none"/>
        </w:rPr>
        <w:t>4.本招标项目的项目负责人业绩(资格审查)数量:</w:t>
      </w:r>
      <w:r>
        <w:rPr>
          <w:rFonts w:hint="eastAsia" w:hAnsi="宋体" w:cs="宋体"/>
          <w:bCs/>
          <w:highlight w:val="none"/>
          <w:u w:val="single"/>
        </w:rPr>
        <w:t xml:space="preserve">   0   </w:t>
      </w:r>
      <w:r>
        <w:rPr>
          <w:rFonts w:hint="eastAsia" w:hAnsi="宋体" w:cs="宋体"/>
          <w:bCs/>
          <w:highlight w:val="none"/>
        </w:rPr>
        <w:t>个。</w:t>
      </w:r>
    </w:p>
    <w:p w14:paraId="5CD9D4C3">
      <w:pPr>
        <w:rPr>
          <w:highlight w:val="none"/>
        </w:rPr>
      </w:pPr>
    </w:p>
    <w:p w14:paraId="723A5DA2">
      <w:pPr>
        <w:rPr>
          <w:highlight w:val="none"/>
        </w:rPr>
      </w:pPr>
    </w:p>
    <w:p w14:paraId="2BE9C4CE">
      <w:pPr>
        <w:pStyle w:val="4"/>
        <w:spacing w:beforeLines="100" w:afterLines="100" w:line="240" w:lineRule="auto"/>
        <w:jc w:val="center"/>
        <w:rPr>
          <w:rFonts w:ascii="Times New Roman" w:hAnsi="Times New Roman" w:eastAsia="黑体"/>
          <w:b w:val="0"/>
          <w:bCs w:val="0"/>
          <w:highlight w:val="none"/>
        </w:rPr>
      </w:pPr>
      <w:r>
        <w:rPr>
          <w:rFonts w:hint="eastAsia" w:ascii="Times New Roman" w:hAnsi="Times New Roman" w:eastAsia="黑体"/>
          <w:b w:val="0"/>
          <w:bCs w:val="0"/>
          <w:highlight w:val="none"/>
        </w:rPr>
        <w:br w:type="page"/>
      </w:r>
      <w:bookmarkStart w:id="179" w:name="_Toc140069404"/>
      <w:bookmarkStart w:id="180" w:name="_Toc25150"/>
      <w:bookmarkStart w:id="181" w:name="_Toc24788"/>
      <w:r>
        <w:rPr>
          <w:rFonts w:hint="eastAsia" w:ascii="Times New Roman" w:hAnsi="Times New Roman" w:eastAsia="黑体"/>
          <w:b w:val="0"/>
          <w:bCs w:val="0"/>
          <w:highlight w:val="none"/>
        </w:rPr>
        <w:t>附录6  资格审查条件（</w:t>
      </w:r>
      <w:r>
        <w:rPr>
          <w:rFonts w:hint="eastAsia" w:ascii="Times New Roman" w:hAnsi="Times New Roman" w:eastAsia="黑体"/>
          <w:b w:val="0"/>
          <w:highlight w:val="none"/>
        </w:rPr>
        <w:t>其他要求</w:t>
      </w:r>
      <w:r>
        <w:rPr>
          <w:rFonts w:hint="eastAsia" w:ascii="Times New Roman" w:hAnsi="Times New Roman" w:eastAsia="黑体"/>
          <w:b w:val="0"/>
          <w:bCs w:val="0"/>
          <w:highlight w:val="none"/>
        </w:rPr>
        <w:t>）</w:t>
      </w:r>
      <w:bookmarkEnd w:id="179"/>
      <w:bookmarkEnd w:id="180"/>
      <w:bookmarkEnd w:id="181"/>
    </w:p>
    <w:tbl>
      <w:tblPr>
        <w:tblStyle w:val="52"/>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1"/>
      </w:tblGrid>
      <w:tr w14:paraId="7E00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6DE2E66">
            <w:pPr>
              <w:pStyle w:val="165"/>
              <w:adjustRightInd w:val="0"/>
              <w:snapToGrid w:val="0"/>
              <w:jc w:val="center"/>
              <w:rPr>
                <w:rFonts w:ascii="Times New Roman" w:hAnsi="Times New Roman"/>
                <w:bCs/>
                <w:sz w:val="24"/>
                <w:szCs w:val="24"/>
                <w:highlight w:val="none"/>
              </w:rPr>
            </w:pPr>
            <w:r>
              <w:rPr>
                <w:rFonts w:hint="eastAsia" w:ascii="Times New Roman" w:hAnsi="Times New Roman"/>
                <w:bCs/>
                <w:sz w:val="24"/>
                <w:szCs w:val="24"/>
                <w:highlight w:val="none"/>
              </w:rPr>
              <w:t>其他要求</w:t>
            </w:r>
          </w:p>
        </w:tc>
      </w:tr>
      <w:tr w14:paraId="148A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7884F819">
            <w:pPr>
              <w:spacing w:line="360" w:lineRule="auto"/>
              <w:rPr>
                <w:rFonts w:hAnsi="宋体" w:cs="宋体"/>
                <w:highlight w:val="none"/>
              </w:rPr>
            </w:pPr>
            <w:r>
              <w:rPr>
                <w:rFonts w:hint="eastAsia" w:hAnsi="宋体" w:cs="宋体"/>
                <w:highlight w:val="none"/>
              </w:rPr>
              <w:t>1.投标人不得存在招标文件第二章投标人须知第1.4.3项、第1.4.4项规定的情形。</w:t>
            </w:r>
          </w:p>
          <w:p w14:paraId="50D16DE8">
            <w:pPr>
              <w:pStyle w:val="2"/>
              <w:spacing w:before="0" w:after="0"/>
              <w:rPr>
                <w:kern w:val="0"/>
                <w:szCs w:val="20"/>
                <w:highlight w:val="none"/>
              </w:rPr>
            </w:pPr>
            <w:r>
              <w:rPr>
                <w:rFonts w:hint="eastAsia" w:ascii="宋体" w:hAnsi="宋体" w:eastAsia="宋体" w:cs="宋体"/>
                <w:kern w:val="0"/>
                <w:szCs w:val="20"/>
                <w:highlight w:val="none"/>
              </w:rPr>
              <w:t>2.其他要求：</w:t>
            </w:r>
            <w:r>
              <w:rPr>
                <w:rFonts w:hint="eastAsia" w:ascii="宋体" w:hAnsi="宋体" w:eastAsia="宋体" w:cs="宋体"/>
                <w:kern w:val="0"/>
                <w:szCs w:val="20"/>
                <w:highlight w:val="none"/>
                <w:u w:val="single"/>
              </w:rPr>
              <w:t xml:space="preserve">   /   </w:t>
            </w:r>
          </w:p>
        </w:tc>
      </w:tr>
    </w:tbl>
    <w:p w14:paraId="7DC07246">
      <w:pPr>
        <w:pStyle w:val="165"/>
        <w:adjustRightInd w:val="0"/>
        <w:snapToGrid w:val="0"/>
        <w:spacing w:line="360" w:lineRule="auto"/>
        <w:ind w:firstLine="480" w:firstLineChars="200"/>
        <w:rPr>
          <w:rFonts w:ascii="宋体" w:hAnsi="宋体" w:cs="宋体"/>
          <w:bCs/>
          <w:snapToGrid w:val="0"/>
          <w:kern w:val="0"/>
          <w:sz w:val="24"/>
          <w:highlight w:val="none"/>
        </w:rPr>
      </w:pPr>
      <w:r>
        <w:rPr>
          <w:rFonts w:hint="eastAsia" w:ascii="宋体" w:hAnsi="宋体" w:cs="宋体"/>
          <w:bCs/>
          <w:snapToGrid w:val="0"/>
          <w:kern w:val="0"/>
          <w:sz w:val="24"/>
          <w:highlight w:val="none"/>
        </w:rPr>
        <w:t>注：</w:t>
      </w:r>
    </w:p>
    <w:p w14:paraId="36B3FBE2">
      <w:pPr>
        <w:adjustRightInd w:val="0"/>
        <w:snapToGrid w:val="0"/>
        <w:spacing w:line="360" w:lineRule="auto"/>
        <w:ind w:firstLine="437"/>
        <w:rPr>
          <w:rFonts w:hAnsi="宋体" w:cs="宋体"/>
          <w:highlight w:val="none"/>
        </w:rPr>
      </w:pPr>
      <w:r>
        <w:rPr>
          <w:rFonts w:hint="eastAsia" w:hAnsi="宋体" w:cs="宋体"/>
          <w:highlight w:val="none"/>
        </w:rPr>
        <w:t>1.投标人应按照第六章“投标文件格式”的“诚信投标承诺书”承诺。如投标人承诺与实际不符，招标人有权取消其中标（或中标候选）资格，并报公共资源交易监督管理部门。</w:t>
      </w:r>
    </w:p>
    <w:p w14:paraId="077A4A04">
      <w:pPr>
        <w:rPr>
          <w:highlight w:val="none"/>
        </w:rPr>
      </w:pPr>
    </w:p>
    <w:p w14:paraId="200C418B">
      <w:pPr>
        <w:rPr>
          <w:highlight w:val="none"/>
        </w:rPr>
      </w:pPr>
    </w:p>
    <w:p w14:paraId="4E23FF00">
      <w:pPr>
        <w:pStyle w:val="4"/>
        <w:spacing w:beforeLines="100" w:afterLines="100" w:line="240" w:lineRule="auto"/>
        <w:jc w:val="center"/>
        <w:rPr>
          <w:rFonts w:ascii="Times New Roman" w:hAnsi="Times New Roman" w:eastAsia="黑体"/>
          <w:b w:val="0"/>
          <w:bCs w:val="0"/>
          <w:highlight w:val="none"/>
        </w:rPr>
      </w:pPr>
      <w:r>
        <w:rPr>
          <w:rFonts w:ascii="Times New Roman" w:hAnsi="Times New Roman"/>
          <w:b w:val="0"/>
          <w:szCs w:val="21"/>
          <w:highlight w:val="none"/>
        </w:rPr>
        <w:br w:type="page"/>
      </w:r>
      <w:bookmarkEnd w:id="132"/>
      <w:bookmarkStart w:id="182" w:name="_Toc283798422"/>
      <w:bookmarkStart w:id="183" w:name="_Toc38879323"/>
      <w:bookmarkStart w:id="184" w:name="_Toc16515"/>
      <w:bookmarkStart w:id="185" w:name="_Toc21841"/>
      <w:bookmarkStart w:id="186" w:name="_Toc31252"/>
      <w:bookmarkStart w:id="187" w:name="_Toc17783"/>
      <w:bookmarkStart w:id="188" w:name="_Toc7150"/>
      <w:bookmarkStart w:id="189" w:name="_Toc8098"/>
      <w:bookmarkStart w:id="190" w:name="_Toc5852"/>
      <w:bookmarkStart w:id="191" w:name="_Toc299"/>
      <w:bookmarkStart w:id="192" w:name="_Toc140069405"/>
      <w:bookmarkStart w:id="193" w:name="_Toc25831"/>
      <w:bookmarkStart w:id="194" w:name="_Toc2985"/>
      <w:r>
        <w:rPr>
          <w:rFonts w:hint="eastAsia" w:ascii="Times New Roman" w:hAnsi="Times New Roman" w:eastAsia="黑体"/>
          <w:b w:val="0"/>
          <w:bCs w:val="0"/>
          <w:highlight w:val="none"/>
        </w:rPr>
        <w:t>投标人须知</w:t>
      </w:r>
      <w:bookmarkEnd w:id="182"/>
      <w:r>
        <w:rPr>
          <w:rFonts w:hint="eastAsia" w:ascii="Times New Roman" w:hAnsi="Times New Roman" w:eastAsia="黑体"/>
          <w:b w:val="0"/>
          <w:bCs w:val="0"/>
          <w:highlight w:val="none"/>
        </w:rPr>
        <w:t>正文修改一览表</w:t>
      </w:r>
      <w:bookmarkEnd w:id="183"/>
      <w:bookmarkEnd w:id="184"/>
      <w:bookmarkEnd w:id="185"/>
      <w:bookmarkEnd w:id="186"/>
      <w:bookmarkEnd w:id="187"/>
      <w:bookmarkEnd w:id="188"/>
      <w:bookmarkEnd w:id="189"/>
      <w:bookmarkEnd w:id="190"/>
      <w:bookmarkEnd w:id="191"/>
      <w:bookmarkEnd w:id="192"/>
      <w:bookmarkEnd w:id="193"/>
      <w:bookmarkEnd w:id="194"/>
    </w:p>
    <w:p w14:paraId="3AAD2CFF">
      <w:pPr>
        <w:pStyle w:val="129"/>
        <w:spacing w:line="360" w:lineRule="auto"/>
        <w:rPr>
          <w:kern w:val="0"/>
          <w:sz w:val="24"/>
          <w:highlight w:val="none"/>
        </w:rPr>
      </w:pPr>
      <w:r>
        <w:rPr>
          <w:rFonts w:hint="eastAsia"/>
          <w:kern w:val="0"/>
          <w:sz w:val="24"/>
          <w:highlight w:val="none"/>
        </w:rPr>
        <w:t>投标人须知正文条款内容修改如下：</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849"/>
        <w:gridCol w:w="4687"/>
      </w:tblGrid>
      <w:tr w14:paraId="14B6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14:paraId="2DE46B00">
            <w:pPr>
              <w:pStyle w:val="129"/>
              <w:jc w:val="center"/>
              <w:rPr>
                <w:sz w:val="24"/>
                <w:highlight w:val="none"/>
              </w:rPr>
            </w:pPr>
            <w:r>
              <w:rPr>
                <w:rFonts w:hint="eastAsia"/>
                <w:sz w:val="24"/>
                <w:highlight w:val="none"/>
              </w:rPr>
              <w:t>条款</w:t>
            </w:r>
          </w:p>
          <w:p w14:paraId="654B16F2">
            <w:pPr>
              <w:pStyle w:val="129"/>
              <w:jc w:val="center"/>
              <w:rPr>
                <w:sz w:val="24"/>
                <w:highlight w:val="none"/>
              </w:rPr>
            </w:pPr>
            <w:r>
              <w:rPr>
                <w:rFonts w:hint="eastAsia"/>
                <w:sz w:val="24"/>
                <w:highlight w:val="none"/>
              </w:rPr>
              <w:t>编号</w:t>
            </w:r>
          </w:p>
        </w:tc>
        <w:tc>
          <w:tcPr>
            <w:tcW w:w="2849" w:type="dxa"/>
            <w:tcBorders>
              <w:top w:val="single" w:color="auto" w:sz="4" w:space="0"/>
              <w:left w:val="single" w:color="auto" w:sz="4" w:space="0"/>
              <w:bottom w:val="single" w:color="auto" w:sz="4" w:space="0"/>
              <w:right w:val="single" w:color="auto" w:sz="4" w:space="0"/>
            </w:tcBorders>
            <w:vAlign w:val="center"/>
          </w:tcPr>
          <w:p w14:paraId="11B7C773">
            <w:pPr>
              <w:pStyle w:val="129"/>
              <w:jc w:val="center"/>
              <w:rPr>
                <w:sz w:val="24"/>
                <w:highlight w:val="none"/>
              </w:rPr>
            </w:pPr>
            <w:r>
              <w:rPr>
                <w:rFonts w:hint="eastAsia"/>
                <w:sz w:val="24"/>
                <w:highlight w:val="none"/>
              </w:rPr>
              <w:t>示范文本中条款内容</w:t>
            </w:r>
          </w:p>
        </w:tc>
        <w:tc>
          <w:tcPr>
            <w:tcW w:w="4687" w:type="dxa"/>
            <w:tcBorders>
              <w:top w:val="single" w:color="auto" w:sz="4" w:space="0"/>
              <w:left w:val="single" w:color="auto" w:sz="4" w:space="0"/>
              <w:bottom w:val="single" w:color="auto" w:sz="4" w:space="0"/>
              <w:right w:val="single" w:color="auto" w:sz="4" w:space="0"/>
            </w:tcBorders>
            <w:vAlign w:val="center"/>
          </w:tcPr>
          <w:p w14:paraId="2D4D7A6F">
            <w:pPr>
              <w:pStyle w:val="129"/>
              <w:jc w:val="center"/>
              <w:rPr>
                <w:sz w:val="24"/>
                <w:highlight w:val="none"/>
              </w:rPr>
            </w:pPr>
            <w:r>
              <w:rPr>
                <w:rFonts w:hint="eastAsia"/>
                <w:sz w:val="24"/>
                <w:highlight w:val="none"/>
              </w:rPr>
              <w:t>修改后条款内容</w:t>
            </w:r>
          </w:p>
        </w:tc>
      </w:tr>
      <w:tr w14:paraId="7F5D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524A2728">
            <w:pPr>
              <w:jc w:val="center"/>
              <w:rPr>
                <w:rFonts w:hAnsi="宋体"/>
                <w:highlight w:val="none"/>
              </w:rPr>
            </w:pPr>
            <w:r>
              <w:rPr>
                <w:rFonts w:hint="eastAsia" w:hAnsi="宋体"/>
                <w:highlight w:val="none"/>
              </w:rPr>
              <w:t>/</w:t>
            </w:r>
          </w:p>
        </w:tc>
        <w:tc>
          <w:tcPr>
            <w:tcW w:w="2849" w:type="dxa"/>
            <w:tcBorders>
              <w:top w:val="single" w:color="auto" w:sz="4" w:space="0"/>
              <w:left w:val="single" w:color="auto" w:sz="4" w:space="0"/>
              <w:bottom w:val="single" w:color="auto" w:sz="4" w:space="0"/>
              <w:right w:val="single" w:color="auto" w:sz="4" w:space="0"/>
            </w:tcBorders>
            <w:vAlign w:val="center"/>
          </w:tcPr>
          <w:p w14:paraId="65E4A5B9">
            <w:pPr>
              <w:pStyle w:val="129"/>
              <w:jc w:val="center"/>
              <w:rPr>
                <w:rFonts w:ascii="宋体" w:hAnsi="宋体"/>
                <w:kern w:val="0"/>
                <w:sz w:val="24"/>
                <w:szCs w:val="20"/>
                <w:highlight w:val="none"/>
              </w:rPr>
            </w:pPr>
            <w:r>
              <w:rPr>
                <w:rFonts w:hint="eastAsia" w:ascii="宋体" w:hAnsi="宋体"/>
                <w:kern w:val="0"/>
                <w:sz w:val="24"/>
                <w:szCs w:val="20"/>
                <w:highlight w:val="none"/>
              </w:rPr>
              <w:t>/</w:t>
            </w:r>
          </w:p>
        </w:tc>
        <w:tc>
          <w:tcPr>
            <w:tcW w:w="4687" w:type="dxa"/>
            <w:tcBorders>
              <w:top w:val="single" w:color="auto" w:sz="4" w:space="0"/>
              <w:left w:val="single" w:color="auto" w:sz="4" w:space="0"/>
              <w:bottom w:val="single" w:color="auto" w:sz="4" w:space="0"/>
              <w:right w:val="single" w:color="auto" w:sz="4" w:space="0"/>
            </w:tcBorders>
            <w:vAlign w:val="center"/>
          </w:tcPr>
          <w:p w14:paraId="255E72D9">
            <w:pPr>
              <w:jc w:val="left"/>
              <w:rPr>
                <w:rFonts w:hAnsi="宋体"/>
                <w:highlight w:val="none"/>
              </w:rPr>
            </w:pPr>
            <w:r>
              <w:rPr>
                <w:rFonts w:hint="eastAsia" w:hAnsi="宋体"/>
                <w:highlight w:val="none"/>
              </w:rPr>
              <w:t>/</w:t>
            </w:r>
          </w:p>
        </w:tc>
      </w:tr>
      <w:tr w14:paraId="5F44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13B6AB0A">
            <w:pPr>
              <w:jc w:val="center"/>
              <w:rPr>
                <w:rFonts w:hAnsi="宋体"/>
                <w:highlight w:val="none"/>
              </w:rPr>
            </w:pPr>
            <w:r>
              <w:rPr>
                <w:rFonts w:hint="eastAsia" w:hAnsi="宋体"/>
                <w:highlight w:val="none"/>
              </w:rPr>
              <w:t>/</w:t>
            </w:r>
          </w:p>
        </w:tc>
        <w:tc>
          <w:tcPr>
            <w:tcW w:w="2849" w:type="dxa"/>
            <w:tcBorders>
              <w:top w:val="single" w:color="auto" w:sz="4" w:space="0"/>
              <w:left w:val="single" w:color="auto" w:sz="4" w:space="0"/>
              <w:bottom w:val="single" w:color="auto" w:sz="4" w:space="0"/>
              <w:right w:val="single" w:color="auto" w:sz="4" w:space="0"/>
            </w:tcBorders>
            <w:vAlign w:val="center"/>
          </w:tcPr>
          <w:p w14:paraId="5E719156">
            <w:pPr>
              <w:jc w:val="center"/>
              <w:rPr>
                <w:rFonts w:hAnsi="宋体"/>
                <w:highlight w:val="none"/>
              </w:rPr>
            </w:pPr>
            <w:r>
              <w:rPr>
                <w:rFonts w:hint="eastAsia" w:hAnsi="宋体"/>
                <w:highlight w:val="none"/>
              </w:rPr>
              <w:t>/</w:t>
            </w:r>
          </w:p>
        </w:tc>
        <w:tc>
          <w:tcPr>
            <w:tcW w:w="4687" w:type="dxa"/>
            <w:tcBorders>
              <w:top w:val="single" w:color="auto" w:sz="4" w:space="0"/>
              <w:left w:val="single" w:color="auto" w:sz="4" w:space="0"/>
              <w:bottom w:val="single" w:color="auto" w:sz="4" w:space="0"/>
              <w:right w:val="single" w:color="auto" w:sz="4" w:space="0"/>
            </w:tcBorders>
            <w:vAlign w:val="center"/>
          </w:tcPr>
          <w:p w14:paraId="6CB910F0">
            <w:pPr>
              <w:snapToGrid w:val="0"/>
              <w:rPr>
                <w:rFonts w:hAnsi="宋体"/>
                <w:highlight w:val="none"/>
              </w:rPr>
            </w:pPr>
            <w:r>
              <w:rPr>
                <w:rFonts w:hint="eastAsia" w:hAnsi="宋体"/>
                <w:highlight w:val="none"/>
              </w:rPr>
              <w:t>/</w:t>
            </w:r>
          </w:p>
        </w:tc>
      </w:tr>
      <w:bookmarkEnd w:id="107"/>
      <w:bookmarkEnd w:id="108"/>
      <w:bookmarkEnd w:id="109"/>
      <w:bookmarkEnd w:id="110"/>
      <w:bookmarkEnd w:id="111"/>
      <w:bookmarkEnd w:id="112"/>
    </w:tbl>
    <w:p w14:paraId="15A9BA29">
      <w:pPr>
        <w:pStyle w:val="4"/>
        <w:numPr>
          <w:ilvl w:val="0"/>
          <w:numId w:val="2"/>
        </w:numPr>
        <w:spacing w:beforeLines="100" w:afterLines="100" w:line="240" w:lineRule="auto"/>
        <w:rPr>
          <w:rFonts w:ascii="黑体" w:hAnsi="黑体" w:eastAsia="黑体" w:cs="黑体"/>
          <w:b w:val="0"/>
          <w:bCs w:val="0"/>
          <w:highlight w:val="none"/>
        </w:rPr>
      </w:pPr>
      <w:bookmarkStart w:id="195" w:name="_Toc1641"/>
      <w:bookmarkStart w:id="196" w:name="_Toc38879335"/>
      <w:bookmarkStart w:id="197" w:name="_Toc63412030"/>
      <w:r>
        <w:rPr>
          <w:rFonts w:hint="eastAsia" w:ascii="Times New Roman" w:hAnsi="Times New Roman" w:eastAsia="黑体"/>
          <w:b w:val="0"/>
          <w:highlight w:val="none"/>
        </w:rPr>
        <w:br w:type="page"/>
      </w:r>
      <w:bookmarkEnd w:id="195"/>
      <w:bookmarkStart w:id="198" w:name="_Toc27641"/>
      <w:bookmarkStart w:id="199" w:name="_Toc601"/>
      <w:bookmarkStart w:id="200" w:name="_Toc140069406"/>
      <w:bookmarkStart w:id="201" w:name="_Toc24514"/>
      <w:r>
        <w:rPr>
          <w:rFonts w:hint="eastAsia" w:ascii="黑体" w:hAnsi="黑体" w:eastAsia="黑体" w:cs="黑体"/>
          <w:b w:val="0"/>
          <w:bCs w:val="0"/>
          <w:highlight w:val="none"/>
        </w:rPr>
        <w:t>总则</w:t>
      </w:r>
      <w:bookmarkEnd w:id="198"/>
      <w:bookmarkEnd w:id="199"/>
      <w:bookmarkEnd w:id="200"/>
      <w:bookmarkEnd w:id="201"/>
    </w:p>
    <w:p w14:paraId="57096421">
      <w:pPr>
        <w:pStyle w:val="2"/>
        <w:spacing w:beforeLines="100" w:afterLines="100" w:line="240" w:lineRule="auto"/>
        <w:rPr>
          <w:rFonts w:cs="黑体"/>
          <w:snapToGrid w:val="0"/>
          <w:highlight w:val="none"/>
          <w:shd w:val="clear" w:color="auto" w:fill="FFFFFF"/>
          <w:lang w:val="zh-CN"/>
        </w:rPr>
      </w:pPr>
      <w:bookmarkStart w:id="202" w:name="_Toc152042306"/>
      <w:bookmarkStart w:id="203" w:name="_Toc144974498"/>
      <w:bookmarkStart w:id="204" w:name="_Toc152045530"/>
      <w:bookmarkStart w:id="205" w:name="_Toc179632547"/>
      <w:r>
        <w:rPr>
          <w:rFonts w:hint="eastAsia" w:cs="黑体"/>
          <w:snapToGrid w:val="0"/>
          <w:highlight w:val="none"/>
          <w:shd w:val="clear" w:color="auto" w:fill="FFFFFF"/>
          <w:lang w:val="zh-CN"/>
        </w:rPr>
        <w:t>1.1项目概况</w:t>
      </w:r>
      <w:bookmarkEnd w:id="202"/>
      <w:bookmarkEnd w:id="203"/>
      <w:bookmarkEnd w:id="204"/>
      <w:bookmarkEnd w:id="205"/>
    </w:p>
    <w:p w14:paraId="61B2BA42">
      <w:pPr>
        <w:spacing w:line="360" w:lineRule="auto"/>
        <w:ind w:firstLine="480" w:firstLineChars="200"/>
        <w:rPr>
          <w:rFonts w:hAnsi="宋体" w:cs="宋体"/>
          <w:highlight w:val="none"/>
        </w:rPr>
      </w:pPr>
      <w:r>
        <w:rPr>
          <w:rFonts w:hint="eastAsia" w:hAnsi="宋体" w:cs="宋体"/>
          <w:highlight w:val="none"/>
        </w:rPr>
        <w:t>1.1.1根据《中华人民共和国招标投标法》《中华人民共和国招标投标法实施条例》等有关法律、法规和规章的规定，本招标项目已具备招标条件，现对本招标项目进行招标。</w:t>
      </w:r>
    </w:p>
    <w:p w14:paraId="388D9FEE">
      <w:pPr>
        <w:spacing w:line="360" w:lineRule="auto"/>
        <w:ind w:firstLine="480" w:firstLineChars="200"/>
        <w:rPr>
          <w:rFonts w:hAnsi="宋体" w:cs="宋体"/>
          <w:highlight w:val="none"/>
        </w:rPr>
      </w:pPr>
      <w:r>
        <w:rPr>
          <w:rFonts w:hint="eastAsia" w:hAnsi="宋体" w:cs="宋体"/>
          <w:highlight w:val="none"/>
        </w:rPr>
        <w:t>1.1.2招标人：见招标公告。</w:t>
      </w:r>
    </w:p>
    <w:p w14:paraId="10E5D21B">
      <w:pPr>
        <w:spacing w:line="360" w:lineRule="auto"/>
        <w:ind w:firstLine="480" w:firstLineChars="200"/>
        <w:rPr>
          <w:rFonts w:hAnsi="宋体" w:cs="宋体"/>
          <w:highlight w:val="none"/>
        </w:rPr>
      </w:pPr>
      <w:r>
        <w:rPr>
          <w:rFonts w:hint="eastAsia" w:hAnsi="宋体" w:cs="宋体"/>
          <w:highlight w:val="none"/>
        </w:rPr>
        <w:t>1.1.3 招标代理机构：见招标公告。</w:t>
      </w:r>
    </w:p>
    <w:p w14:paraId="0B812E67">
      <w:pPr>
        <w:spacing w:line="360" w:lineRule="auto"/>
        <w:ind w:firstLine="480" w:firstLineChars="200"/>
        <w:rPr>
          <w:rFonts w:hAnsi="宋体" w:cs="宋体"/>
          <w:highlight w:val="none"/>
        </w:rPr>
      </w:pPr>
      <w:r>
        <w:rPr>
          <w:rFonts w:hint="eastAsia" w:hAnsi="宋体" w:cs="宋体"/>
          <w:highlight w:val="none"/>
        </w:rPr>
        <w:t>1.1.4 招标项目名称：见招标公告。</w:t>
      </w:r>
    </w:p>
    <w:p w14:paraId="3A02F669">
      <w:pPr>
        <w:spacing w:line="360" w:lineRule="auto"/>
        <w:ind w:firstLine="480" w:firstLineChars="200"/>
        <w:rPr>
          <w:rFonts w:hAnsi="宋体" w:cs="宋体"/>
          <w:highlight w:val="none"/>
        </w:rPr>
      </w:pPr>
      <w:r>
        <w:rPr>
          <w:rFonts w:hint="eastAsia" w:hAnsi="宋体" w:cs="宋体"/>
          <w:highlight w:val="none"/>
        </w:rPr>
        <w:t>1.1.5 建设地点：见招标公告。</w:t>
      </w:r>
    </w:p>
    <w:p w14:paraId="1293C3C3">
      <w:pPr>
        <w:pStyle w:val="2"/>
        <w:spacing w:beforeLines="100" w:afterLines="100" w:line="240" w:lineRule="auto"/>
        <w:rPr>
          <w:rFonts w:cs="黑体"/>
          <w:snapToGrid w:val="0"/>
          <w:highlight w:val="none"/>
          <w:shd w:val="clear" w:color="auto" w:fill="FFFFFF"/>
          <w:lang w:val="zh-CN"/>
        </w:rPr>
      </w:pPr>
      <w:bookmarkStart w:id="206" w:name="_Toc152042307"/>
      <w:bookmarkStart w:id="207" w:name="_Toc152045531"/>
      <w:bookmarkStart w:id="208" w:name="_Toc144974499"/>
      <w:bookmarkStart w:id="209" w:name="_Toc179632548"/>
      <w:r>
        <w:rPr>
          <w:rFonts w:hint="eastAsia" w:cs="黑体"/>
          <w:snapToGrid w:val="0"/>
          <w:highlight w:val="none"/>
          <w:shd w:val="clear" w:color="auto" w:fill="FFFFFF"/>
          <w:lang w:val="zh-CN"/>
        </w:rPr>
        <w:t>1.2资金来源和落实情况</w:t>
      </w:r>
      <w:bookmarkEnd w:id="206"/>
      <w:bookmarkEnd w:id="207"/>
      <w:bookmarkEnd w:id="208"/>
      <w:bookmarkEnd w:id="209"/>
    </w:p>
    <w:p w14:paraId="0744983D">
      <w:pPr>
        <w:spacing w:line="360" w:lineRule="auto"/>
        <w:ind w:firstLine="480" w:firstLineChars="200"/>
        <w:rPr>
          <w:rFonts w:hAnsi="宋体" w:cs="宋体"/>
          <w:highlight w:val="none"/>
        </w:rPr>
      </w:pPr>
      <w:r>
        <w:rPr>
          <w:rFonts w:hint="eastAsia" w:hAnsi="宋体" w:cs="宋体"/>
          <w:highlight w:val="none"/>
        </w:rPr>
        <w:t>1.2.1 资金来源：见招标公告。</w:t>
      </w:r>
    </w:p>
    <w:p w14:paraId="09E5EC46">
      <w:pPr>
        <w:spacing w:line="360" w:lineRule="auto"/>
        <w:ind w:firstLine="480" w:firstLineChars="200"/>
        <w:rPr>
          <w:rFonts w:hAnsi="宋体" w:cs="宋体"/>
          <w:highlight w:val="none"/>
        </w:rPr>
      </w:pPr>
      <w:r>
        <w:rPr>
          <w:rFonts w:hint="eastAsia" w:hAnsi="宋体" w:cs="宋体"/>
          <w:highlight w:val="none"/>
        </w:rPr>
        <w:t>1.2.2 出资比例：见招标公告。</w:t>
      </w:r>
    </w:p>
    <w:p w14:paraId="7094CC8D">
      <w:pPr>
        <w:spacing w:line="360" w:lineRule="auto"/>
        <w:ind w:firstLine="480" w:firstLineChars="200"/>
        <w:rPr>
          <w:rFonts w:hAnsi="宋体" w:cs="宋体"/>
          <w:highlight w:val="none"/>
        </w:rPr>
      </w:pPr>
      <w:r>
        <w:rPr>
          <w:rFonts w:hint="eastAsia" w:hAnsi="宋体" w:cs="宋体"/>
          <w:highlight w:val="none"/>
        </w:rPr>
        <w:t>1.2.3 资金落实情况：见招标公告。</w:t>
      </w:r>
    </w:p>
    <w:p w14:paraId="564464B2">
      <w:pPr>
        <w:pStyle w:val="2"/>
        <w:spacing w:beforeLines="100" w:afterLines="100" w:line="240" w:lineRule="auto"/>
        <w:rPr>
          <w:rFonts w:cs="黑体"/>
          <w:snapToGrid w:val="0"/>
          <w:highlight w:val="none"/>
          <w:shd w:val="clear" w:color="auto" w:fill="FFFFFF"/>
          <w:lang w:val="zh-CN"/>
        </w:rPr>
      </w:pPr>
      <w:bookmarkStart w:id="210" w:name="_Toc144974500"/>
      <w:bookmarkStart w:id="211" w:name="_Toc179632549"/>
      <w:bookmarkStart w:id="212" w:name="_Toc152042308"/>
      <w:bookmarkStart w:id="213" w:name="_Toc152045532"/>
      <w:r>
        <w:rPr>
          <w:rFonts w:hint="eastAsia" w:cs="黑体"/>
          <w:snapToGrid w:val="0"/>
          <w:highlight w:val="none"/>
          <w:shd w:val="clear" w:color="auto" w:fill="FFFFFF"/>
          <w:lang w:val="zh-CN"/>
        </w:rPr>
        <w:t>1.3招标范围、交货及安装周期、交货及安装地点</w:t>
      </w:r>
      <w:r>
        <w:rPr>
          <w:rFonts w:hint="eastAsia" w:cs="黑体"/>
          <w:snapToGrid w:val="0"/>
          <w:highlight w:val="none"/>
          <w:shd w:val="clear" w:color="auto" w:fill="FFFFFF"/>
        </w:rPr>
        <w:t>和</w:t>
      </w:r>
      <w:r>
        <w:rPr>
          <w:rFonts w:hint="eastAsia" w:cs="黑体"/>
          <w:snapToGrid w:val="0"/>
          <w:highlight w:val="none"/>
          <w:shd w:val="clear" w:color="auto" w:fill="FFFFFF"/>
          <w:lang w:val="zh-CN"/>
        </w:rPr>
        <w:t>技术性能指标</w:t>
      </w:r>
      <w:bookmarkEnd w:id="210"/>
      <w:bookmarkEnd w:id="211"/>
      <w:bookmarkEnd w:id="212"/>
      <w:bookmarkEnd w:id="213"/>
    </w:p>
    <w:p w14:paraId="12F9C5F9">
      <w:pPr>
        <w:spacing w:line="360" w:lineRule="auto"/>
        <w:ind w:firstLine="480" w:firstLineChars="200"/>
        <w:rPr>
          <w:rFonts w:hAnsi="宋体" w:cs="宋体"/>
          <w:highlight w:val="none"/>
        </w:rPr>
      </w:pPr>
      <w:r>
        <w:rPr>
          <w:rFonts w:hint="eastAsia" w:hAnsi="宋体" w:cs="宋体"/>
          <w:highlight w:val="none"/>
        </w:rPr>
        <w:t>1.3.1 招标范围：见招标公告。</w:t>
      </w:r>
    </w:p>
    <w:p w14:paraId="6A0F4257">
      <w:pPr>
        <w:spacing w:line="360" w:lineRule="auto"/>
        <w:ind w:firstLine="480" w:firstLineChars="200"/>
        <w:rPr>
          <w:rFonts w:hAnsi="宋体" w:cs="宋体"/>
          <w:highlight w:val="none"/>
        </w:rPr>
      </w:pPr>
      <w:r>
        <w:rPr>
          <w:rFonts w:hint="eastAsia" w:hAnsi="宋体" w:cs="宋体"/>
          <w:highlight w:val="none"/>
        </w:rPr>
        <w:t>1.3.2交货及安装周期：见招标公告。</w:t>
      </w:r>
    </w:p>
    <w:p w14:paraId="75361456">
      <w:pPr>
        <w:spacing w:line="360" w:lineRule="auto"/>
        <w:ind w:firstLine="480" w:firstLineChars="200"/>
        <w:rPr>
          <w:rFonts w:hAnsi="宋体" w:cs="宋体"/>
          <w:highlight w:val="none"/>
        </w:rPr>
      </w:pPr>
      <w:r>
        <w:rPr>
          <w:rFonts w:hint="eastAsia" w:hAnsi="宋体" w:cs="宋体"/>
          <w:highlight w:val="none"/>
        </w:rPr>
        <w:t>1.3.3交货及安装地点：见招标公告。</w:t>
      </w:r>
    </w:p>
    <w:p w14:paraId="76260DCC">
      <w:pPr>
        <w:spacing w:line="360" w:lineRule="auto"/>
        <w:ind w:firstLine="480" w:firstLineChars="200"/>
        <w:rPr>
          <w:rFonts w:hAnsi="宋体" w:cs="宋体"/>
          <w:highlight w:val="none"/>
        </w:rPr>
      </w:pPr>
      <w:r>
        <w:rPr>
          <w:rFonts w:hint="eastAsia" w:hAnsi="宋体" w:cs="宋体"/>
          <w:highlight w:val="none"/>
        </w:rPr>
        <w:t>1.3.4技术性能指标：见投标人须知前附表。</w:t>
      </w:r>
    </w:p>
    <w:p w14:paraId="55742C4A">
      <w:pPr>
        <w:pStyle w:val="2"/>
        <w:spacing w:beforeLines="100" w:afterLines="100" w:line="240" w:lineRule="auto"/>
        <w:rPr>
          <w:rFonts w:cs="黑体"/>
          <w:snapToGrid w:val="0"/>
          <w:highlight w:val="none"/>
          <w:shd w:val="clear" w:color="auto" w:fill="FFFFFF"/>
          <w:lang w:val="zh-CN"/>
        </w:rPr>
      </w:pPr>
      <w:bookmarkStart w:id="214" w:name="_Toc152042310"/>
      <w:bookmarkStart w:id="215" w:name="_Toc179632551"/>
      <w:bookmarkStart w:id="216" w:name="_Toc152045534"/>
      <w:bookmarkStart w:id="217" w:name="_Toc144974502"/>
      <w:r>
        <w:rPr>
          <w:rFonts w:hint="eastAsia" w:cs="黑体"/>
          <w:snapToGrid w:val="0"/>
          <w:highlight w:val="none"/>
          <w:shd w:val="clear" w:color="auto" w:fill="FFFFFF"/>
          <w:lang w:val="zh-CN"/>
        </w:rPr>
        <w:t>1.4投标人资格要求</w:t>
      </w:r>
      <w:bookmarkEnd w:id="214"/>
      <w:bookmarkEnd w:id="215"/>
      <w:bookmarkEnd w:id="216"/>
      <w:bookmarkEnd w:id="217"/>
    </w:p>
    <w:p w14:paraId="355A1C76">
      <w:pPr>
        <w:spacing w:line="360" w:lineRule="auto"/>
        <w:ind w:firstLine="480" w:firstLineChars="200"/>
        <w:rPr>
          <w:rFonts w:hAnsi="宋体" w:cs="宋体"/>
          <w:highlight w:val="none"/>
        </w:rPr>
      </w:pPr>
      <w:r>
        <w:rPr>
          <w:rFonts w:hint="eastAsia" w:hAnsi="宋体" w:cs="宋体"/>
          <w:highlight w:val="none"/>
        </w:rPr>
        <w:t>1.4.1投标人应具备承担本标段的资质条件、能力和信誉：</w:t>
      </w:r>
    </w:p>
    <w:p w14:paraId="21CE89D3">
      <w:pPr>
        <w:spacing w:line="360" w:lineRule="auto"/>
        <w:ind w:firstLine="480" w:firstLineChars="200"/>
        <w:rPr>
          <w:rFonts w:hAnsi="宋体" w:cs="宋体"/>
          <w:highlight w:val="none"/>
        </w:rPr>
      </w:pPr>
      <w:r>
        <w:rPr>
          <w:rFonts w:hint="eastAsia" w:hAnsi="宋体" w:cs="宋体"/>
          <w:highlight w:val="none"/>
        </w:rPr>
        <w:t xml:space="preserve">（1）资质条件：见投标人须知前附表； </w:t>
      </w:r>
    </w:p>
    <w:p w14:paraId="346C5D57">
      <w:pPr>
        <w:spacing w:line="360" w:lineRule="auto"/>
        <w:ind w:firstLine="480" w:firstLineChars="200"/>
        <w:rPr>
          <w:rFonts w:hAnsi="宋体" w:cs="宋体"/>
          <w:highlight w:val="none"/>
        </w:rPr>
      </w:pPr>
      <w:r>
        <w:rPr>
          <w:rFonts w:hint="eastAsia" w:hAnsi="宋体" w:cs="宋体"/>
          <w:highlight w:val="none"/>
        </w:rPr>
        <w:t>（2）财务要求：见投标人须知前附表；</w:t>
      </w:r>
    </w:p>
    <w:p w14:paraId="1ED41EF6">
      <w:pPr>
        <w:spacing w:line="360" w:lineRule="auto"/>
        <w:ind w:firstLine="480" w:firstLineChars="200"/>
        <w:rPr>
          <w:rFonts w:hAnsi="宋体" w:cs="宋体"/>
          <w:highlight w:val="none"/>
        </w:rPr>
      </w:pPr>
      <w:r>
        <w:rPr>
          <w:rFonts w:hint="eastAsia" w:hAnsi="宋体" w:cs="宋体"/>
          <w:highlight w:val="none"/>
        </w:rPr>
        <w:t>（3）业绩要求：见投标人须知前附表；</w:t>
      </w:r>
    </w:p>
    <w:p w14:paraId="09AEB5DA">
      <w:pPr>
        <w:spacing w:line="360" w:lineRule="auto"/>
        <w:ind w:firstLine="480" w:firstLineChars="200"/>
        <w:rPr>
          <w:rFonts w:hAnsi="宋体" w:cs="宋体"/>
          <w:highlight w:val="none"/>
        </w:rPr>
      </w:pPr>
      <w:r>
        <w:rPr>
          <w:rFonts w:hint="eastAsia" w:hAnsi="宋体" w:cs="宋体"/>
          <w:highlight w:val="none"/>
        </w:rPr>
        <w:t>（4）信誉要求：见投标人须知前附表；</w:t>
      </w:r>
    </w:p>
    <w:p w14:paraId="5B22D75C">
      <w:pPr>
        <w:spacing w:line="360" w:lineRule="auto"/>
        <w:ind w:firstLine="480" w:firstLineChars="200"/>
        <w:rPr>
          <w:rFonts w:hAnsi="宋体" w:cs="宋体"/>
          <w:highlight w:val="none"/>
        </w:rPr>
      </w:pPr>
      <w:r>
        <w:rPr>
          <w:rFonts w:hint="eastAsia" w:hAnsi="宋体" w:cs="宋体"/>
          <w:highlight w:val="none"/>
        </w:rPr>
        <w:t>（5）项目负责人资格：见投标人须知前附表；</w:t>
      </w:r>
    </w:p>
    <w:p w14:paraId="6A9070AA">
      <w:pPr>
        <w:spacing w:line="360" w:lineRule="auto"/>
        <w:ind w:firstLine="480" w:firstLineChars="200"/>
        <w:rPr>
          <w:highlight w:val="none"/>
        </w:rPr>
      </w:pPr>
      <w:r>
        <w:rPr>
          <w:rFonts w:hint="eastAsia" w:hAnsi="宋体" w:cs="宋体"/>
          <w:highlight w:val="none"/>
        </w:rPr>
        <w:t>（6）其他要求：见投标人须知前附表。</w:t>
      </w:r>
    </w:p>
    <w:p w14:paraId="0E81EBE4">
      <w:pPr>
        <w:spacing w:line="360" w:lineRule="auto"/>
        <w:ind w:firstLine="480" w:firstLineChars="200"/>
        <w:rPr>
          <w:rFonts w:hAnsi="宋体" w:cs="宋体"/>
          <w:highlight w:val="none"/>
        </w:rPr>
      </w:pPr>
      <w:r>
        <w:rPr>
          <w:rFonts w:hint="eastAsia" w:hAnsi="宋体" w:cs="宋体"/>
          <w:highlight w:val="none"/>
        </w:rPr>
        <w:t>投标人为代理经销商的，对投标人的资质要求可包含对制造商的资质要求，对投标人的业绩要求可包含对投标货物的业绩要求。</w:t>
      </w:r>
    </w:p>
    <w:p w14:paraId="7D96A25C">
      <w:pPr>
        <w:spacing w:line="360" w:lineRule="auto"/>
        <w:ind w:firstLine="480" w:firstLineChars="200"/>
        <w:rPr>
          <w:rFonts w:hAnsi="宋体" w:cs="宋体"/>
          <w:highlight w:val="none"/>
        </w:rPr>
      </w:pPr>
      <w:r>
        <w:rPr>
          <w:rFonts w:hint="eastAsia" w:hAnsi="宋体" w:cs="宋体"/>
          <w:highlight w:val="none"/>
        </w:rPr>
        <w:t>需要提交的相关证明材料见本章第3.5款的规定。</w:t>
      </w:r>
    </w:p>
    <w:p w14:paraId="16EA925E">
      <w:pPr>
        <w:spacing w:line="360" w:lineRule="auto"/>
        <w:ind w:firstLine="480" w:firstLineChars="200"/>
        <w:rPr>
          <w:rFonts w:hAnsi="宋体" w:cs="宋体"/>
          <w:highlight w:val="none"/>
        </w:rPr>
      </w:pPr>
      <w:r>
        <w:rPr>
          <w:rFonts w:hint="eastAsia" w:hAnsi="宋体" w:cs="宋体"/>
          <w:highlight w:val="none"/>
        </w:rPr>
        <w:t>1.4.2 投标人须知前附表规定接受联合体投标的，联合体除应符合本章第1.4.1项和投标人须知前附表的要求外，还应遵守以下规定：</w:t>
      </w:r>
    </w:p>
    <w:p w14:paraId="564D0938">
      <w:pPr>
        <w:spacing w:line="360" w:lineRule="auto"/>
        <w:ind w:firstLine="480" w:firstLineChars="200"/>
        <w:rPr>
          <w:rFonts w:hAnsi="宋体" w:cs="宋体"/>
          <w:highlight w:val="none"/>
        </w:rPr>
      </w:pPr>
      <w:r>
        <w:rPr>
          <w:rFonts w:hint="eastAsia" w:hAnsi="宋体" w:cs="宋体"/>
          <w:highlight w:val="none"/>
        </w:rPr>
        <w:t xml:space="preserve">（1）联合体各方应按照招标文件提供的格式签订联合体协议书，明确联合体牵头人和各方权利义务，并承诺就中标项目向招标人承担连带责任； </w:t>
      </w:r>
    </w:p>
    <w:p w14:paraId="77BE9EB2">
      <w:pPr>
        <w:spacing w:line="360" w:lineRule="auto"/>
        <w:ind w:firstLine="480" w:firstLineChars="200"/>
        <w:rPr>
          <w:rFonts w:hAnsi="宋体" w:cs="宋体"/>
          <w:highlight w:val="none"/>
        </w:rPr>
      </w:pPr>
      <w:r>
        <w:rPr>
          <w:rFonts w:hint="eastAsia" w:hAnsi="宋体" w:cs="宋体"/>
          <w:highlight w:val="none"/>
        </w:rPr>
        <w:t>（2）联合体协议约定同一专业分工由两个以上成员共同承担的，按照承担该专业工作的资质等级最低的成员确定联合体该专业的资质；不同专业分工由不同成员分别承担的，按照各自的专业资质确定联合体的资质；</w:t>
      </w:r>
    </w:p>
    <w:p w14:paraId="22DBEF19">
      <w:pPr>
        <w:spacing w:line="360" w:lineRule="auto"/>
        <w:ind w:firstLine="480" w:firstLineChars="200"/>
        <w:rPr>
          <w:rFonts w:hAnsi="宋体" w:cs="宋体"/>
          <w:highlight w:val="none"/>
        </w:rPr>
      </w:pPr>
      <w:r>
        <w:rPr>
          <w:rFonts w:hint="eastAsia" w:hAnsi="宋体" w:cs="宋体"/>
          <w:highlight w:val="none"/>
        </w:rPr>
        <w:t>（3）联合体各方不得再以自己名义单独或参加其他联合体在同一标段中投标。</w:t>
      </w:r>
    </w:p>
    <w:p w14:paraId="36A153B9">
      <w:pPr>
        <w:spacing w:line="360" w:lineRule="auto"/>
        <w:ind w:firstLine="480" w:firstLineChars="200"/>
        <w:rPr>
          <w:rFonts w:hAnsi="宋体" w:cs="宋体"/>
          <w:highlight w:val="none"/>
        </w:rPr>
      </w:pPr>
      <w:r>
        <w:rPr>
          <w:rFonts w:hint="eastAsia" w:hAnsi="宋体" w:cs="宋体"/>
          <w:highlight w:val="none"/>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5C1C0280">
      <w:pPr>
        <w:spacing w:line="360" w:lineRule="auto"/>
        <w:ind w:firstLine="480" w:firstLineChars="200"/>
        <w:rPr>
          <w:rFonts w:hAnsi="宋体" w:cs="宋体"/>
          <w:highlight w:val="none"/>
        </w:rPr>
      </w:pPr>
      <w:r>
        <w:rPr>
          <w:rFonts w:hint="eastAsia" w:hAnsi="宋体" w:cs="宋体"/>
          <w:highlight w:val="none"/>
        </w:rPr>
        <w:t>（5）尽管委任了联合体牵头人，但联合体各成员在投标、签约与履行合同过程中，仍负有连带的和各自的法律责任。</w:t>
      </w:r>
    </w:p>
    <w:p w14:paraId="7AD300A6">
      <w:pPr>
        <w:spacing w:line="360" w:lineRule="auto"/>
        <w:ind w:firstLine="480" w:firstLineChars="200"/>
        <w:rPr>
          <w:rFonts w:hAnsi="宋体" w:cs="宋体"/>
          <w:highlight w:val="none"/>
        </w:rPr>
      </w:pPr>
      <w:r>
        <w:rPr>
          <w:rFonts w:hint="eastAsia" w:hAnsi="宋体" w:cs="宋体"/>
          <w:highlight w:val="none"/>
        </w:rPr>
        <w:t>1.4.3</w:t>
      </w:r>
      <w:r>
        <w:rPr>
          <w:rFonts w:hint="eastAsia" w:ascii="Times New Roman"/>
          <w:highlight w:val="none"/>
        </w:rPr>
        <w:t>投标人（包括联合体各成员）不得存在下列情形：</w:t>
      </w:r>
    </w:p>
    <w:p w14:paraId="70B48559">
      <w:pPr>
        <w:spacing w:line="360" w:lineRule="auto"/>
        <w:ind w:firstLine="480" w:firstLineChars="200"/>
        <w:rPr>
          <w:rFonts w:hAnsi="宋体" w:cs="宋体"/>
          <w:highlight w:val="none"/>
        </w:rPr>
      </w:pPr>
      <w:r>
        <w:rPr>
          <w:rFonts w:hint="eastAsia" w:hAnsi="宋体" w:cs="宋体"/>
          <w:highlight w:val="none"/>
          <w:lang w:val="zh-CN"/>
        </w:rPr>
        <w:t>（1）为招标人不具有独立法人资格的附属机构（单位</w:t>
      </w:r>
      <w:r>
        <w:rPr>
          <w:rFonts w:hint="eastAsia" w:hAnsi="宋体" w:cs="宋体"/>
          <w:highlight w:val="none"/>
        </w:rPr>
        <w:t xml:space="preserve">）； </w:t>
      </w:r>
    </w:p>
    <w:p w14:paraId="29F15F5F">
      <w:pPr>
        <w:spacing w:line="360" w:lineRule="auto"/>
        <w:ind w:firstLine="480" w:firstLineChars="200"/>
        <w:rPr>
          <w:rFonts w:hAnsi="宋体" w:cs="宋体"/>
          <w:highlight w:val="none"/>
        </w:rPr>
      </w:pPr>
      <w:r>
        <w:rPr>
          <w:rFonts w:hint="eastAsia" w:hAnsi="宋体" w:cs="宋体"/>
          <w:highlight w:val="none"/>
          <w:lang w:val="zh-CN"/>
        </w:rPr>
        <w:t>（2）与招标人存在利害关系且可能影响招标公正性；</w:t>
      </w:r>
    </w:p>
    <w:p w14:paraId="0619AFCE">
      <w:pPr>
        <w:spacing w:line="360" w:lineRule="auto"/>
        <w:ind w:firstLine="480" w:firstLineChars="200"/>
        <w:rPr>
          <w:rFonts w:hAnsi="宋体" w:cs="宋体"/>
          <w:highlight w:val="none"/>
        </w:rPr>
      </w:pPr>
      <w:r>
        <w:rPr>
          <w:rFonts w:hint="eastAsia" w:hAnsi="宋体" w:cs="宋体"/>
          <w:highlight w:val="none"/>
          <w:lang w:val="zh-CN"/>
        </w:rPr>
        <w:t>（3）</w:t>
      </w:r>
      <w:r>
        <w:rPr>
          <w:rFonts w:hint="eastAsia" w:ascii="Times New Roman"/>
          <w:highlight w:val="none"/>
        </w:rPr>
        <w:t>与本标段其他投标人的单位负责人为同一人</w:t>
      </w:r>
      <w:r>
        <w:rPr>
          <w:rFonts w:hint="eastAsia" w:hAnsi="宋体" w:cs="宋体"/>
          <w:highlight w:val="none"/>
          <w:lang w:val="zh-CN"/>
        </w:rPr>
        <w:t>；</w:t>
      </w:r>
    </w:p>
    <w:p w14:paraId="35EA3098">
      <w:pPr>
        <w:spacing w:line="360" w:lineRule="auto"/>
        <w:ind w:firstLine="480" w:firstLineChars="200"/>
        <w:rPr>
          <w:rFonts w:hAnsi="宋体" w:cs="宋体"/>
          <w:highlight w:val="none"/>
          <w:lang w:val="zh-CN"/>
        </w:rPr>
      </w:pPr>
      <w:r>
        <w:rPr>
          <w:rFonts w:hint="eastAsia" w:hAnsi="宋体" w:cs="宋体"/>
          <w:highlight w:val="none"/>
          <w:lang w:val="zh-CN"/>
        </w:rPr>
        <w:t>（4）与本标段的其他投标人存在控股、管理关系；</w:t>
      </w:r>
    </w:p>
    <w:p w14:paraId="1D94D7A7">
      <w:pPr>
        <w:spacing w:line="360" w:lineRule="auto"/>
        <w:ind w:firstLine="480" w:firstLineChars="200"/>
        <w:rPr>
          <w:rFonts w:hAnsi="宋体" w:cs="宋体"/>
          <w:highlight w:val="none"/>
        </w:rPr>
      </w:pPr>
      <w:r>
        <w:rPr>
          <w:rFonts w:hint="eastAsia" w:hAnsi="宋体" w:cs="宋体"/>
          <w:highlight w:val="none"/>
        </w:rPr>
        <w:t xml:space="preserve">（5）为本标段前期准备提供过设计、编制技术规范和其他文件的咨询服务； </w:t>
      </w:r>
    </w:p>
    <w:p w14:paraId="26941F53">
      <w:pPr>
        <w:spacing w:line="360" w:lineRule="auto"/>
        <w:ind w:firstLine="480" w:firstLineChars="200"/>
        <w:rPr>
          <w:rFonts w:hAnsi="宋体" w:cs="宋体"/>
          <w:highlight w:val="none"/>
          <w:lang w:val="zh-CN"/>
        </w:rPr>
      </w:pPr>
      <w:r>
        <w:rPr>
          <w:rFonts w:hint="eastAsia" w:hAnsi="宋体" w:cs="宋体"/>
          <w:highlight w:val="none"/>
        </w:rPr>
        <w:t xml:space="preserve">（6）为本工程项目的监理人，或者与本工程项目的监理人存在隶属关系或者其他利害关系； </w:t>
      </w:r>
    </w:p>
    <w:p w14:paraId="495A7B6C">
      <w:pPr>
        <w:spacing w:line="360" w:lineRule="auto"/>
        <w:ind w:firstLine="480" w:firstLineChars="200"/>
        <w:rPr>
          <w:rFonts w:hAnsi="宋体" w:cs="宋体"/>
          <w:highlight w:val="none"/>
        </w:rPr>
      </w:pPr>
      <w:r>
        <w:rPr>
          <w:rFonts w:hint="eastAsia" w:hAnsi="宋体" w:cs="宋体"/>
          <w:highlight w:val="none"/>
          <w:lang w:val="zh-CN"/>
        </w:rPr>
        <w:t>（7）为本标段的代建人；</w:t>
      </w:r>
    </w:p>
    <w:p w14:paraId="6D9D3E55">
      <w:pPr>
        <w:spacing w:line="360" w:lineRule="auto"/>
        <w:ind w:firstLine="480" w:firstLineChars="200"/>
        <w:rPr>
          <w:rFonts w:hAnsi="宋体" w:cs="宋体"/>
          <w:highlight w:val="none"/>
        </w:rPr>
      </w:pPr>
      <w:r>
        <w:rPr>
          <w:rFonts w:hint="eastAsia" w:hAnsi="宋体" w:cs="宋体"/>
          <w:highlight w:val="none"/>
          <w:lang w:val="zh-CN"/>
        </w:rPr>
        <w:t>（8）为本标段的招标代理机构；</w:t>
      </w:r>
    </w:p>
    <w:p w14:paraId="2046FF9D">
      <w:pPr>
        <w:spacing w:line="360" w:lineRule="auto"/>
        <w:ind w:firstLine="480" w:firstLineChars="200"/>
        <w:rPr>
          <w:rFonts w:hAnsi="宋体" w:cs="宋体"/>
          <w:highlight w:val="none"/>
        </w:rPr>
      </w:pPr>
      <w:r>
        <w:rPr>
          <w:rFonts w:hint="eastAsia" w:hAnsi="宋体" w:cs="宋体"/>
          <w:highlight w:val="none"/>
          <w:lang w:val="zh-CN"/>
        </w:rPr>
        <w:t>（9）与本标段的监理人或代建人或招标代理机构同为一个法定代表人；</w:t>
      </w:r>
    </w:p>
    <w:p w14:paraId="7C08709E">
      <w:pPr>
        <w:spacing w:line="360" w:lineRule="auto"/>
        <w:ind w:firstLine="480" w:firstLineChars="200"/>
        <w:rPr>
          <w:rFonts w:hAnsi="宋体" w:cs="宋体"/>
          <w:highlight w:val="none"/>
          <w:lang w:val="zh-CN"/>
        </w:rPr>
      </w:pPr>
      <w:r>
        <w:rPr>
          <w:rFonts w:hint="eastAsia" w:hAnsi="宋体" w:cs="宋体"/>
          <w:highlight w:val="none"/>
          <w:lang w:val="zh-CN"/>
        </w:rPr>
        <w:t>（10）与本标段的监理人或代建人或招标代理机构存在控股或参股关系；</w:t>
      </w:r>
    </w:p>
    <w:p w14:paraId="169713DF">
      <w:pPr>
        <w:spacing w:line="360" w:lineRule="auto"/>
        <w:ind w:firstLine="480" w:firstLineChars="200"/>
        <w:rPr>
          <w:rFonts w:hAnsi="宋体" w:cs="宋体"/>
          <w:highlight w:val="none"/>
        </w:rPr>
      </w:pPr>
      <w:bookmarkStart w:id="218" w:name="_Toc144974503"/>
      <w:bookmarkStart w:id="219" w:name="_Toc179632552"/>
      <w:bookmarkStart w:id="220" w:name="_Toc152045535"/>
      <w:bookmarkStart w:id="221" w:name="_Toc152042311"/>
      <w:r>
        <w:rPr>
          <w:rFonts w:hint="eastAsia" w:hAnsi="宋体" w:cs="宋体"/>
          <w:highlight w:val="none"/>
          <w:lang w:val="zh-CN"/>
        </w:rPr>
        <w:t>（1</w:t>
      </w:r>
      <w:r>
        <w:rPr>
          <w:rFonts w:hint="eastAsia" w:hAnsi="宋体" w:cs="宋体"/>
          <w:highlight w:val="none"/>
        </w:rPr>
        <w:t>1</w:t>
      </w:r>
      <w:r>
        <w:rPr>
          <w:rFonts w:hint="eastAsia" w:hAnsi="宋体" w:cs="宋体"/>
          <w:highlight w:val="none"/>
          <w:lang w:val="zh-CN"/>
        </w:rPr>
        <w:t>）</w:t>
      </w:r>
      <w:r>
        <w:rPr>
          <w:rFonts w:hint="eastAsia" w:ascii="Times New Roman"/>
          <w:highlight w:val="none"/>
        </w:rPr>
        <w:t>被依法暂停或者取消投标资格，且在处罚期和处罚范围内（以有关行政管理部门的行政处罚决定或司法机关出具的有关法律文书为准）</w:t>
      </w:r>
      <w:r>
        <w:rPr>
          <w:rFonts w:hint="eastAsia" w:hAnsi="宋体" w:cs="宋体"/>
          <w:highlight w:val="none"/>
        </w:rPr>
        <w:t xml:space="preserve">； </w:t>
      </w:r>
    </w:p>
    <w:p w14:paraId="731284BD">
      <w:pPr>
        <w:spacing w:line="360" w:lineRule="auto"/>
        <w:ind w:firstLine="480" w:firstLineChars="200"/>
        <w:rPr>
          <w:rFonts w:hAnsi="宋体" w:cs="宋体"/>
          <w:highlight w:val="none"/>
        </w:rPr>
      </w:pPr>
      <w:r>
        <w:rPr>
          <w:rFonts w:hint="eastAsia" w:hAnsi="宋体" w:cs="宋体"/>
          <w:highlight w:val="none"/>
        </w:rPr>
        <w:t>（12）在最近三年内（自投标截止之日向前追溯3年）有骗取中标或串通投标或严重违约或发生重大产品质量问题的（以相关行业主管部门的行政处罚决定或司法机关出具的有关法律文书为准），前述行政处罚已完成信用修复的，但自行政处罚作出机关或信用修复主管部门同意修复之日起满一年的，不受三年期限限制；</w:t>
      </w:r>
    </w:p>
    <w:p w14:paraId="76B2C27F">
      <w:pPr>
        <w:spacing w:line="360" w:lineRule="auto"/>
        <w:ind w:firstLine="480" w:firstLineChars="200"/>
        <w:rPr>
          <w:rFonts w:hAnsi="宋体" w:cs="宋体"/>
          <w:highlight w:val="none"/>
        </w:rPr>
      </w:pPr>
      <w:r>
        <w:rPr>
          <w:rFonts w:hint="eastAsia" w:hAnsi="宋体" w:cs="宋体"/>
          <w:highlight w:val="none"/>
        </w:rPr>
        <w:t xml:space="preserve">（13）被责令停产停业，暂扣或吊销执照，或吊销资质证书； </w:t>
      </w:r>
    </w:p>
    <w:p w14:paraId="5481BF6B">
      <w:pPr>
        <w:spacing w:line="360" w:lineRule="auto"/>
        <w:ind w:firstLine="480" w:firstLineChars="200"/>
        <w:rPr>
          <w:rFonts w:hAnsi="宋体" w:cs="宋体"/>
          <w:highlight w:val="none"/>
        </w:rPr>
      </w:pPr>
      <w:r>
        <w:rPr>
          <w:rFonts w:hint="eastAsia" w:hAnsi="宋体" w:cs="宋体"/>
          <w:highlight w:val="none"/>
        </w:rPr>
        <w:t>（14）进入清算程序，或被宣告破产，或其他丧失履约能力的情形；</w:t>
      </w:r>
    </w:p>
    <w:p w14:paraId="6955E84C">
      <w:pPr>
        <w:spacing w:line="360" w:lineRule="auto"/>
        <w:ind w:firstLine="480" w:firstLineChars="200"/>
        <w:rPr>
          <w:rFonts w:hAnsi="宋体" w:cs="宋体"/>
          <w:highlight w:val="none"/>
          <w:lang w:val="zh-CN"/>
        </w:rPr>
      </w:pPr>
      <w:r>
        <w:rPr>
          <w:rFonts w:hint="eastAsia" w:hAnsi="宋体" w:cs="宋体"/>
          <w:highlight w:val="none"/>
        </w:rPr>
        <w:t>（15）</w:t>
      </w:r>
      <w:r>
        <w:rPr>
          <w:rFonts w:hint="eastAsia" w:ascii="Times New Roman"/>
          <w:highlight w:val="none"/>
        </w:rPr>
        <w:t>投标人或其法定代表人、项目负责人在近三年内（自投标截止之日向前追溯3年）有行贿犯罪行为</w:t>
      </w:r>
      <w:r>
        <w:rPr>
          <w:rFonts w:hint="eastAsia" w:hAnsi="宋体" w:cs="宋体"/>
          <w:highlight w:val="none"/>
        </w:rPr>
        <w:t>；</w:t>
      </w:r>
    </w:p>
    <w:p w14:paraId="5F0227E9">
      <w:pPr>
        <w:spacing w:line="360" w:lineRule="auto"/>
        <w:ind w:firstLine="480" w:firstLineChars="200"/>
        <w:rPr>
          <w:rFonts w:hAnsi="宋体" w:cs="宋体"/>
          <w:highlight w:val="none"/>
        </w:rPr>
      </w:pPr>
      <w:r>
        <w:rPr>
          <w:rFonts w:hint="eastAsia" w:hAnsi="宋体" w:cs="宋体"/>
          <w:highlight w:val="none"/>
        </w:rPr>
        <w:t>（16）法律法规规定的其他禁止投标的情形；</w:t>
      </w:r>
    </w:p>
    <w:p w14:paraId="050C8BF4">
      <w:pPr>
        <w:spacing w:line="360" w:lineRule="auto"/>
        <w:ind w:firstLine="480" w:firstLineChars="200"/>
        <w:rPr>
          <w:rFonts w:hAnsi="宋体" w:cs="宋体"/>
          <w:highlight w:val="none"/>
        </w:rPr>
      </w:pPr>
      <w:r>
        <w:rPr>
          <w:rFonts w:hint="eastAsia" w:hAnsi="宋体" w:cs="宋体"/>
          <w:highlight w:val="none"/>
        </w:rPr>
        <w:t>（17）投标人须知前附表规定的其他情形。</w:t>
      </w:r>
    </w:p>
    <w:p w14:paraId="2869F37C">
      <w:pPr>
        <w:spacing w:line="360" w:lineRule="auto"/>
        <w:ind w:firstLine="480" w:firstLineChars="200"/>
        <w:rPr>
          <w:rFonts w:hAnsi="宋体" w:cs="宋体"/>
          <w:highlight w:val="none"/>
        </w:rPr>
      </w:pPr>
      <w:r>
        <w:rPr>
          <w:rFonts w:hint="eastAsia" w:hAnsi="宋体" w:cs="宋体"/>
          <w:highlight w:val="none"/>
        </w:rPr>
        <w:t xml:space="preserve">1.4.4 投标人（包括联合体各成员）不得存在下列不良状况或不良信用记录：  </w:t>
      </w:r>
    </w:p>
    <w:p w14:paraId="6DF9BC3F">
      <w:pPr>
        <w:spacing w:line="360" w:lineRule="auto"/>
        <w:ind w:firstLine="480" w:firstLineChars="200"/>
        <w:rPr>
          <w:rFonts w:ascii="Times New Roman"/>
          <w:highlight w:val="none"/>
        </w:rPr>
      </w:pPr>
      <w:r>
        <w:rPr>
          <w:rFonts w:hint="eastAsia" w:ascii="Times New Roman"/>
          <w:highlight w:val="none"/>
        </w:rPr>
        <w:t>（1）在国家企业信用信息公示系统（http://www.gsxt.gov.cn/）中被列入严重违法失信企业名单；</w:t>
      </w:r>
    </w:p>
    <w:p w14:paraId="1DFA13AC">
      <w:pPr>
        <w:spacing w:line="360" w:lineRule="auto"/>
        <w:ind w:firstLine="480" w:firstLineChars="200"/>
        <w:rPr>
          <w:rFonts w:ascii="Times New Roman"/>
          <w:highlight w:val="none"/>
        </w:rPr>
      </w:pPr>
      <w:r>
        <w:rPr>
          <w:rFonts w:hint="eastAsia" w:ascii="Times New Roman"/>
          <w:highlight w:val="none"/>
        </w:rPr>
        <w:t>（2）在“信用中国”网站（http://www.creditchina.gov.cn/）中被列入失信被执行人名单；</w:t>
      </w:r>
    </w:p>
    <w:p w14:paraId="7D9C51AC">
      <w:pPr>
        <w:spacing w:line="360" w:lineRule="auto"/>
        <w:ind w:firstLine="480" w:firstLineChars="200"/>
        <w:rPr>
          <w:rFonts w:ascii="Times New Roman"/>
          <w:highlight w:val="none"/>
        </w:rPr>
      </w:pPr>
      <w:r>
        <w:rPr>
          <w:rFonts w:hint="eastAsia" w:ascii="Times New Roman"/>
          <w:highlight w:val="none"/>
        </w:rPr>
        <w:t>（3）在“信用中国”网站（http://www.creditchina.gov.cn/）中被列入重大税收违法失信主体名单；</w:t>
      </w:r>
    </w:p>
    <w:p w14:paraId="44BF2C5A">
      <w:pPr>
        <w:spacing w:line="360" w:lineRule="auto"/>
        <w:ind w:firstLine="480" w:firstLineChars="200"/>
        <w:rPr>
          <w:rFonts w:hAnsi="宋体" w:cs="宋体"/>
          <w:highlight w:val="none"/>
        </w:rPr>
      </w:pPr>
      <w:r>
        <w:rPr>
          <w:rFonts w:hint="eastAsia" w:ascii="Times New Roman"/>
          <w:highlight w:val="none"/>
        </w:rPr>
        <w:t>（4）投标人须知前附表规定的其他情形</w:t>
      </w:r>
      <w:r>
        <w:rPr>
          <w:rFonts w:hint="eastAsia" w:hAnsi="宋体" w:cs="宋体"/>
          <w:highlight w:val="none"/>
        </w:rPr>
        <w:t>。</w:t>
      </w:r>
    </w:p>
    <w:p w14:paraId="0B817B15">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1.5费用承担</w:t>
      </w:r>
      <w:bookmarkEnd w:id="218"/>
      <w:bookmarkEnd w:id="219"/>
      <w:bookmarkEnd w:id="220"/>
      <w:bookmarkEnd w:id="221"/>
    </w:p>
    <w:p w14:paraId="04275620">
      <w:pPr>
        <w:spacing w:line="360" w:lineRule="auto"/>
        <w:ind w:firstLine="480" w:firstLineChars="200"/>
        <w:rPr>
          <w:rFonts w:hAnsi="宋体" w:cs="宋体"/>
          <w:highlight w:val="none"/>
        </w:rPr>
      </w:pPr>
      <w:r>
        <w:rPr>
          <w:rFonts w:hint="eastAsia" w:hAnsi="宋体" w:cs="宋体"/>
          <w:highlight w:val="none"/>
        </w:rPr>
        <w:t>投标人准备和参加投标活动发生的费用自理。</w:t>
      </w:r>
    </w:p>
    <w:p w14:paraId="1CF89A9D">
      <w:pPr>
        <w:pStyle w:val="2"/>
        <w:spacing w:beforeLines="100" w:afterLines="100" w:line="240" w:lineRule="auto"/>
        <w:rPr>
          <w:rFonts w:cs="黑体"/>
          <w:snapToGrid w:val="0"/>
          <w:highlight w:val="none"/>
          <w:shd w:val="clear" w:color="auto" w:fill="FFFFFF"/>
          <w:lang w:val="zh-CN"/>
        </w:rPr>
      </w:pPr>
      <w:bookmarkStart w:id="222" w:name="_Toc152045536"/>
      <w:bookmarkStart w:id="223" w:name="_Toc179632553"/>
      <w:bookmarkStart w:id="224" w:name="_Toc152042312"/>
      <w:bookmarkStart w:id="225" w:name="_Toc144974504"/>
      <w:r>
        <w:rPr>
          <w:rFonts w:hint="eastAsia" w:cs="黑体"/>
          <w:snapToGrid w:val="0"/>
          <w:highlight w:val="none"/>
          <w:shd w:val="clear" w:color="auto" w:fill="FFFFFF"/>
          <w:lang w:val="zh-CN"/>
        </w:rPr>
        <w:t>1.6保密</w:t>
      </w:r>
      <w:bookmarkEnd w:id="222"/>
      <w:bookmarkEnd w:id="223"/>
      <w:bookmarkEnd w:id="224"/>
      <w:bookmarkEnd w:id="225"/>
    </w:p>
    <w:p w14:paraId="76FE3341">
      <w:pPr>
        <w:spacing w:line="360" w:lineRule="auto"/>
        <w:ind w:firstLine="480" w:firstLineChars="200"/>
        <w:rPr>
          <w:rFonts w:hAnsi="宋体" w:cs="宋体"/>
          <w:highlight w:val="none"/>
        </w:rPr>
      </w:pPr>
      <w:bookmarkStart w:id="226" w:name="_Toc144974505"/>
      <w:bookmarkStart w:id="227" w:name="_Toc152045537"/>
      <w:bookmarkStart w:id="228" w:name="_Toc152042313"/>
      <w:bookmarkStart w:id="229" w:name="_Toc179632554"/>
      <w:r>
        <w:rPr>
          <w:rFonts w:hint="eastAsia" w:hAnsi="宋体" w:cs="宋体"/>
          <w:highlight w:val="none"/>
        </w:rPr>
        <w:t>参与招标投标活动的各方应对招标文件和投标文件中的商业和技术等秘密保密，否则应承担相应的法律责任。</w:t>
      </w:r>
    </w:p>
    <w:p w14:paraId="4E67605A">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1.7语言</w:t>
      </w:r>
      <w:bookmarkEnd w:id="226"/>
      <w:r>
        <w:rPr>
          <w:rFonts w:hint="eastAsia" w:cs="黑体"/>
          <w:snapToGrid w:val="0"/>
          <w:highlight w:val="none"/>
          <w:shd w:val="clear" w:color="auto" w:fill="FFFFFF"/>
          <w:lang w:val="zh-CN"/>
        </w:rPr>
        <w:t>文字</w:t>
      </w:r>
      <w:bookmarkEnd w:id="227"/>
      <w:bookmarkEnd w:id="228"/>
      <w:bookmarkEnd w:id="229"/>
    </w:p>
    <w:p w14:paraId="3ABA7A9D">
      <w:pPr>
        <w:spacing w:line="360" w:lineRule="auto"/>
        <w:ind w:firstLine="480" w:firstLineChars="200"/>
        <w:rPr>
          <w:rFonts w:hAnsi="宋体" w:cs="宋体"/>
          <w:highlight w:val="none"/>
        </w:rPr>
      </w:pPr>
      <w:bookmarkStart w:id="230" w:name="_Toc144974506"/>
      <w:bookmarkStart w:id="231" w:name="_Toc179632555"/>
      <w:bookmarkStart w:id="232" w:name="_Toc152045538"/>
      <w:bookmarkStart w:id="233" w:name="_Toc152042314"/>
      <w:r>
        <w:rPr>
          <w:rFonts w:hint="eastAsia" w:hAnsi="宋体" w:cs="宋体"/>
          <w:highlight w:val="none"/>
        </w:rPr>
        <w:t>招标投标文件使用的语言文字为中文。专用术语使用外文的，应附有中文注释。</w:t>
      </w:r>
    </w:p>
    <w:p w14:paraId="4125BDE6">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1.8计量单位</w:t>
      </w:r>
      <w:bookmarkEnd w:id="230"/>
      <w:bookmarkEnd w:id="231"/>
      <w:bookmarkEnd w:id="232"/>
      <w:bookmarkEnd w:id="233"/>
    </w:p>
    <w:p w14:paraId="0637DF16">
      <w:pPr>
        <w:spacing w:line="360" w:lineRule="auto"/>
        <w:ind w:firstLine="480" w:firstLineChars="200"/>
        <w:rPr>
          <w:rFonts w:hAnsi="宋体" w:cs="宋体"/>
          <w:highlight w:val="none"/>
        </w:rPr>
      </w:pPr>
      <w:r>
        <w:rPr>
          <w:rFonts w:hint="eastAsia" w:hAnsi="宋体" w:cs="宋体"/>
          <w:highlight w:val="none"/>
        </w:rPr>
        <w:t>所有计量均采用中华人民共和国法定计量单位。</w:t>
      </w:r>
    </w:p>
    <w:p w14:paraId="25833731">
      <w:pPr>
        <w:pStyle w:val="2"/>
        <w:spacing w:beforeLines="100" w:afterLines="100" w:line="240" w:lineRule="auto"/>
        <w:rPr>
          <w:rFonts w:cs="黑体"/>
          <w:snapToGrid w:val="0"/>
          <w:highlight w:val="none"/>
          <w:shd w:val="clear" w:color="auto" w:fill="FFFFFF"/>
          <w:lang w:val="zh-CN"/>
        </w:rPr>
      </w:pPr>
      <w:bookmarkStart w:id="234" w:name="_Toc152042315"/>
      <w:bookmarkStart w:id="235" w:name="_Toc152045539"/>
      <w:bookmarkStart w:id="236" w:name="_Toc179632556"/>
      <w:bookmarkStart w:id="237" w:name="_Toc144974507"/>
      <w:r>
        <w:rPr>
          <w:rFonts w:hint="eastAsia" w:cs="黑体"/>
          <w:snapToGrid w:val="0"/>
          <w:highlight w:val="none"/>
          <w:shd w:val="clear" w:color="auto" w:fill="FFFFFF"/>
          <w:lang w:val="zh-CN"/>
        </w:rPr>
        <w:t>1.9踏勘现场</w:t>
      </w:r>
      <w:bookmarkEnd w:id="234"/>
      <w:bookmarkEnd w:id="235"/>
      <w:bookmarkEnd w:id="236"/>
      <w:bookmarkEnd w:id="237"/>
    </w:p>
    <w:p w14:paraId="61E65D10">
      <w:pPr>
        <w:spacing w:line="360" w:lineRule="auto"/>
        <w:ind w:firstLine="480" w:firstLineChars="200"/>
        <w:rPr>
          <w:rFonts w:hAnsi="宋体" w:cs="宋体"/>
          <w:highlight w:val="none"/>
        </w:rPr>
      </w:pPr>
      <w:r>
        <w:rPr>
          <w:rFonts w:hint="eastAsia" w:hAnsi="宋体" w:cs="宋体"/>
          <w:highlight w:val="none"/>
        </w:rPr>
        <w:t>1.9.1 投标人须知前附表规定组织踏勘现场的，招标人</w:t>
      </w:r>
      <w:r>
        <w:rPr>
          <w:rFonts w:hint="eastAsia" w:hAnsi="宋体" w:cs="宋体"/>
          <w:bCs/>
          <w:snapToGrid w:val="0"/>
          <w:highlight w:val="none"/>
        </w:rPr>
        <w:t>按</w:t>
      </w:r>
      <w:r>
        <w:rPr>
          <w:rFonts w:hint="eastAsia" w:hAnsi="宋体" w:cs="宋体"/>
          <w:highlight w:val="none"/>
        </w:rPr>
        <w:t>投标人须知前附表规定的时间、地点组织投标人踏勘项目现场。部分投标人未按时参加踏勘现场的，不影响踏勘现场的正常进行。招标人不得组织单个或部分投标人踏勘项目现场。</w:t>
      </w:r>
    </w:p>
    <w:p w14:paraId="2425618F">
      <w:pPr>
        <w:spacing w:line="360" w:lineRule="auto"/>
        <w:ind w:firstLine="480" w:firstLineChars="200"/>
        <w:rPr>
          <w:rFonts w:hAnsi="宋体" w:cs="宋体"/>
          <w:highlight w:val="none"/>
        </w:rPr>
      </w:pPr>
      <w:r>
        <w:rPr>
          <w:rFonts w:hint="eastAsia" w:hAnsi="宋体" w:cs="宋体"/>
          <w:highlight w:val="none"/>
        </w:rPr>
        <w:t>1.9.2 投标人踏勘现场发生的费用自理。</w:t>
      </w:r>
    </w:p>
    <w:p w14:paraId="44E5A9FC">
      <w:pPr>
        <w:spacing w:line="360" w:lineRule="auto"/>
        <w:ind w:firstLine="480" w:firstLineChars="200"/>
        <w:rPr>
          <w:rFonts w:hAnsi="宋体" w:cs="宋体"/>
          <w:highlight w:val="none"/>
        </w:rPr>
      </w:pPr>
      <w:r>
        <w:rPr>
          <w:rFonts w:hint="eastAsia" w:hAnsi="宋体" w:cs="宋体"/>
          <w:highlight w:val="none"/>
        </w:rPr>
        <w:t>1.9.3 除招标人的原因外，投标人自行负责在踏勘现场中所发生的人员伤亡和财产损失。</w:t>
      </w:r>
    </w:p>
    <w:p w14:paraId="071EC1B9">
      <w:pPr>
        <w:spacing w:line="360" w:lineRule="auto"/>
        <w:ind w:firstLine="480" w:firstLineChars="200"/>
        <w:rPr>
          <w:rFonts w:hAnsi="宋体" w:cs="宋体"/>
          <w:highlight w:val="none"/>
        </w:rPr>
      </w:pPr>
      <w:r>
        <w:rPr>
          <w:rFonts w:hint="eastAsia" w:hAnsi="宋体" w:cs="宋体"/>
          <w:highlight w:val="none"/>
        </w:rPr>
        <w:t>1.9.4 招标人在踏勘现场中介绍的项目场地和相关的周边环境情况，供投标人在编制投标文件时参考，招标人不对投标人据此作出的判断和决策负责。</w:t>
      </w:r>
    </w:p>
    <w:p w14:paraId="64A1F648">
      <w:pPr>
        <w:spacing w:line="360" w:lineRule="auto"/>
        <w:ind w:firstLine="480" w:firstLineChars="200"/>
        <w:rPr>
          <w:rFonts w:hAnsi="宋体" w:cs="宋体"/>
          <w:highlight w:val="none"/>
        </w:rPr>
      </w:pPr>
      <w:r>
        <w:rPr>
          <w:rFonts w:hint="eastAsia" w:hAnsi="宋体" w:cs="宋体"/>
          <w:highlight w:val="none"/>
        </w:rPr>
        <w:t>1.9.5 无论投标人是否到项目现场实地踏勘，中标后签订合同时和履约过程中，投标人不得以不完全了解现场情况或现场情况与招标文件描述不一致等为由，提出任何形式的增加合同价款或索赔的要求。</w:t>
      </w:r>
    </w:p>
    <w:p w14:paraId="71BBDB23">
      <w:pPr>
        <w:pStyle w:val="2"/>
        <w:spacing w:beforeLines="100" w:afterLines="100" w:line="240" w:lineRule="auto"/>
        <w:rPr>
          <w:rFonts w:cs="黑体"/>
          <w:snapToGrid w:val="0"/>
          <w:highlight w:val="none"/>
          <w:shd w:val="clear" w:color="auto" w:fill="FFFFFF"/>
          <w:lang w:val="zh-CN"/>
        </w:rPr>
      </w:pPr>
      <w:bookmarkStart w:id="238" w:name="_Toc179632557"/>
      <w:bookmarkStart w:id="239" w:name="_Toc152042316"/>
      <w:bookmarkStart w:id="240" w:name="_Toc152045540"/>
      <w:bookmarkStart w:id="241" w:name="_Toc144974508"/>
      <w:r>
        <w:rPr>
          <w:rFonts w:hint="eastAsia" w:cs="黑体"/>
          <w:snapToGrid w:val="0"/>
          <w:highlight w:val="none"/>
          <w:shd w:val="clear" w:color="auto" w:fill="FFFFFF"/>
          <w:lang w:val="zh-CN"/>
        </w:rPr>
        <w:t>1.10 投标预备会</w:t>
      </w:r>
      <w:bookmarkEnd w:id="238"/>
      <w:bookmarkEnd w:id="239"/>
      <w:bookmarkEnd w:id="240"/>
      <w:bookmarkEnd w:id="241"/>
    </w:p>
    <w:p w14:paraId="27CE0376">
      <w:pPr>
        <w:spacing w:line="360" w:lineRule="auto"/>
        <w:ind w:firstLine="480" w:firstLineChars="200"/>
        <w:rPr>
          <w:rFonts w:hAnsi="宋体" w:cs="宋体"/>
          <w:highlight w:val="none"/>
        </w:rPr>
      </w:pPr>
      <w:r>
        <w:rPr>
          <w:rFonts w:hint="eastAsia" w:hAnsi="宋体" w:cs="宋体"/>
          <w:highlight w:val="none"/>
        </w:rPr>
        <w:t>1.10.1 投标人须知前附表规定召开投标预备会的，招标人按照投标人须知前附表规定的时间和形式召开投标预备会，澄清投标人提出的问题。</w:t>
      </w:r>
    </w:p>
    <w:p w14:paraId="76C59EFB">
      <w:pPr>
        <w:spacing w:line="360" w:lineRule="auto"/>
        <w:ind w:firstLine="480" w:firstLineChars="200"/>
        <w:rPr>
          <w:rFonts w:hAnsi="宋体" w:cs="宋体"/>
          <w:highlight w:val="none"/>
        </w:rPr>
      </w:pPr>
      <w:r>
        <w:rPr>
          <w:rFonts w:hint="eastAsia" w:hAnsi="宋体" w:cs="宋体"/>
          <w:highlight w:val="none"/>
        </w:rPr>
        <w:t>1.10.2 投标人应按照投标人须知前附表规定的时间和形式将提出的问题送达招标人，以便招标人在会议期间澄清。</w:t>
      </w:r>
    </w:p>
    <w:p w14:paraId="0AB32834">
      <w:pPr>
        <w:spacing w:line="360" w:lineRule="auto"/>
        <w:ind w:firstLine="480" w:firstLineChars="200"/>
        <w:rPr>
          <w:rFonts w:hAnsi="宋体" w:cs="宋体"/>
          <w:highlight w:val="none"/>
        </w:rPr>
      </w:pPr>
      <w:r>
        <w:rPr>
          <w:rFonts w:hint="eastAsia" w:hAnsi="宋体" w:cs="宋体"/>
          <w:highlight w:val="none"/>
        </w:rPr>
        <w:t>1.10.3 投标预备会后，招标人将对投标人所提问题的澄清，按照本章第2.2款规定的时间和形式通知所有获取招标文件的投标人。该澄清内容为招标文件的组成部分。</w:t>
      </w:r>
    </w:p>
    <w:p w14:paraId="003DFED8">
      <w:pPr>
        <w:pStyle w:val="2"/>
        <w:spacing w:beforeLines="100" w:afterLines="100" w:line="240" w:lineRule="auto"/>
        <w:rPr>
          <w:rFonts w:cs="黑体"/>
          <w:snapToGrid w:val="0"/>
          <w:highlight w:val="none"/>
          <w:shd w:val="clear" w:color="auto" w:fill="FFFFFF"/>
          <w:lang w:val="zh-CN"/>
        </w:rPr>
      </w:pPr>
      <w:bookmarkStart w:id="242" w:name="_Toc152042317"/>
      <w:bookmarkStart w:id="243" w:name="_Toc144974509"/>
      <w:bookmarkStart w:id="244" w:name="_Toc179632558"/>
      <w:bookmarkStart w:id="245" w:name="_Toc152045541"/>
      <w:r>
        <w:rPr>
          <w:rFonts w:hint="eastAsia" w:cs="黑体"/>
          <w:snapToGrid w:val="0"/>
          <w:highlight w:val="none"/>
          <w:shd w:val="clear" w:color="auto" w:fill="FFFFFF"/>
          <w:lang w:val="zh-CN"/>
        </w:rPr>
        <w:t>1.11分包</w:t>
      </w:r>
      <w:bookmarkEnd w:id="242"/>
      <w:bookmarkEnd w:id="243"/>
      <w:bookmarkEnd w:id="244"/>
      <w:bookmarkEnd w:id="245"/>
    </w:p>
    <w:p w14:paraId="08B22B9E">
      <w:pPr>
        <w:spacing w:line="360" w:lineRule="auto"/>
        <w:ind w:firstLine="480" w:firstLineChars="200"/>
        <w:rPr>
          <w:rFonts w:hAnsi="宋体" w:cs="宋体"/>
          <w:highlight w:val="none"/>
        </w:rPr>
      </w:pPr>
      <w:r>
        <w:rPr>
          <w:rFonts w:hint="eastAsia" w:hAnsi="宋体" w:cs="宋体"/>
          <w:highlight w:val="none"/>
        </w:rPr>
        <w:t>1.11.1 投标人拟在中标后将中标项目的非主体货物进行分包的，应符合投标人须知前附表规定的分包内容、分包金额和资质要求等限制性条件，除投标人须知前附表规定的非主体货物外，其他工作不得分包。</w:t>
      </w:r>
    </w:p>
    <w:p w14:paraId="12743ED8">
      <w:pPr>
        <w:spacing w:line="360" w:lineRule="auto"/>
        <w:ind w:firstLine="480" w:firstLineChars="200"/>
        <w:rPr>
          <w:rFonts w:hAnsi="宋体" w:cs="宋体"/>
          <w:highlight w:val="none"/>
        </w:rPr>
      </w:pPr>
      <w:r>
        <w:rPr>
          <w:rFonts w:hint="eastAsia" w:hAnsi="宋体" w:cs="宋体"/>
          <w:highlight w:val="none"/>
        </w:rPr>
        <w:t>1.11.2 中标人不得向他人转让中标项目，接受分包的人不得再次分包。中标人应就分包项目向招标人负责，接受分包的人就分包项目承担连带责任。</w:t>
      </w:r>
    </w:p>
    <w:p w14:paraId="5F61B1A2">
      <w:pPr>
        <w:pStyle w:val="2"/>
        <w:spacing w:beforeLines="100" w:afterLines="100" w:line="240" w:lineRule="auto"/>
        <w:rPr>
          <w:rFonts w:cs="黑体"/>
          <w:snapToGrid w:val="0"/>
          <w:highlight w:val="none"/>
          <w:shd w:val="clear" w:color="auto" w:fill="FFFFFF"/>
          <w:lang w:val="zh-CN"/>
        </w:rPr>
      </w:pPr>
      <w:bookmarkStart w:id="246" w:name="_Toc179632559"/>
      <w:r>
        <w:rPr>
          <w:rFonts w:hint="eastAsia" w:cs="黑体"/>
          <w:snapToGrid w:val="0"/>
          <w:highlight w:val="none"/>
          <w:shd w:val="clear" w:color="auto" w:fill="FFFFFF"/>
          <w:lang w:val="zh-CN"/>
        </w:rPr>
        <w:t>1.12</w:t>
      </w:r>
      <w:bookmarkEnd w:id="246"/>
      <w:r>
        <w:rPr>
          <w:rFonts w:hint="eastAsia" w:cs="黑体"/>
          <w:snapToGrid w:val="0"/>
          <w:highlight w:val="none"/>
          <w:shd w:val="clear" w:color="auto" w:fill="FFFFFF"/>
          <w:lang w:val="zh-CN"/>
        </w:rPr>
        <w:t>响应和偏差</w:t>
      </w:r>
    </w:p>
    <w:p w14:paraId="0D717313">
      <w:pPr>
        <w:spacing w:line="360" w:lineRule="auto"/>
        <w:ind w:firstLine="480" w:firstLineChars="200"/>
        <w:rPr>
          <w:rFonts w:hAnsi="宋体" w:cs="宋体"/>
          <w:highlight w:val="none"/>
        </w:rPr>
      </w:pPr>
      <w:r>
        <w:rPr>
          <w:rFonts w:hint="eastAsia" w:hAnsi="宋体" w:cs="宋体"/>
          <w:highlight w:val="none"/>
        </w:rPr>
        <w:t>1.12.1投标文件应当对招标文件的实质性要求和条件作出满足性或更有利于招标人的响应，否则，投标人的投标将被否决。实质性要求和条件见投标人须知前附表。</w:t>
      </w:r>
    </w:p>
    <w:p w14:paraId="40E7BDF4">
      <w:pPr>
        <w:spacing w:line="360" w:lineRule="auto"/>
        <w:ind w:firstLine="480" w:firstLineChars="200"/>
        <w:rPr>
          <w:rFonts w:hAnsi="宋体" w:cs="宋体"/>
          <w:highlight w:val="none"/>
        </w:rPr>
      </w:pPr>
      <w:r>
        <w:rPr>
          <w:rFonts w:hint="eastAsia" w:hAnsi="宋体" w:cs="宋体"/>
          <w:highlight w:val="none"/>
        </w:rPr>
        <w:t>1.12.2 投标人应根据招标文件的要求提供投标货物技术性能指标的详细描述、技术支持资料及技术服务和质保期服务计划等内容已对招标文件作出响应。</w:t>
      </w:r>
    </w:p>
    <w:p w14:paraId="4252839A">
      <w:pPr>
        <w:spacing w:line="360" w:lineRule="auto"/>
        <w:ind w:firstLine="480" w:firstLineChars="200"/>
        <w:rPr>
          <w:rFonts w:hAnsi="宋体" w:cs="宋体"/>
          <w:highlight w:val="none"/>
        </w:rPr>
      </w:pPr>
      <w:r>
        <w:rPr>
          <w:rFonts w:hint="eastAsia" w:hAnsi="宋体" w:cs="宋体"/>
          <w:highlight w:val="none"/>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4D9AA3A">
      <w:pPr>
        <w:spacing w:line="360" w:lineRule="auto"/>
        <w:ind w:firstLine="480" w:firstLineChars="200"/>
        <w:rPr>
          <w:rFonts w:hAnsi="宋体" w:cs="宋体"/>
          <w:highlight w:val="none"/>
        </w:rPr>
      </w:pPr>
      <w:r>
        <w:rPr>
          <w:rFonts w:hint="eastAsia" w:hAnsi="宋体" w:cs="宋体"/>
          <w:highlight w:val="none"/>
        </w:rPr>
        <w:t>1.12.4 投标人须知前附表规定了可以偏差的范围和最高偏差项数的，偏差应当符合投标人须知前附表规定的偏差范围和最高项数，超出偏差范围和最高偏差项数的投标将被否决。</w:t>
      </w:r>
    </w:p>
    <w:p w14:paraId="3E5585B6">
      <w:pPr>
        <w:spacing w:line="360" w:lineRule="auto"/>
        <w:ind w:firstLine="480" w:firstLineChars="200"/>
        <w:rPr>
          <w:rFonts w:hAnsi="宋体" w:cs="宋体"/>
          <w:highlight w:val="none"/>
        </w:rPr>
      </w:pPr>
      <w:r>
        <w:rPr>
          <w:rFonts w:hint="eastAsia" w:hAnsi="宋体" w:cs="宋体"/>
          <w:highlight w:val="none"/>
        </w:rPr>
        <w:t>1.12.5 投标文件对招标文件的全部偏差，均应在投标文件的商务和技术偏差表中列明，除列明的内容外，视为投标人响应招标文件的全部要求。</w:t>
      </w:r>
    </w:p>
    <w:p w14:paraId="1884B750">
      <w:pPr>
        <w:pStyle w:val="4"/>
        <w:spacing w:beforeLines="100" w:afterLines="100" w:line="240" w:lineRule="auto"/>
        <w:rPr>
          <w:rFonts w:ascii="黑体" w:hAnsi="黑体" w:eastAsia="黑体" w:cs="黑体"/>
          <w:b w:val="0"/>
          <w:bCs w:val="0"/>
          <w:highlight w:val="none"/>
        </w:rPr>
      </w:pPr>
      <w:bookmarkStart w:id="247" w:name="_Toc152045542"/>
      <w:bookmarkStart w:id="248" w:name="_Toc29183"/>
      <w:bookmarkStart w:id="249" w:name="_Toc152042318"/>
      <w:bookmarkStart w:id="250" w:name="_Toc144974510"/>
      <w:bookmarkStart w:id="251" w:name="_Toc27747"/>
      <w:bookmarkStart w:id="252" w:name="_Toc179632560"/>
      <w:bookmarkStart w:id="253" w:name="_Toc140069407"/>
      <w:bookmarkStart w:id="254" w:name="_Toc9056"/>
      <w:r>
        <w:rPr>
          <w:rFonts w:hint="eastAsia" w:ascii="黑体" w:hAnsi="黑体" w:eastAsia="黑体" w:cs="黑体"/>
          <w:b w:val="0"/>
          <w:bCs w:val="0"/>
          <w:highlight w:val="none"/>
        </w:rPr>
        <w:t>2. 招标文件</w:t>
      </w:r>
      <w:bookmarkEnd w:id="247"/>
      <w:bookmarkEnd w:id="248"/>
      <w:bookmarkEnd w:id="249"/>
      <w:bookmarkEnd w:id="250"/>
      <w:bookmarkEnd w:id="251"/>
      <w:bookmarkEnd w:id="252"/>
      <w:bookmarkEnd w:id="253"/>
      <w:bookmarkEnd w:id="254"/>
    </w:p>
    <w:p w14:paraId="2489E4A0">
      <w:pPr>
        <w:pStyle w:val="2"/>
        <w:spacing w:beforeLines="100" w:afterLines="100" w:line="240" w:lineRule="auto"/>
        <w:rPr>
          <w:rFonts w:cs="黑体"/>
          <w:snapToGrid w:val="0"/>
          <w:highlight w:val="none"/>
          <w:shd w:val="clear" w:color="auto" w:fill="FFFFFF"/>
          <w:lang w:val="zh-CN"/>
        </w:rPr>
      </w:pPr>
      <w:bookmarkStart w:id="255" w:name="_Toc179632561"/>
      <w:bookmarkStart w:id="256" w:name="_Toc152045543"/>
      <w:bookmarkStart w:id="257" w:name="_Toc152042319"/>
      <w:bookmarkStart w:id="258" w:name="_Toc144974511"/>
      <w:r>
        <w:rPr>
          <w:rFonts w:hint="eastAsia" w:cs="黑体"/>
          <w:snapToGrid w:val="0"/>
          <w:highlight w:val="none"/>
          <w:shd w:val="clear" w:color="auto" w:fill="FFFFFF"/>
          <w:lang w:val="zh-CN"/>
        </w:rPr>
        <w:t>2.1招标文件的组成</w:t>
      </w:r>
      <w:bookmarkEnd w:id="255"/>
      <w:bookmarkEnd w:id="256"/>
      <w:bookmarkEnd w:id="257"/>
      <w:bookmarkEnd w:id="258"/>
    </w:p>
    <w:p w14:paraId="2AE3E3AE">
      <w:pPr>
        <w:spacing w:line="360" w:lineRule="auto"/>
        <w:ind w:firstLine="480" w:firstLineChars="200"/>
        <w:rPr>
          <w:rFonts w:hAnsi="宋体" w:cs="宋体"/>
          <w:highlight w:val="none"/>
        </w:rPr>
      </w:pPr>
      <w:r>
        <w:rPr>
          <w:rFonts w:hint="eastAsia" w:hAnsi="宋体" w:cs="宋体"/>
          <w:highlight w:val="none"/>
        </w:rPr>
        <w:t>本招标文件包括：</w:t>
      </w:r>
    </w:p>
    <w:p w14:paraId="575DF9C5">
      <w:pPr>
        <w:spacing w:line="360" w:lineRule="auto"/>
        <w:ind w:firstLine="480" w:firstLineChars="200"/>
        <w:rPr>
          <w:rFonts w:hAnsi="宋体" w:cs="宋体"/>
          <w:highlight w:val="none"/>
        </w:rPr>
      </w:pPr>
      <w:r>
        <w:rPr>
          <w:rFonts w:hint="eastAsia" w:hAnsi="宋体" w:cs="宋体"/>
          <w:highlight w:val="none"/>
        </w:rPr>
        <w:t>（1）招标公告；</w:t>
      </w:r>
    </w:p>
    <w:p w14:paraId="3446440C">
      <w:pPr>
        <w:spacing w:line="360" w:lineRule="auto"/>
        <w:ind w:firstLine="480" w:firstLineChars="200"/>
        <w:rPr>
          <w:rFonts w:hAnsi="宋体" w:cs="宋体"/>
          <w:highlight w:val="none"/>
        </w:rPr>
      </w:pPr>
      <w:r>
        <w:rPr>
          <w:rFonts w:hint="eastAsia" w:hAnsi="宋体" w:cs="宋体"/>
          <w:highlight w:val="none"/>
        </w:rPr>
        <w:t>（2）投标人须知；</w:t>
      </w:r>
    </w:p>
    <w:p w14:paraId="2FA51094">
      <w:pPr>
        <w:spacing w:line="360" w:lineRule="auto"/>
        <w:ind w:firstLine="480" w:firstLineChars="200"/>
        <w:rPr>
          <w:rFonts w:hAnsi="宋体" w:cs="宋体"/>
          <w:highlight w:val="none"/>
        </w:rPr>
      </w:pPr>
      <w:r>
        <w:rPr>
          <w:rFonts w:hint="eastAsia" w:hAnsi="宋体" w:cs="宋体"/>
          <w:highlight w:val="none"/>
        </w:rPr>
        <w:t>（3）评标办法；</w:t>
      </w:r>
    </w:p>
    <w:p w14:paraId="2E0A008A">
      <w:pPr>
        <w:spacing w:line="360" w:lineRule="auto"/>
        <w:ind w:firstLine="480" w:firstLineChars="200"/>
        <w:rPr>
          <w:rFonts w:hAnsi="宋体" w:cs="宋体"/>
          <w:highlight w:val="none"/>
        </w:rPr>
      </w:pPr>
      <w:r>
        <w:rPr>
          <w:rFonts w:hint="eastAsia" w:hAnsi="宋体" w:cs="宋体"/>
          <w:highlight w:val="none"/>
        </w:rPr>
        <w:t>（4）合同条款及格式；</w:t>
      </w:r>
    </w:p>
    <w:p w14:paraId="20F07883">
      <w:pPr>
        <w:spacing w:line="360" w:lineRule="auto"/>
        <w:ind w:firstLine="480" w:firstLineChars="200"/>
        <w:rPr>
          <w:rFonts w:hAnsi="宋体" w:cs="宋体"/>
          <w:highlight w:val="none"/>
        </w:rPr>
      </w:pPr>
      <w:r>
        <w:rPr>
          <w:rFonts w:hint="eastAsia" w:hAnsi="宋体" w:cs="宋体"/>
          <w:highlight w:val="none"/>
        </w:rPr>
        <w:t>（5）供货要求；</w:t>
      </w:r>
    </w:p>
    <w:p w14:paraId="03A726C3">
      <w:pPr>
        <w:spacing w:line="360" w:lineRule="auto"/>
        <w:ind w:firstLine="480" w:firstLineChars="200"/>
        <w:rPr>
          <w:rFonts w:hAnsi="宋体" w:cs="宋体"/>
          <w:highlight w:val="none"/>
        </w:rPr>
      </w:pPr>
      <w:r>
        <w:rPr>
          <w:rFonts w:hint="eastAsia" w:hAnsi="宋体" w:cs="宋体"/>
          <w:highlight w:val="none"/>
        </w:rPr>
        <w:t>（6）投标文件格式；</w:t>
      </w:r>
    </w:p>
    <w:p w14:paraId="4E7A7C82">
      <w:pPr>
        <w:spacing w:line="360" w:lineRule="auto"/>
        <w:ind w:firstLine="480" w:firstLineChars="200"/>
        <w:rPr>
          <w:rFonts w:hAnsi="宋体" w:cs="宋体"/>
          <w:highlight w:val="none"/>
        </w:rPr>
      </w:pPr>
      <w:r>
        <w:rPr>
          <w:rFonts w:hint="eastAsia" w:hAnsi="宋体" w:cs="宋体"/>
          <w:highlight w:val="none"/>
        </w:rPr>
        <w:t>（7）投标人须知前附表规定的其他材料。</w:t>
      </w:r>
    </w:p>
    <w:p w14:paraId="4D6A1CE8">
      <w:pPr>
        <w:spacing w:line="360" w:lineRule="auto"/>
        <w:ind w:firstLine="480" w:firstLineChars="200"/>
        <w:rPr>
          <w:rFonts w:hAnsi="宋体" w:cs="宋体"/>
          <w:highlight w:val="none"/>
        </w:rPr>
      </w:pPr>
      <w:r>
        <w:rPr>
          <w:rFonts w:hint="eastAsia" w:hAnsi="宋体" w:cs="宋体"/>
          <w:highlight w:val="none"/>
        </w:rPr>
        <w:t>根据本章第1.10款、第2.2款和第2.3款对招标文件所作的澄清、修改，构成招标文件的组成部分。</w:t>
      </w:r>
    </w:p>
    <w:p w14:paraId="328C3199">
      <w:pPr>
        <w:spacing w:line="360" w:lineRule="auto"/>
        <w:ind w:firstLine="480" w:firstLineChars="200"/>
        <w:rPr>
          <w:rFonts w:hAnsi="宋体" w:cs="宋体"/>
          <w:highlight w:val="none"/>
        </w:rPr>
      </w:pPr>
      <w:r>
        <w:rPr>
          <w:rFonts w:hint="eastAsia" w:hAnsi="宋体" w:cs="宋体"/>
          <w:highlight w:val="none"/>
        </w:rPr>
        <w:t>当招标文件、招标文件的澄清或修改等在同一内容的表述上不一致时，以最后发出的文件为准。</w:t>
      </w:r>
    </w:p>
    <w:p w14:paraId="0C57401D">
      <w:pPr>
        <w:pStyle w:val="2"/>
        <w:spacing w:beforeLines="100" w:afterLines="100" w:line="240" w:lineRule="auto"/>
        <w:rPr>
          <w:rFonts w:cs="黑体"/>
          <w:snapToGrid w:val="0"/>
          <w:highlight w:val="none"/>
          <w:shd w:val="clear" w:color="auto" w:fill="FFFFFF"/>
          <w:lang w:val="zh-CN"/>
        </w:rPr>
      </w:pPr>
      <w:bookmarkStart w:id="259" w:name="_Toc144974512"/>
      <w:bookmarkStart w:id="260" w:name="_Toc152045544"/>
      <w:bookmarkStart w:id="261" w:name="_Toc152042320"/>
      <w:bookmarkStart w:id="262" w:name="_Toc179632562"/>
      <w:r>
        <w:rPr>
          <w:rFonts w:hint="eastAsia" w:cs="黑体"/>
          <w:snapToGrid w:val="0"/>
          <w:highlight w:val="none"/>
          <w:shd w:val="clear" w:color="auto" w:fill="FFFFFF"/>
          <w:lang w:val="zh-CN"/>
        </w:rPr>
        <w:t>2.2招标文件的澄清</w:t>
      </w:r>
      <w:bookmarkEnd w:id="259"/>
      <w:bookmarkEnd w:id="260"/>
      <w:bookmarkEnd w:id="261"/>
      <w:bookmarkEnd w:id="262"/>
    </w:p>
    <w:p w14:paraId="482290E3">
      <w:pPr>
        <w:spacing w:line="360" w:lineRule="auto"/>
        <w:ind w:firstLine="480" w:firstLineChars="200"/>
        <w:rPr>
          <w:rFonts w:hAnsi="宋体" w:cs="宋体"/>
          <w:highlight w:val="none"/>
        </w:rPr>
      </w:pPr>
      <w:bookmarkStart w:id="263" w:name="_Toc152042321"/>
      <w:bookmarkStart w:id="264" w:name="_Toc152045545"/>
      <w:bookmarkStart w:id="265" w:name="_Toc144974513"/>
      <w:bookmarkStart w:id="266" w:name="_Toc179632563"/>
      <w:r>
        <w:rPr>
          <w:rFonts w:hint="eastAsia" w:hAnsi="宋体" w:cs="宋体"/>
          <w:highlight w:val="none"/>
        </w:rPr>
        <w:t xml:space="preserve">2.2.1 </w:t>
      </w:r>
      <w:r>
        <w:rPr>
          <w:rFonts w:hint="eastAsia" w:hAnsi="宋体" w:cs="宋体"/>
          <w:bCs/>
          <w:snapToGrid w:val="0"/>
          <w:highlight w:val="none"/>
        </w:rPr>
        <w:t>投标人应仔细阅读和检查招标文件的全部内容。如有疑问，应</w:t>
      </w:r>
      <w:r>
        <w:rPr>
          <w:rFonts w:hint="eastAsia" w:hAnsi="宋体" w:cs="宋体"/>
          <w:highlight w:val="none"/>
        </w:rPr>
        <w:t>按照</w:t>
      </w:r>
      <w:r>
        <w:rPr>
          <w:rFonts w:hint="eastAsia" w:hAnsi="宋体" w:cs="宋体"/>
          <w:bCs/>
          <w:snapToGrid w:val="0"/>
          <w:highlight w:val="none"/>
        </w:rPr>
        <w:t>投标人须知前附表规定的时间和形式向招标人发出对招标文件进行澄清的要求</w:t>
      </w:r>
      <w:r>
        <w:rPr>
          <w:rFonts w:hint="eastAsia" w:hAnsi="宋体" w:cs="宋体"/>
          <w:highlight w:val="none"/>
        </w:rPr>
        <w:t>。</w:t>
      </w:r>
    </w:p>
    <w:p w14:paraId="04F8841E">
      <w:pPr>
        <w:spacing w:line="360" w:lineRule="auto"/>
        <w:ind w:firstLine="480" w:firstLineChars="200"/>
        <w:rPr>
          <w:rFonts w:hAnsi="宋体" w:cs="宋体"/>
          <w:highlight w:val="none"/>
        </w:rPr>
      </w:pPr>
      <w:r>
        <w:rPr>
          <w:rFonts w:hint="eastAsia" w:hAnsi="宋体" w:cs="宋体"/>
          <w:highlight w:val="none"/>
        </w:rPr>
        <w:t>2.2.2招标人对招标文件进行澄清的，以投标人须知前附表规定的形式向所有获取招标文件的投标人发出澄清文件，澄清文件一经发出则视为送达所有获取招标文件的投标人。因投标人未及时查阅上述澄清文件而导致的后果由投标人自行承担。</w:t>
      </w:r>
    </w:p>
    <w:p w14:paraId="4FB13488">
      <w:pPr>
        <w:spacing w:line="360" w:lineRule="auto"/>
        <w:ind w:firstLine="480" w:firstLineChars="200"/>
        <w:rPr>
          <w:rFonts w:hAnsi="宋体" w:cs="宋体"/>
          <w:highlight w:val="none"/>
          <w:lang w:val="zh-CN"/>
        </w:rPr>
      </w:pPr>
      <w:r>
        <w:rPr>
          <w:rFonts w:hint="eastAsia" w:hAnsi="宋体" w:cs="宋体"/>
          <w:highlight w:val="none"/>
        </w:rPr>
        <w:t>2.2.3澄清文件发出的时间距投标截止时间不足15日的，并且澄清内容可能影响投标文件编制的，招标人将相应顺延投标截止时间。</w:t>
      </w:r>
    </w:p>
    <w:p w14:paraId="421ED1EE">
      <w:pPr>
        <w:spacing w:line="360" w:lineRule="auto"/>
        <w:ind w:firstLine="480" w:firstLineChars="200"/>
        <w:rPr>
          <w:rFonts w:hAnsi="宋体" w:cs="宋体"/>
          <w:highlight w:val="none"/>
        </w:rPr>
      </w:pPr>
      <w:r>
        <w:rPr>
          <w:rFonts w:hint="eastAsia" w:hAnsi="宋体" w:cs="宋体"/>
          <w:highlight w:val="none"/>
        </w:rPr>
        <w:t>2.2.4除非招标人认为确有必要答复，否则，招标人有权拒绝回复投标人在本章第2.2.1项规定的时间后提出的任何澄清要求。</w:t>
      </w:r>
    </w:p>
    <w:p w14:paraId="0C7A3768">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2.3招标文件的修改</w:t>
      </w:r>
      <w:bookmarkEnd w:id="263"/>
      <w:bookmarkEnd w:id="264"/>
      <w:bookmarkEnd w:id="265"/>
      <w:bookmarkEnd w:id="266"/>
    </w:p>
    <w:p w14:paraId="4B54F5A0">
      <w:pPr>
        <w:spacing w:line="360" w:lineRule="auto"/>
        <w:ind w:firstLine="480" w:firstLineChars="200"/>
        <w:rPr>
          <w:rFonts w:hAnsi="宋体" w:cs="宋体"/>
          <w:highlight w:val="none"/>
        </w:rPr>
      </w:pPr>
      <w:r>
        <w:rPr>
          <w:rFonts w:hint="eastAsia" w:hAnsi="宋体" w:cs="宋体"/>
          <w:highlight w:val="none"/>
        </w:rPr>
        <w:t>2.3.1 招标人对招标文件进行修改的，以投标人须知前附表规定的形式向所有获取招标文件的投标人发出修改文件，修改文件一经发出则视为送达所有获取招标文件的投标人。因投标人未及时查阅上述修改文件而导致的后果由投标人自行承担。</w:t>
      </w:r>
    </w:p>
    <w:p w14:paraId="16F1FFD1">
      <w:pPr>
        <w:spacing w:line="360" w:lineRule="auto"/>
        <w:ind w:firstLine="480" w:firstLineChars="200"/>
        <w:rPr>
          <w:rFonts w:hAnsi="宋体" w:cs="宋体"/>
          <w:highlight w:val="none"/>
        </w:rPr>
      </w:pPr>
      <w:r>
        <w:rPr>
          <w:rFonts w:hint="eastAsia" w:hAnsi="宋体" w:cs="宋体"/>
          <w:highlight w:val="none"/>
        </w:rPr>
        <w:t>2.3.2 修改文件发出的时间距投标截止时间不足15日的，并且修改内容可能影响投标文件编制的，招标人将相应顺延投标截止时间。</w:t>
      </w:r>
    </w:p>
    <w:p w14:paraId="4112AAF5">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2.4招标文件的异议</w:t>
      </w:r>
    </w:p>
    <w:p w14:paraId="6AD5711E">
      <w:pPr>
        <w:spacing w:line="360" w:lineRule="auto"/>
        <w:ind w:firstLine="480" w:firstLineChars="200"/>
        <w:rPr>
          <w:rFonts w:hAnsi="宋体" w:cs="宋体"/>
          <w:highlight w:val="none"/>
        </w:rPr>
      </w:pPr>
      <w:bookmarkStart w:id="267" w:name="_Toc152042322"/>
      <w:bookmarkStart w:id="268" w:name="_Toc179632564"/>
      <w:bookmarkStart w:id="269" w:name="_Toc152045546"/>
      <w:bookmarkStart w:id="270" w:name="_Toc144974514"/>
      <w:r>
        <w:rPr>
          <w:rFonts w:hint="eastAsia" w:hAnsi="宋体" w:cs="宋体"/>
          <w:highlight w:val="none"/>
        </w:rPr>
        <w:t>投标人或者其他利害关系人对招标文件有异议的，应在投标截止时间10日前通过电子交易系统在线</w:t>
      </w:r>
      <w:r>
        <w:rPr>
          <w:rFonts w:hint="eastAsia" w:hAnsi="宋体" w:cs="宋体"/>
          <w:bCs/>
          <w:snapToGrid w:val="0"/>
          <w:highlight w:val="none"/>
        </w:rPr>
        <w:t>提出</w:t>
      </w:r>
      <w:r>
        <w:rPr>
          <w:rFonts w:hint="eastAsia" w:hAnsi="宋体" w:cs="宋体"/>
          <w:highlight w:val="none"/>
        </w:rPr>
        <w:t>或以其他书面形式提出。招标人将在收到异议之日起3日内作出答复；作出答复前，将暂停招标投标活动。</w:t>
      </w:r>
    </w:p>
    <w:p w14:paraId="7B33867B">
      <w:pPr>
        <w:pStyle w:val="4"/>
        <w:spacing w:beforeLines="100" w:afterLines="100" w:line="240" w:lineRule="auto"/>
        <w:rPr>
          <w:rFonts w:ascii="黑体" w:hAnsi="黑体" w:eastAsia="黑体" w:cs="黑体"/>
          <w:b w:val="0"/>
          <w:bCs w:val="0"/>
          <w:highlight w:val="none"/>
        </w:rPr>
      </w:pPr>
      <w:bookmarkStart w:id="271" w:name="_Toc21235"/>
      <w:bookmarkStart w:id="272" w:name="_Toc20205"/>
      <w:bookmarkStart w:id="273" w:name="_Toc140069408"/>
      <w:bookmarkStart w:id="274" w:name="_Toc32210"/>
      <w:r>
        <w:rPr>
          <w:rFonts w:hint="eastAsia" w:ascii="黑体" w:hAnsi="黑体" w:eastAsia="黑体" w:cs="黑体"/>
          <w:b w:val="0"/>
          <w:bCs w:val="0"/>
          <w:highlight w:val="none"/>
        </w:rPr>
        <w:t>3. 投标文件</w:t>
      </w:r>
      <w:bookmarkEnd w:id="267"/>
      <w:bookmarkEnd w:id="268"/>
      <w:bookmarkEnd w:id="269"/>
      <w:bookmarkEnd w:id="270"/>
      <w:bookmarkEnd w:id="271"/>
      <w:bookmarkEnd w:id="272"/>
      <w:bookmarkEnd w:id="273"/>
      <w:bookmarkEnd w:id="274"/>
    </w:p>
    <w:p w14:paraId="5D1BB09B">
      <w:pPr>
        <w:pStyle w:val="2"/>
        <w:spacing w:beforeLines="100" w:afterLines="100" w:line="240" w:lineRule="auto"/>
        <w:rPr>
          <w:rFonts w:cs="黑体"/>
          <w:snapToGrid w:val="0"/>
          <w:highlight w:val="none"/>
          <w:shd w:val="clear" w:color="auto" w:fill="FFFFFF"/>
          <w:lang w:val="zh-CN"/>
        </w:rPr>
      </w:pPr>
      <w:bookmarkStart w:id="275" w:name="_Toc152045547"/>
      <w:bookmarkStart w:id="276" w:name="_Toc144974515"/>
      <w:bookmarkStart w:id="277" w:name="_Toc179632565"/>
      <w:bookmarkStart w:id="278" w:name="_Toc152042323"/>
      <w:r>
        <w:rPr>
          <w:rFonts w:hint="eastAsia" w:cs="黑体"/>
          <w:snapToGrid w:val="0"/>
          <w:highlight w:val="none"/>
          <w:shd w:val="clear" w:color="auto" w:fill="FFFFFF"/>
          <w:lang w:val="zh-CN"/>
        </w:rPr>
        <w:t>3.1投标文件的组成</w:t>
      </w:r>
      <w:bookmarkEnd w:id="275"/>
      <w:bookmarkEnd w:id="276"/>
      <w:bookmarkEnd w:id="277"/>
      <w:bookmarkEnd w:id="278"/>
    </w:p>
    <w:p w14:paraId="6CBA496E">
      <w:pPr>
        <w:spacing w:line="360" w:lineRule="auto"/>
        <w:ind w:firstLine="480" w:firstLineChars="200"/>
        <w:rPr>
          <w:rFonts w:hAnsi="宋体" w:cs="宋体"/>
          <w:highlight w:val="none"/>
        </w:rPr>
      </w:pPr>
      <w:r>
        <w:rPr>
          <w:rFonts w:hint="eastAsia" w:hAnsi="宋体" w:cs="宋体"/>
          <w:highlight w:val="none"/>
        </w:rPr>
        <w:t>3.1.1 投标文件应包括下列内容：</w:t>
      </w:r>
    </w:p>
    <w:p w14:paraId="2D04064E">
      <w:pPr>
        <w:spacing w:line="360" w:lineRule="auto"/>
        <w:ind w:firstLine="480" w:firstLineChars="200"/>
        <w:rPr>
          <w:rFonts w:hAnsi="宋体" w:cs="宋体"/>
          <w:bCs/>
          <w:snapToGrid w:val="0"/>
          <w:highlight w:val="none"/>
        </w:rPr>
      </w:pPr>
      <w:r>
        <w:rPr>
          <w:rFonts w:hint="eastAsia" w:hAnsi="宋体" w:cs="宋体"/>
          <w:bCs/>
          <w:snapToGrid w:val="0"/>
          <w:highlight w:val="none"/>
        </w:rPr>
        <w:t>（1）商务文件</w:t>
      </w:r>
    </w:p>
    <w:p w14:paraId="503E3E3D">
      <w:pPr>
        <w:spacing w:line="360" w:lineRule="auto"/>
        <w:ind w:firstLine="480" w:firstLineChars="200"/>
        <w:rPr>
          <w:rFonts w:hAnsi="宋体" w:cs="宋体"/>
          <w:bCs/>
          <w:snapToGrid w:val="0"/>
          <w:highlight w:val="none"/>
        </w:rPr>
      </w:pPr>
      <w:r>
        <w:rPr>
          <w:rFonts w:hint="eastAsia" w:hAnsi="宋体" w:cs="宋体"/>
          <w:bCs/>
          <w:snapToGrid w:val="0"/>
          <w:highlight w:val="none"/>
        </w:rPr>
        <w:t>（2）技术文件</w:t>
      </w:r>
    </w:p>
    <w:p w14:paraId="636E460B">
      <w:pPr>
        <w:spacing w:line="360" w:lineRule="auto"/>
        <w:ind w:firstLine="480" w:firstLineChars="200"/>
        <w:rPr>
          <w:rFonts w:hAnsi="宋体" w:cs="宋体"/>
          <w:bCs/>
          <w:snapToGrid w:val="0"/>
          <w:highlight w:val="none"/>
        </w:rPr>
      </w:pPr>
      <w:r>
        <w:rPr>
          <w:rFonts w:hint="eastAsia" w:hAnsi="宋体" w:cs="宋体"/>
          <w:bCs/>
          <w:snapToGrid w:val="0"/>
          <w:highlight w:val="none"/>
        </w:rPr>
        <w:t>（3）报价文件</w:t>
      </w:r>
    </w:p>
    <w:p w14:paraId="2FE629F8">
      <w:pPr>
        <w:spacing w:line="360" w:lineRule="auto"/>
        <w:ind w:firstLine="480" w:firstLineChars="200"/>
        <w:rPr>
          <w:rFonts w:hAnsi="宋体" w:cs="宋体"/>
          <w:highlight w:val="none"/>
        </w:rPr>
      </w:pPr>
      <w:r>
        <w:rPr>
          <w:rFonts w:hint="eastAsia" w:hAnsi="宋体" w:cs="宋体"/>
          <w:bCs/>
          <w:snapToGrid w:val="0"/>
          <w:highlight w:val="none"/>
        </w:rPr>
        <w:t>3.1.2 投标人在评标过程中作出的符合法律法规和招标文件规定的澄清、说明和确认，构成投标文件的组成部分。</w:t>
      </w:r>
    </w:p>
    <w:p w14:paraId="4DC174F5">
      <w:pPr>
        <w:pStyle w:val="2"/>
        <w:spacing w:beforeLines="100" w:afterLines="100" w:line="240" w:lineRule="auto"/>
        <w:rPr>
          <w:rFonts w:cs="黑体"/>
          <w:snapToGrid w:val="0"/>
          <w:highlight w:val="none"/>
          <w:shd w:val="clear" w:color="auto" w:fill="FFFFFF"/>
          <w:lang w:val="zh-CN"/>
        </w:rPr>
      </w:pPr>
      <w:bookmarkStart w:id="279" w:name="_Toc152045548"/>
      <w:bookmarkStart w:id="280" w:name="_Toc179632566"/>
      <w:bookmarkStart w:id="281" w:name="_Toc144974516"/>
      <w:bookmarkStart w:id="282" w:name="_Toc152042324"/>
      <w:r>
        <w:rPr>
          <w:rFonts w:hint="eastAsia" w:cs="黑体"/>
          <w:snapToGrid w:val="0"/>
          <w:highlight w:val="none"/>
          <w:shd w:val="clear" w:color="auto" w:fill="FFFFFF"/>
          <w:lang w:val="zh-CN"/>
        </w:rPr>
        <w:t>3.2投标报价</w:t>
      </w:r>
      <w:bookmarkEnd w:id="279"/>
      <w:bookmarkEnd w:id="280"/>
      <w:bookmarkEnd w:id="281"/>
      <w:bookmarkEnd w:id="282"/>
    </w:p>
    <w:p w14:paraId="689C4C48">
      <w:pPr>
        <w:spacing w:line="360" w:lineRule="auto"/>
        <w:ind w:firstLine="480" w:firstLineChars="200"/>
        <w:rPr>
          <w:rFonts w:hAnsi="宋体" w:cs="宋体"/>
          <w:highlight w:val="none"/>
        </w:rPr>
      </w:pPr>
      <w:bookmarkStart w:id="283" w:name="_Toc144974517"/>
      <w:bookmarkStart w:id="284" w:name="_Toc152042325"/>
      <w:bookmarkStart w:id="285" w:name="_Toc152045549"/>
      <w:bookmarkStart w:id="286" w:name="_Toc179632567"/>
      <w:r>
        <w:rPr>
          <w:rFonts w:hint="eastAsia" w:hAnsi="宋体" w:cs="宋体"/>
          <w:highlight w:val="none"/>
        </w:rPr>
        <w:t>3.2.1 投标报价应包括国家规定的增值税税金，除投标人须知前附表另有规定外，增值税税金按照一般计税方法计算。投标人应按照第六章“投标文件格式”的要求在报价文件投标函中进行报价并填写分项报价表。</w:t>
      </w:r>
    </w:p>
    <w:p w14:paraId="60C0B7B1">
      <w:pPr>
        <w:spacing w:line="360" w:lineRule="auto"/>
        <w:ind w:firstLine="480" w:firstLineChars="200"/>
        <w:rPr>
          <w:rFonts w:hAnsi="宋体" w:cs="宋体"/>
          <w:highlight w:val="none"/>
        </w:rPr>
      </w:pPr>
      <w:r>
        <w:rPr>
          <w:rFonts w:hint="eastAsia" w:hAnsi="宋体" w:cs="宋体"/>
          <w:highlight w:val="none"/>
        </w:rPr>
        <w:t>3.2.2 投标人应充分了解本项目的总体情况以及影响投标报价的其他要素。</w:t>
      </w:r>
    </w:p>
    <w:p w14:paraId="4FA6B8AD">
      <w:pPr>
        <w:spacing w:line="360" w:lineRule="auto"/>
        <w:ind w:firstLine="480" w:firstLineChars="200"/>
        <w:rPr>
          <w:rFonts w:hAnsi="宋体" w:cs="宋体"/>
          <w:highlight w:val="none"/>
        </w:rPr>
      </w:pPr>
      <w:r>
        <w:rPr>
          <w:rFonts w:hint="eastAsia" w:hAnsi="宋体" w:cs="宋体"/>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报价文件投标函中的投标报价，应同时修改投标文件“分项报价表”中的相应报价。此修改须符合本章第4.3款的有关要求。</w:t>
      </w:r>
    </w:p>
    <w:p w14:paraId="604B081B">
      <w:pPr>
        <w:spacing w:line="360" w:lineRule="auto"/>
        <w:ind w:firstLine="480" w:firstLineChars="200"/>
        <w:rPr>
          <w:rFonts w:hAnsi="宋体" w:cs="宋体"/>
          <w:highlight w:val="none"/>
        </w:rPr>
      </w:pPr>
      <w:r>
        <w:rPr>
          <w:rFonts w:hint="eastAsia" w:hAnsi="宋体" w:cs="宋体"/>
          <w:highlight w:val="none"/>
        </w:rPr>
        <w:t>3.2.4招标人设有最高投标限价的，投标人的投标报价不得超过最高投标限价，最高投标限价在投标人须知前附表中载明。</w:t>
      </w:r>
    </w:p>
    <w:p w14:paraId="363E293A">
      <w:pPr>
        <w:spacing w:line="360" w:lineRule="auto"/>
        <w:ind w:firstLine="480" w:firstLineChars="200"/>
        <w:rPr>
          <w:rFonts w:hAnsi="宋体" w:cs="宋体"/>
          <w:highlight w:val="none"/>
        </w:rPr>
      </w:pPr>
      <w:r>
        <w:rPr>
          <w:rFonts w:hint="eastAsia" w:hAnsi="宋体" w:cs="宋体"/>
          <w:highlight w:val="none"/>
        </w:rPr>
        <w:t>3.2.5 投标报价的其他要求见投标人须知前附表。</w:t>
      </w:r>
    </w:p>
    <w:p w14:paraId="607D8E78">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3.3投标有效期</w:t>
      </w:r>
      <w:bookmarkEnd w:id="283"/>
      <w:bookmarkEnd w:id="284"/>
      <w:bookmarkEnd w:id="285"/>
      <w:bookmarkEnd w:id="286"/>
    </w:p>
    <w:p w14:paraId="14FBA5C6">
      <w:pPr>
        <w:spacing w:line="360" w:lineRule="auto"/>
        <w:ind w:firstLine="480" w:firstLineChars="200"/>
        <w:rPr>
          <w:rFonts w:hAnsi="宋体" w:cs="宋体"/>
          <w:highlight w:val="none"/>
        </w:rPr>
      </w:pPr>
      <w:bookmarkStart w:id="287" w:name="_Toc152042326"/>
      <w:bookmarkStart w:id="288" w:name="_Toc152045550"/>
      <w:bookmarkStart w:id="289" w:name="_Toc179632568"/>
      <w:bookmarkStart w:id="290" w:name="_Toc144974518"/>
      <w:r>
        <w:rPr>
          <w:rFonts w:hint="eastAsia" w:hAnsi="宋体" w:cs="宋体"/>
          <w:highlight w:val="none"/>
        </w:rPr>
        <w:t>3.3.1 除投标人须知前附表另有规定外，投标有效期为120日。</w:t>
      </w:r>
    </w:p>
    <w:p w14:paraId="4BFF2143">
      <w:pPr>
        <w:spacing w:line="360" w:lineRule="auto"/>
        <w:ind w:firstLine="480" w:firstLineChars="200"/>
        <w:rPr>
          <w:rFonts w:hAnsi="宋体" w:cs="宋体"/>
          <w:highlight w:val="none"/>
        </w:rPr>
      </w:pPr>
      <w:r>
        <w:rPr>
          <w:rFonts w:hint="eastAsia" w:hAnsi="宋体" w:cs="宋体"/>
          <w:highlight w:val="none"/>
        </w:rPr>
        <w:t>3.3.2 在投标有效期内，投标人撤销投标文件的，应承担招标文件和法律规定的责任。</w:t>
      </w:r>
    </w:p>
    <w:p w14:paraId="5114794C">
      <w:pPr>
        <w:spacing w:line="360" w:lineRule="auto"/>
        <w:ind w:firstLine="480" w:firstLineChars="200"/>
        <w:rPr>
          <w:rFonts w:hAnsi="宋体" w:cs="宋体"/>
          <w:highlight w:val="none"/>
        </w:rPr>
      </w:pPr>
      <w:r>
        <w:rPr>
          <w:rFonts w:hint="eastAsia" w:hAnsi="宋体" w:cs="宋体"/>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银行转账、银行电汇）形式递交的投标保证金的银行同期活期存款利息。</w:t>
      </w:r>
    </w:p>
    <w:p w14:paraId="0C904B43">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3.4投标保证金</w:t>
      </w:r>
      <w:bookmarkEnd w:id="287"/>
      <w:bookmarkEnd w:id="288"/>
      <w:bookmarkEnd w:id="289"/>
      <w:bookmarkEnd w:id="290"/>
    </w:p>
    <w:p w14:paraId="2CD7FCFB">
      <w:pPr>
        <w:spacing w:line="360" w:lineRule="auto"/>
        <w:ind w:firstLine="480" w:firstLineChars="200"/>
        <w:rPr>
          <w:rFonts w:hAnsi="宋体" w:cs="宋体"/>
          <w:highlight w:val="none"/>
        </w:rPr>
      </w:pPr>
      <w:bookmarkStart w:id="291" w:name="_Toc144974520"/>
      <w:bookmarkStart w:id="292" w:name="_Toc152045552"/>
      <w:bookmarkStart w:id="293" w:name="_Toc152042328"/>
      <w:bookmarkStart w:id="294" w:name="_Toc179632570"/>
      <w:r>
        <w:rPr>
          <w:rFonts w:hint="eastAsia" w:hAnsi="宋体" w:cs="宋体"/>
          <w:highlight w:val="none"/>
        </w:rPr>
        <w:t>3.4.1 招标人在投标人须知前附表中要求投标人提交投标保证金的，投标人在递交投标文件的同时，应按照投标人须知前附表规定的金额、形式和第六章“投标文件格式”规定的投标保证金格式提交投标保证金，并作为其投标文件的组成部分。</w:t>
      </w:r>
    </w:p>
    <w:p w14:paraId="45576F06">
      <w:pPr>
        <w:spacing w:line="360" w:lineRule="auto"/>
        <w:ind w:firstLine="480" w:firstLineChars="200"/>
        <w:rPr>
          <w:rFonts w:hAnsi="宋体" w:cs="宋体"/>
          <w:highlight w:val="none"/>
        </w:rPr>
      </w:pPr>
      <w:r>
        <w:rPr>
          <w:rFonts w:hint="eastAsia" w:hAnsi="宋体" w:cs="宋体"/>
          <w:highlight w:val="none"/>
        </w:rPr>
        <w:t>境内投标人以现金（银行转账、银行电汇）形式提交的投标保证金应当从其基本存款账户转出。联合体投标的，其投标保证金由牵头人递交，并应符合投标人须知前附表的规定。</w:t>
      </w:r>
    </w:p>
    <w:p w14:paraId="7B90AEE4">
      <w:pPr>
        <w:spacing w:line="360" w:lineRule="auto"/>
        <w:ind w:firstLine="480" w:firstLineChars="200"/>
        <w:rPr>
          <w:rFonts w:hAnsi="宋体" w:cs="宋体"/>
          <w:highlight w:val="none"/>
        </w:rPr>
      </w:pPr>
      <w:r>
        <w:rPr>
          <w:rFonts w:hint="eastAsia" w:hAnsi="宋体" w:cs="宋体"/>
          <w:highlight w:val="none"/>
        </w:rPr>
        <w:t>无论采取何种形式的投标保证金，投标保证金有效期均应与投标有效期一致。招标人如果按照本章第3.3.3项的规定延长了投标有效期，则投标保证金的有效期也相应延长。</w:t>
      </w:r>
    </w:p>
    <w:p w14:paraId="252A5218">
      <w:pPr>
        <w:spacing w:line="360" w:lineRule="auto"/>
        <w:ind w:firstLine="480" w:firstLineChars="200"/>
        <w:rPr>
          <w:rFonts w:hAnsi="宋体" w:cs="宋体"/>
          <w:highlight w:val="none"/>
        </w:rPr>
      </w:pPr>
      <w:r>
        <w:rPr>
          <w:rFonts w:hint="eastAsia" w:hAnsi="宋体" w:cs="宋体"/>
          <w:highlight w:val="none"/>
        </w:rPr>
        <w:t>3.4.2 投标人不按照本章第3.4.1项要求提交投标保证金的，评标委员会将否决其投标。</w:t>
      </w:r>
    </w:p>
    <w:p w14:paraId="4862163A">
      <w:pPr>
        <w:spacing w:line="360" w:lineRule="auto"/>
        <w:ind w:firstLine="480" w:firstLineChars="200"/>
        <w:rPr>
          <w:rFonts w:hAnsi="宋体" w:cs="宋体"/>
          <w:highlight w:val="none"/>
        </w:rPr>
      </w:pPr>
      <w:r>
        <w:rPr>
          <w:rFonts w:hint="eastAsia" w:hAnsi="宋体" w:cs="宋体"/>
          <w:highlight w:val="none"/>
        </w:rPr>
        <w:t xml:space="preserve">3.4.3 </w:t>
      </w:r>
      <w:r>
        <w:rPr>
          <w:rFonts w:hint="eastAsia" w:ascii="Times New Roman"/>
          <w:highlight w:val="none"/>
        </w:rPr>
        <w:t>除投标人须知前附表另有规定外，</w:t>
      </w:r>
      <w:r>
        <w:rPr>
          <w:rFonts w:hint="eastAsia" w:hAnsi="宋体" w:cs="宋体"/>
          <w:highlight w:val="none"/>
        </w:rPr>
        <w:t>招标人最迟将在中标通知书发出后5日内向中标候选人以外的其他投标人退还投标保证金，与中标人签订合同后5日内向中标人和其他中标候选人退还投标保证金。投标保证金以现金（银行转账、银行电汇）形式提交的，招标人应同时退还投标保证金的银行同期活期存款利息，且退还至投标人的基本存款账户。其他形式的投标保证金，在投标有效期届满时自动失效的，无需退还。</w:t>
      </w:r>
    </w:p>
    <w:p w14:paraId="71DE6DBF">
      <w:pPr>
        <w:spacing w:line="360" w:lineRule="auto"/>
        <w:ind w:firstLine="480" w:firstLineChars="200"/>
        <w:rPr>
          <w:rFonts w:hAnsi="宋体" w:cs="宋体"/>
          <w:highlight w:val="none"/>
        </w:rPr>
      </w:pPr>
      <w:r>
        <w:rPr>
          <w:rFonts w:hint="eastAsia" w:hAnsi="宋体" w:cs="宋体"/>
          <w:highlight w:val="none"/>
        </w:rPr>
        <w:t>3.4.4 有下列情形之一的，投标保证金将不予退还：</w:t>
      </w:r>
    </w:p>
    <w:p w14:paraId="4DD6AF33">
      <w:pPr>
        <w:spacing w:line="360" w:lineRule="auto"/>
        <w:ind w:firstLine="480" w:firstLineChars="200"/>
        <w:rPr>
          <w:rFonts w:hAnsi="宋体" w:cs="宋体"/>
          <w:highlight w:val="none"/>
        </w:rPr>
      </w:pPr>
      <w:r>
        <w:rPr>
          <w:rFonts w:hint="eastAsia" w:hAnsi="宋体" w:cs="宋体"/>
          <w:highlight w:val="none"/>
        </w:rPr>
        <w:t>（1）投标人在规定的投标有效期内撤销其投标文件；</w:t>
      </w:r>
    </w:p>
    <w:p w14:paraId="695C27D6">
      <w:pPr>
        <w:spacing w:line="360" w:lineRule="auto"/>
        <w:ind w:firstLine="480" w:firstLineChars="200"/>
        <w:rPr>
          <w:rFonts w:hAnsi="宋体" w:cs="宋体"/>
          <w:highlight w:val="none"/>
        </w:rPr>
      </w:pPr>
      <w:r>
        <w:rPr>
          <w:rFonts w:hint="eastAsia" w:hAnsi="宋体" w:cs="宋体"/>
          <w:highlight w:val="none"/>
        </w:rPr>
        <w:t>（2）中标人在收到中标通知书后，无正当理由不与招标人订立合同，或在签订合同时向招标人提出附加条件，或不按照招标文件要求提交履约保证金；</w:t>
      </w:r>
    </w:p>
    <w:p w14:paraId="1A271719">
      <w:pPr>
        <w:spacing w:line="360" w:lineRule="auto"/>
        <w:ind w:firstLine="480" w:firstLineChars="200"/>
        <w:rPr>
          <w:rFonts w:hAnsi="宋体" w:cs="宋体"/>
          <w:highlight w:val="none"/>
        </w:rPr>
      </w:pPr>
      <w:r>
        <w:rPr>
          <w:rFonts w:hint="eastAsia" w:hAnsi="宋体" w:cs="宋体"/>
          <w:highlight w:val="none"/>
        </w:rPr>
        <w:t>（3）发生投标人须知前附表规定的其他不予退还投标保证金的情形。</w:t>
      </w:r>
    </w:p>
    <w:p w14:paraId="353E3B12">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3.5资格审查资料</w:t>
      </w:r>
      <w:bookmarkEnd w:id="291"/>
      <w:bookmarkEnd w:id="292"/>
      <w:bookmarkEnd w:id="293"/>
      <w:bookmarkEnd w:id="294"/>
    </w:p>
    <w:p w14:paraId="7B7B01F6">
      <w:pPr>
        <w:spacing w:line="360" w:lineRule="auto"/>
        <w:ind w:firstLine="480" w:firstLineChars="200"/>
        <w:rPr>
          <w:rFonts w:hAnsi="宋体" w:cs="宋体"/>
          <w:bCs/>
          <w:snapToGrid w:val="0"/>
          <w:highlight w:val="none"/>
        </w:rPr>
      </w:pPr>
      <w:r>
        <w:rPr>
          <w:rFonts w:hint="eastAsia" w:hAnsi="宋体" w:cs="宋体"/>
          <w:bCs/>
          <w:snapToGrid w:val="0"/>
          <w:highlight w:val="none"/>
        </w:rPr>
        <w:t>3.5.1 投标人应</w:t>
      </w:r>
      <w:r>
        <w:rPr>
          <w:rFonts w:hint="eastAsia" w:hAnsi="宋体" w:cs="宋体"/>
          <w:highlight w:val="none"/>
        </w:rPr>
        <w:t>按照</w:t>
      </w:r>
      <w:r>
        <w:rPr>
          <w:rFonts w:hint="eastAsia" w:hAnsi="宋体" w:cs="宋体"/>
          <w:bCs/>
          <w:snapToGrid w:val="0"/>
          <w:highlight w:val="none"/>
        </w:rPr>
        <w:t>投标人须知前附表附录要求提供资格审查资料，内容及格式见第六章“投标文件格式”要求。</w:t>
      </w:r>
    </w:p>
    <w:p w14:paraId="71F9CBD0">
      <w:pPr>
        <w:spacing w:line="360" w:lineRule="auto"/>
        <w:ind w:firstLine="480" w:firstLineChars="200"/>
        <w:rPr>
          <w:rFonts w:hAnsi="宋体" w:cs="宋体"/>
          <w:bCs/>
          <w:snapToGrid w:val="0"/>
          <w:highlight w:val="none"/>
        </w:rPr>
      </w:pPr>
      <w:r>
        <w:rPr>
          <w:rFonts w:hint="eastAsia" w:hAnsi="宋体" w:cs="宋体"/>
          <w:bCs/>
          <w:snapToGrid w:val="0"/>
          <w:highlight w:val="none"/>
        </w:rPr>
        <w:t>3.5.2 投标人须知前附表规定接受联合体投标的，资格审查资料应包括联合体各方相关情况。</w:t>
      </w:r>
    </w:p>
    <w:p w14:paraId="37F9879E">
      <w:pPr>
        <w:spacing w:line="360" w:lineRule="auto"/>
        <w:ind w:firstLine="480" w:firstLineChars="200"/>
        <w:rPr>
          <w:rFonts w:hAnsi="宋体" w:cs="宋体"/>
          <w:bCs/>
          <w:snapToGrid w:val="0"/>
          <w:highlight w:val="none"/>
        </w:rPr>
      </w:pPr>
      <w:bookmarkStart w:id="295" w:name="_Toc179632571"/>
      <w:bookmarkStart w:id="296" w:name="_Toc152042329"/>
      <w:bookmarkStart w:id="297" w:name="_Toc144974521"/>
      <w:bookmarkStart w:id="298" w:name="_Toc152045553"/>
      <w:r>
        <w:rPr>
          <w:rFonts w:hint="eastAsia" w:hAnsi="宋体" w:cs="宋体"/>
          <w:bCs/>
          <w:snapToGrid w:val="0"/>
          <w:highlight w:val="none"/>
        </w:rPr>
        <w:t>3.5.3 招标人有权核查投标人在投标文件中提供的材料，若在评标期间发现投标人提供了虚假材料，其投标将被否决；若在签订合同前发现中标候选人、中标人提供了虚假材料，招标人有权取消其中标候选资格、中标资格。同时招标人将报公共资源交易监督管理部门。</w:t>
      </w:r>
    </w:p>
    <w:p w14:paraId="73BC1182">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3.6备选投标方案</w:t>
      </w:r>
      <w:bookmarkEnd w:id="295"/>
      <w:bookmarkEnd w:id="296"/>
      <w:bookmarkEnd w:id="297"/>
      <w:bookmarkEnd w:id="298"/>
    </w:p>
    <w:p w14:paraId="06BF3E07">
      <w:pPr>
        <w:spacing w:line="360" w:lineRule="auto"/>
        <w:ind w:firstLine="480" w:firstLineChars="200"/>
        <w:rPr>
          <w:rFonts w:hAnsi="宋体" w:cs="宋体"/>
          <w:highlight w:val="none"/>
        </w:rPr>
      </w:pPr>
      <w:bookmarkStart w:id="299" w:name="_Toc144974522"/>
      <w:bookmarkStart w:id="300" w:name="_Toc179632572"/>
      <w:bookmarkStart w:id="301" w:name="_Toc152042330"/>
      <w:bookmarkStart w:id="302" w:name="_Toc152045554"/>
      <w:r>
        <w:rPr>
          <w:rFonts w:hint="eastAsia" w:hAnsi="宋体" w:cs="宋体"/>
          <w:highlight w:val="none"/>
        </w:rPr>
        <w:t xml:space="preserve">3.6.1 </w:t>
      </w:r>
      <w:r>
        <w:rPr>
          <w:rFonts w:hint="eastAsia" w:hAnsi="宋体" w:cs="宋体"/>
          <w:bCs/>
          <w:snapToGrid w:val="0"/>
          <w:highlight w:val="none"/>
        </w:rPr>
        <w:t>除投标人须知前附表规定允许外，投标人不得递交备选投标方案，否则其投标将被否决。</w:t>
      </w:r>
    </w:p>
    <w:p w14:paraId="74F7A50F">
      <w:pPr>
        <w:spacing w:line="360" w:lineRule="auto"/>
        <w:ind w:firstLine="480" w:firstLineChars="200"/>
        <w:rPr>
          <w:rFonts w:hAnsi="宋体" w:cs="宋体"/>
          <w:highlight w:val="none"/>
        </w:rPr>
      </w:pPr>
      <w:r>
        <w:rPr>
          <w:rFonts w:hint="eastAsia" w:hAnsi="宋体" w:cs="宋体"/>
          <w:highlight w:val="none"/>
        </w:rPr>
        <w:t xml:space="preserve">3.6.2 </w:t>
      </w:r>
      <w:r>
        <w:rPr>
          <w:rFonts w:hint="eastAsia" w:hAnsi="宋体" w:cs="宋体"/>
          <w:bCs/>
          <w:snapToGrid w:val="0"/>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93853B3">
      <w:pPr>
        <w:spacing w:line="360" w:lineRule="auto"/>
        <w:ind w:firstLine="480" w:firstLineChars="200"/>
        <w:rPr>
          <w:rFonts w:hAnsi="宋体" w:cs="宋体"/>
          <w:bCs/>
          <w:snapToGrid w:val="0"/>
          <w:highlight w:val="none"/>
        </w:rPr>
      </w:pPr>
      <w:r>
        <w:rPr>
          <w:rFonts w:hint="eastAsia" w:hAnsi="宋体" w:cs="宋体"/>
          <w:highlight w:val="none"/>
        </w:rPr>
        <w:t xml:space="preserve">3.6.3 </w:t>
      </w:r>
      <w:r>
        <w:rPr>
          <w:rFonts w:hint="eastAsia" w:hAnsi="宋体" w:cs="宋体"/>
          <w:bCs/>
          <w:snapToGrid w:val="0"/>
          <w:highlight w:val="none"/>
        </w:rPr>
        <w:t>投标人提供两个或两个以上投标报价，或在投标文件中提供一个报价，但同时提供两个或两个以上供货方案的，视为提供备选方案。</w:t>
      </w:r>
    </w:p>
    <w:p w14:paraId="1B2DD68E">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3.7投标文件的编制</w:t>
      </w:r>
      <w:bookmarkEnd w:id="299"/>
      <w:bookmarkEnd w:id="300"/>
      <w:bookmarkEnd w:id="301"/>
      <w:bookmarkEnd w:id="302"/>
    </w:p>
    <w:p w14:paraId="612F2D3F">
      <w:pPr>
        <w:spacing w:line="360" w:lineRule="auto"/>
        <w:ind w:firstLine="480" w:firstLineChars="200"/>
        <w:rPr>
          <w:rFonts w:hAnsi="宋体" w:cs="宋体"/>
          <w:highlight w:val="none"/>
        </w:rPr>
      </w:pPr>
      <w:r>
        <w:rPr>
          <w:rFonts w:hint="eastAsia" w:hAnsi="宋体" w:cs="宋体"/>
          <w:highlight w:val="none"/>
        </w:rPr>
        <w:t>3.7.1投标文件应按照第六章“投标文件格式”进行编写，如有必要，可以增加附页，作为投标文件的组成部分。投标函在满足招标文件实质性要求的基础上，可以提出比招标文件要求更有利于招标人的承诺。</w:t>
      </w:r>
    </w:p>
    <w:p w14:paraId="0464015D">
      <w:pPr>
        <w:spacing w:line="360" w:lineRule="auto"/>
        <w:ind w:firstLine="480" w:firstLineChars="200"/>
        <w:rPr>
          <w:rFonts w:hAnsi="宋体" w:cs="宋体"/>
          <w:highlight w:val="none"/>
        </w:rPr>
      </w:pPr>
      <w:r>
        <w:rPr>
          <w:rFonts w:hint="eastAsia" w:hAnsi="宋体" w:cs="宋体"/>
          <w:highlight w:val="none"/>
        </w:rPr>
        <w:t>3.7.2 投标文件应当对招标文件有关交货及安装周期、投标有效期、供货要求、招标范围等实质性内容作出响应。投标文件在满足招标文件实质性要求的基础上，可以提出比招标文件要求更有利于招标人的承诺。</w:t>
      </w:r>
    </w:p>
    <w:p w14:paraId="7F8F07ED">
      <w:pPr>
        <w:spacing w:line="360" w:lineRule="auto"/>
        <w:ind w:firstLine="480" w:firstLineChars="200"/>
        <w:rPr>
          <w:rFonts w:hAnsi="宋体" w:cs="宋体"/>
          <w:snapToGrid w:val="0"/>
          <w:highlight w:val="none"/>
          <w:shd w:val="clear" w:color="auto" w:fill="FFFFFF"/>
        </w:rPr>
      </w:pPr>
      <w:r>
        <w:rPr>
          <w:rFonts w:hint="eastAsia" w:hAnsi="宋体" w:cs="宋体"/>
          <w:snapToGrid w:val="0"/>
          <w:highlight w:val="none"/>
          <w:shd w:val="clear" w:color="auto" w:fill="FFFFFF"/>
        </w:rPr>
        <w:t>3.7.3 投标文件的制作应满足以下规定：</w:t>
      </w:r>
    </w:p>
    <w:p w14:paraId="5460E403">
      <w:pPr>
        <w:spacing w:line="360" w:lineRule="auto"/>
        <w:ind w:firstLine="480" w:firstLineChars="200"/>
        <w:rPr>
          <w:rFonts w:hAnsi="宋体" w:cs="宋体"/>
          <w:snapToGrid w:val="0"/>
          <w:highlight w:val="none"/>
          <w:shd w:val="clear" w:color="auto" w:fill="FFFFFF"/>
        </w:rPr>
      </w:pPr>
      <w:r>
        <w:rPr>
          <w:rFonts w:hint="eastAsia" w:hAnsi="宋体" w:cs="宋体"/>
          <w:snapToGrid w:val="0"/>
          <w:highlight w:val="none"/>
          <w:shd w:val="clear" w:color="auto" w:fill="FFFFFF"/>
        </w:rPr>
        <w:t>（1）投标文件由投标人使用电子交易系统提供的“投标文件制作工具”制作生成。“投标文件制作工具”可以通过电子交易系统下载。</w:t>
      </w:r>
    </w:p>
    <w:p w14:paraId="4B9C4DF6">
      <w:pPr>
        <w:spacing w:line="360" w:lineRule="auto"/>
        <w:ind w:firstLine="480" w:firstLineChars="200"/>
        <w:rPr>
          <w:rFonts w:hAnsi="宋体" w:cs="宋体"/>
          <w:snapToGrid w:val="0"/>
          <w:highlight w:val="none"/>
          <w:shd w:val="clear" w:color="auto" w:fill="FFFFFF"/>
        </w:rPr>
      </w:pPr>
      <w:r>
        <w:rPr>
          <w:rFonts w:hint="eastAsia" w:hAnsi="宋体" w:cs="宋体"/>
          <w:snapToGrid w:val="0"/>
          <w:highlight w:val="none"/>
          <w:shd w:val="clear" w:color="auto" w:fill="FFFFFF"/>
        </w:rPr>
        <w:t>（2）在第六章“投标文件格式”中要求盖单位章和（或）签字处，投标人应加盖投标人单位电子印章和（或）法定代表人的个人电子印章/电子签名章。联合体投标的，除联合体协议书外，投标文件由联合体牵头人</w:t>
      </w:r>
      <w:r>
        <w:rPr>
          <w:rFonts w:hint="eastAsia" w:hAnsi="宋体" w:cs="宋体"/>
          <w:highlight w:val="none"/>
        </w:rPr>
        <w:t>按照</w:t>
      </w:r>
      <w:r>
        <w:rPr>
          <w:rFonts w:hint="eastAsia" w:hAnsi="宋体" w:cs="宋体"/>
          <w:snapToGrid w:val="0"/>
          <w:highlight w:val="none"/>
          <w:shd w:val="clear" w:color="auto" w:fill="FFFFFF"/>
        </w:rPr>
        <w:t>上述规定加盖联合体牵头人单位电子印章和（或）法定代表人的个人电子印章/电子签名章。</w:t>
      </w:r>
    </w:p>
    <w:p w14:paraId="64B4E5F2">
      <w:pPr>
        <w:spacing w:line="360" w:lineRule="auto"/>
        <w:ind w:firstLine="480" w:firstLineChars="200"/>
        <w:rPr>
          <w:rFonts w:hAnsi="宋体" w:cs="宋体"/>
          <w:snapToGrid w:val="0"/>
          <w:highlight w:val="none"/>
          <w:shd w:val="clear" w:color="auto" w:fill="FFFFFF"/>
        </w:rPr>
      </w:pPr>
      <w:r>
        <w:rPr>
          <w:rFonts w:hint="eastAsia" w:hAnsi="宋体" w:cs="宋体"/>
          <w:snapToGrid w:val="0"/>
          <w:highlight w:val="none"/>
          <w:shd w:val="clear" w:color="auto" w:fill="FFFFFF"/>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53533F31">
      <w:pPr>
        <w:spacing w:line="360" w:lineRule="auto"/>
        <w:ind w:firstLine="480" w:firstLineChars="200"/>
        <w:rPr>
          <w:rFonts w:hAnsi="宋体" w:cs="宋体"/>
          <w:highlight w:val="none"/>
        </w:rPr>
      </w:pPr>
      <w:r>
        <w:rPr>
          <w:rFonts w:hint="eastAsia" w:hAnsi="宋体" w:cs="宋体"/>
          <w:highlight w:val="none"/>
        </w:rPr>
        <w:t>（4）投标文件中的证明材料接受扫描件（包括电子证照等电子件）形式。</w:t>
      </w:r>
    </w:p>
    <w:p w14:paraId="6395B465">
      <w:pPr>
        <w:spacing w:line="360" w:lineRule="auto"/>
        <w:ind w:firstLine="480" w:firstLineChars="200"/>
        <w:rPr>
          <w:rFonts w:hAnsi="宋体" w:cs="宋体"/>
          <w:highlight w:val="none"/>
        </w:rPr>
      </w:pPr>
      <w:r>
        <w:rPr>
          <w:rFonts w:hint="eastAsia" w:hAnsi="宋体" w:cs="宋体"/>
          <w:highlight w:val="none"/>
        </w:rPr>
        <w:t>（5）投标文件制作的具体方法见“投标文件制作工具”中的帮助文档。</w:t>
      </w:r>
    </w:p>
    <w:p w14:paraId="46627DE4">
      <w:pPr>
        <w:spacing w:line="360" w:lineRule="auto"/>
        <w:ind w:firstLine="480" w:firstLineChars="200"/>
        <w:rPr>
          <w:rFonts w:hAnsi="宋体" w:cs="宋体"/>
          <w:highlight w:val="none"/>
        </w:rPr>
      </w:pPr>
      <w:r>
        <w:rPr>
          <w:rFonts w:hint="eastAsia" w:hAnsi="宋体" w:cs="宋体"/>
          <w:highlight w:val="none"/>
        </w:rPr>
        <w:t>3.7.4 “投标文件制作工具”生成加密投标文件时，同时生成非加密投标文件，作为加密投标文件无法解密、导入时的补救措施。非加密投标文件递交要求见投标人须知前附表。</w:t>
      </w:r>
    </w:p>
    <w:p w14:paraId="0E53366B">
      <w:pPr>
        <w:spacing w:line="360" w:lineRule="auto"/>
        <w:ind w:firstLine="480" w:firstLineChars="200"/>
        <w:rPr>
          <w:rFonts w:hAnsi="宋体" w:cs="宋体"/>
          <w:snapToGrid w:val="0"/>
          <w:highlight w:val="none"/>
          <w:shd w:val="clear" w:color="auto" w:fill="FFFFFF"/>
        </w:rPr>
      </w:pPr>
      <w:r>
        <w:rPr>
          <w:rFonts w:hint="eastAsia" w:hAnsi="宋体" w:cs="宋体"/>
          <w:snapToGrid w:val="0"/>
          <w:highlight w:val="none"/>
          <w:shd w:val="clear" w:color="auto" w:fill="FFFFFF"/>
        </w:rPr>
        <w:t>3.7.5 因投标人自身原因而导致投标文件（指解密后的投标文件或启用补救措施下的非加密投标文件）无法导入电子交易系统电子开标、评标系统，该投标视为无效投标，投标人自行承担由此导致的全部责任。</w:t>
      </w:r>
    </w:p>
    <w:p w14:paraId="3DA295C1">
      <w:pPr>
        <w:pStyle w:val="4"/>
        <w:spacing w:beforeLines="100" w:afterLines="100" w:line="240" w:lineRule="auto"/>
        <w:rPr>
          <w:rFonts w:ascii="黑体" w:hAnsi="黑体" w:eastAsia="黑体" w:cs="黑体"/>
          <w:b w:val="0"/>
          <w:bCs w:val="0"/>
          <w:highlight w:val="none"/>
        </w:rPr>
      </w:pPr>
      <w:bookmarkStart w:id="303" w:name="_Toc140069409"/>
      <w:bookmarkStart w:id="304" w:name="_Toc14036"/>
      <w:bookmarkStart w:id="305" w:name="_Toc16689"/>
      <w:bookmarkStart w:id="306" w:name="_Toc152042331"/>
      <w:bookmarkStart w:id="307" w:name="_Toc144974523"/>
      <w:bookmarkStart w:id="308" w:name="_Toc152045555"/>
      <w:bookmarkStart w:id="309" w:name="_Toc179632573"/>
      <w:bookmarkStart w:id="310" w:name="_Toc12802"/>
      <w:r>
        <w:rPr>
          <w:rFonts w:hint="eastAsia" w:ascii="黑体" w:hAnsi="黑体" w:eastAsia="黑体" w:cs="黑体"/>
          <w:b w:val="0"/>
          <w:bCs w:val="0"/>
          <w:highlight w:val="none"/>
        </w:rPr>
        <w:t>4. 投标</w:t>
      </w:r>
      <w:bookmarkEnd w:id="303"/>
      <w:bookmarkEnd w:id="304"/>
      <w:bookmarkEnd w:id="305"/>
      <w:bookmarkEnd w:id="306"/>
      <w:bookmarkEnd w:id="307"/>
      <w:bookmarkEnd w:id="308"/>
      <w:bookmarkEnd w:id="309"/>
      <w:bookmarkEnd w:id="310"/>
    </w:p>
    <w:p w14:paraId="5F240272">
      <w:pPr>
        <w:pStyle w:val="2"/>
        <w:spacing w:beforeLines="100" w:afterLines="100" w:line="240" w:lineRule="auto"/>
        <w:rPr>
          <w:rFonts w:cs="黑体"/>
          <w:snapToGrid w:val="0"/>
          <w:highlight w:val="none"/>
          <w:shd w:val="clear" w:color="auto" w:fill="FFFFFF"/>
          <w:lang w:val="zh-CN"/>
        </w:rPr>
      </w:pPr>
      <w:bookmarkStart w:id="311" w:name="_Toc179632574"/>
      <w:bookmarkStart w:id="312" w:name="_Toc152045556"/>
      <w:bookmarkStart w:id="313" w:name="_Toc144974524"/>
      <w:bookmarkStart w:id="314" w:name="_Toc152042332"/>
      <w:r>
        <w:rPr>
          <w:rFonts w:hint="eastAsia" w:cs="黑体"/>
          <w:snapToGrid w:val="0"/>
          <w:highlight w:val="none"/>
          <w:shd w:val="clear" w:color="auto" w:fill="FFFFFF"/>
          <w:lang w:val="zh-CN"/>
        </w:rPr>
        <w:t>4.1投标文件的加密（密封）和标记</w:t>
      </w:r>
      <w:bookmarkEnd w:id="311"/>
      <w:bookmarkEnd w:id="312"/>
      <w:bookmarkEnd w:id="313"/>
      <w:bookmarkEnd w:id="314"/>
    </w:p>
    <w:p w14:paraId="2A2DB461">
      <w:pPr>
        <w:spacing w:line="360" w:lineRule="auto"/>
        <w:ind w:firstLine="480" w:firstLineChars="200"/>
        <w:rPr>
          <w:rFonts w:hAnsi="宋体" w:cs="宋体"/>
          <w:highlight w:val="none"/>
        </w:rPr>
      </w:pPr>
      <w:r>
        <w:rPr>
          <w:rFonts w:hint="eastAsia" w:hAnsi="宋体" w:cs="宋体"/>
          <w:highlight w:val="none"/>
        </w:rPr>
        <w:t xml:space="preserve">4.1.1 </w:t>
      </w:r>
      <w:r>
        <w:rPr>
          <w:rFonts w:hint="eastAsia" w:hAnsi="宋体" w:cs="宋体"/>
          <w:bCs/>
          <w:snapToGrid w:val="0"/>
          <w:highlight w:val="none"/>
        </w:rPr>
        <w:t>投标文件应按照本章第 3.7.3 项要求制作并加密，未</w:t>
      </w:r>
      <w:r>
        <w:rPr>
          <w:rFonts w:hint="eastAsia" w:hAnsi="宋体" w:cs="宋体"/>
          <w:highlight w:val="none"/>
        </w:rPr>
        <w:t>按照</w:t>
      </w:r>
      <w:r>
        <w:rPr>
          <w:rFonts w:hint="eastAsia" w:hAnsi="宋体" w:cs="宋体"/>
          <w:bCs/>
          <w:snapToGrid w:val="0"/>
          <w:highlight w:val="none"/>
        </w:rPr>
        <w:t>要求加密的投标文件将被拒绝接收。</w:t>
      </w:r>
    </w:p>
    <w:p w14:paraId="22274916">
      <w:pPr>
        <w:spacing w:line="360" w:lineRule="auto"/>
        <w:ind w:firstLine="480" w:firstLineChars="200"/>
        <w:rPr>
          <w:rFonts w:hAnsi="宋体" w:cs="宋体"/>
          <w:bCs/>
          <w:snapToGrid w:val="0"/>
          <w:highlight w:val="none"/>
        </w:rPr>
      </w:pPr>
      <w:r>
        <w:rPr>
          <w:rFonts w:hint="eastAsia" w:hAnsi="宋体" w:cs="宋体"/>
          <w:highlight w:val="none"/>
        </w:rPr>
        <w:t>4.1.2非加密投标文件密封和标记要求见投标人须知前附表。非加密投标文件应在封口处加盖投标人单位章或由投标人的法定代表人或其授权的代理人签字，未按照规定封装或加写标记，招标人将不承担投标文件未被开启或提前开启的责任。</w:t>
      </w:r>
    </w:p>
    <w:p w14:paraId="218D8D16">
      <w:pPr>
        <w:pStyle w:val="2"/>
        <w:spacing w:beforeLines="100" w:afterLines="100" w:line="240" w:lineRule="auto"/>
        <w:rPr>
          <w:rFonts w:cs="黑体"/>
          <w:snapToGrid w:val="0"/>
          <w:highlight w:val="none"/>
          <w:shd w:val="clear" w:color="auto" w:fill="FFFFFF"/>
          <w:lang w:val="zh-CN"/>
        </w:rPr>
      </w:pPr>
      <w:bookmarkStart w:id="315" w:name="_Toc144974525"/>
      <w:bookmarkStart w:id="316" w:name="_Toc152045557"/>
      <w:bookmarkStart w:id="317" w:name="_Toc152042333"/>
      <w:bookmarkStart w:id="318" w:name="_Toc179632575"/>
      <w:r>
        <w:rPr>
          <w:rFonts w:hint="eastAsia" w:cs="黑体"/>
          <w:snapToGrid w:val="0"/>
          <w:highlight w:val="none"/>
          <w:shd w:val="clear" w:color="auto" w:fill="FFFFFF"/>
          <w:lang w:val="zh-CN"/>
        </w:rPr>
        <w:t>4.2投标文件的递交</w:t>
      </w:r>
      <w:bookmarkEnd w:id="315"/>
      <w:bookmarkEnd w:id="316"/>
      <w:bookmarkEnd w:id="317"/>
      <w:bookmarkEnd w:id="318"/>
    </w:p>
    <w:p w14:paraId="786C6426">
      <w:pPr>
        <w:spacing w:line="360" w:lineRule="auto"/>
        <w:ind w:firstLine="480" w:firstLineChars="200"/>
        <w:rPr>
          <w:rFonts w:hAnsi="宋体" w:cs="宋体"/>
          <w:snapToGrid w:val="0"/>
          <w:highlight w:val="none"/>
        </w:rPr>
      </w:pPr>
      <w:r>
        <w:rPr>
          <w:rFonts w:hint="eastAsia" w:hAnsi="宋体" w:cs="宋体"/>
          <w:highlight w:val="none"/>
        </w:rPr>
        <w:t>4.2.1</w:t>
      </w:r>
      <w:r>
        <w:rPr>
          <w:rFonts w:hint="eastAsia" w:hAnsi="宋体" w:cs="宋体"/>
          <w:snapToGrid w:val="0"/>
          <w:highlight w:val="none"/>
          <w:lang w:bidi="en-US"/>
        </w:rPr>
        <w:t xml:space="preserve"> 投标人应当在第一章“招标公告”规定的投标截止时间前，将加密投标文件在电子交易系统上传。</w:t>
      </w:r>
    </w:p>
    <w:p w14:paraId="498B6348">
      <w:pPr>
        <w:spacing w:line="360" w:lineRule="auto"/>
        <w:ind w:firstLine="480" w:firstLineChars="200"/>
        <w:rPr>
          <w:rFonts w:hAnsi="宋体" w:cs="宋体"/>
          <w:highlight w:val="none"/>
        </w:rPr>
      </w:pPr>
      <w:r>
        <w:rPr>
          <w:rFonts w:hint="eastAsia" w:hAnsi="宋体" w:cs="宋体"/>
          <w:highlight w:val="none"/>
        </w:rPr>
        <w:t>4.2.2 投标人递交非加密投标文件的地点：见投标人须知前附表。招标人收到非加密投标文件后由投标人代表登记或向投标人出具签收凭证。</w:t>
      </w:r>
    </w:p>
    <w:p w14:paraId="5667960B">
      <w:pPr>
        <w:spacing w:line="360" w:lineRule="auto"/>
        <w:ind w:firstLine="480" w:firstLineChars="200"/>
        <w:rPr>
          <w:rFonts w:hAnsi="宋体" w:cs="宋体"/>
          <w:highlight w:val="none"/>
        </w:rPr>
      </w:pPr>
      <w:r>
        <w:rPr>
          <w:rFonts w:hint="eastAsia" w:hAnsi="宋体" w:cs="宋体"/>
          <w:highlight w:val="none"/>
        </w:rPr>
        <w:t>4.2.3 除投标人须知前附表另有规定外，投标人所递交的投标文件不予退还。</w:t>
      </w:r>
    </w:p>
    <w:p w14:paraId="4B7FBA7E">
      <w:pPr>
        <w:spacing w:line="360" w:lineRule="auto"/>
        <w:ind w:firstLine="480" w:firstLineChars="200"/>
        <w:rPr>
          <w:rFonts w:hAnsi="宋体" w:cs="宋体"/>
          <w:bCs/>
          <w:snapToGrid w:val="0"/>
          <w:highlight w:val="none"/>
        </w:rPr>
      </w:pPr>
      <w:r>
        <w:rPr>
          <w:rFonts w:hint="eastAsia" w:hAnsi="宋体" w:cs="宋体"/>
          <w:highlight w:val="none"/>
        </w:rPr>
        <w:t xml:space="preserve">4.2.4 </w:t>
      </w:r>
      <w:r>
        <w:rPr>
          <w:rFonts w:hint="eastAsia" w:hAnsi="宋体" w:cs="宋体"/>
          <w:bCs/>
          <w:snapToGrid w:val="0"/>
          <w:highlight w:val="none"/>
        </w:rPr>
        <w:t>投标人应当在投标截止时间前完成投标文件的传输递交（以接收到电子签收凭证为准），并可以补充、修改或者撤回投标文件。投标截止时间前未完成投标文件传输的，视为撤回投标文件。未</w:t>
      </w:r>
      <w:r>
        <w:rPr>
          <w:rFonts w:hint="eastAsia" w:hAnsi="宋体" w:cs="宋体"/>
          <w:highlight w:val="none"/>
        </w:rPr>
        <w:t>按照</w:t>
      </w:r>
      <w:r>
        <w:rPr>
          <w:rFonts w:hint="eastAsia" w:hAnsi="宋体" w:cs="宋体"/>
          <w:bCs/>
          <w:snapToGrid w:val="0"/>
          <w:highlight w:val="none"/>
        </w:rPr>
        <w:t>规定加密或投标截止时间后送达的投标文件，电子交易系统应当拒收。</w:t>
      </w:r>
    </w:p>
    <w:p w14:paraId="4B404562">
      <w:pPr>
        <w:spacing w:line="360" w:lineRule="auto"/>
        <w:ind w:firstLine="480" w:firstLineChars="200"/>
        <w:rPr>
          <w:rFonts w:hAnsi="宋体" w:cs="宋体"/>
          <w:bCs/>
          <w:snapToGrid w:val="0"/>
          <w:highlight w:val="none"/>
        </w:rPr>
      </w:pPr>
      <w:r>
        <w:rPr>
          <w:rFonts w:hint="eastAsia" w:hAnsi="宋体" w:cs="宋体"/>
          <w:bCs/>
          <w:snapToGrid w:val="0"/>
          <w:highlight w:val="none"/>
        </w:rPr>
        <w:t>4.2.5 如投标人须知前附表允许递交非加密投标文件，投标人逾期送达的或者未送达指定地点的非加密投标文件，招标人不予接收，但不影响其已</w:t>
      </w:r>
      <w:r>
        <w:rPr>
          <w:rFonts w:hint="eastAsia" w:hAnsi="宋体" w:cs="宋体"/>
          <w:highlight w:val="none"/>
        </w:rPr>
        <w:t>按照</w:t>
      </w:r>
      <w:r>
        <w:rPr>
          <w:rFonts w:hint="eastAsia" w:hAnsi="宋体" w:cs="宋体"/>
          <w:bCs/>
          <w:snapToGrid w:val="0"/>
          <w:highlight w:val="none"/>
        </w:rPr>
        <w:t>招标文件要求从电子交易系统递交的加密投标文件的有效性。未从电子交易系统递交加密投标文件的，投标人递交的非加密投标文件将被视为无效。</w:t>
      </w:r>
    </w:p>
    <w:p w14:paraId="455F9541">
      <w:pPr>
        <w:spacing w:line="360" w:lineRule="auto"/>
        <w:ind w:firstLine="480" w:firstLineChars="200"/>
        <w:rPr>
          <w:rFonts w:hAnsi="宋体" w:cs="宋体"/>
          <w:highlight w:val="none"/>
        </w:rPr>
      </w:pPr>
      <w:r>
        <w:rPr>
          <w:rFonts w:hint="eastAsia" w:hAnsi="宋体" w:cs="宋体"/>
          <w:bCs/>
          <w:snapToGrid w:val="0"/>
          <w:highlight w:val="none"/>
        </w:rPr>
        <w:t>4.2.6 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14:paraId="16DDD7EB">
      <w:pPr>
        <w:pStyle w:val="2"/>
        <w:spacing w:beforeLines="100" w:afterLines="100" w:line="240" w:lineRule="auto"/>
        <w:rPr>
          <w:rFonts w:cs="黑体"/>
          <w:snapToGrid w:val="0"/>
          <w:highlight w:val="none"/>
          <w:shd w:val="clear" w:color="auto" w:fill="FFFFFF"/>
          <w:lang w:val="zh-CN"/>
        </w:rPr>
      </w:pPr>
      <w:bookmarkStart w:id="319" w:name="_Toc179632576"/>
      <w:bookmarkStart w:id="320" w:name="_Toc152045558"/>
      <w:bookmarkStart w:id="321" w:name="_Toc152042334"/>
      <w:bookmarkStart w:id="322" w:name="_Toc144974526"/>
      <w:r>
        <w:rPr>
          <w:rFonts w:hint="eastAsia" w:cs="黑体"/>
          <w:snapToGrid w:val="0"/>
          <w:highlight w:val="none"/>
          <w:shd w:val="clear" w:color="auto" w:fill="FFFFFF"/>
          <w:lang w:val="zh-CN"/>
        </w:rPr>
        <w:t>4.3投标文件的修改与撤回</w:t>
      </w:r>
      <w:bookmarkEnd w:id="319"/>
      <w:bookmarkEnd w:id="320"/>
      <w:bookmarkEnd w:id="321"/>
      <w:bookmarkEnd w:id="322"/>
    </w:p>
    <w:p w14:paraId="60E141AC">
      <w:pPr>
        <w:spacing w:line="360" w:lineRule="auto"/>
        <w:ind w:firstLine="480" w:firstLineChars="200"/>
        <w:rPr>
          <w:rFonts w:hAnsi="宋体" w:cs="宋体"/>
          <w:highlight w:val="none"/>
        </w:rPr>
      </w:pPr>
      <w:r>
        <w:rPr>
          <w:rFonts w:hint="eastAsia" w:hAnsi="宋体" w:cs="宋体"/>
          <w:highlight w:val="none"/>
        </w:rPr>
        <w:t xml:space="preserve">4.3.1 </w:t>
      </w:r>
      <w:r>
        <w:rPr>
          <w:rFonts w:hint="eastAsia" w:hAnsi="宋体" w:cs="宋体"/>
          <w:bCs/>
          <w:snapToGrid w:val="0"/>
          <w:highlight w:val="none"/>
        </w:rPr>
        <w:t>在第一章“招标公告”规定的投标截止时间前，投标人可以修改或撤回已递交的投标文件。投标人对加密投标文件进行撤回的，应在电子交易系统直接进行撤回操作；投标人对加密投标文件进行修改的，应在投标截止时间前完成上传</w:t>
      </w:r>
      <w:r>
        <w:rPr>
          <w:rFonts w:hint="eastAsia" w:hAnsi="宋体" w:cs="宋体"/>
          <w:highlight w:val="none"/>
        </w:rPr>
        <w:t>。</w:t>
      </w:r>
      <w:r>
        <w:rPr>
          <w:rFonts w:hint="eastAsia" w:hAnsi="宋体" w:cs="宋体"/>
          <w:bCs/>
          <w:snapToGrid w:val="0"/>
          <w:highlight w:val="none"/>
        </w:rPr>
        <w:t>投标人修改投标文件的，应使用“投标文件制作工具”制作成完整的投标文件，并按照本章第 3 条、第 4 条规定进行编制、加密和递交。</w:t>
      </w:r>
    </w:p>
    <w:p w14:paraId="5338B41D">
      <w:pPr>
        <w:spacing w:line="360" w:lineRule="auto"/>
        <w:ind w:firstLine="480" w:firstLineChars="200"/>
        <w:rPr>
          <w:rFonts w:hAnsi="宋体" w:cs="宋体"/>
          <w:highlight w:val="none"/>
        </w:rPr>
      </w:pPr>
      <w:r>
        <w:rPr>
          <w:rFonts w:hint="eastAsia" w:hAnsi="宋体" w:cs="宋体"/>
          <w:highlight w:val="none"/>
        </w:rPr>
        <w:t>4.3.2 投标人修改或撤回已递交的</w:t>
      </w:r>
      <w:r>
        <w:rPr>
          <w:rFonts w:hint="eastAsia" w:hAnsi="宋体" w:cs="宋体"/>
          <w:bCs/>
          <w:snapToGrid w:val="0"/>
          <w:highlight w:val="none"/>
        </w:rPr>
        <w:t>非加密</w:t>
      </w:r>
      <w:r>
        <w:rPr>
          <w:rFonts w:hint="eastAsia" w:hAnsi="宋体" w:cs="宋体"/>
          <w:highlight w:val="none"/>
        </w:rPr>
        <w:t>投标文件的，应当以书面形式通知招标人，书面通知应由法定代表人（或代理人）签字或盖单位章。招标人收到书面通知后，向投标人出具签收凭证。</w:t>
      </w:r>
    </w:p>
    <w:p w14:paraId="76B38C9B">
      <w:pPr>
        <w:pStyle w:val="4"/>
        <w:spacing w:beforeLines="100" w:afterLines="100" w:line="240" w:lineRule="auto"/>
        <w:rPr>
          <w:rFonts w:ascii="黑体" w:hAnsi="黑体" w:eastAsia="黑体" w:cs="黑体"/>
          <w:b w:val="0"/>
          <w:bCs w:val="0"/>
          <w:highlight w:val="none"/>
        </w:rPr>
      </w:pPr>
      <w:bookmarkStart w:id="323" w:name="_Toc28843"/>
      <w:bookmarkStart w:id="324" w:name="_Toc8387"/>
      <w:bookmarkStart w:id="325" w:name="_Toc152042335"/>
      <w:bookmarkStart w:id="326" w:name="_Toc24569"/>
      <w:bookmarkStart w:id="327" w:name="_Toc179632577"/>
      <w:bookmarkStart w:id="328" w:name="_Toc144974527"/>
      <w:bookmarkStart w:id="329" w:name="_Toc152045559"/>
      <w:bookmarkStart w:id="330" w:name="_Toc140069410"/>
      <w:r>
        <w:rPr>
          <w:rFonts w:hint="eastAsia" w:ascii="黑体" w:hAnsi="黑体" w:eastAsia="黑体" w:cs="黑体"/>
          <w:b w:val="0"/>
          <w:bCs w:val="0"/>
          <w:highlight w:val="none"/>
        </w:rPr>
        <w:t>5. 开标</w:t>
      </w:r>
      <w:bookmarkEnd w:id="323"/>
      <w:bookmarkEnd w:id="324"/>
      <w:bookmarkEnd w:id="325"/>
      <w:bookmarkEnd w:id="326"/>
      <w:bookmarkEnd w:id="327"/>
      <w:bookmarkEnd w:id="328"/>
      <w:bookmarkEnd w:id="329"/>
      <w:bookmarkEnd w:id="330"/>
    </w:p>
    <w:p w14:paraId="51EDB995">
      <w:pPr>
        <w:pStyle w:val="2"/>
        <w:spacing w:beforeLines="100" w:afterLines="100" w:line="240" w:lineRule="auto"/>
        <w:rPr>
          <w:rFonts w:cs="黑体"/>
          <w:snapToGrid w:val="0"/>
          <w:highlight w:val="none"/>
          <w:shd w:val="clear" w:color="auto" w:fill="FFFFFF"/>
          <w:lang w:val="zh-CN"/>
        </w:rPr>
      </w:pPr>
      <w:bookmarkStart w:id="331" w:name="_Toc152042336"/>
      <w:bookmarkStart w:id="332" w:name="_Toc152045560"/>
      <w:bookmarkStart w:id="333" w:name="_Toc144974528"/>
      <w:bookmarkStart w:id="334" w:name="_Toc179632578"/>
      <w:r>
        <w:rPr>
          <w:rFonts w:hint="eastAsia" w:cs="黑体"/>
          <w:snapToGrid w:val="0"/>
          <w:highlight w:val="none"/>
          <w:shd w:val="clear" w:color="auto" w:fill="FFFFFF"/>
          <w:lang w:val="zh-CN"/>
        </w:rPr>
        <w:t>5.1开标时间和地点</w:t>
      </w:r>
      <w:bookmarkEnd w:id="331"/>
      <w:bookmarkEnd w:id="332"/>
      <w:bookmarkEnd w:id="333"/>
      <w:bookmarkEnd w:id="334"/>
    </w:p>
    <w:p w14:paraId="28980F3E">
      <w:pPr>
        <w:spacing w:line="360" w:lineRule="auto"/>
        <w:ind w:firstLine="480" w:firstLineChars="200"/>
        <w:rPr>
          <w:rFonts w:hAnsi="宋体" w:cs="宋体"/>
          <w:bCs/>
          <w:snapToGrid w:val="0"/>
          <w:highlight w:val="none"/>
        </w:rPr>
      </w:pPr>
      <w:r>
        <w:rPr>
          <w:rFonts w:hint="eastAsia" w:hAnsi="宋体" w:cs="宋体"/>
          <w:bCs/>
          <w:snapToGrid w:val="0"/>
          <w:highlight w:val="none"/>
        </w:rPr>
        <w:t>招标人在投标人须知前附表规定的开标时间和地点通过电子交易系统开标，所有投标人的法定代表人或其委托代理人应当准时参加。</w:t>
      </w:r>
    </w:p>
    <w:p w14:paraId="70AD8D08">
      <w:pPr>
        <w:spacing w:line="360" w:lineRule="auto"/>
        <w:ind w:firstLine="480" w:firstLineChars="200"/>
        <w:rPr>
          <w:rFonts w:hAnsi="宋体" w:cs="宋体"/>
          <w:bCs/>
          <w:snapToGrid w:val="0"/>
          <w:highlight w:val="none"/>
        </w:rPr>
      </w:pPr>
      <w:r>
        <w:rPr>
          <w:rFonts w:hint="eastAsia" w:hAnsi="宋体" w:cs="宋体"/>
          <w:bCs/>
          <w:snapToGrid w:val="0"/>
          <w:highlight w:val="none"/>
        </w:rPr>
        <w:t>投标人若未派法定代表人或其委托代理人出席开标活动，视为该投标人默认开标结果。</w:t>
      </w:r>
    </w:p>
    <w:p w14:paraId="49C2D548">
      <w:pPr>
        <w:pStyle w:val="2"/>
        <w:spacing w:beforeLines="100" w:afterLines="100" w:line="240" w:lineRule="auto"/>
        <w:rPr>
          <w:rFonts w:cs="黑体"/>
          <w:snapToGrid w:val="0"/>
          <w:highlight w:val="none"/>
          <w:shd w:val="clear" w:color="auto" w:fill="FFFFFF"/>
          <w:lang w:val="zh-CN"/>
        </w:rPr>
      </w:pPr>
      <w:bookmarkStart w:id="335" w:name="_Toc152042337"/>
      <w:bookmarkStart w:id="336" w:name="_Toc179632579"/>
      <w:bookmarkStart w:id="337" w:name="_Toc152045561"/>
      <w:bookmarkStart w:id="338" w:name="_Toc144974529"/>
      <w:r>
        <w:rPr>
          <w:rFonts w:hint="eastAsia" w:cs="黑体"/>
          <w:snapToGrid w:val="0"/>
          <w:highlight w:val="none"/>
          <w:shd w:val="clear" w:color="auto" w:fill="FFFFFF"/>
          <w:lang w:val="zh-CN"/>
        </w:rPr>
        <w:t>5.2开标程序</w:t>
      </w:r>
      <w:bookmarkEnd w:id="335"/>
      <w:bookmarkEnd w:id="336"/>
      <w:bookmarkEnd w:id="337"/>
      <w:bookmarkEnd w:id="338"/>
    </w:p>
    <w:p w14:paraId="2487E829">
      <w:pPr>
        <w:spacing w:line="360" w:lineRule="auto"/>
        <w:ind w:firstLine="480" w:firstLineChars="200"/>
        <w:rPr>
          <w:rFonts w:hAnsi="宋体" w:cs="宋体"/>
          <w:bCs/>
          <w:snapToGrid w:val="0"/>
          <w:highlight w:val="none"/>
        </w:rPr>
      </w:pPr>
      <w:r>
        <w:rPr>
          <w:rFonts w:hint="eastAsia" w:hAnsi="宋体" w:cs="宋体"/>
          <w:bCs/>
          <w:snapToGrid w:val="0"/>
          <w:highlight w:val="none"/>
        </w:rPr>
        <w:t>除投标人须知前附表另有规定外，主持人</w:t>
      </w:r>
      <w:r>
        <w:rPr>
          <w:rFonts w:hint="eastAsia" w:hAnsi="宋体" w:cs="宋体"/>
          <w:highlight w:val="none"/>
        </w:rPr>
        <w:t>按照</w:t>
      </w:r>
      <w:r>
        <w:rPr>
          <w:rFonts w:hint="eastAsia" w:hAnsi="宋体" w:cs="宋体"/>
          <w:bCs/>
          <w:snapToGrid w:val="0"/>
          <w:highlight w:val="none"/>
        </w:rPr>
        <w:t xml:space="preserve">下列程序进行开标： </w:t>
      </w:r>
    </w:p>
    <w:p w14:paraId="5EA0DB82">
      <w:pPr>
        <w:spacing w:line="360" w:lineRule="auto"/>
        <w:ind w:firstLine="480" w:firstLineChars="200"/>
        <w:rPr>
          <w:rFonts w:hAnsi="宋体" w:cs="宋体"/>
          <w:bCs/>
          <w:snapToGrid w:val="0"/>
          <w:highlight w:val="none"/>
        </w:rPr>
      </w:pPr>
      <w:r>
        <w:rPr>
          <w:rFonts w:hint="eastAsia" w:hAnsi="宋体" w:cs="宋体"/>
          <w:bCs/>
          <w:snapToGrid w:val="0"/>
          <w:highlight w:val="none"/>
        </w:rPr>
        <w:t>（1）公布在投标截止时间前通过电子交易系统完成投标文件递交的投标人名称；</w:t>
      </w:r>
    </w:p>
    <w:p w14:paraId="1D1E36B9">
      <w:pPr>
        <w:spacing w:line="360" w:lineRule="auto"/>
        <w:ind w:firstLine="480" w:firstLineChars="200"/>
        <w:rPr>
          <w:rFonts w:hAnsi="宋体" w:cs="宋体"/>
          <w:bCs/>
          <w:snapToGrid w:val="0"/>
          <w:highlight w:val="none"/>
        </w:rPr>
      </w:pPr>
      <w:r>
        <w:rPr>
          <w:rFonts w:hint="eastAsia" w:hAnsi="宋体" w:cs="宋体"/>
          <w:bCs/>
          <w:snapToGrid w:val="0"/>
          <w:highlight w:val="none"/>
        </w:rPr>
        <w:t>（2）由投标人推选的代表检查非加密投标文件的密封情况（如有）；</w:t>
      </w:r>
    </w:p>
    <w:p w14:paraId="776A77F1">
      <w:pPr>
        <w:spacing w:line="360" w:lineRule="auto"/>
        <w:ind w:firstLine="480" w:firstLineChars="200"/>
        <w:rPr>
          <w:rFonts w:hAnsi="宋体" w:cs="宋体"/>
          <w:bCs/>
          <w:snapToGrid w:val="0"/>
          <w:highlight w:val="none"/>
        </w:rPr>
      </w:pPr>
      <w:r>
        <w:rPr>
          <w:rFonts w:hint="eastAsia" w:hAnsi="宋体" w:cs="宋体"/>
          <w:bCs/>
          <w:snapToGrid w:val="0"/>
          <w:highlight w:val="none"/>
        </w:rPr>
        <w:t>（3）投标人在投标截止时间后在投标人须知前附表规定的解密时间内完成投标文件的解密工作；</w:t>
      </w:r>
    </w:p>
    <w:p w14:paraId="6664F828">
      <w:pPr>
        <w:spacing w:line="360" w:lineRule="auto"/>
        <w:ind w:firstLine="480" w:firstLineChars="200"/>
        <w:rPr>
          <w:rFonts w:hAnsi="宋体" w:cs="宋体"/>
          <w:bCs/>
          <w:snapToGrid w:val="0"/>
          <w:highlight w:val="none"/>
        </w:rPr>
      </w:pPr>
      <w:r>
        <w:rPr>
          <w:rFonts w:hint="eastAsia" w:hAnsi="宋体" w:cs="宋体"/>
          <w:bCs/>
          <w:snapToGrid w:val="0"/>
          <w:highlight w:val="none"/>
        </w:rPr>
        <w:t>（4）招标人完成解密工作，导入并读取所有成功解密的投标文件，或招标人成功导入现场递交的非加密投标文件；</w:t>
      </w:r>
    </w:p>
    <w:p w14:paraId="5EF03763">
      <w:pPr>
        <w:spacing w:line="360" w:lineRule="auto"/>
        <w:ind w:firstLine="480" w:firstLineChars="200"/>
        <w:rPr>
          <w:rFonts w:hAnsi="宋体" w:cs="宋体"/>
          <w:bCs/>
          <w:snapToGrid w:val="0"/>
          <w:highlight w:val="none"/>
        </w:rPr>
      </w:pPr>
      <w:r>
        <w:rPr>
          <w:rFonts w:hint="eastAsia" w:hAnsi="宋体" w:cs="宋体"/>
          <w:bCs/>
          <w:snapToGrid w:val="0"/>
          <w:highlight w:val="none"/>
        </w:rPr>
        <w:t>（5）</w:t>
      </w:r>
      <w:r>
        <w:rPr>
          <w:rFonts w:hint="eastAsia" w:ascii="Times New Roman" w:cs="宋体"/>
          <w:bCs/>
          <w:snapToGrid w:val="0"/>
          <w:szCs w:val="24"/>
          <w:highlight w:val="none"/>
        </w:rPr>
        <w:t>按照投标人须知前附表规定公布投标文件相应内容；</w:t>
      </w:r>
    </w:p>
    <w:p w14:paraId="104D775C">
      <w:pPr>
        <w:spacing w:line="360" w:lineRule="auto"/>
        <w:ind w:firstLine="480" w:firstLineChars="200"/>
        <w:rPr>
          <w:rFonts w:hAnsi="宋体" w:cs="宋体"/>
          <w:bCs/>
          <w:snapToGrid w:val="0"/>
          <w:highlight w:val="none"/>
        </w:rPr>
      </w:pPr>
      <w:r>
        <w:rPr>
          <w:rFonts w:hint="eastAsia" w:hAnsi="宋体" w:cs="宋体"/>
          <w:bCs/>
          <w:snapToGrid w:val="0"/>
          <w:highlight w:val="none"/>
        </w:rPr>
        <w:t>（6）开标结束。</w:t>
      </w:r>
    </w:p>
    <w:p w14:paraId="3C876F75">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5.3 开标异议</w:t>
      </w:r>
    </w:p>
    <w:p w14:paraId="7B5DF1A9">
      <w:pPr>
        <w:spacing w:line="360" w:lineRule="auto"/>
        <w:ind w:firstLine="480" w:firstLineChars="200"/>
        <w:rPr>
          <w:rFonts w:hAnsi="宋体" w:cs="宋体"/>
          <w:bCs/>
          <w:snapToGrid w:val="0"/>
          <w:highlight w:val="none"/>
        </w:rPr>
      </w:pPr>
      <w:r>
        <w:rPr>
          <w:rFonts w:hint="eastAsia" w:hAnsi="宋体" w:cs="宋体"/>
          <w:bCs/>
          <w:snapToGrid w:val="0"/>
          <w:highlight w:val="none"/>
        </w:rPr>
        <w:t>投标人对开标有异议的，应当在开标过程中提出；招标人当场对异议作出答复，并记入开标记录。异议与答复应通过电子交易系统进行。</w:t>
      </w:r>
    </w:p>
    <w:p w14:paraId="74701908">
      <w:pPr>
        <w:pStyle w:val="4"/>
        <w:numPr>
          <w:ilvl w:val="0"/>
          <w:numId w:val="3"/>
        </w:numPr>
        <w:spacing w:beforeLines="100" w:afterLines="100" w:line="240" w:lineRule="auto"/>
        <w:rPr>
          <w:rFonts w:ascii="黑体" w:hAnsi="黑体" w:eastAsia="黑体" w:cs="黑体"/>
          <w:b w:val="0"/>
          <w:bCs w:val="0"/>
          <w:highlight w:val="none"/>
        </w:rPr>
      </w:pPr>
      <w:bookmarkStart w:id="339" w:name="_Toc140069411"/>
      <w:bookmarkStart w:id="340" w:name="_Toc152045562"/>
      <w:bookmarkStart w:id="341" w:name="_Toc27439"/>
      <w:bookmarkStart w:id="342" w:name="_Toc144974530"/>
      <w:bookmarkStart w:id="343" w:name="_Toc179632580"/>
      <w:bookmarkStart w:id="344" w:name="_Toc24472"/>
      <w:bookmarkStart w:id="345" w:name="_Toc152042338"/>
      <w:bookmarkStart w:id="346" w:name="_Toc9464"/>
      <w:r>
        <w:rPr>
          <w:rFonts w:hint="eastAsia" w:ascii="黑体" w:hAnsi="黑体" w:eastAsia="黑体" w:cs="黑体"/>
          <w:b w:val="0"/>
          <w:bCs w:val="0"/>
          <w:highlight w:val="none"/>
        </w:rPr>
        <w:t>评标</w:t>
      </w:r>
      <w:bookmarkEnd w:id="339"/>
      <w:bookmarkEnd w:id="340"/>
      <w:bookmarkEnd w:id="341"/>
      <w:bookmarkEnd w:id="342"/>
      <w:bookmarkEnd w:id="343"/>
      <w:bookmarkEnd w:id="344"/>
      <w:bookmarkEnd w:id="345"/>
      <w:bookmarkEnd w:id="346"/>
    </w:p>
    <w:p w14:paraId="7DC6A00D">
      <w:pPr>
        <w:pStyle w:val="2"/>
        <w:spacing w:beforeLines="100" w:afterLines="100" w:line="240" w:lineRule="auto"/>
        <w:rPr>
          <w:rFonts w:cs="黑体"/>
          <w:snapToGrid w:val="0"/>
          <w:highlight w:val="none"/>
          <w:shd w:val="clear" w:color="auto" w:fill="FFFFFF"/>
          <w:lang w:val="zh-CN"/>
        </w:rPr>
      </w:pPr>
      <w:bookmarkStart w:id="347" w:name="_Toc152045563"/>
      <w:bookmarkStart w:id="348" w:name="_Toc152042339"/>
      <w:bookmarkStart w:id="349" w:name="_Toc144974531"/>
      <w:bookmarkStart w:id="350" w:name="_Toc179632581"/>
      <w:r>
        <w:rPr>
          <w:rFonts w:hint="eastAsia" w:cs="黑体"/>
          <w:snapToGrid w:val="0"/>
          <w:highlight w:val="none"/>
          <w:shd w:val="clear" w:color="auto" w:fill="FFFFFF"/>
          <w:lang w:val="zh-CN"/>
        </w:rPr>
        <w:t>6.1评标委员会</w:t>
      </w:r>
      <w:bookmarkEnd w:id="347"/>
      <w:bookmarkEnd w:id="348"/>
      <w:bookmarkEnd w:id="349"/>
      <w:bookmarkEnd w:id="350"/>
    </w:p>
    <w:p w14:paraId="14DFADDD">
      <w:pPr>
        <w:spacing w:line="360" w:lineRule="auto"/>
        <w:ind w:firstLine="480" w:firstLineChars="200"/>
        <w:rPr>
          <w:rFonts w:hAnsi="宋体" w:cs="宋体"/>
          <w:highlight w:val="none"/>
        </w:rPr>
      </w:pPr>
      <w:bookmarkStart w:id="351" w:name="_Toc144974532"/>
      <w:bookmarkStart w:id="352" w:name="_Toc152045564"/>
      <w:bookmarkStart w:id="353" w:name="_Toc152042340"/>
      <w:bookmarkStart w:id="354" w:name="_Toc179632582"/>
      <w:r>
        <w:rPr>
          <w:rFonts w:hint="eastAsia" w:hAnsi="宋体" w:cs="宋体"/>
          <w:highlight w:val="none"/>
        </w:rPr>
        <w:t>6.1.1 评标由招标人依法组建的评标委员会负责。评标委员会由招标人的代表，以及有关技术、经济等方面的专家组成。</w:t>
      </w:r>
    </w:p>
    <w:p w14:paraId="20E636E6">
      <w:pPr>
        <w:spacing w:line="360" w:lineRule="auto"/>
        <w:ind w:firstLine="480" w:firstLineChars="200"/>
        <w:rPr>
          <w:rFonts w:hAnsi="宋体" w:cs="宋体"/>
          <w:highlight w:val="none"/>
        </w:rPr>
      </w:pPr>
      <w:r>
        <w:rPr>
          <w:rFonts w:hint="eastAsia" w:hAnsi="宋体" w:cs="宋体"/>
          <w:highlight w:val="none"/>
        </w:rPr>
        <w:t>6.1.2 评标委员会成员有下列情形之一的，应当主动提出回避：</w:t>
      </w:r>
    </w:p>
    <w:p w14:paraId="382CE248">
      <w:pPr>
        <w:spacing w:line="360" w:lineRule="auto"/>
        <w:ind w:firstLine="480" w:firstLineChars="200"/>
        <w:rPr>
          <w:rFonts w:hAnsi="宋体" w:cs="宋体"/>
          <w:highlight w:val="none"/>
        </w:rPr>
      </w:pPr>
      <w:r>
        <w:rPr>
          <w:rFonts w:hint="eastAsia" w:hAnsi="宋体" w:cs="宋体"/>
          <w:highlight w:val="none"/>
        </w:rPr>
        <w:t>（1）投标人或投标人的主要负责人的近亲属；</w:t>
      </w:r>
    </w:p>
    <w:p w14:paraId="5D59B783">
      <w:pPr>
        <w:spacing w:line="360" w:lineRule="auto"/>
        <w:ind w:firstLine="480" w:firstLineChars="200"/>
        <w:rPr>
          <w:rFonts w:hAnsi="宋体" w:cs="宋体"/>
          <w:highlight w:val="none"/>
        </w:rPr>
      </w:pPr>
      <w:r>
        <w:rPr>
          <w:rFonts w:hint="eastAsia" w:hAnsi="宋体" w:cs="宋体"/>
          <w:highlight w:val="none"/>
        </w:rPr>
        <w:t>（2）项目主管部门或者行政监督部门的人员；</w:t>
      </w:r>
    </w:p>
    <w:p w14:paraId="743D2243">
      <w:pPr>
        <w:spacing w:line="360" w:lineRule="auto"/>
        <w:ind w:firstLine="480" w:firstLineChars="200"/>
        <w:rPr>
          <w:rFonts w:hAnsi="宋体" w:cs="宋体"/>
          <w:highlight w:val="none"/>
        </w:rPr>
      </w:pPr>
      <w:r>
        <w:rPr>
          <w:rFonts w:hint="eastAsia" w:hAnsi="宋体" w:cs="宋体"/>
          <w:highlight w:val="none"/>
        </w:rPr>
        <w:t>（3）与投标人有经济利益关系，可能影响对投标公正评审的；</w:t>
      </w:r>
    </w:p>
    <w:p w14:paraId="34843F48">
      <w:pPr>
        <w:spacing w:line="360" w:lineRule="auto"/>
        <w:ind w:firstLine="480" w:firstLineChars="200"/>
        <w:rPr>
          <w:rFonts w:hAnsi="宋体" w:cs="宋体"/>
          <w:highlight w:val="none"/>
        </w:rPr>
      </w:pPr>
      <w:r>
        <w:rPr>
          <w:rFonts w:hint="eastAsia" w:hAnsi="宋体" w:cs="宋体"/>
          <w:highlight w:val="none"/>
        </w:rPr>
        <w:t>（4）曾因在招标、评标以及其他与招标投标有关活动中从事违法行为而受过行政处罚或刑事处罚的；</w:t>
      </w:r>
    </w:p>
    <w:p w14:paraId="2CC311CF">
      <w:pPr>
        <w:spacing w:line="360" w:lineRule="auto"/>
        <w:ind w:firstLine="480" w:firstLineChars="200"/>
        <w:rPr>
          <w:rFonts w:hAnsi="宋体" w:cs="宋体"/>
          <w:highlight w:val="none"/>
        </w:rPr>
      </w:pPr>
      <w:r>
        <w:rPr>
          <w:rFonts w:hint="eastAsia" w:hAnsi="宋体" w:cs="宋体"/>
          <w:highlight w:val="none"/>
        </w:rPr>
        <w:t>（5）与投标人有其他利害关系。</w:t>
      </w:r>
    </w:p>
    <w:p w14:paraId="500172FD">
      <w:pPr>
        <w:spacing w:line="360" w:lineRule="auto"/>
        <w:ind w:firstLine="480" w:firstLineChars="200"/>
        <w:rPr>
          <w:rFonts w:hAnsi="宋体" w:cs="宋体"/>
          <w:bCs/>
          <w:snapToGrid w:val="0"/>
          <w:highlight w:val="none"/>
        </w:rPr>
      </w:pPr>
      <w:r>
        <w:rPr>
          <w:rFonts w:hint="eastAsia" w:hAnsi="宋体" w:cs="宋体"/>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1CD9FBA9">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6.2评标原则</w:t>
      </w:r>
      <w:bookmarkEnd w:id="351"/>
      <w:bookmarkEnd w:id="352"/>
      <w:bookmarkEnd w:id="353"/>
      <w:bookmarkEnd w:id="354"/>
    </w:p>
    <w:p w14:paraId="7C8455EF">
      <w:pPr>
        <w:spacing w:line="360" w:lineRule="auto"/>
        <w:ind w:firstLine="480" w:firstLineChars="200"/>
        <w:rPr>
          <w:rFonts w:hAnsi="宋体" w:cs="宋体"/>
          <w:highlight w:val="none"/>
        </w:rPr>
      </w:pPr>
      <w:r>
        <w:rPr>
          <w:rFonts w:hint="eastAsia" w:hAnsi="宋体" w:cs="宋体"/>
          <w:highlight w:val="none"/>
        </w:rPr>
        <w:t>评标活动遵循公平、公正、科学和择优的原则。</w:t>
      </w:r>
    </w:p>
    <w:p w14:paraId="5E9114E0">
      <w:pPr>
        <w:pStyle w:val="2"/>
        <w:spacing w:beforeLines="100" w:afterLines="100" w:line="240" w:lineRule="auto"/>
        <w:rPr>
          <w:rFonts w:cs="黑体"/>
          <w:snapToGrid w:val="0"/>
          <w:highlight w:val="none"/>
          <w:shd w:val="clear" w:color="auto" w:fill="FFFFFF"/>
          <w:lang w:val="zh-CN"/>
        </w:rPr>
      </w:pPr>
      <w:bookmarkStart w:id="355" w:name="_Toc179632583"/>
      <w:bookmarkStart w:id="356" w:name="_Toc152042341"/>
      <w:bookmarkStart w:id="357" w:name="_Toc152045565"/>
      <w:bookmarkStart w:id="358" w:name="_Toc144974533"/>
      <w:r>
        <w:rPr>
          <w:rFonts w:hint="eastAsia" w:cs="黑体"/>
          <w:snapToGrid w:val="0"/>
          <w:highlight w:val="none"/>
          <w:shd w:val="clear" w:color="auto" w:fill="FFFFFF"/>
          <w:lang w:val="zh-CN"/>
        </w:rPr>
        <w:t>6.3评标</w:t>
      </w:r>
      <w:bookmarkEnd w:id="355"/>
      <w:bookmarkEnd w:id="356"/>
      <w:bookmarkEnd w:id="357"/>
      <w:bookmarkEnd w:id="358"/>
    </w:p>
    <w:p w14:paraId="570CB496">
      <w:pPr>
        <w:spacing w:line="360" w:lineRule="auto"/>
        <w:ind w:firstLine="480" w:firstLineChars="200"/>
        <w:rPr>
          <w:rFonts w:hAnsi="宋体" w:cs="宋体"/>
          <w:highlight w:val="none"/>
        </w:rPr>
      </w:pPr>
      <w:r>
        <w:rPr>
          <w:rFonts w:hint="eastAsia" w:hAnsi="宋体" w:cs="宋体"/>
          <w:highlight w:val="none"/>
        </w:rPr>
        <w:t>6.3.1 评标委员会按照第三章“评标办法”规定的方法、评审因素、标准和程序对投标文件进行评审。第三章“评标办法”没有规定的方法、评审因素和标准，不作为评标依据。</w:t>
      </w:r>
    </w:p>
    <w:p w14:paraId="3464F04D">
      <w:pPr>
        <w:spacing w:line="360" w:lineRule="auto"/>
        <w:ind w:firstLine="480" w:firstLineChars="200"/>
        <w:rPr>
          <w:rFonts w:hAnsi="宋体" w:cs="宋体"/>
          <w:bCs/>
          <w:snapToGrid w:val="0"/>
          <w:highlight w:val="none"/>
        </w:rPr>
      </w:pPr>
      <w:bookmarkStart w:id="359" w:name="_Toc152042342"/>
      <w:bookmarkStart w:id="360" w:name="_Toc179632584"/>
      <w:bookmarkStart w:id="361" w:name="_Toc152045566"/>
      <w:bookmarkStart w:id="362" w:name="_Toc144974534"/>
      <w:r>
        <w:rPr>
          <w:rFonts w:hint="eastAsia" w:hAnsi="宋体" w:cs="宋体"/>
          <w:highlight w:val="none"/>
        </w:rPr>
        <w:t xml:space="preserve">6.3.2 </w:t>
      </w:r>
      <w:r>
        <w:rPr>
          <w:rFonts w:hint="eastAsia" w:hAnsi="宋体" w:cs="宋体"/>
          <w:bCs/>
          <w:snapToGrid w:val="0"/>
          <w:highlight w:val="none"/>
        </w:rPr>
        <w:t>评标完成后，评标委员会应向招标人提交书面评标报告和中标候选人名单。评标委员会推荐中标候选人的数量见投标人须知前附表。</w:t>
      </w:r>
    </w:p>
    <w:p w14:paraId="38E5512F">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6.4中标候选人公示</w:t>
      </w:r>
    </w:p>
    <w:p w14:paraId="61A48A2D">
      <w:pPr>
        <w:spacing w:line="360" w:lineRule="auto"/>
        <w:ind w:firstLine="480" w:firstLineChars="200"/>
        <w:rPr>
          <w:rFonts w:hAnsi="宋体" w:cs="宋体"/>
          <w:highlight w:val="none"/>
        </w:rPr>
      </w:pPr>
      <w:r>
        <w:rPr>
          <w:rFonts w:hint="eastAsia" w:hAnsi="宋体" w:cs="宋体"/>
          <w:highlight w:val="none"/>
        </w:rPr>
        <w:t>招标人在收到评标报告之日起3日内，按照投标人须知前附表规定的公示媒介和期限依法公示中标候选人，公示期不得少于3日。其他要求见投标人须知前附表。</w:t>
      </w:r>
    </w:p>
    <w:p w14:paraId="39CFA8FD">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6.5评标结果异议</w:t>
      </w:r>
    </w:p>
    <w:p w14:paraId="2BDC6329">
      <w:pPr>
        <w:spacing w:line="360" w:lineRule="auto"/>
        <w:ind w:firstLine="480" w:firstLineChars="200"/>
        <w:rPr>
          <w:rFonts w:hAnsi="宋体" w:cs="宋体"/>
          <w:highlight w:val="none"/>
        </w:rPr>
      </w:pPr>
      <w:r>
        <w:rPr>
          <w:rFonts w:hint="eastAsia" w:hAnsi="宋体" w:cs="宋体"/>
          <w:highlight w:val="none"/>
        </w:rPr>
        <w:t>投标人或者其他利害关系人对评标结果有异议的，应在中标候选人公示期间通过电子交易系统在线</w:t>
      </w:r>
      <w:r>
        <w:rPr>
          <w:rFonts w:hint="eastAsia" w:hAnsi="宋体" w:cs="宋体"/>
          <w:bCs/>
          <w:snapToGrid w:val="0"/>
          <w:highlight w:val="none"/>
        </w:rPr>
        <w:t>提出</w:t>
      </w:r>
      <w:r>
        <w:rPr>
          <w:rFonts w:hint="eastAsia" w:hAnsi="宋体" w:cs="宋体"/>
          <w:highlight w:val="none"/>
        </w:rPr>
        <w:t>或以其他书面形式提出。招标人将在收到异议之日起3日内作出答复；作出答复前，将暂停招标投标活动。</w:t>
      </w:r>
    </w:p>
    <w:p w14:paraId="16B0F6F2">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6.6中标候选人履约能力审查</w:t>
      </w:r>
    </w:p>
    <w:p w14:paraId="0E43BBDB">
      <w:pPr>
        <w:spacing w:line="360" w:lineRule="auto"/>
        <w:ind w:firstLine="480" w:firstLineChars="200"/>
        <w:rPr>
          <w:rFonts w:hAnsi="宋体" w:cs="宋体"/>
          <w:highlight w:val="none"/>
        </w:rPr>
      </w:pPr>
      <w:r>
        <w:rPr>
          <w:rFonts w:hint="eastAsia" w:hAnsi="宋体" w:cs="宋体"/>
          <w:highlight w:val="none"/>
        </w:rPr>
        <w:t>中标候选人的经营、财务状况发生较大变化或存在违法行为，招标人认为可能影响其履约能力的，将在发出中标通知书前提请原评标委员会按照招标文件规定的标准和方法进行审查确认。</w:t>
      </w:r>
    </w:p>
    <w:bookmarkEnd w:id="359"/>
    <w:bookmarkEnd w:id="360"/>
    <w:bookmarkEnd w:id="361"/>
    <w:bookmarkEnd w:id="362"/>
    <w:p w14:paraId="500CBB20">
      <w:pPr>
        <w:pStyle w:val="4"/>
        <w:numPr>
          <w:ilvl w:val="0"/>
          <w:numId w:val="3"/>
        </w:numPr>
        <w:spacing w:beforeLines="100" w:afterLines="100" w:line="240" w:lineRule="auto"/>
        <w:rPr>
          <w:rFonts w:ascii="黑体" w:hAnsi="黑体" w:eastAsia="黑体" w:cs="黑体"/>
          <w:b w:val="0"/>
          <w:bCs w:val="0"/>
          <w:highlight w:val="none"/>
        </w:rPr>
      </w:pPr>
      <w:bookmarkStart w:id="363" w:name="_Toc140069412"/>
      <w:bookmarkStart w:id="364" w:name="_Toc29029"/>
      <w:bookmarkStart w:id="365" w:name="_Toc13610"/>
      <w:bookmarkStart w:id="366" w:name="_Toc31241"/>
      <w:bookmarkStart w:id="367" w:name="_Toc152042344"/>
      <w:bookmarkStart w:id="368" w:name="_Toc179632586"/>
      <w:bookmarkStart w:id="369" w:name="_Toc144974536"/>
      <w:bookmarkStart w:id="370" w:name="_Toc152045568"/>
      <w:r>
        <w:rPr>
          <w:rFonts w:hint="eastAsia" w:ascii="黑体" w:hAnsi="黑体" w:eastAsia="黑体" w:cs="黑体"/>
          <w:b w:val="0"/>
          <w:bCs w:val="0"/>
          <w:highlight w:val="none"/>
        </w:rPr>
        <w:t>定标</w:t>
      </w:r>
      <w:bookmarkEnd w:id="363"/>
      <w:bookmarkEnd w:id="364"/>
      <w:bookmarkEnd w:id="365"/>
      <w:bookmarkEnd w:id="366"/>
    </w:p>
    <w:bookmarkEnd w:id="367"/>
    <w:bookmarkEnd w:id="368"/>
    <w:bookmarkEnd w:id="369"/>
    <w:bookmarkEnd w:id="370"/>
    <w:p w14:paraId="5C98D68D">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7.1定标</w:t>
      </w:r>
    </w:p>
    <w:p w14:paraId="10DA6299">
      <w:pPr>
        <w:spacing w:line="360" w:lineRule="auto"/>
        <w:ind w:firstLine="480" w:firstLineChars="200"/>
        <w:rPr>
          <w:rFonts w:hAnsi="宋体" w:cs="宋体"/>
          <w:highlight w:val="none"/>
        </w:rPr>
      </w:pPr>
      <w:r>
        <w:rPr>
          <w:rFonts w:hint="eastAsia" w:hAnsi="宋体" w:cs="宋体"/>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2442A40">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7.2中标结果公示</w:t>
      </w:r>
    </w:p>
    <w:p w14:paraId="04A7CD68">
      <w:pPr>
        <w:spacing w:line="360" w:lineRule="auto"/>
        <w:ind w:firstLine="480" w:firstLineChars="200"/>
        <w:rPr>
          <w:rFonts w:hAnsi="宋体" w:cs="宋体"/>
          <w:bCs/>
          <w:snapToGrid w:val="0"/>
          <w:highlight w:val="none"/>
        </w:rPr>
      </w:pPr>
      <w:r>
        <w:rPr>
          <w:rFonts w:hint="eastAsia" w:hAnsi="宋体" w:cs="宋体"/>
          <w:highlight w:val="none"/>
        </w:rPr>
        <w:t>招标人在确定中标人之日起3日内，按照投标人须知前附表规定的公示媒介依法公示中标结果。</w:t>
      </w:r>
    </w:p>
    <w:p w14:paraId="769DC93B">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7.3中标通知</w:t>
      </w:r>
    </w:p>
    <w:p w14:paraId="002E91D0">
      <w:pPr>
        <w:spacing w:line="360" w:lineRule="auto"/>
        <w:ind w:firstLine="480" w:firstLineChars="200"/>
        <w:rPr>
          <w:rFonts w:hAnsi="宋体" w:cs="宋体"/>
          <w:bCs/>
          <w:snapToGrid w:val="0"/>
          <w:highlight w:val="none"/>
        </w:rPr>
      </w:pPr>
      <w:r>
        <w:rPr>
          <w:rFonts w:hint="eastAsia" w:hAnsi="宋体" w:cs="宋体"/>
          <w:highlight w:val="none"/>
        </w:rPr>
        <w:t>在本章第3.3款规定的投标有效期内，招标人按照投标人须知前附表规定的形式向中标人发出中标通知书，同时将中标结果通知未中标的投标人。</w:t>
      </w:r>
    </w:p>
    <w:p w14:paraId="52E2E6FF">
      <w:pPr>
        <w:pStyle w:val="4"/>
        <w:numPr>
          <w:ilvl w:val="0"/>
          <w:numId w:val="3"/>
        </w:numPr>
        <w:spacing w:beforeLines="100" w:afterLines="100" w:line="240" w:lineRule="auto"/>
        <w:rPr>
          <w:rFonts w:ascii="黑体" w:hAnsi="黑体" w:eastAsia="黑体" w:cs="黑体"/>
          <w:b w:val="0"/>
          <w:bCs w:val="0"/>
          <w:highlight w:val="none"/>
        </w:rPr>
      </w:pPr>
      <w:bookmarkStart w:id="371" w:name="_Toc1007"/>
      <w:bookmarkStart w:id="372" w:name="_Toc24975"/>
      <w:bookmarkStart w:id="373" w:name="_Toc11956"/>
      <w:bookmarkStart w:id="374" w:name="_Toc15926"/>
      <w:bookmarkStart w:id="375" w:name="_Toc140069413"/>
      <w:bookmarkStart w:id="376" w:name="_Toc152042345"/>
      <w:bookmarkStart w:id="377" w:name="_Toc179632587"/>
      <w:bookmarkStart w:id="378" w:name="_Toc152045569"/>
      <w:bookmarkStart w:id="379" w:name="_Toc144974537"/>
      <w:r>
        <w:rPr>
          <w:rFonts w:hint="eastAsia" w:ascii="黑体" w:hAnsi="黑体" w:eastAsia="黑体" w:cs="黑体"/>
          <w:b w:val="0"/>
          <w:bCs w:val="0"/>
          <w:highlight w:val="none"/>
        </w:rPr>
        <w:t>合同授予</w:t>
      </w:r>
      <w:bookmarkEnd w:id="371"/>
      <w:bookmarkEnd w:id="372"/>
      <w:bookmarkEnd w:id="373"/>
      <w:bookmarkEnd w:id="374"/>
      <w:bookmarkEnd w:id="375"/>
    </w:p>
    <w:p w14:paraId="49323466">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8.1履约保证金</w:t>
      </w:r>
      <w:bookmarkEnd w:id="376"/>
      <w:bookmarkEnd w:id="377"/>
      <w:bookmarkEnd w:id="378"/>
      <w:bookmarkEnd w:id="379"/>
    </w:p>
    <w:p w14:paraId="5D1EE05B">
      <w:pPr>
        <w:spacing w:line="360" w:lineRule="auto"/>
        <w:ind w:firstLine="480" w:firstLineChars="200"/>
        <w:rPr>
          <w:rFonts w:hAnsi="宋体" w:cs="宋体"/>
          <w:highlight w:val="none"/>
        </w:rPr>
      </w:pPr>
      <w:r>
        <w:rPr>
          <w:rFonts w:hint="eastAsia" w:hAnsi="宋体" w:cs="宋体"/>
          <w:highlight w:val="none"/>
        </w:rPr>
        <w:t>8.1.1 在签订合同前，中标人应按照投标人须知前附表规定的金额、形式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19536A18">
      <w:pPr>
        <w:spacing w:line="360" w:lineRule="auto"/>
        <w:ind w:firstLine="480" w:firstLineChars="200"/>
        <w:rPr>
          <w:rFonts w:hAnsi="宋体" w:cs="宋体"/>
          <w:highlight w:val="none"/>
        </w:rPr>
      </w:pPr>
      <w:r>
        <w:rPr>
          <w:rFonts w:hint="eastAsia" w:hAnsi="宋体" w:cs="宋体"/>
          <w:highlight w:val="none"/>
        </w:rPr>
        <w:t>8.1.2 中标人不能按照本章第8.1.1项要求提交履约保证金的，视为放弃中标，其投标保证金不予退还，给招标人造成的损失超过投标保证金数额的，中标人还应当对超过部分予以赔偿。</w:t>
      </w:r>
    </w:p>
    <w:p w14:paraId="4800A73E">
      <w:pPr>
        <w:pStyle w:val="2"/>
        <w:spacing w:beforeLines="100" w:afterLines="100" w:line="240" w:lineRule="auto"/>
        <w:rPr>
          <w:rFonts w:cs="黑体"/>
          <w:snapToGrid w:val="0"/>
          <w:highlight w:val="none"/>
          <w:shd w:val="clear" w:color="auto" w:fill="FFFFFF"/>
          <w:lang w:val="zh-CN"/>
        </w:rPr>
      </w:pPr>
      <w:bookmarkStart w:id="380" w:name="_Toc152045570"/>
      <w:bookmarkStart w:id="381" w:name="_Toc179632588"/>
      <w:bookmarkStart w:id="382" w:name="_Toc144974538"/>
      <w:bookmarkStart w:id="383" w:name="_Toc152042346"/>
      <w:r>
        <w:rPr>
          <w:rFonts w:hint="eastAsia" w:cs="黑体"/>
          <w:snapToGrid w:val="0"/>
          <w:highlight w:val="none"/>
          <w:shd w:val="clear" w:color="auto" w:fill="FFFFFF"/>
          <w:lang w:val="zh-CN"/>
        </w:rPr>
        <w:t>8.2签订合同</w:t>
      </w:r>
      <w:bookmarkEnd w:id="380"/>
      <w:bookmarkEnd w:id="381"/>
      <w:bookmarkEnd w:id="382"/>
      <w:bookmarkEnd w:id="383"/>
    </w:p>
    <w:p w14:paraId="225E2EBF">
      <w:pPr>
        <w:spacing w:line="360" w:lineRule="auto"/>
        <w:ind w:firstLine="480" w:firstLineChars="200"/>
        <w:rPr>
          <w:rFonts w:hAnsi="宋体" w:cs="宋体"/>
          <w:highlight w:val="none"/>
        </w:rPr>
      </w:pPr>
      <w:r>
        <w:rPr>
          <w:rFonts w:hint="eastAsia" w:hAnsi="宋体" w:cs="宋体"/>
          <w:highlight w:val="none"/>
        </w:rPr>
        <w:t>8.2.1 中标人和招标人应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对超过部分予以赔偿。</w:t>
      </w:r>
    </w:p>
    <w:p w14:paraId="018B6B30">
      <w:pPr>
        <w:spacing w:line="360" w:lineRule="auto"/>
        <w:ind w:firstLine="480" w:firstLineChars="200"/>
        <w:rPr>
          <w:rFonts w:hAnsi="宋体" w:cs="宋体"/>
          <w:highlight w:val="none"/>
        </w:rPr>
      </w:pPr>
      <w:r>
        <w:rPr>
          <w:rFonts w:hint="eastAsia" w:hAnsi="宋体" w:cs="宋体"/>
          <w:highlight w:val="none"/>
        </w:rPr>
        <w:t>8.2.2 发出中标通知书后，招标人无正当理由拒签合同，或者在签订合同时向中标人提出附加条件的，招标人应退还中标人的投标保证金。招标人存在前述情形的，由公共资源交易监督管理部门责令改正，可以处中标项目金额10‰以下的罚款；给中标人造成损失的，依法承担赔偿责任。</w:t>
      </w:r>
    </w:p>
    <w:p w14:paraId="333DC43F">
      <w:pPr>
        <w:spacing w:line="360" w:lineRule="auto"/>
        <w:ind w:firstLine="480" w:firstLineChars="200"/>
        <w:rPr>
          <w:rFonts w:hAnsi="宋体" w:cs="宋体"/>
          <w:highlight w:val="none"/>
        </w:rPr>
      </w:pPr>
      <w:r>
        <w:rPr>
          <w:rFonts w:hint="eastAsia" w:hAnsi="宋体" w:cs="宋体"/>
          <w:highlight w:val="none"/>
        </w:rPr>
        <w:t>8.2.3 联合体中标的，联合体各方应当共同与招标人签订合同，就中标项目向招标人承担连带责任。</w:t>
      </w:r>
    </w:p>
    <w:p w14:paraId="7A270CC6">
      <w:pPr>
        <w:spacing w:line="360" w:lineRule="auto"/>
        <w:ind w:firstLine="480" w:firstLineChars="200"/>
        <w:rPr>
          <w:rFonts w:hAnsi="宋体" w:cs="宋体"/>
          <w:bCs/>
          <w:snapToGrid w:val="0"/>
          <w:highlight w:val="none"/>
        </w:rPr>
      </w:pPr>
      <w:r>
        <w:rPr>
          <w:rFonts w:hint="eastAsia" w:hAnsi="宋体" w:cs="宋体"/>
          <w:highlight w:val="none"/>
        </w:rPr>
        <w:t>8.2.4</w:t>
      </w:r>
      <w:r>
        <w:rPr>
          <w:rFonts w:hint="eastAsia" w:ascii="Times New Roman"/>
          <w:highlight w:val="none"/>
        </w:rPr>
        <w:t xml:space="preserve"> 招标人将及时主动公开合同订立信息，并积极推进合同履行及变更信息公开。</w:t>
      </w:r>
    </w:p>
    <w:p w14:paraId="14A6A4DB">
      <w:pPr>
        <w:pStyle w:val="4"/>
        <w:spacing w:beforeLines="100" w:afterLines="100" w:line="240" w:lineRule="auto"/>
        <w:rPr>
          <w:rFonts w:ascii="黑体" w:hAnsi="黑体" w:eastAsia="黑体" w:cs="黑体"/>
          <w:b w:val="0"/>
          <w:bCs w:val="0"/>
          <w:highlight w:val="none"/>
        </w:rPr>
      </w:pPr>
      <w:bookmarkStart w:id="384" w:name="_Toc21752"/>
      <w:bookmarkStart w:id="385" w:name="_Toc152045574"/>
      <w:bookmarkStart w:id="386" w:name="_Toc948"/>
      <w:bookmarkStart w:id="387" w:name="_Toc13907"/>
      <w:bookmarkStart w:id="388" w:name="_Toc144974542"/>
      <w:bookmarkStart w:id="389" w:name="_Toc1531"/>
      <w:bookmarkStart w:id="390" w:name="_Toc7283"/>
      <w:bookmarkStart w:id="391" w:name="_Toc38879332"/>
      <w:bookmarkStart w:id="392" w:name="_Toc152042350"/>
      <w:bookmarkStart w:id="393" w:name="_Toc20588"/>
      <w:bookmarkStart w:id="394" w:name="_Toc179632592"/>
      <w:bookmarkStart w:id="395" w:name="_Toc140069414"/>
      <w:r>
        <w:rPr>
          <w:rFonts w:hint="eastAsia" w:ascii="黑体" w:hAnsi="黑体" w:eastAsia="黑体" w:cs="黑体"/>
          <w:b w:val="0"/>
          <w:bCs w:val="0"/>
          <w:highlight w:val="none"/>
        </w:rPr>
        <w:t>9. 纪律和监督</w:t>
      </w:r>
      <w:bookmarkEnd w:id="384"/>
      <w:bookmarkEnd w:id="385"/>
      <w:bookmarkEnd w:id="386"/>
      <w:bookmarkEnd w:id="387"/>
      <w:bookmarkEnd w:id="388"/>
      <w:bookmarkEnd w:id="389"/>
      <w:bookmarkEnd w:id="390"/>
      <w:bookmarkEnd w:id="391"/>
      <w:bookmarkEnd w:id="392"/>
      <w:bookmarkEnd w:id="393"/>
      <w:bookmarkEnd w:id="394"/>
      <w:bookmarkEnd w:id="395"/>
    </w:p>
    <w:p w14:paraId="30670B66">
      <w:pPr>
        <w:pStyle w:val="2"/>
        <w:spacing w:beforeLines="100" w:afterLines="100" w:line="240" w:lineRule="auto"/>
        <w:rPr>
          <w:rFonts w:cs="黑体"/>
          <w:snapToGrid w:val="0"/>
          <w:highlight w:val="none"/>
          <w:shd w:val="clear" w:color="auto" w:fill="FFFFFF"/>
          <w:lang w:val="zh-CN"/>
        </w:rPr>
      </w:pPr>
      <w:bookmarkStart w:id="396" w:name="_Toc152042351"/>
      <w:bookmarkStart w:id="397" w:name="_Toc152045575"/>
      <w:bookmarkStart w:id="398" w:name="_Toc179632593"/>
      <w:bookmarkStart w:id="399" w:name="_Toc144974543"/>
      <w:r>
        <w:rPr>
          <w:rFonts w:hint="eastAsia" w:cs="黑体"/>
          <w:snapToGrid w:val="0"/>
          <w:highlight w:val="none"/>
          <w:shd w:val="clear" w:color="auto" w:fill="FFFFFF"/>
          <w:lang w:val="zh-CN"/>
        </w:rPr>
        <w:t>9.1对招标人的纪律要求</w:t>
      </w:r>
      <w:bookmarkEnd w:id="396"/>
      <w:bookmarkEnd w:id="397"/>
      <w:bookmarkEnd w:id="398"/>
      <w:bookmarkEnd w:id="399"/>
    </w:p>
    <w:p w14:paraId="386786F4">
      <w:pPr>
        <w:spacing w:line="360" w:lineRule="auto"/>
        <w:ind w:firstLine="480" w:firstLineChars="200"/>
        <w:rPr>
          <w:rFonts w:hAnsi="宋体" w:cs="宋体"/>
          <w:highlight w:val="none"/>
        </w:rPr>
      </w:pPr>
      <w:r>
        <w:rPr>
          <w:rFonts w:hint="eastAsia" w:hAnsi="宋体" w:cs="宋体"/>
          <w:highlight w:val="none"/>
        </w:rPr>
        <w:t>招标人不得泄露招标投标活动中应当保密的情况和资料，不得与投标人串通损害国家利益、社会公共利益或者他人合法权益。</w:t>
      </w:r>
    </w:p>
    <w:p w14:paraId="5329455B">
      <w:pPr>
        <w:pStyle w:val="2"/>
        <w:spacing w:beforeLines="100" w:afterLines="100" w:line="240" w:lineRule="auto"/>
        <w:rPr>
          <w:rFonts w:cs="黑体"/>
          <w:snapToGrid w:val="0"/>
          <w:highlight w:val="none"/>
          <w:shd w:val="clear" w:color="auto" w:fill="FFFFFF"/>
          <w:lang w:val="zh-CN"/>
        </w:rPr>
      </w:pPr>
      <w:bookmarkStart w:id="400" w:name="_Toc152045576"/>
      <w:bookmarkStart w:id="401" w:name="_Toc152042352"/>
      <w:bookmarkStart w:id="402" w:name="_Toc144974544"/>
      <w:bookmarkStart w:id="403" w:name="_Toc179632594"/>
      <w:r>
        <w:rPr>
          <w:rFonts w:hint="eastAsia" w:cs="黑体"/>
          <w:snapToGrid w:val="0"/>
          <w:highlight w:val="none"/>
          <w:shd w:val="clear" w:color="auto" w:fill="FFFFFF"/>
          <w:lang w:val="zh-CN"/>
        </w:rPr>
        <w:t>9.2对投标人的纪律要求</w:t>
      </w:r>
      <w:bookmarkEnd w:id="400"/>
      <w:bookmarkEnd w:id="401"/>
      <w:bookmarkEnd w:id="402"/>
      <w:bookmarkEnd w:id="403"/>
    </w:p>
    <w:p w14:paraId="43CD9141">
      <w:pPr>
        <w:spacing w:line="360" w:lineRule="auto"/>
        <w:ind w:firstLine="480" w:firstLineChars="200"/>
        <w:rPr>
          <w:rFonts w:hAnsi="宋体" w:cs="宋体"/>
          <w:highlight w:val="none"/>
        </w:rPr>
      </w:pPr>
      <w:r>
        <w:rPr>
          <w:rFonts w:hint="eastAsia" w:hAnsi="宋体" w:cs="宋体"/>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608D259">
      <w:pPr>
        <w:pStyle w:val="2"/>
        <w:spacing w:beforeLines="100" w:afterLines="100" w:line="240" w:lineRule="auto"/>
        <w:rPr>
          <w:rFonts w:cs="黑体"/>
          <w:snapToGrid w:val="0"/>
          <w:highlight w:val="none"/>
          <w:shd w:val="clear" w:color="auto" w:fill="FFFFFF"/>
          <w:lang w:val="zh-CN"/>
        </w:rPr>
      </w:pPr>
      <w:bookmarkStart w:id="404" w:name="_Toc144974545"/>
      <w:bookmarkStart w:id="405" w:name="_Toc152042353"/>
      <w:bookmarkStart w:id="406" w:name="_Toc179632595"/>
      <w:bookmarkStart w:id="407" w:name="_Toc152045577"/>
      <w:r>
        <w:rPr>
          <w:rFonts w:hint="eastAsia" w:cs="黑体"/>
          <w:snapToGrid w:val="0"/>
          <w:highlight w:val="none"/>
          <w:shd w:val="clear" w:color="auto" w:fill="FFFFFF"/>
          <w:lang w:val="zh-CN"/>
        </w:rPr>
        <w:t>9.3对评标委员会成员的纪律要求</w:t>
      </w:r>
      <w:bookmarkEnd w:id="404"/>
      <w:bookmarkEnd w:id="405"/>
      <w:bookmarkEnd w:id="406"/>
      <w:bookmarkEnd w:id="407"/>
    </w:p>
    <w:p w14:paraId="6BD9E389">
      <w:pPr>
        <w:spacing w:line="360" w:lineRule="auto"/>
        <w:ind w:firstLine="480" w:firstLineChars="200"/>
        <w:rPr>
          <w:rFonts w:hAnsi="宋体" w:cs="宋体"/>
          <w:highlight w:val="none"/>
        </w:rPr>
      </w:pPr>
      <w:r>
        <w:rPr>
          <w:rFonts w:hint="eastAsia" w:hAnsi="宋体" w:cs="宋体"/>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65D1348">
      <w:pPr>
        <w:pStyle w:val="2"/>
        <w:spacing w:beforeLines="100" w:afterLines="100" w:line="240" w:lineRule="auto"/>
        <w:rPr>
          <w:rFonts w:cs="黑体"/>
          <w:snapToGrid w:val="0"/>
          <w:highlight w:val="none"/>
          <w:shd w:val="clear" w:color="auto" w:fill="FFFFFF"/>
          <w:lang w:val="zh-CN"/>
        </w:rPr>
      </w:pPr>
      <w:bookmarkStart w:id="408" w:name="_Toc179632596"/>
      <w:bookmarkStart w:id="409" w:name="_Toc152042354"/>
      <w:bookmarkStart w:id="410" w:name="_Toc152045578"/>
      <w:bookmarkStart w:id="411" w:name="_Toc144974546"/>
      <w:r>
        <w:rPr>
          <w:rFonts w:hint="eastAsia" w:cs="黑体"/>
          <w:snapToGrid w:val="0"/>
          <w:highlight w:val="none"/>
          <w:shd w:val="clear" w:color="auto" w:fill="FFFFFF"/>
          <w:lang w:val="zh-CN"/>
        </w:rPr>
        <w:t>9.4对与评标活动有关的工作人员的纪律要求</w:t>
      </w:r>
      <w:bookmarkEnd w:id="408"/>
      <w:bookmarkEnd w:id="409"/>
      <w:bookmarkEnd w:id="410"/>
    </w:p>
    <w:p w14:paraId="3C25BF6D">
      <w:pPr>
        <w:spacing w:line="360" w:lineRule="auto"/>
        <w:ind w:firstLine="480" w:firstLineChars="200"/>
        <w:rPr>
          <w:rFonts w:hAnsi="宋体" w:cs="宋体"/>
          <w:highlight w:val="none"/>
        </w:rPr>
      </w:pPr>
      <w:bookmarkStart w:id="412" w:name="_Toc152042355"/>
      <w:r>
        <w:rPr>
          <w:rFonts w:hint="eastAsia" w:hAnsi="宋体" w:cs="宋体"/>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412"/>
    </w:p>
    <w:p w14:paraId="31313B55">
      <w:pPr>
        <w:pStyle w:val="2"/>
        <w:spacing w:beforeLines="100" w:afterLines="100" w:line="240" w:lineRule="auto"/>
        <w:rPr>
          <w:rFonts w:cs="黑体"/>
          <w:snapToGrid w:val="0"/>
          <w:highlight w:val="none"/>
          <w:shd w:val="clear" w:color="auto" w:fill="FFFFFF"/>
          <w:lang w:val="zh-CN"/>
        </w:rPr>
      </w:pPr>
      <w:bookmarkStart w:id="413" w:name="_Toc179632597"/>
      <w:bookmarkStart w:id="414" w:name="_Toc152042356"/>
      <w:bookmarkStart w:id="415" w:name="_Toc152045579"/>
      <w:r>
        <w:rPr>
          <w:rFonts w:hint="eastAsia" w:cs="黑体"/>
          <w:snapToGrid w:val="0"/>
          <w:highlight w:val="none"/>
          <w:shd w:val="clear" w:color="auto" w:fill="FFFFFF"/>
          <w:lang w:val="zh-CN"/>
        </w:rPr>
        <w:t>9.5投诉</w:t>
      </w:r>
      <w:bookmarkEnd w:id="411"/>
      <w:bookmarkEnd w:id="413"/>
      <w:bookmarkEnd w:id="414"/>
      <w:bookmarkEnd w:id="415"/>
    </w:p>
    <w:p w14:paraId="3FB6BDA1">
      <w:pPr>
        <w:spacing w:line="360" w:lineRule="auto"/>
        <w:ind w:firstLine="480" w:firstLineChars="200"/>
        <w:rPr>
          <w:rFonts w:hAnsi="宋体" w:cs="宋体"/>
          <w:highlight w:val="none"/>
        </w:rPr>
      </w:pPr>
      <w:r>
        <w:rPr>
          <w:rFonts w:hint="eastAsia" w:hAnsi="宋体" w:cs="宋体"/>
          <w:highlight w:val="none"/>
        </w:rPr>
        <w:t>9.5.1 投标人或者其他利害关系人认为招标投标活动不符合法律、行政法规规定的，可以自知道或者应当知道之日起10日内通过网上投诉系统或以其他书面形式向有关行政监督部门投诉。投诉应当有明确的请求和必要的证明材料。</w:t>
      </w:r>
    </w:p>
    <w:p w14:paraId="36AF4912">
      <w:pPr>
        <w:spacing w:line="360" w:lineRule="auto"/>
        <w:ind w:firstLine="480" w:firstLineChars="200"/>
        <w:rPr>
          <w:rFonts w:hAnsi="宋体" w:cs="宋体"/>
          <w:highlight w:val="none"/>
        </w:rPr>
      </w:pPr>
      <w:r>
        <w:rPr>
          <w:rFonts w:hint="eastAsia" w:hAnsi="宋体" w:cs="宋体"/>
          <w:highlight w:val="none"/>
        </w:rPr>
        <w:t>9.5.2 投标人或者其他利害关系人对招标文件、开标和评标结果提出投诉的，应当按照投标人须知第2.4款、第5.3款和第6.5款的规定先向招标人提出异议。异议答复期间</w:t>
      </w:r>
      <w:bookmarkStart w:id="416" w:name="_Toc247513994"/>
      <w:bookmarkStart w:id="417" w:name="_Toc300834993"/>
      <w:bookmarkStart w:id="418" w:name="_Toc369531561"/>
      <w:bookmarkStart w:id="419" w:name="_Toc247527595"/>
      <w:bookmarkStart w:id="420" w:name="_Toc361508630"/>
      <w:bookmarkStart w:id="421" w:name="_Toc12776"/>
      <w:bookmarkStart w:id="422" w:name="_Toc384308255"/>
      <w:bookmarkStart w:id="423" w:name="_Toc352691517"/>
      <w:r>
        <w:rPr>
          <w:rFonts w:hint="eastAsia" w:hAnsi="宋体" w:cs="宋体"/>
          <w:highlight w:val="none"/>
        </w:rPr>
        <w:t>不计算在第9.5.</w:t>
      </w:r>
      <w:bookmarkEnd w:id="416"/>
      <w:bookmarkEnd w:id="417"/>
      <w:bookmarkEnd w:id="418"/>
      <w:bookmarkEnd w:id="419"/>
      <w:bookmarkEnd w:id="420"/>
      <w:bookmarkEnd w:id="421"/>
      <w:bookmarkEnd w:id="422"/>
      <w:bookmarkEnd w:id="423"/>
      <w:r>
        <w:rPr>
          <w:rFonts w:hint="eastAsia" w:hAnsi="宋体" w:cs="宋体"/>
          <w:highlight w:val="none"/>
        </w:rPr>
        <w:t>1项规定的期限内。</w:t>
      </w:r>
    </w:p>
    <w:p w14:paraId="062353C5">
      <w:pPr>
        <w:pStyle w:val="4"/>
        <w:spacing w:beforeLines="100" w:afterLines="100" w:line="240" w:lineRule="auto"/>
        <w:rPr>
          <w:rFonts w:ascii="黑体" w:hAnsi="黑体" w:eastAsia="黑体" w:cs="黑体"/>
          <w:b w:val="0"/>
          <w:bCs w:val="0"/>
          <w:highlight w:val="none"/>
        </w:rPr>
      </w:pPr>
      <w:bookmarkStart w:id="424" w:name="_Toc179632598"/>
      <w:bookmarkStart w:id="425" w:name="_Toc152042357"/>
      <w:bookmarkStart w:id="426" w:name="_Toc7568"/>
      <w:bookmarkStart w:id="427" w:name="_Toc24351"/>
      <w:bookmarkStart w:id="428" w:name="_Toc17761"/>
      <w:bookmarkStart w:id="429" w:name="_Toc38879333"/>
      <w:bookmarkStart w:id="430" w:name="_Toc144974547"/>
      <w:bookmarkStart w:id="431" w:name="_Toc3705"/>
      <w:bookmarkStart w:id="432" w:name="_Toc152045580"/>
      <w:bookmarkStart w:id="433" w:name="_Toc140069415"/>
      <w:bookmarkStart w:id="434" w:name="_Toc26255"/>
      <w:bookmarkStart w:id="435" w:name="_Toc2315"/>
      <w:r>
        <w:rPr>
          <w:rFonts w:hint="eastAsia" w:ascii="黑体" w:hAnsi="黑体" w:eastAsia="黑体" w:cs="黑体"/>
          <w:b w:val="0"/>
          <w:bCs w:val="0"/>
          <w:highlight w:val="none"/>
        </w:rPr>
        <w:t>10. 需要补充的其他内容</w:t>
      </w:r>
      <w:bookmarkEnd w:id="424"/>
      <w:bookmarkEnd w:id="425"/>
      <w:bookmarkEnd w:id="426"/>
      <w:bookmarkEnd w:id="427"/>
      <w:bookmarkEnd w:id="428"/>
      <w:bookmarkEnd w:id="429"/>
      <w:bookmarkEnd w:id="430"/>
      <w:bookmarkEnd w:id="431"/>
      <w:bookmarkEnd w:id="432"/>
      <w:bookmarkEnd w:id="433"/>
      <w:bookmarkEnd w:id="434"/>
      <w:bookmarkEnd w:id="435"/>
    </w:p>
    <w:p w14:paraId="5581485C">
      <w:pPr>
        <w:spacing w:line="360" w:lineRule="auto"/>
        <w:ind w:firstLine="480" w:firstLineChars="200"/>
        <w:rPr>
          <w:rFonts w:ascii="Times New Roman"/>
          <w:highlight w:val="none"/>
        </w:rPr>
      </w:pPr>
      <w:r>
        <w:rPr>
          <w:rFonts w:hint="eastAsia" w:hAnsi="宋体" w:cs="宋体"/>
          <w:highlight w:val="none"/>
        </w:rPr>
        <w:t>需要补充的其他内容：见投标人须知前附表</w:t>
      </w:r>
      <w:r>
        <w:rPr>
          <w:rFonts w:hint="eastAsia" w:ascii="Times New Roman"/>
          <w:highlight w:val="none"/>
        </w:rPr>
        <w:t>。</w:t>
      </w:r>
    </w:p>
    <w:p w14:paraId="4EDA2EC3">
      <w:pPr>
        <w:pStyle w:val="4"/>
        <w:spacing w:beforeLines="100" w:afterLines="100" w:line="240" w:lineRule="auto"/>
        <w:jc w:val="center"/>
        <w:rPr>
          <w:rFonts w:ascii="Times New Roman" w:hAnsi="Times New Roman" w:eastAsia="黑体"/>
          <w:b w:val="0"/>
          <w:highlight w:val="none"/>
        </w:rPr>
      </w:pPr>
      <w:r>
        <w:rPr>
          <w:rFonts w:ascii="Times New Roman" w:hAnsi="Times New Roman"/>
          <w:b w:val="0"/>
          <w:sz w:val="24"/>
          <w:highlight w:val="none"/>
        </w:rPr>
        <w:br w:type="page"/>
      </w:r>
      <w:bookmarkStart w:id="436" w:name="_Toc8937"/>
      <w:bookmarkStart w:id="437" w:name="_Toc9893"/>
      <w:bookmarkStart w:id="438" w:name="_Toc14838"/>
      <w:bookmarkStart w:id="439" w:name="_Toc24634"/>
      <w:bookmarkStart w:id="440" w:name="_Toc22334"/>
      <w:bookmarkStart w:id="441" w:name="_Toc19524"/>
      <w:bookmarkStart w:id="442" w:name="_Toc4779"/>
      <w:bookmarkStart w:id="443" w:name="_Toc38879334"/>
      <w:bookmarkStart w:id="444" w:name="_Toc10568"/>
      <w:bookmarkStart w:id="445" w:name="_Toc140069416"/>
      <w:bookmarkStart w:id="446" w:name="_Toc273"/>
      <w:bookmarkStart w:id="447" w:name="_Toc14608"/>
      <w:r>
        <w:rPr>
          <w:rFonts w:hint="eastAsia" w:ascii="Times New Roman" w:hAnsi="Times New Roman" w:eastAsia="黑体"/>
          <w:b w:val="0"/>
          <w:highlight w:val="none"/>
        </w:rPr>
        <w:t>附件：</w:t>
      </w:r>
      <w:bookmarkEnd w:id="196"/>
      <w:bookmarkEnd w:id="197"/>
      <w:bookmarkEnd w:id="436"/>
      <w:bookmarkEnd w:id="437"/>
      <w:bookmarkEnd w:id="438"/>
      <w:bookmarkEnd w:id="439"/>
      <w:bookmarkEnd w:id="440"/>
      <w:bookmarkEnd w:id="441"/>
      <w:bookmarkEnd w:id="442"/>
      <w:bookmarkEnd w:id="443"/>
      <w:bookmarkEnd w:id="444"/>
      <w:r>
        <w:rPr>
          <w:rFonts w:hint="eastAsia" w:ascii="Times New Roman" w:hAnsi="Times New Roman" w:eastAsia="黑体"/>
          <w:b w:val="0"/>
          <w:highlight w:val="none"/>
        </w:rPr>
        <w:t>合肥市公共资源交易电子招标投标操作规程</w:t>
      </w:r>
      <w:bookmarkEnd w:id="445"/>
      <w:bookmarkEnd w:id="446"/>
      <w:bookmarkEnd w:id="447"/>
    </w:p>
    <w:p w14:paraId="12D24860">
      <w:pPr>
        <w:spacing w:line="360" w:lineRule="auto"/>
        <w:ind w:firstLine="480" w:firstLineChars="200"/>
        <w:rPr>
          <w:rFonts w:hAnsi="宋体" w:cs="宋体"/>
          <w:szCs w:val="24"/>
          <w:highlight w:val="none"/>
        </w:rPr>
      </w:pPr>
      <w:r>
        <w:rPr>
          <w:rFonts w:hint="eastAsia" w:hAnsi="宋体" w:cs="宋体"/>
          <w:bCs/>
          <w:szCs w:val="24"/>
          <w:highlight w:val="none"/>
        </w:rPr>
        <w:t>第一条</w:t>
      </w:r>
      <w:r>
        <w:rPr>
          <w:rFonts w:hint="eastAsia" w:hAnsi="宋体" w:cs="宋体"/>
          <w:szCs w:val="24"/>
          <w:highlight w:val="none"/>
        </w:rPr>
        <w:t xml:space="preserve">  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193A7E99">
      <w:pPr>
        <w:spacing w:line="360" w:lineRule="auto"/>
        <w:ind w:firstLine="480" w:firstLineChars="200"/>
        <w:rPr>
          <w:rFonts w:hAnsi="宋体" w:cs="宋体"/>
          <w:szCs w:val="24"/>
          <w:highlight w:val="none"/>
        </w:rPr>
      </w:pPr>
      <w:r>
        <w:rPr>
          <w:rFonts w:hint="eastAsia" w:hAnsi="宋体" w:cs="宋体"/>
          <w:bCs/>
          <w:szCs w:val="24"/>
          <w:highlight w:val="none"/>
        </w:rPr>
        <w:t>第二条</w:t>
      </w:r>
      <w:r>
        <w:rPr>
          <w:rFonts w:hint="eastAsia" w:hAnsi="宋体" w:cs="宋体"/>
          <w:szCs w:val="24"/>
          <w:highlight w:val="none"/>
        </w:rPr>
        <w:t xml:space="preserve">  本规程适用于进入安徽合肥公共资源交易平台交易的项目。行业主管部门另有规定的，从其规定。</w:t>
      </w:r>
    </w:p>
    <w:p w14:paraId="1955305C">
      <w:pPr>
        <w:spacing w:line="360" w:lineRule="auto"/>
        <w:ind w:firstLine="480" w:firstLineChars="200"/>
        <w:rPr>
          <w:rFonts w:hAnsi="宋体" w:cs="宋体"/>
          <w:szCs w:val="24"/>
          <w:highlight w:val="none"/>
        </w:rPr>
      </w:pPr>
      <w:r>
        <w:rPr>
          <w:rFonts w:hint="eastAsia" w:hAnsi="宋体" w:cs="宋体"/>
          <w:bCs/>
          <w:szCs w:val="24"/>
          <w:highlight w:val="none"/>
        </w:rPr>
        <w:t>第三条</w:t>
      </w:r>
      <w:r>
        <w:rPr>
          <w:rFonts w:hint="eastAsia" w:hAnsi="宋体" w:cs="宋体"/>
          <w:szCs w:val="24"/>
          <w:highlight w:val="none"/>
        </w:rPr>
        <w:t xml:space="preserve">  本规程所称的电子招标投标，是指以数据电文形式，依托电子交易系统和电子服务系统完成的全部或者部分招标投标交易活动。</w:t>
      </w:r>
    </w:p>
    <w:p w14:paraId="41B3487E">
      <w:pPr>
        <w:spacing w:line="360" w:lineRule="auto"/>
        <w:ind w:firstLine="480" w:firstLineChars="200"/>
        <w:rPr>
          <w:rFonts w:hAnsi="宋体" w:cs="宋体"/>
          <w:szCs w:val="24"/>
          <w:highlight w:val="none"/>
        </w:rPr>
      </w:pPr>
      <w:r>
        <w:rPr>
          <w:rFonts w:hint="eastAsia" w:hAnsi="宋体" w:cs="宋体"/>
          <w:bCs/>
          <w:szCs w:val="24"/>
          <w:highlight w:val="none"/>
        </w:rPr>
        <w:t>第四条</w:t>
      </w:r>
      <w:r>
        <w:rPr>
          <w:rFonts w:hint="eastAsia" w:hAnsi="宋体" w:cs="宋体"/>
          <w:szCs w:val="24"/>
          <w:highlight w:val="none"/>
        </w:rPr>
        <w:t xml:space="preserve">  电子交易系统是招标投标当事人通过数据电文形式完成招标投标交易活动的系统。</w:t>
      </w:r>
    </w:p>
    <w:p w14:paraId="25375B74">
      <w:pPr>
        <w:spacing w:line="360" w:lineRule="auto"/>
        <w:ind w:firstLine="480" w:firstLineChars="200"/>
        <w:rPr>
          <w:rFonts w:hAnsi="宋体" w:cs="宋体"/>
          <w:szCs w:val="24"/>
          <w:highlight w:val="none"/>
        </w:rPr>
      </w:pPr>
      <w:r>
        <w:rPr>
          <w:rFonts w:hint="eastAsia" w:hAnsi="宋体" w:cs="宋体"/>
          <w:szCs w:val="24"/>
          <w:highlight w:val="none"/>
        </w:rPr>
        <w:t>电子交易系统要具备在线完成招标投标全部交易过程，编辑、生成、对接、交换和发布有关招标投标数据信息的功能，并为行政监督部门依法实施监督和受理投诉提供所需的信息通道。</w:t>
      </w:r>
    </w:p>
    <w:p w14:paraId="315FEC44">
      <w:pPr>
        <w:spacing w:line="360" w:lineRule="auto"/>
        <w:ind w:firstLine="480" w:firstLineChars="200"/>
        <w:rPr>
          <w:rFonts w:hAnsi="宋体" w:cs="宋体"/>
          <w:szCs w:val="24"/>
          <w:highlight w:val="none"/>
        </w:rPr>
      </w:pPr>
      <w:r>
        <w:rPr>
          <w:rFonts w:hint="eastAsia" w:hAnsi="宋体" w:cs="宋体"/>
          <w:bCs/>
          <w:szCs w:val="24"/>
          <w:highlight w:val="none"/>
        </w:rPr>
        <w:t>第五条</w:t>
      </w:r>
      <w:r>
        <w:rPr>
          <w:rFonts w:hint="eastAsia" w:hAnsi="宋体" w:cs="宋体"/>
          <w:szCs w:val="24"/>
          <w:highlight w:val="none"/>
        </w:rPr>
        <w:t xml:space="preserve">  电子服务系统是满足与各电子交易系统之间电子招标投标信息对接交换、资源共享需要，并为市场主体、行政监督部门和社会公众提供信息交换、整合和发布的系统。</w:t>
      </w:r>
    </w:p>
    <w:p w14:paraId="01763B4E">
      <w:pPr>
        <w:spacing w:line="360" w:lineRule="auto"/>
        <w:ind w:firstLine="480" w:firstLineChars="200"/>
        <w:rPr>
          <w:rFonts w:hAnsi="宋体" w:cs="宋体"/>
          <w:szCs w:val="24"/>
          <w:highlight w:val="none"/>
        </w:rPr>
      </w:pPr>
      <w:r>
        <w:rPr>
          <w:rFonts w:hint="eastAsia" w:hAnsi="宋体" w:cs="宋体"/>
          <w:szCs w:val="24"/>
          <w:highlight w:val="none"/>
        </w:rPr>
        <w:t>电子服务系统要具备与各电子交易系统之间招标投标相关信息对接、交换、发布、资格信誉和业绩公开、行业统计分析、连接评标专家库、提供行政监督通道等服务功能。</w:t>
      </w:r>
    </w:p>
    <w:p w14:paraId="5765F6A5">
      <w:pPr>
        <w:spacing w:line="360" w:lineRule="auto"/>
        <w:ind w:firstLine="480" w:firstLineChars="200"/>
        <w:rPr>
          <w:rFonts w:hAnsi="宋体" w:cs="宋体"/>
          <w:szCs w:val="24"/>
          <w:highlight w:val="none"/>
        </w:rPr>
      </w:pPr>
      <w:r>
        <w:rPr>
          <w:rFonts w:hint="eastAsia" w:hAnsi="宋体" w:cs="宋体"/>
          <w:bCs/>
          <w:szCs w:val="24"/>
          <w:highlight w:val="none"/>
        </w:rPr>
        <w:t>第六条</w:t>
      </w:r>
      <w:r>
        <w:rPr>
          <w:rFonts w:hint="eastAsia" w:hAnsi="宋体" w:cs="宋体"/>
          <w:szCs w:val="24"/>
          <w:highlight w:val="none"/>
        </w:rPr>
        <w:t xml:space="preserve">  招标人或招标代理机构负责电子招标投标的组织实施，电子交易系统建设单位负责电子交易系统的服务保障，电子服务系统建设单位负责电子服务系统的服务保障。</w:t>
      </w:r>
    </w:p>
    <w:p w14:paraId="2E527DA0">
      <w:pPr>
        <w:spacing w:line="360" w:lineRule="auto"/>
        <w:ind w:firstLine="480" w:firstLineChars="200"/>
        <w:rPr>
          <w:rFonts w:hAnsi="宋体" w:cs="宋体"/>
          <w:szCs w:val="24"/>
          <w:highlight w:val="none"/>
        </w:rPr>
      </w:pPr>
      <w:r>
        <w:rPr>
          <w:rFonts w:hint="eastAsia" w:hAnsi="宋体" w:cs="宋体"/>
          <w:bCs/>
          <w:szCs w:val="24"/>
          <w:highlight w:val="none"/>
        </w:rPr>
        <w:t>第七条</w:t>
      </w:r>
      <w:r>
        <w:rPr>
          <w:rFonts w:hint="eastAsia" w:hAnsi="宋体" w:cs="宋体"/>
          <w:szCs w:val="24"/>
          <w:highlight w:val="none"/>
        </w:rPr>
        <w:t xml:space="preserve">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1FB6DDE8">
      <w:pPr>
        <w:spacing w:line="360" w:lineRule="auto"/>
        <w:ind w:firstLine="480" w:firstLineChars="200"/>
        <w:rPr>
          <w:rFonts w:hAnsi="宋体" w:cs="宋体"/>
          <w:szCs w:val="24"/>
          <w:highlight w:val="none"/>
        </w:rPr>
      </w:pPr>
      <w:r>
        <w:rPr>
          <w:rFonts w:hint="eastAsia" w:hAnsi="宋体" w:cs="宋体"/>
          <w:szCs w:val="24"/>
          <w:highlight w:val="none"/>
        </w:rPr>
        <w:t>投标人应妥善保管数字证书，由于数字证书遗失、损坏、更换、续期等情况导致投标文件无法上传或解密，由投标人自行承担责任。</w:t>
      </w:r>
    </w:p>
    <w:p w14:paraId="1D74628A">
      <w:pPr>
        <w:spacing w:line="360" w:lineRule="auto"/>
        <w:ind w:firstLine="480" w:firstLineChars="200"/>
        <w:jc w:val="left"/>
        <w:rPr>
          <w:rFonts w:hAnsi="宋体" w:cs="宋体"/>
          <w:szCs w:val="24"/>
          <w:highlight w:val="none"/>
        </w:rPr>
      </w:pPr>
      <w:r>
        <w:rPr>
          <w:rFonts w:hint="eastAsia" w:hAnsi="宋体" w:cs="宋体"/>
          <w:bCs/>
          <w:szCs w:val="24"/>
          <w:highlight w:val="none"/>
        </w:rPr>
        <w:t>第八条</w:t>
      </w:r>
      <w:r>
        <w:rPr>
          <w:rFonts w:hint="eastAsia" w:hAnsi="宋体" w:cs="宋体"/>
          <w:szCs w:val="24"/>
          <w:highlight w:val="none"/>
        </w:rPr>
        <w:t xml:space="preserve">  招标人或招标代理机构应在招标公告和招标文件中明确招标项目采取电子招标投标方式，并按相关流程通过电子交易系统制作招标文件。 </w:t>
      </w:r>
    </w:p>
    <w:p w14:paraId="4F0FD859">
      <w:pPr>
        <w:spacing w:line="360" w:lineRule="auto"/>
        <w:ind w:firstLine="480" w:firstLineChars="200"/>
        <w:rPr>
          <w:rFonts w:hAnsi="宋体" w:cs="宋体"/>
          <w:szCs w:val="24"/>
          <w:highlight w:val="none"/>
        </w:rPr>
      </w:pPr>
      <w:r>
        <w:rPr>
          <w:rFonts w:hint="eastAsia" w:hAnsi="宋体" w:cs="宋体"/>
          <w:bCs/>
          <w:szCs w:val="24"/>
          <w:highlight w:val="none"/>
        </w:rPr>
        <w:t>第九条</w:t>
      </w:r>
      <w:r>
        <w:rPr>
          <w:rFonts w:hint="eastAsia" w:hAnsi="宋体" w:cs="宋体"/>
          <w:szCs w:val="24"/>
          <w:highlight w:val="none"/>
        </w:rPr>
        <w:t xml:space="preserve">  招标公告、招标文件应由招标人或招标代理机构通过电子服务系统在安徽合肥公共资源交易中心网站发布，其中招标文件须加盖电子签章。</w:t>
      </w:r>
    </w:p>
    <w:p w14:paraId="269E6533">
      <w:pPr>
        <w:spacing w:line="360" w:lineRule="auto"/>
        <w:ind w:firstLine="480" w:firstLineChars="200"/>
        <w:rPr>
          <w:rFonts w:hAnsi="宋体" w:cs="宋体"/>
          <w:szCs w:val="24"/>
          <w:highlight w:val="none"/>
        </w:rPr>
      </w:pPr>
      <w:r>
        <w:rPr>
          <w:rFonts w:hint="eastAsia" w:hAnsi="宋体" w:cs="宋体"/>
          <w:bCs/>
          <w:szCs w:val="24"/>
          <w:highlight w:val="none"/>
        </w:rPr>
        <w:t>第十条</w:t>
      </w:r>
      <w:r>
        <w:rPr>
          <w:rFonts w:hint="eastAsia" w:hAnsi="宋体" w:cs="宋体"/>
          <w:szCs w:val="24"/>
          <w:highlight w:val="none"/>
        </w:rPr>
        <w:t xml:space="preserve">  投标人登录安徽合肥公共资源交易中心电子服务系统获取招标文件。</w:t>
      </w:r>
    </w:p>
    <w:p w14:paraId="00F2BE9F">
      <w:pPr>
        <w:spacing w:line="360" w:lineRule="auto"/>
        <w:ind w:firstLine="480" w:firstLineChars="200"/>
        <w:rPr>
          <w:rFonts w:hAnsi="宋体" w:cs="宋体"/>
          <w:szCs w:val="24"/>
          <w:highlight w:val="none"/>
        </w:rPr>
      </w:pPr>
      <w:r>
        <w:rPr>
          <w:rFonts w:hint="eastAsia" w:hAnsi="宋体" w:cs="宋体"/>
          <w:bCs/>
          <w:szCs w:val="24"/>
          <w:highlight w:val="none"/>
        </w:rPr>
        <w:t>第十一条</w:t>
      </w:r>
      <w:r>
        <w:rPr>
          <w:rFonts w:hint="eastAsia" w:hAnsi="宋体" w:cs="宋体"/>
          <w:szCs w:val="24"/>
          <w:highlight w:val="none"/>
        </w:rPr>
        <w:t xml:space="preserve">  澄清、修改文件应由招标人或招标代理机构通过电子服务系统在安徽合肥公共资源交易中心网站发布，投标人应及时查阅相关澄清、修改信息。</w:t>
      </w:r>
    </w:p>
    <w:p w14:paraId="4112996C">
      <w:pPr>
        <w:spacing w:line="360" w:lineRule="auto"/>
        <w:ind w:firstLine="480" w:firstLineChars="200"/>
        <w:rPr>
          <w:rFonts w:hAnsi="宋体" w:cs="宋体"/>
          <w:szCs w:val="24"/>
          <w:highlight w:val="none"/>
        </w:rPr>
      </w:pPr>
      <w:r>
        <w:rPr>
          <w:rFonts w:hint="eastAsia" w:hAnsi="宋体" w:cs="宋体"/>
          <w:bCs/>
          <w:szCs w:val="24"/>
          <w:highlight w:val="none"/>
        </w:rPr>
        <w:t>第十二条</w:t>
      </w:r>
      <w:r>
        <w:rPr>
          <w:rFonts w:hint="eastAsia" w:hAnsi="宋体" w:cs="宋体"/>
          <w:szCs w:val="24"/>
          <w:highlight w:val="none"/>
        </w:rPr>
        <w:t xml:space="preserve">  投标人应使用电子标书制作软件制作投标文件，电子标书制作软件应允许投标人离线制作投标文件，并且具备分段或整体加密、解密功能。</w:t>
      </w:r>
    </w:p>
    <w:p w14:paraId="6373F12A">
      <w:pPr>
        <w:spacing w:line="360" w:lineRule="auto"/>
        <w:ind w:firstLine="480" w:firstLineChars="200"/>
        <w:rPr>
          <w:rFonts w:hAnsi="宋体" w:cs="宋体"/>
          <w:szCs w:val="24"/>
          <w:highlight w:val="none"/>
        </w:rPr>
      </w:pPr>
      <w:r>
        <w:rPr>
          <w:rFonts w:hint="eastAsia" w:hAnsi="宋体" w:cs="宋体"/>
          <w:bCs/>
          <w:szCs w:val="24"/>
          <w:highlight w:val="none"/>
        </w:rPr>
        <w:t>第十三条</w:t>
      </w:r>
      <w:r>
        <w:rPr>
          <w:rFonts w:hint="eastAsia" w:hAnsi="宋体" w:cs="宋体"/>
          <w:szCs w:val="24"/>
          <w:highlight w:val="none"/>
        </w:rPr>
        <w:t xml:space="preserve">  投标人必须对投标文件进行电子签章并使用数字证书加密，并于招标文件规定的投标截止时间前通过电子交易系统完成上传。</w:t>
      </w:r>
    </w:p>
    <w:p w14:paraId="42C27EA2">
      <w:pPr>
        <w:spacing w:line="360" w:lineRule="auto"/>
        <w:ind w:firstLine="480" w:firstLineChars="200"/>
        <w:rPr>
          <w:rFonts w:hAnsi="宋体" w:cs="宋体"/>
          <w:szCs w:val="24"/>
          <w:highlight w:val="none"/>
        </w:rPr>
      </w:pPr>
      <w:r>
        <w:rPr>
          <w:rFonts w:hint="eastAsia" w:hAnsi="宋体" w:cs="宋体"/>
          <w:szCs w:val="24"/>
          <w:highlight w:val="none"/>
        </w:rPr>
        <w:t>投标人对加密的投标文件进行撤回的，应通过电子交易系统在投标截止时间前进行撤回操作；投标人对加密的投标文件进行修改的，应在投标截止时间前完成上传。</w:t>
      </w:r>
    </w:p>
    <w:p w14:paraId="3B081A89">
      <w:pPr>
        <w:spacing w:line="360" w:lineRule="auto"/>
        <w:ind w:firstLine="480" w:firstLineChars="200"/>
        <w:rPr>
          <w:rFonts w:hAnsi="宋体" w:cs="宋体"/>
          <w:szCs w:val="24"/>
          <w:highlight w:val="none"/>
        </w:rPr>
      </w:pPr>
      <w:r>
        <w:rPr>
          <w:rFonts w:hint="eastAsia" w:hAnsi="宋体" w:cs="宋体"/>
          <w:bCs/>
          <w:szCs w:val="24"/>
          <w:highlight w:val="none"/>
        </w:rPr>
        <w:t>第十四条</w:t>
      </w:r>
      <w:r>
        <w:rPr>
          <w:rFonts w:hint="eastAsia" w:hAnsi="宋体" w:cs="宋体"/>
          <w:szCs w:val="24"/>
          <w:highlight w:val="none"/>
        </w:rPr>
        <w:t xml:space="preserve">  投标截止时间以电子交易系统显示的时间为准，逾期系统将自动关闭, 未完成上传的投标文件将被拒绝。</w:t>
      </w:r>
    </w:p>
    <w:p w14:paraId="39784D91">
      <w:pPr>
        <w:spacing w:line="360" w:lineRule="auto"/>
        <w:ind w:firstLine="480" w:firstLineChars="200"/>
        <w:rPr>
          <w:rFonts w:hAnsi="宋体" w:cs="宋体"/>
          <w:szCs w:val="24"/>
          <w:highlight w:val="none"/>
        </w:rPr>
      </w:pPr>
      <w:r>
        <w:rPr>
          <w:rFonts w:hint="eastAsia" w:hAnsi="宋体" w:cs="宋体"/>
          <w:bCs/>
          <w:szCs w:val="24"/>
          <w:highlight w:val="none"/>
        </w:rPr>
        <w:t>第十五条</w:t>
      </w:r>
      <w:r>
        <w:rPr>
          <w:rFonts w:hint="eastAsia" w:hAnsi="宋体" w:cs="宋体"/>
          <w:szCs w:val="24"/>
          <w:highlight w:val="none"/>
        </w:rPr>
        <w:t xml:space="preserve">  投标人在投标截止时间后按招标文件规定的解密时间完成投标文件解密，加密和解密须用同一数字证书。投标人未在招标文件规定的时间内完成解密的视为其放弃投标。</w:t>
      </w:r>
    </w:p>
    <w:p w14:paraId="5BC2F0AD">
      <w:pPr>
        <w:spacing w:line="360" w:lineRule="auto"/>
        <w:ind w:firstLine="480" w:firstLineChars="200"/>
        <w:rPr>
          <w:rFonts w:hAnsi="宋体" w:cs="宋体"/>
          <w:szCs w:val="24"/>
          <w:highlight w:val="none"/>
        </w:rPr>
      </w:pPr>
      <w:r>
        <w:rPr>
          <w:rFonts w:hint="eastAsia" w:hAnsi="宋体" w:cs="宋体"/>
          <w:szCs w:val="24"/>
          <w:highlight w:val="none"/>
        </w:rPr>
        <w:t>招标人或招标代理机构完成解密，导入并读取所有成功解密的投标文件，电子交易系统应自动记录开标过程。</w:t>
      </w:r>
    </w:p>
    <w:p w14:paraId="74149120">
      <w:pPr>
        <w:spacing w:line="360" w:lineRule="auto"/>
        <w:ind w:firstLine="480" w:firstLineChars="200"/>
        <w:rPr>
          <w:rFonts w:hAnsi="宋体" w:cs="宋体"/>
          <w:szCs w:val="24"/>
          <w:highlight w:val="none"/>
        </w:rPr>
      </w:pPr>
      <w:r>
        <w:rPr>
          <w:rFonts w:hint="eastAsia" w:hAnsi="宋体" w:cs="宋体"/>
          <w:szCs w:val="24"/>
          <w:highlight w:val="none"/>
        </w:rPr>
        <w:t>招标文件约定须到达指定地点或线上进行演示、答辩、磋商、谈判等情形的，投标人应按照招标文件规定的时间到达指定地点或登录电子交易系统保持在线。</w:t>
      </w:r>
    </w:p>
    <w:p w14:paraId="0C1A63EA">
      <w:pPr>
        <w:spacing w:line="360" w:lineRule="auto"/>
        <w:ind w:firstLine="480" w:firstLineChars="200"/>
        <w:rPr>
          <w:rFonts w:hAnsi="宋体" w:cs="宋体"/>
          <w:szCs w:val="24"/>
          <w:highlight w:val="none"/>
        </w:rPr>
      </w:pPr>
      <w:r>
        <w:rPr>
          <w:rFonts w:hint="eastAsia" w:hAnsi="宋体" w:cs="宋体"/>
          <w:bCs/>
          <w:szCs w:val="24"/>
          <w:highlight w:val="none"/>
        </w:rPr>
        <w:t>第十六条</w:t>
      </w:r>
      <w:r>
        <w:rPr>
          <w:rFonts w:hint="eastAsia" w:hAnsi="宋体" w:cs="宋体"/>
          <w:szCs w:val="24"/>
          <w:highlight w:val="none"/>
        </w:rPr>
        <w:t xml:space="preserve">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03267F52">
      <w:pPr>
        <w:spacing w:line="360" w:lineRule="auto"/>
        <w:ind w:firstLine="480" w:firstLineChars="200"/>
        <w:rPr>
          <w:rFonts w:hAnsi="宋体" w:cs="宋体"/>
          <w:szCs w:val="24"/>
          <w:highlight w:val="none"/>
        </w:rPr>
      </w:pPr>
      <w:r>
        <w:rPr>
          <w:rFonts w:hint="eastAsia" w:hAnsi="宋体" w:cs="宋体"/>
          <w:bCs/>
          <w:szCs w:val="24"/>
          <w:highlight w:val="none"/>
        </w:rPr>
        <w:t>第十七条</w:t>
      </w:r>
      <w:r>
        <w:rPr>
          <w:rFonts w:hint="eastAsia" w:hAnsi="宋体" w:cs="宋体"/>
          <w:szCs w:val="24"/>
          <w:highlight w:val="none"/>
        </w:rPr>
        <w:t xml:space="preserve">  招标人或招标代理机构组织评标，评标委员会依据招标文件规定的评标办法进行电子评标，并对评标结果签字或电子签名确认。</w:t>
      </w:r>
    </w:p>
    <w:p w14:paraId="4FFBF38C">
      <w:pPr>
        <w:spacing w:line="360" w:lineRule="auto"/>
        <w:ind w:firstLine="480" w:firstLineChars="200"/>
        <w:rPr>
          <w:rFonts w:hAnsi="宋体" w:cs="宋体"/>
          <w:szCs w:val="24"/>
          <w:highlight w:val="none"/>
        </w:rPr>
      </w:pPr>
      <w:r>
        <w:rPr>
          <w:rFonts w:hint="eastAsia" w:hAnsi="宋体" w:cs="宋体"/>
          <w:szCs w:val="24"/>
          <w:highlight w:val="none"/>
        </w:rPr>
        <w:t>多次报价应按招标文件的要求提交。</w:t>
      </w:r>
    </w:p>
    <w:p w14:paraId="4DF44E85">
      <w:pPr>
        <w:spacing w:line="360" w:lineRule="auto"/>
        <w:ind w:firstLine="480" w:firstLineChars="200"/>
        <w:rPr>
          <w:rFonts w:hAnsi="宋体" w:cs="宋体"/>
          <w:szCs w:val="24"/>
          <w:highlight w:val="none"/>
        </w:rPr>
      </w:pPr>
      <w:r>
        <w:rPr>
          <w:rFonts w:hint="eastAsia" w:hAnsi="宋体" w:cs="宋体"/>
          <w:bCs/>
          <w:szCs w:val="24"/>
          <w:highlight w:val="none"/>
        </w:rPr>
        <w:t>第十八条</w:t>
      </w:r>
      <w:r>
        <w:rPr>
          <w:rFonts w:hint="eastAsia" w:hAnsi="宋体" w:cs="宋体"/>
          <w:szCs w:val="24"/>
          <w:highlight w:val="none"/>
        </w:rPr>
        <w:t xml:space="preserve">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1B2985C3">
      <w:pPr>
        <w:spacing w:line="360" w:lineRule="auto"/>
        <w:ind w:firstLine="480" w:firstLineChars="200"/>
        <w:rPr>
          <w:rFonts w:hAnsi="宋体" w:cs="宋体"/>
          <w:szCs w:val="24"/>
          <w:highlight w:val="none"/>
        </w:rPr>
      </w:pPr>
      <w:r>
        <w:rPr>
          <w:rFonts w:hint="eastAsia" w:hAnsi="宋体" w:cs="宋体"/>
          <w:bCs/>
          <w:szCs w:val="24"/>
          <w:highlight w:val="none"/>
        </w:rPr>
        <w:t>第十九条</w:t>
      </w:r>
      <w:r>
        <w:rPr>
          <w:rFonts w:hint="eastAsia" w:hAnsi="宋体" w:cs="宋体"/>
          <w:szCs w:val="24"/>
          <w:highlight w:val="none"/>
        </w:rPr>
        <w:t xml:space="preserve">  评标委员会完成评标后，应通过电子交易系统提交评标报告。招标人或招标代理机构将评标报告及时交互至电子服务系统。</w:t>
      </w:r>
    </w:p>
    <w:p w14:paraId="3E658839">
      <w:pPr>
        <w:spacing w:line="360" w:lineRule="auto"/>
        <w:ind w:firstLine="480" w:firstLineChars="200"/>
        <w:rPr>
          <w:rFonts w:hAnsi="宋体" w:cs="宋体"/>
          <w:szCs w:val="24"/>
          <w:highlight w:val="none"/>
        </w:rPr>
      </w:pPr>
      <w:r>
        <w:rPr>
          <w:rFonts w:hint="eastAsia" w:hAnsi="宋体" w:cs="宋体"/>
          <w:bCs/>
          <w:szCs w:val="24"/>
          <w:highlight w:val="none"/>
        </w:rPr>
        <w:t>第二十条</w:t>
      </w:r>
      <w:r>
        <w:rPr>
          <w:rFonts w:hint="eastAsia" w:hAnsi="宋体" w:cs="宋体"/>
          <w:szCs w:val="24"/>
          <w:highlight w:val="none"/>
        </w:rPr>
        <w:t xml:space="preserve">  招标人或招标代理机构应通过电子服务系统在安徽合肥公共资源交易中心网站公示和公布中标候选人及中标结果。</w:t>
      </w:r>
    </w:p>
    <w:p w14:paraId="7F399CCE">
      <w:pPr>
        <w:spacing w:line="360" w:lineRule="auto"/>
        <w:ind w:firstLine="480" w:firstLineChars="200"/>
        <w:rPr>
          <w:rFonts w:hAnsi="宋体" w:cs="宋体"/>
          <w:szCs w:val="24"/>
          <w:highlight w:val="none"/>
        </w:rPr>
      </w:pPr>
      <w:r>
        <w:rPr>
          <w:rFonts w:hint="eastAsia" w:hAnsi="宋体" w:cs="宋体"/>
          <w:bCs/>
          <w:szCs w:val="24"/>
          <w:highlight w:val="none"/>
        </w:rPr>
        <w:t>第二十一条</w:t>
      </w:r>
      <w:r>
        <w:rPr>
          <w:rFonts w:hint="eastAsia" w:hAnsi="宋体" w:cs="宋体"/>
          <w:szCs w:val="24"/>
          <w:highlight w:val="none"/>
        </w:rPr>
        <w:t xml:space="preserve">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49898444">
      <w:pPr>
        <w:spacing w:line="360" w:lineRule="auto"/>
        <w:ind w:firstLine="480" w:firstLineChars="200"/>
        <w:rPr>
          <w:rFonts w:hAnsi="宋体" w:cs="宋体"/>
          <w:szCs w:val="24"/>
          <w:highlight w:val="none"/>
        </w:rPr>
      </w:pPr>
      <w:r>
        <w:rPr>
          <w:rFonts w:hint="eastAsia" w:hAnsi="宋体" w:cs="宋体"/>
          <w:bCs/>
          <w:szCs w:val="24"/>
          <w:highlight w:val="none"/>
        </w:rPr>
        <w:t>第二十二条</w:t>
      </w:r>
      <w:r>
        <w:rPr>
          <w:rFonts w:hint="eastAsia" w:hAnsi="宋体" w:cs="宋体"/>
          <w:szCs w:val="24"/>
          <w:highlight w:val="none"/>
        </w:rPr>
        <w:t>招标人确定中标人后，应通过电子交易系统向中标人发出中标通知书，中标通知书发出即视为送达。</w:t>
      </w:r>
    </w:p>
    <w:p w14:paraId="78A6ABB1">
      <w:pPr>
        <w:spacing w:line="360" w:lineRule="auto"/>
        <w:ind w:firstLine="480" w:firstLineChars="200"/>
        <w:rPr>
          <w:rFonts w:hAnsi="宋体" w:cs="宋体"/>
          <w:szCs w:val="24"/>
          <w:highlight w:val="none"/>
        </w:rPr>
      </w:pPr>
      <w:r>
        <w:rPr>
          <w:rFonts w:hint="eastAsia" w:hAnsi="宋体" w:cs="宋体"/>
          <w:bCs/>
          <w:szCs w:val="24"/>
          <w:highlight w:val="none"/>
        </w:rPr>
        <w:t>第二十三条</w:t>
      </w:r>
      <w:r>
        <w:rPr>
          <w:rFonts w:hint="eastAsia" w:hAnsi="宋体" w:cs="宋体"/>
          <w:szCs w:val="24"/>
          <w:highlight w:val="none"/>
        </w:rPr>
        <w:t xml:space="preserve">  出现下列情形导致电子服务系统或电子交易系统无法正常运行，影响招标投标过程的公平、公正和信息安全，经第三方机构认定后，各方当事人免责：</w:t>
      </w:r>
    </w:p>
    <w:p w14:paraId="66801208">
      <w:pPr>
        <w:spacing w:line="360" w:lineRule="auto"/>
        <w:ind w:firstLine="480" w:firstLineChars="200"/>
        <w:rPr>
          <w:rFonts w:hAnsi="宋体" w:cs="宋体"/>
          <w:szCs w:val="24"/>
          <w:highlight w:val="none"/>
        </w:rPr>
      </w:pPr>
      <w:r>
        <w:rPr>
          <w:rFonts w:hint="eastAsia" w:hAnsi="宋体" w:cs="宋体"/>
          <w:szCs w:val="24"/>
          <w:highlight w:val="none"/>
        </w:rPr>
        <w:t>（一）网络、服务器、数据库发生故障造成无法访问或使用的；</w:t>
      </w:r>
    </w:p>
    <w:p w14:paraId="0C489141">
      <w:pPr>
        <w:spacing w:line="360" w:lineRule="auto"/>
        <w:ind w:firstLine="480" w:firstLineChars="200"/>
        <w:rPr>
          <w:rFonts w:hAnsi="宋体" w:cs="宋体"/>
          <w:szCs w:val="24"/>
          <w:highlight w:val="none"/>
        </w:rPr>
      </w:pPr>
      <w:r>
        <w:rPr>
          <w:rFonts w:hint="eastAsia" w:hAnsi="宋体" w:cs="宋体"/>
          <w:szCs w:val="24"/>
          <w:highlight w:val="none"/>
        </w:rPr>
        <w:t>（二）电力系统发生故障导致电子服务系统或电子交易系统无法运行的；</w:t>
      </w:r>
    </w:p>
    <w:p w14:paraId="172A8A8C">
      <w:pPr>
        <w:spacing w:line="360" w:lineRule="auto"/>
        <w:ind w:firstLine="480" w:firstLineChars="200"/>
        <w:rPr>
          <w:rFonts w:hAnsi="宋体" w:cs="宋体"/>
          <w:szCs w:val="24"/>
          <w:highlight w:val="none"/>
        </w:rPr>
      </w:pPr>
      <w:r>
        <w:rPr>
          <w:rFonts w:hint="eastAsia" w:hAnsi="宋体" w:cs="宋体"/>
          <w:szCs w:val="24"/>
          <w:highlight w:val="none"/>
        </w:rPr>
        <w:t>（三）出现网络攻击、病毒入侵以及电子服务系统或电子交易系统安全漏洞导致无法正常提供服务的；</w:t>
      </w:r>
    </w:p>
    <w:p w14:paraId="11A35DA6">
      <w:pPr>
        <w:spacing w:line="360" w:lineRule="auto"/>
        <w:ind w:firstLine="480" w:firstLineChars="200"/>
        <w:rPr>
          <w:rFonts w:hAnsi="宋体" w:cs="宋体"/>
          <w:szCs w:val="24"/>
          <w:highlight w:val="none"/>
        </w:rPr>
      </w:pPr>
      <w:r>
        <w:rPr>
          <w:rFonts w:hint="eastAsia" w:hAnsi="宋体" w:cs="宋体"/>
          <w:szCs w:val="24"/>
          <w:highlight w:val="none"/>
        </w:rPr>
        <w:t>（四）其他无法保证招标投标过程公平、公正和信息安全的情形。</w:t>
      </w:r>
    </w:p>
    <w:p w14:paraId="470AB759">
      <w:pPr>
        <w:spacing w:line="360" w:lineRule="auto"/>
        <w:ind w:firstLine="480" w:firstLineChars="200"/>
        <w:rPr>
          <w:rFonts w:hAnsi="宋体" w:cs="宋体"/>
          <w:szCs w:val="24"/>
          <w:highlight w:val="none"/>
        </w:rPr>
      </w:pPr>
      <w:r>
        <w:rPr>
          <w:rFonts w:hint="eastAsia" w:hAnsi="宋体" w:cs="宋体"/>
          <w:bCs/>
          <w:szCs w:val="24"/>
          <w:highlight w:val="none"/>
        </w:rPr>
        <w:t>第二十四条</w:t>
      </w:r>
      <w:r>
        <w:rPr>
          <w:rFonts w:hint="eastAsia" w:hAnsi="宋体" w:cs="宋体"/>
          <w:szCs w:val="24"/>
          <w:highlight w:val="none"/>
        </w:rPr>
        <w:t xml:space="preserve">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0644440D">
      <w:pPr>
        <w:spacing w:line="360" w:lineRule="auto"/>
        <w:ind w:firstLine="480" w:firstLineChars="200"/>
        <w:rPr>
          <w:rFonts w:hAnsi="宋体" w:cs="宋体"/>
          <w:szCs w:val="24"/>
          <w:highlight w:val="none"/>
        </w:rPr>
      </w:pPr>
      <w:r>
        <w:rPr>
          <w:rFonts w:hint="eastAsia" w:hAnsi="宋体" w:cs="宋体"/>
          <w:szCs w:val="24"/>
          <w:highlight w:val="none"/>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30FC8B01">
      <w:pPr>
        <w:spacing w:line="360" w:lineRule="auto"/>
        <w:ind w:firstLine="480" w:firstLineChars="200"/>
        <w:rPr>
          <w:rFonts w:hAnsi="宋体" w:cs="宋体"/>
          <w:szCs w:val="24"/>
          <w:highlight w:val="none"/>
        </w:rPr>
      </w:pPr>
      <w:r>
        <w:rPr>
          <w:rFonts w:hint="eastAsia" w:hAnsi="宋体" w:cs="宋体"/>
          <w:szCs w:val="24"/>
          <w:highlight w:val="none"/>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673CD3A7">
      <w:pPr>
        <w:spacing w:line="360" w:lineRule="auto"/>
        <w:ind w:firstLine="480" w:firstLineChars="200"/>
        <w:rPr>
          <w:rFonts w:hAnsi="宋体" w:cs="宋体"/>
          <w:szCs w:val="24"/>
          <w:highlight w:val="none"/>
        </w:rPr>
      </w:pPr>
      <w:r>
        <w:rPr>
          <w:rFonts w:hint="eastAsia" w:hAnsi="宋体" w:cs="宋体"/>
          <w:bCs/>
          <w:szCs w:val="24"/>
          <w:highlight w:val="none"/>
        </w:rPr>
        <w:t>第二十五条</w:t>
      </w:r>
      <w:r>
        <w:rPr>
          <w:rFonts w:hint="eastAsia" w:hAnsi="宋体" w:cs="宋体"/>
          <w:szCs w:val="24"/>
          <w:highlight w:val="none"/>
        </w:rPr>
        <w:t xml:space="preserve">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14AAFABD">
      <w:pPr>
        <w:spacing w:line="360" w:lineRule="auto"/>
        <w:ind w:firstLine="480" w:firstLineChars="200"/>
        <w:rPr>
          <w:rFonts w:hAnsi="宋体" w:cs="宋体"/>
          <w:szCs w:val="24"/>
          <w:highlight w:val="none"/>
        </w:rPr>
      </w:pPr>
      <w:r>
        <w:rPr>
          <w:rFonts w:hint="eastAsia" w:hAnsi="宋体" w:cs="宋体"/>
          <w:bCs/>
          <w:szCs w:val="24"/>
          <w:highlight w:val="none"/>
        </w:rPr>
        <w:t>第二十六条</w:t>
      </w:r>
      <w:r>
        <w:rPr>
          <w:rFonts w:hint="eastAsia" w:hAnsi="宋体" w:cs="宋体"/>
          <w:szCs w:val="24"/>
          <w:highlight w:val="none"/>
        </w:rPr>
        <w:t xml:space="preserve">  本规程由合肥市公共资源交易监督管理局负责解释。</w:t>
      </w:r>
    </w:p>
    <w:p w14:paraId="7AC2A778">
      <w:pPr>
        <w:spacing w:line="360" w:lineRule="auto"/>
        <w:ind w:firstLine="480" w:firstLineChars="200"/>
        <w:rPr>
          <w:rFonts w:hAnsi="宋体" w:cs="宋体"/>
          <w:bCs/>
          <w:szCs w:val="24"/>
          <w:highlight w:val="none"/>
        </w:rPr>
      </w:pPr>
      <w:r>
        <w:rPr>
          <w:rFonts w:hint="eastAsia" w:hAnsi="宋体" w:cs="宋体"/>
          <w:bCs/>
          <w:szCs w:val="24"/>
          <w:highlight w:val="none"/>
        </w:rPr>
        <w:t>第二十七条</w:t>
      </w:r>
      <w:r>
        <w:rPr>
          <w:rFonts w:hint="eastAsia" w:hAnsi="宋体" w:cs="宋体"/>
          <w:szCs w:val="24"/>
          <w:highlight w:val="none"/>
        </w:rPr>
        <w:t xml:space="preserve">  本规程自发布之日起施行，有效期2年。原《合肥市公共资源交易电子招标投标操作规程》（合公法〔2020〕16号）同时废止。</w:t>
      </w:r>
    </w:p>
    <w:p w14:paraId="3595C09B">
      <w:pPr>
        <w:pStyle w:val="3"/>
        <w:spacing w:beforeLines="100" w:afterLines="100" w:line="240" w:lineRule="auto"/>
        <w:jc w:val="center"/>
        <w:rPr>
          <w:b w:val="0"/>
          <w:highlight w:val="none"/>
        </w:rPr>
      </w:pPr>
      <w:r>
        <w:rPr>
          <w:rFonts w:hint="eastAsia"/>
          <w:b w:val="0"/>
          <w:highlight w:val="none"/>
        </w:rPr>
        <w:br w:type="page"/>
      </w:r>
      <w:bookmarkStart w:id="448" w:name="_Toc19320"/>
      <w:r>
        <w:rPr>
          <w:rFonts w:hint="eastAsia"/>
          <w:b w:val="0"/>
          <w:highlight w:val="none"/>
        </w:rPr>
        <w:t>第三章  评标办法</w:t>
      </w:r>
      <w:bookmarkEnd w:id="448"/>
    </w:p>
    <w:p w14:paraId="73BEBBEE">
      <w:pPr>
        <w:pStyle w:val="3"/>
        <w:spacing w:beforeLines="100" w:afterLines="100" w:line="240" w:lineRule="auto"/>
        <w:jc w:val="center"/>
        <w:rPr>
          <w:b w:val="0"/>
          <w:highlight w:val="none"/>
        </w:rPr>
      </w:pPr>
      <w:bookmarkStart w:id="449" w:name="_Toc6350"/>
      <w:bookmarkStart w:id="450" w:name="_Toc4951"/>
      <w:bookmarkStart w:id="451" w:name="_Toc12215"/>
      <w:bookmarkStart w:id="452" w:name="_Toc20780"/>
      <w:r>
        <w:rPr>
          <w:rFonts w:hint="eastAsia" w:hAnsi="宋体" w:cs="宋体"/>
          <w:b w:val="0"/>
          <w:highlight w:val="none"/>
        </w:rPr>
        <w:t>综合评估法（一次平均）</w:t>
      </w:r>
      <w:bookmarkEnd w:id="449"/>
      <w:bookmarkEnd w:id="450"/>
      <w:bookmarkEnd w:id="451"/>
      <w:bookmarkEnd w:id="452"/>
    </w:p>
    <w:p w14:paraId="7F4D2383">
      <w:pPr>
        <w:spacing w:beforeLines="100" w:afterLines="100"/>
        <w:jc w:val="center"/>
        <w:outlineLvl w:val="1"/>
        <w:rPr>
          <w:rFonts w:ascii="Times New Roman" w:eastAsia="黑体"/>
          <w:sz w:val="32"/>
          <w:szCs w:val="32"/>
          <w:highlight w:val="none"/>
        </w:rPr>
      </w:pPr>
      <w:bookmarkStart w:id="453" w:name="_Toc140069419"/>
      <w:bookmarkStart w:id="454" w:name="_Toc14575"/>
      <w:bookmarkStart w:id="455" w:name="_Toc14662"/>
      <w:r>
        <w:rPr>
          <w:rFonts w:hint="eastAsia" w:ascii="Times New Roman" w:eastAsia="黑体"/>
          <w:sz w:val="32"/>
          <w:szCs w:val="32"/>
          <w:highlight w:val="none"/>
        </w:rPr>
        <w:t>评标办法前附表</w:t>
      </w:r>
      <w:bookmarkEnd w:id="453"/>
      <w:bookmarkEnd w:id="454"/>
      <w:bookmarkEnd w:id="455"/>
    </w:p>
    <w:tbl>
      <w:tblPr>
        <w:tblStyle w:val="52"/>
        <w:tblW w:w="5043"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6"/>
        <w:gridCol w:w="1393"/>
        <w:gridCol w:w="5532"/>
      </w:tblGrid>
      <w:tr w14:paraId="67D7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6" w:type="dxa"/>
            <w:vAlign w:val="center"/>
          </w:tcPr>
          <w:p w14:paraId="5A873317">
            <w:pPr>
              <w:widowControl/>
              <w:spacing w:line="360" w:lineRule="auto"/>
              <w:jc w:val="center"/>
              <w:rPr>
                <w:rFonts w:hAnsi="宋体" w:cs="宋体"/>
                <w:bCs/>
                <w:highlight w:val="none"/>
              </w:rPr>
            </w:pPr>
            <w:r>
              <w:rPr>
                <w:rFonts w:hint="eastAsia" w:ascii="Times New Roman" w:cs="宋体"/>
                <w:bCs/>
                <w:szCs w:val="24"/>
                <w:highlight w:val="none"/>
              </w:rPr>
              <w:t>条款号</w:t>
            </w:r>
          </w:p>
        </w:tc>
        <w:tc>
          <w:tcPr>
            <w:tcW w:w="1393" w:type="dxa"/>
            <w:vAlign w:val="center"/>
          </w:tcPr>
          <w:p w14:paraId="1A1C4753">
            <w:pPr>
              <w:widowControl/>
              <w:spacing w:line="360" w:lineRule="auto"/>
              <w:ind w:firstLine="120" w:firstLineChars="50"/>
              <w:jc w:val="center"/>
              <w:rPr>
                <w:rFonts w:hAnsi="宋体" w:cs="宋体"/>
                <w:bCs/>
                <w:highlight w:val="none"/>
              </w:rPr>
            </w:pPr>
            <w:r>
              <w:rPr>
                <w:rFonts w:hint="eastAsia" w:ascii="Times New Roman" w:cs="宋体"/>
                <w:bCs/>
                <w:szCs w:val="24"/>
                <w:highlight w:val="none"/>
              </w:rPr>
              <w:t>评审因素</w:t>
            </w:r>
          </w:p>
        </w:tc>
        <w:tc>
          <w:tcPr>
            <w:tcW w:w="5531" w:type="dxa"/>
            <w:vAlign w:val="center"/>
          </w:tcPr>
          <w:p w14:paraId="6CAC6CDC">
            <w:pPr>
              <w:widowControl/>
              <w:spacing w:line="360" w:lineRule="auto"/>
              <w:ind w:firstLine="120" w:firstLineChars="50"/>
              <w:jc w:val="center"/>
              <w:rPr>
                <w:rFonts w:hAnsi="宋体" w:cs="宋体"/>
                <w:bCs/>
                <w:highlight w:val="none"/>
              </w:rPr>
            </w:pPr>
            <w:r>
              <w:rPr>
                <w:rFonts w:hint="eastAsia" w:ascii="Times New Roman" w:cs="宋体"/>
                <w:bCs/>
                <w:szCs w:val="24"/>
                <w:highlight w:val="none"/>
              </w:rPr>
              <w:t>评审标准</w:t>
            </w:r>
          </w:p>
        </w:tc>
      </w:tr>
      <w:tr w14:paraId="00B5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6" w:type="dxa"/>
            <w:vAlign w:val="center"/>
          </w:tcPr>
          <w:p w14:paraId="1242DC2D">
            <w:pPr>
              <w:widowControl/>
              <w:spacing w:line="360" w:lineRule="auto"/>
              <w:jc w:val="center"/>
              <w:rPr>
                <w:rFonts w:hAnsi="宋体" w:cs="宋体"/>
                <w:bCs/>
                <w:highlight w:val="none"/>
              </w:rPr>
            </w:pPr>
            <w:r>
              <w:rPr>
                <w:rFonts w:hint="eastAsia" w:hAnsi="宋体" w:cs="宋体"/>
                <w:bCs/>
                <w:highlight w:val="none"/>
              </w:rPr>
              <w:t>1.2</w:t>
            </w:r>
          </w:p>
        </w:tc>
        <w:tc>
          <w:tcPr>
            <w:tcW w:w="1393" w:type="dxa"/>
            <w:tcMar>
              <w:left w:w="75" w:type="dxa"/>
            </w:tcMar>
            <w:vAlign w:val="center"/>
          </w:tcPr>
          <w:p w14:paraId="6268E908">
            <w:pPr>
              <w:widowControl/>
              <w:snapToGrid w:val="0"/>
              <w:spacing w:line="360" w:lineRule="auto"/>
              <w:jc w:val="center"/>
              <w:rPr>
                <w:rFonts w:hAnsi="宋体" w:cs="宋体"/>
                <w:highlight w:val="none"/>
              </w:rPr>
            </w:pPr>
            <w:r>
              <w:rPr>
                <w:rFonts w:hint="eastAsia" w:hAnsi="宋体" w:cs="宋体"/>
                <w:highlight w:val="none"/>
              </w:rPr>
              <w:t>中标候选人排序方法</w:t>
            </w:r>
          </w:p>
        </w:tc>
        <w:tc>
          <w:tcPr>
            <w:tcW w:w="5531" w:type="dxa"/>
            <w:tcMar>
              <w:left w:w="75" w:type="dxa"/>
            </w:tcMar>
            <w:vAlign w:val="center"/>
          </w:tcPr>
          <w:p w14:paraId="0449F6D0">
            <w:pPr>
              <w:widowControl/>
              <w:snapToGrid w:val="0"/>
              <w:spacing w:line="360" w:lineRule="auto"/>
              <w:jc w:val="left"/>
              <w:rPr>
                <w:rFonts w:hAnsi="宋体" w:cs="宋体"/>
                <w:highlight w:val="none"/>
                <w:u w:val="single"/>
              </w:rPr>
            </w:pPr>
            <w:r>
              <w:rPr>
                <w:rFonts w:hint="eastAsia" w:hAnsi="宋体" w:cs="宋体"/>
                <w:highlight w:val="none"/>
                <w:u w:val="single"/>
              </w:rPr>
              <w:t>综合得分相等时，评标委员会应按照以下优先顺序确定中标候选人顺序：</w:t>
            </w:r>
          </w:p>
          <w:p w14:paraId="499BA06B">
            <w:pPr>
              <w:widowControl/>
              <w:snapToGrid w:val="0"/>
              <w:spacing w:line="360" w:lineRule="auto"/>
              <w:jc w:val="left"/>
              <w:rPr>
                <w:rFonts w:hAnsi="宋体" w:cs="宋体"/>
                <w:highlight w:val="none"/>
                <w:u w:val="single"/>
              </w:rPr>
            </w:pPr>
            <w:r>
              <w:rPr>
                <w:rFonts w:hint="eastAsia" w:hAnsi="宋体" w:cs="宋体"/>
                <w:highlight w:val="none"/>
                <w:u w:val="single"/>
              </w:rPr>
              <w:t>（1）商务及技术文件得分高的优先；</w:t>
            </w:r>
          </w:p>
          <w:p w14:paraId="6BB72A88">
            <w:pPr>
              <w:widowControl/>
              <w:snapToGrid w:val="0"/>
              <w:spacing w:line="360" w:lineRule="auto"/>
              <w:jc w:val="left"/>
              <w:rPr>
                <w:rFonts w:hAnsi="宋体" w:cs="宋体"/>
                <w:highlight w:val="none"/>
                <w:u w:val="single"/>
              </w:rPr>
            </w:pPr>
            <w:r>
              <w:rPr>
                <w:rFonts w:hint="eastAsia" w:hAnsi="宋体" w:cs="宋体"/>
                <w:highlight w:val="none"/>
                <w:u w:val="single"/>
              </w:rPr>
              <w:t>（2）投标报价低的优先；</w:t>
            </w:r>
          </w:p>
          <w:p w14:paraId="4CD670FF">
            <w:pPr>
              <w:widowControl/>
              <w:snapToGrid w:val="0"/>
              <w:spacing w:line="360" w:lineRule="auto"/>
              <w:jc w:val="left"/>
              <w:rPr>
                <w:rFonts w:hAnsi="宋体" w:cs="宋体"/>
                <w:highlight w:val="none"/>
              </w:rPr>
            </w:pPr>
            <w:r>
              <w:rPr>
                <w:rFonts w:hint="eastAsia" w:hAnsi="宋体" w:cs="宋体"/>
                <w:highlight w:val="none"/>
                <w:u w:val="single"/>
              </w:rPr>
              <w:t>（3）由评标委员会根据投标文件投票，按少数服从多数的原则确定中标候选人顺序。</w:t>
            </w:r>
          </w:p>
        </w:tc>
      </w:tr>
      <w:tr w14:paraId="628E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6" w:type="dxa"/>
            <w:vAlign w:val="center"/>
          </w:tcPr>
          <w:p w14:paraId="1B217196">
            <w:pPr>
              <w:widowControl/>
              <w:spacing w:line="360" w:lineRule="auto"/>
              <w:jc w:val="center"/>
              <w:rPr>
                <w:rFonts w:hAnsi="宋体" w:cs="宋体"/>
                <w:bCs/>
                <w:highlight w:val="none"/>
              </w:rPr>
            </w:pPr>
            <w:r>
              <w:rPr>
                <w:rFonts w:hint="eastAsia" w:hAnsi="宋体" w:cs="宋体"/>
                <w:bCs/>
                <w:highlight w:val="none"/>
              </w:rPr>
              <w:t>1.3</w:t>
            </w:r>
          </w:p>
        </w:tc>
        <w:tc>
          <w:tcPr>
            <w:tcW w:w="1393" w:type="dxa"/>
            <w:tcMar>
              <w:left w:w="75" w:type="dxa"/>
            </w:tcMar>
            <w:vAlign w:val="center"/>
          </w:tcPr>
          <w:p w14:paraId="1745EE75">
            <w:pPr>
              <w:widowControl/>
              <w:snapToGrid w:val="0"/>
              <w:spacing w:line="360" w:lineRule="auto"/>
              <w:jc w:val="center"/>
              <w:rPr>
                <w:rFonts w:hAnsi="宋体" w:cs="宋体"/>
                <w:highlight w:val="none"/>
              </w:rPr>
            </w:pPr>
            <w:r>
              <w:rPr>
                <w:rFonts w:hint="eastAsia" w:hAnsi="宋体" w:cs="宋体"/>
                <w:highlight w:val="none"/>
              </w:rPr>
              <w:t>推荐中标候选人先后顺序</w:t>
            </w:r>
          </w:p>
        </w:tc>
        <w:tc>
          <w:tcPr>
            <w:tcW w:w="5531" w:type="dxa"/>
            <w:tcMar>
              <w:left w:w="75" w:type="dxa"/>
            </w:tcMar>
            <w:vAlign w:val="center"/>
          </w:tcPr>
          <w:p w14:paraId="2B371F61">
            <w:pPr>
              <w:widowControl/>
              <w:snapToGrid w:val="0"/>
              <w:spacing w:line="360" w:lineRule="auto"/>
              <w:jc w:val="left"/>
              <w:rPr>
                <w:rFonts w:hAnsi="宋体" w:cs="宋体"/>
                <w:highlight w:val="none"/>
              </w:rPr>
            </w:pPr>
            <w:r>
              <w:rPr>
                <w:rFonts w:hint="eastAsia" w:hAnsi="宋体" w:cs="宋体"/>
                <w:highlight w:val="none"/>
              </w:rPr>
              <w:t>仅适用于多标段项目（本招标项目仅1个标段，本条不适用）</w:t>
            </w:r>
          </w:p>
        </w:tc>
      </w:tr>
      <w:tr w14:paraId="7228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6" w:type="dxa"/>
            <w:vAlign w:val="center"/>
          </w:tcPr>
          <w:p w14:paraId="76E2CDA5">
            <w:pPr>
              <w:widowControl/>
              <w:spacing w:line="360" w:lineRule="auto"/>
              <w:jc w:val="center"/>
              <w:rPr>
                <w:rFonts w:hAnsi="宋体" w:cs="宋体"/>
                <w:bCs/>
                <w:highlight w:val="none"/>
              </w:rPr>
            </w:pPr>
            <w:r>
              <w:rPr>
                <w:rFonts w:hint="eastAsia" w:hAnsi="宋体" w:cs="宋体"/>
                <w:bCs/>
                <w:highlight w:val="none"/>
              </w:rPr>
              <w:t>1.3</w:t>
            </w:r>
          </w:p>
        </w:tc>
        <w:tc>
          <w:tcPr>
            <w:tcW w:w="1393" w:type="dxa"/>
            <w:tcMar>
              <w:left w:w="75" w:type="dxa"/>
            </w:tcMar>
            <w:vAlign w:val="center"/>
          </w:tcPr>
          <w:p w14:paraId="3C1E280A">
            <w:pPr>
              <w:widowControl/>
              <w:spacing w:line="360" w:lineRule="auto"/>
              <w:jc w:val="center"/>
              <w:rPr>
                <w:rFonts w:hAnsi="宋体" w:cs="宋体"/>
                <w:highlight w:val="none"/>
              </w:rPr>
            </w:pPr>
            <w:r>
              <w:rPr>
                <w:rFonts w:hint="eastAsia" w:hAnsi="宋体" w:cs="宋体"/>
                <w:highlight w:val="none"/>
              </w:rPr>
              <w:t>最多可中标段数量</w:t>
            </w:r>
          </w:p>
        </w:tc>
        <w:tc>
          <w:tcPr>
            <w:tcW w:w="5531" w:type="dxa"/>
            <w:tcMar>
              <w:left w:w="75" w:type="dxa"/>
            </w:tcMar>
            <w:vAlign w:val="center"/>
          </w:tcPr>
          <w:p w14:paraId="503EC05C">
            <w:pPr>
              <w:widowControl/>
              <w:spacing w:line="360" w:lineRule="auto"/>
              <w:jc w:val="left"/>
              <w:rPr>
                <w:rFonts w:hAnsi="宋体" w:cs="宋体"/>
                <w:highlight w:val="none"/>
              </w:rPr>
            </w:pPr>
            <w:r>
              <w:rPr>
                <w:rFonts w:hint="eastAsia" w:hAnsi="宋体" w:cs="宋体"/>
                <w:highlight w:val="none"/>
                <w:u w:val="none"/>
              </w:rPr>
              <w:t>仅适用于多标段项目（本招标项目仅1个标段，本条不适用）</w:t>
            </w:r>
          </w:p>
        </w:tc>
      </w:tr>
      <w:tr w14:paraId="41FB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6" w:type="dxa"/>
            <w:vAlign w:val="center"/>
          </w:tcPr>
          <w:p w14:paraId="6C9B9FB4">
            <w:pPr>
              <w:keepNext/>
              <w:keepLines/>
              <w:widowControl/>
              <w:spacing w:before="340" w:after="330" w:line="360" w:lineRule="auto"/>
              <w:jc w:val="center"/>
              <w:rPr>
                <w:rFonts w:hAnsi="宋体" w:cs="宋体"/>
                <w:bCs/>
                <w:highlight w:val="none"/>
              </w:rPr>
            </w:pPr>
            <w:r>
              <w:rPr>
                <w:rFonts w:hAnsi="宋体" w:cs="宋体"/>
                <w:szCs w:val="24"/>
                <w:highlight w:val="none"/>
              </w:rPr>
              <w:t>2.1</w:t>
            </w:r>
          </w:p>
        </w:tc>
        <w:tc>
          <w:tcPr>
            <w:tcW w:w="1393" w:type="dxa"/>
            <w:tcMar>
              <w:left w:w="75" w:type="dxa"/>
            </w:tcMar>
            <w:vAlign w:val="center"/>
          </w:tcPr>
          <w:p w14:paraId="72DC6A2B">
            <w:pPr>
              <w:widowControl/>
              <w:spacing w:line="360" w:lineRule="auto"/>
              <w:jc w:val="center"/>
              <w:rPr>
                <w:rFonts w:hAnsi="宋体" w:cs="宋体"/>
                <w:highlight w:val="none"/>
              </w:rPr>
            </w:pPr>
            <w:r>
              <w:rPr>
                <w:rFonts w:hAnsi="宋体" w:cs="宋体"/>
                <w:szCs w:val="24"/>
                <w:highlight w:val="none"/>
              </w:rPr>
              <w:t>初步评审标准</w:t>
            </w:r>
          </w:p>
        </w:tc>
        <w:tc>
          <w:tcPr>
            <w:tcW w:w="5531" w:type="dxa"/>
            <w:tcMar>
              <w:left w:w="75" w:type="dxa"/>
            </w:tcMar>
            <w:vAlign w:val="center"/>
          </w:tcPr>
          <w:p w14:paraId="0B7804A8">
            <w:pPr>
              <w:widowControl/>
              <w:spacing w:line="360" w:lineRule="auto"/>
              <w:jc w:val="left"/>
              <w:rPr>
                <w:rFonts w:hAnsi="宋体" w:cs="宋体"/>
                <w:highlight w:val="none"/>
                <w:u w:val="single"/>
              </w:rPr>
            </w:pPr>
            <w:r>
              <w:rPr>
                <w:rFonts w:hAnsi="宋体" w:cs="宋体"/>
                <w:szCs w:val="24"/>
                <w:highlight w:val="none"/>
              </w:rPr>
              <w:t>见</w:t>
            </w:r>
            <w:r>
              <w:rPr>
                <w:rFonts w:hint="eastAsia" w:hAnsi="宋体" w:cs="宋体"/>
                <w:szCs w:val="24"/>
                <w:highlight w:val="none"/>
              </w:rPr>
              <w:t>“商务及技术文件初步评审标准”表、“报价文件初步评审标准”表。</w:t>
            </w:r>
          </w:p>
        </w:tc>
      </w:tr>
      <w:tr w14:paraId="0AB6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6" w:type="dxa"/>
            <w:vAlign w:val="center"/>
          </w:tcPr>
          <w:p w14:paraId="4EF0C8E9">
            <w:pPr>
              <w:snapToGrid w:val="0"/>
              <w:spacing w:line="360" w:lineRule="auto"/>
              <w:jc w:val="center"/>
              <w:rPr>
                <w:rFonts w:hAnsi="宋体" w:cs="宋体"/>
                <w:bCs/>
                <w:highlight w:val="none"/>
              </w:rPr>
            </w:pPr>
            <w:r>
              <w:rPr>
                <w:rFonts w:hint="eastAsia" w:hAnsi="宋体" w:cs="宋体"/>
                <w:bCs/>
                <w:highlight w:val="none"/>
              </w:rPr>
              <w:t>2.2.1</w:t>
            </w:r>
          </w:p>
        </w:tc>
        <w:tc>
          <w:tcPr>
            <w:tcW w:w="1393" w:type="dxa"/>
            <w:tcMar>
              <w:left w:w="75" w:type="dxa"/>
            </w:tcMar>
            <w:vAlign w:val="center"/>
          </w:tcPr>
          <w:p w14:paraId="01D487AE">
            <w:pPr>
              <w:spacing w:line="360" w:lineRule="auto"/>
              <w:jc w:val="center"/>
              <w:rPr>
                <w:rFonts w:hAnsi="宋体" w:cs="宋体"/>
                <w:highlight w:val="none"/>
              </w:rPr>
            </w:pPr>
            <w:r>
              <w:rPr>
                <w:rFonts w:hint="eastAsia" w:hAnsi="宋体" w:cs="宋体"/>
                <w:highlight w:val="none"/>
              </w:rPr>
              <w:t>分值构成</w:t>
            </w:r>
          </w:p>
          <w:p w14:paraId="32D0A226">
            <w:pPr>
              <w:spacing w:line="360" w:lineRule="auto"/>
              <w:jc w:val="center"/>
              <w:rPr>
                <w:rFonts w:hAnsi="宋体" w:cs="宋体"/>
                <w:highlight w:val="none"/>
              </w:rPr>
            </w:pPr>
            <w:r>
              <w:rPr>
                <w:rFonts w:hint="eastAsia" w:hAnsi="宋体" w:cs="宋体"/>
                <w:highlight w:val="none"/>
              </w:rPr>
              <w:t>（</w:t>
            </w:r>
            <w:r>
              <w:rPr>
                <w:rFonts w:hint="eastAsia" w:hAnsi="宋体" w:cs="宋体"/>
                <w:highlight w:val="none"/>
                <w:u w:val="single"/>
              </w:rPr>
              <w:t xml:space="preserve">100 </w:t>
            </w:r>
            <w:r>
              <w:rPr>
                <w:rFonts w:hint="eastAsia" w:hAnsi="宋体" w:cs="宋体"/>
                <w:highlight w:val="none"/>
              </w:rPr>
              <w:t>分）</w:t>
            </w:r>
          </w:p>
        </w:tc>
        <w:tc>
          <w:tcPr>
            <w:tcW w:w="5531" w:type="dxa"/>
            <w:tcMar>
              <w:left w:w="75" w:type="dxa"/>
            </w:tcMar>
            <w:vAlign w:val="center"/>
          </w:tcPr>
          <w:p w14:paraId="14CE4190">
            <w:pPr>
              <w:spacing w:line="360" w:lineRule="auto"/>
              <w:ind w:firstLine="120" w:firstLineChars="50"/>
              <w:rPr>
                <w:rFonts w:hAnsi="宋体" w:cs="宋体"/>
                <w:szCs w:val="24"/>
                <w:highlight w:val="none"/>
              </w:rPr>
            </w:pPr>
            <w:r>
              <w:rPr>
                <w:rFonts w:hint="eastAsia" w:hAnsi="宋体" w:cs="宋体"/>
                <w:szCs w:val="24"/>
                <w:highlight w:val="none"/>
              </w:rPr>
              <w:t>技术文件：</w:t>
            </w:r>
            <w:r>
              <w:rPr>
                <w:rFonts w:hint="eastAsia" w:hAnsi="宋体" w:cs="宋体"/>
                <w:szCs w:val="24"/>
                <w:highlight w:val="none"/>
                <w:u w:val="single"/>
              </w:rPr>
              <w:t xml:space="preserve"> </w:t>
            </w:r>
            <w:r>
              <w:rPr>
                <w:rFonts w:hint="eastAsia" w:hAnsi="宋体" w:cs="宋体"/>
                <w:szCs w:val="24"/>
                <w:highlight w:val="none"/>
                <w:u w:val="single"/>
                <w:lang w:val="en-US" w:eastAsia="zh-CN"/>
              </w:rPr>
              <w:t>24</w:t>
            </w:r>
            <w:r>
              <w:rPr>
                <w:rFonts w:hint="eastAsia" w:hAnsi="宋体" w:cs="宋体"/>
                <w:szCs w:val="24"/>
                <w:highlight w:val="none"/>
                <w:u w:val="single"/>
              </w:rPr>
              <w:t xml:space="preserve"> </w:t>
            </w:r>
            <w:r>
              <w:rPr>
                <w:rFonts w:hint="eastAsia" w:hAnsi="宋体" w:cs="宋体"/>
                <w:szCs w:val="24"/>
                <w:highlight w:val="none"/>
              </w:rPr>
              <w:t>分</w:t>
            </w:r>
          </w:p>
          <w:p w14:paraId="7C2049B3">
            <w:pPr>
              <w:spacing w:line="360" w:lineRule="auto"/>
              <w:ind w:firstLine="120" w:firstLineChars="50"/>
              <w:rPr>
                <w:rFonts w:hAnsi="宋体" w:cs="宋体"/>
                <w:szCs w:val="24"/>
                <w:highlight w:val="none"/>
              </w:rPr>
            </w:pPr>
            <w:r>
              <w:rPr>
                <w:rFonts w:hint="eastAsia" w:hAnsi="宋体" w:cs="宋体"/>
                <w:szCs w:val="24"/>
                <w:highlight w:val="none"/>
              </w:rPr>
              <w:t>商务文件：</w:t>
            </w:r>
            <w:r>
              <w:rPr>
                <w:rFonts w:hint="eastAsia" w:hAnsi="宋体" w:cs="宋体"/>
                <w:szCs w:val="24"/>
                <w:highlight w:val="none"/>
                <w:u w:val="single"/>
              </w:rPr>
              <w:t xml:space="preserve"> </w:t>
            </w:r>
            <w:r>
              <w:rPr>
                <w:rFonts w:hint="eastAsia" w:hAnsi="宋体" w:cs="宋体"/>
                <w:szCs w:val="24"/>
                <w:highlight w:val="none"/>
                <w:u w:val="single"/>
                <w:lang w:val="en-US" w:eastAsia="zh-CN"/>
              </w:rPr>
              <w:t>46</w:t>
            </w:r>
            <w:r>
              <w:rPr>
                <w:rFonts w:hint="eastAsia" w:hAnsi="宋体" w:cs="宋体"/>
                <w:szCs w:val="24"/>
                <w:highlight w:val="none"/>
                <w:u w:val="single"/>
              </w:rPr>
              <w:t xml:space="preserve"> </w:t>
            </w:r>
            <w:r>
              <w:rPr>
                <w:rFonts w:hint="eastAsia" w:hAnsi="宋体" w:cs="宋体"/>
                <w:szCs w:val="24"/>
                <w:highlight w:val="none"/>
              </w:rPr>
              <w:t>分</w:t>
            </w:r>
          </w:p>
          <w:p w14:paraId="3BBF07CA">
            <w:pPr>
              <w:spacing w:line="360" w:lineRule="auto"/>
              <w:ind w:firstLine="120" w:firstLineChars="50"/>
              <w:rPr>
                <w:rFonts w:hAnsi="宋体" w:cs="宋体"/>
                <w:highlight w:val="none"/>
              </w:rPr>
            </w:pPr>
            <w:r>
              <w:rPr>
                <w:rFonts w:hint="eastAsia" w:hAnsi="宋体" w:cs="宋体"/>
                <w:szCs w:val="24"/>
                <w:highlight w:val="none"/>
              </w:rPr>
              <w:t>报价文件：</w:t>
            </w:r>
            <w:r>
              <w:rPr>
                <w:rFonts w:hint="eastAsia" w:hAnsi="宋体" w:cs="宋体"/>
                <w:szCs w:val="24"/>
                <w:highlight w:val="none"/>
                <w:u w:val="single"/>
              </w:rPr>
              <w:t xml:space="preserve"> </w:t>
            </w:r>
            <w:r>
              <w:rPr>
                <w:rFonts w:hint="eastAsia" w:hAnsi="宋体" w:cs="宋体"/>
                <w:szCs w:val="24"/>
                <w:highlight w:val="none"/>
                <w:u w:val="single"/>
                <w:lang w:val="en-US" w:eastAsia="zh-CN"/>
              </w:rPr>
              <w:t>30</w:t>
            </w:r>
            <w:r>
              <w:rPr>
                <w:rFonts w:hint="eastAsia" w:hAnsi="宋体" w:cs="宋体"/>
                <w:szCs w:val="24"/>
                <w:highlight w:val="none"/>
                <w:u w:val="single"/>
              </w:rPr>
              <w:t xml:space="preserve"> </w:t>
            </w:r>
            <w:r>
              <w:rPr>
                <w:rFonts w:hint="eastAsia" w:hAnsi="宋体" w:cs="宋体"/>
                <w:szCs w:val="24"/>
                <w:highlight w:val="none"/>
              </w:rPr>
              <w:t>分</w:t>
            </w:r>
          </w:p>
        </w:tc>
      </w:tr>
      <w:tr w14:paraId="5854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6" w:type="dxa"/>
            <w:vAlign w:val="center"/>
          </w:tcPr>
          <w:p w14:paraId="589E282E">
            <w:pPr>
              <w:keepNext/>
              <w:keepLines/>
              <w:widowControl/>
              <w:spacing w:before="340" w:after="330" w:line="360" w:lineRule="auto"/>
              <w:jc w:val="center"/>
              <w:rPr>
                <w:rFonts w:hAnsi="宋体" w:cs="宋体"/>
                <w:bCs/>
                <w:highlight w:val="none"/>
              </w:rPr>
            </w:pPr>
            <w:r>
              <w:rPr>
                <w:rFonts w:hAnsi="宋体" w:cs="宋体"/>
                <w:szCs w:val="24"/>
                <w:highlight w:val="none"/>
              </w:rPr>
              <w:t>2.2</w:t>
            </w:r>
            <w:r>
              <w:rPr>
                <w:rFonts w:hint="eastAsia" w:hAnsi="宋体" w:cs="宋体"/>
                <w:szCs w:val="24"/>
                <w:highlight w:val="none"/>
              </w:rPr>
              <w:t>.2</w:t>
            </w:r>
          </w:p>
        </w:tc>
        <w:tc>
          <w:tcPr>
            <w:tcW w:w="1393" w:type="dxa"/>
            <w:tcMar>
              <w:left w:w="75" w:type="dxa"/>
            </w:tcMar>
            <w:vAlign w:val="center"/>
          </w:tcPr>
          <w:p w14:paraId="37F54BC1">
            <w:pPr>
              <w:widowControl/>
              <w:spacing w:line="360" w:lineRule="auto"/>
              <w:jc w:val="center"/>
              <w:rPr>
                <w:rFonts w:hAnsi="宋体" w:cs="宋体"/>
                <w:highlight w:val="none"/>
              </w:rPr>
            </w:pPr>
            <w:r>
              <w:rPr>
                <w:rFonts w:hint="eastAsia" w:hAnsi="宋体" w:cs="宋体"/>
                <w:szCs w:val="24"/>
                <w:highlight w:val="none"/>
              </w:rPr>
              <w:t>评分</w:t>
            </w:r>
            <w:r>
              <w:rPr>
                <w:rFonts w:hAnsi="宋体" w:cs="宋体"/>
                <w:szCs w:val="24"/>
                <w:highlight w:val="none"/>
              </w:rPr>
              <w:t>标准</w:t>
            </w:r>
          </w:p>
        </w:tc>
        <w:tc>
          <w:tcPr>
            <w:tcW w:w="5531" w:type="dxa"/>
            <w:tcMar>
              <w:left w:w="75" w:type="dxa"/>
            </w:tcMar>
            <w:vAlign w:val="center"/>
          </w:tcPr>
          <w:p w14:paraId="441E892C">
            <w:pPr>
              <w:widowControl/>
              <w:spacing w:line="360" w:lineRule="auto"/>
              <w:jc w:val="left"/>
              <w:rPr>
                <w:rFonts w:hAnsi="宋体" w:cs="宋体"/>
                <w:highlight w:val="none"/>
                <w:u w:val="single"/>
              </w:rPr>
            </w:pPr>
            <w:r>
              <w:rPr>
                <w:rFonts w:hAnsi="宋体" w:cs="宋体"/>
                <w:szCs w:val="24"/>
                <w:highlight w:val="none"/>
              </w:rPr>
              <w:t>见</w:t>
            </w:r>
            <w:r>
              <w:rPr>
                <w:rFonts w:hint="eastAsia" w:hAnsi="宋体" w:cs="宋体"/>
                <w:szCs w:val="24"/>
                <w:highlight w:val="none"/>
              </w:rPr>
              <w:t>“商务、技术及报价文件详细评审标准”表。</w:t>
            </w:r>
          </w:p>
        </w:tc>
      </w:tr>
      <w:tr w14:paraId="0FBA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6" w:type="dxa"/>
            <w:vAlign w:val="center"/>
          </w:tcPr>
          <w:p w14:paraId="5B726A79">
            <w:pPr>
              <w:snapToGrid w:val="0"/>
              <w:spacing w:line="360" w:lineRule="auto"/>
              <w:jc w:val="center"/>
              <w:rPr>
                <w:rFonts w:hAnsi="宋体" w:cs="宋体"/>
                <w:bCs/>
                <w:highlight w:val="none"/>
              </w:rPr>
            </w:pPr>
            <w:r>
              <w:rPr>
                <w:rFonts w:hint="eastAsia" w:hAnsi="宋体" w:cs="宋体"/>
                <w:bCs/>
                <w:highlight w:val="none"/>
              </w:rPr>
              <w:t>3.2.2（1）</w:t>
            </w:r>
          </w:p>
        </w:tc>
        <w:tc>
          <w:tcPr>
            <w:tcW w:w="1393" w:type="dxa"/>
            <w:tcMar>
              <w:left w:w="75" w:type="dxa"/>
            </w:tcMar>
            <w:vAlign w:val="center"/>
          </w:tcPr>
          <w:p w14:paraId="58422CC1">
            <w:pPr>
              <w:snapToGrid w:val="0"/>
              <w:spacing w:line="360" w:lineRule="auto"/>
              <w:jc w:val="center"/>
              <w:rPr>
                <w:rFonts w:hAnsi="宋体" w:cs="宋体"/>
                <w:highlight w:val="none"/>
              </w:rPr>
            </w:pPr>
            <w:r>
              <w:rPr>
                <w:rFonts w:hint="eastAsia" w:hAnsi="宋体" w:cs="宋体"/>
                <w:highlight w:val="none"/>
              </w:rPr>
              <w:t>技术文件详细评审得分计算规则</w:t>
            </w:r>
          </w:p>
        </w:tc>
        <w:tc>
          <w:tcPr>
            <w:tcW w:w="5531" w:type="dxa"/>
            <w:tcMar>
              <w:left w:w="75" w:type="dxa"/>
            </w:tcMar>
            <w:vAlign w:val="center"/>
          </w:tcPr>
          <w:p w14:paraId="775C7A14">
            <w:pPr>
              <w:widowControl/>
              <w:snapToGrid w:val="0"/>
              <w:spacing w:line="360" w:lineRule="auto"/>
              <w:jc w:val="left"/>
              <w:rPr>
                <w:rFonts w:hAnsi="宋体" w:cs="宋体"/>
                <w:highlight w:val="none"/>
              </w:rPr>
            </w:pPr>
            <w:r>
              <w:rPr>
                <w:rFonts w:hint="eastAsia" w:hAnsi="宋体" w:cs="宋体"/>
                <w:highlight w:val="none"/>
              </w:rPr>
              <w:t>见附件1。</w:t>
            </w:r>
          </w:p>
        </w:tc>
      </w:tr>
      <w:tr w14:paraId="639B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6" w:type="dxa"/>
            <w:vAlign w:val="center"/>
          </w:tcPr>
          <w:p w14:paraId="7FFD3FF8">
            <w:pPr>
              <w:snapToGrid w:val="0"/>
              <w:spacing w:line="360" w:lineRule="auto"/>
              <w:jc w:val="center"/>
              <w:rPr>
                <w:rFonts w:hAnsi="宋体" w:cs="宋体"/>
                <w:bCs/>
                <w:highlight w:val="none"/>
              </w:rPr>
            </w:pPr>
            <w:r>
              <w:rPr>
                <w:rFonts w:hint="eastAsia" w:hAnsi="宋体" w:cs="宋体"/>
                <w:bCs/>
                <w:highlight w:val="none"/>
              </w:rPr>
              <w:t>3.7.2</w:t>
            </w:r>
          </w:p>
        </w:tc>
        <w:tc>
          <w:tcPr>
            <w:tcW w:w="1393" w:type="dxa"/>
            <w:tcMar>
              <w:left w:w="75" w:type="dxa"/>
            </w:tcMar>
            <w:vAlign w:val="center"/>
          </w:tcPr>
          <w:p w14:paraId="7643D287">
            <w:pPr>
              <w:snapToGrid w:val="0"/>
              <w:spacing w:line="360" w:lineRule="auto"/>
              <w:jc w:val="center"/>
              <w:rPr>
                <w:rFonts w:hAnsi="宋体" w:cs="宋体"/>
                <w:highlight w:val="none"/>
              </w:rPr>
            </w:pPr>
            <w:r>
              <w:rPr>
                <w:rFonts w:hint="eastAsia" w:hAnsi="宋体" w:cs="宋体"/>
                <w:highlight w:val="none"/>
              </w:rPr>
              <w:t>否决投标的其他情形</w:t>
            </w:r>
          </w:p>
        </w:tc>
        <w:tc>
          <w:tcPr>
            <w:tcW w:w="5531" w:type="dxa"/>
            <w:tcMar>
              <w:left w:w="75" w:type="dxa"/>
            </w:tcMar>
            <w:vAlign w:val="center"/>
          </w:tcPr>
          <w:p w14:paraId="21DC4C6E">
            <w:pPr>
              <w:widowControl/>
              <w:snapToGrid w:val="0"/>
              <w:spacing w:line="360" w:lineRule="auto"/>
              <w:jc w:val="left"/>
              <w:rPr>
                <w:rFonts w:hAnsi="宋体" w:cs="宋体"/>
                <w:highlight w:val="none"/>
              </w:rPr>
            </w:pPr>
            <w:r>
              <w:rPr>
                <w:rFonts w:hint="eastAsia" w:hAnsi="宋体" w:cs="宋体"/>
                <w:highlight w:val="none"/>
              </w:rPr>
              <w:t>见附件2。</w:t>
            </w:r>
          </w:p>
        </w:tc>
      </w:tr>
    </w:tbl>
    <w:p w14:paraId="65A8FE54">
      <w:pPr>
        <w:spacing w:beforeLines="100" w:afterLines="100"/>
        <w:jc w:val="center"/>
        <w:outlineLvl w:val="1"/>
        <w:rPr>
          <w:rFonts w:ascii="Times New Roman" w:eastAsia="黑体"/>
          <w:sz w:val="32"/>
          <w:szCs w:val="32"/>
          <w:highlight w:val="none"/>
        </w:rPr>
      </w:pPr>
      <w:r>
        <w:rPr>
          <w:rFonts w:hint="eastAsia" w:ascii="Times New Roman" w:eastAsia="黑体"/>
          <w:sz w:val="32"/>
          <w:szCs w:val="32"/>
          <w:highlight w:val="none"/>
        </w:rPr>
        <w:br w:type="page"/>
      </w:r>
      <w:bookmarkStart w:id="456" w:name="_Toc140069420"/>
      <w:bookmarkStart w:id="457" w:name="_Toc23946"/>
      <w:bookmarkStart w:id="458" w:name="_Toc8803"/>
      <w:bookmarkStart w:id="459" w:name="_Toc8614"/>
      <w:r>
        <w:rPr>
          <w:rFonts w:hint="eastAsia" w:eastAsia="黑体" w:cs="宋体"/>
          <w:sz w:val="32"/>
          <w:szCs w:val="32"/>
          <w:highlight w:val="none"/>
        </w:rPr>
        <w:t>商务及技术文件初步评审标准</w:t>
      </w:r>
      <w:bookmarkEnd w:id="456"/>
      <w:bookmarkEnd w:id="457"/>
      <w:bookmarkEnd w:id="458"/>
      <w:bookmarkEnd w:id="459"/>
    </w:p>
    <w:tbl>
      <w:tblPr>
        <w:tblStyle w:val="52"/>
        <w:tblW w:w="5031"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808"/>
        <w:gridCol w:w="1389"/>
        <w:gridCol w:w="5520"/>
      </w:tblGrid>
      <w:tr w14:paraId="5305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452" w:type="dxa"/>
            <w:gridSpan w:val="2"/>
            <w:vAlign w:val="center"/>
          </w:tcPr>
          <w:p w14:paraId="774E6D1A">
            <w:pPr>
              <w:widowControl/>
              <w:spacing w:line="360" w:lineRule="auto"/>
              <w:jc w:val="center"/>
              <w:rPr>
                <w:rFonts w:hAnsi="宋体" w:cs="宋体"/>
                <w:bCs/>
                <w:highlight w:val="none"/>
              </w:rPr>
            </w:pPr>
            <w:r>
              <w:rPr>
                <w:rFonts w:hint="eastAsia" w:hAnsi="宋体" w:cs="宋体"/>
                <w:bCs/>
                <w:highlight w:val="none"/>
              </w:rPr>
              <w:t>条款号</w:t>
            </w:r>
          </w:p>
        </w:tc>
        <w:tc>
          <w:tcPr>
            <w:tcW w:w="1389" w:type="dxa"/>
            <w:vAlign w:val="center"/>
          </w:tcPr>
          <w:p w14:paraId="48034A6D">
            <w:pPr>
              <w:widowControl/>
              <w:spacing w:line="360" w:lineRule="auto"/>
              <w:ind w:firstLine="120" w:firstLineChars="50"/>
              <w:jc w:val="center"/>
              <w:rPr>
                <w:rFonts w:hAnsi="宋体" w:cs="宋体"/>
                <w:bCs/>
                <w:highlight w:val="none"/>
              </w:rPr>
            </w:pPr>
            <w:r>
              <w:rPr>
                <w:rFonts w:hint="eastAsia" w:hAnsi="宋体" w:cs="宋体"/>
                <w:bCs/>
                <w:highlight w:val="none"/>
              </w:rPr>
              <w:t>评审因素</w:t>
            </w:r>
          </w:p>
        </w:tc>
        <w:tc>
          <w:tcPr>
            <w:tcW w:w="5518" w:type="dxa"/>
            <w:vAlign w:val="center"/>
          </w:tcPr>
          <w:p w14:paraId="49C68DDD">
            <w:pPr>
              <w:widowControl/>
              <w:spacing w:line="360" w:lineRule="auto"/>
              <w:ind w:firstLine="120" w:firstLineChars="50"/>
              <w:jc w:val="center"/>
              <w:rPr>
                <w:rFonts w:hAnsi="宋体" w:cs="宋体"/>
                <w:bCs/>
                <w:highlight w:val="none"/>
              </w:rPr>
            </w:pPr>
            <w:r>
              <w:rPr>
                <w:rFonts w:hint="eastAsia" w:hAnsi="宋体" w:cs="宋体"/>
                <w:bCs/>
                <w:highlight w:val="none"/>
              </w:rPr>
              <w:t>评审标准</w:t>
            </w:r>
          </w:p>
        </w:tc>
      </w:tr>
      <w:tr w14:paraId="459F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restart"/>
            <w:vAlign w:val="center"/>
          </w:tcPr>
          <w:p w14:paraId="6D67D1A8">
            <w:pPr>
              <w:widowControl/>
              <w:spacing w:line="360" w:lineRule="auto"/>
              <w:jc w:val="center"/>
              <w:rPr>
                <w:rFonts w:hAnsi="宋体" w:cs="宋体"/>
                <w:bCs/>
                <w:highlight w:val="none"/>
              </w:rPr>
            </w:pPr>
            <w:r>
              <w:rPr>
                <w:rFonts w:hint="eastAsia" w:hAnsi="宋体" w:cs="宋体"/>
                <w:bCs/>
                <w:highlight w:val="none"/>
              </w:rPr>
              <w:t>2.1.1</w:t>
            </w:r>
          </w:p>
        </w:tc>
        <w:tc>
          <w:tcPr>
            <w:tcW w:w="808" w:type="dxa"/>
            <w:vMerge w:val="restart"/>
            <w:vAlign w:val="center"/>
          </w:tcPr>
          <w:p w14:paraId="314E0378">
            <w:pPr>
              <w:widowControl/>
              <w:spacing w:line="360" w:lineRule="auto"/>
              <w:jc w:val="center"/>
              <w:rPr>
                <w:rFonts w:hAnsi="宋体" w:cs="宋体"/>
                <w:bCs/>
                <w:highlight w:val="none"/>
              </w:rPr>
            </w:pPr>
            <w:r>
              <w:rPr>
                <w:rFonts w:hint="eastAsia" w:hAnsi="宋体" w:cs="宋体"/>
                <w:bCs/>
                <w:highlight w:val="none"/>
              </w:rPr>
              <w:t>形式评审标准</w:t>
            </w:r>
          </w:p>
        </w:tc>
        <w:tc>
          <w:tcPr>
            <w:tcW w:w="1389" w:type="dxa"/>
            <w:tcMar>
              <w:left w:w="75" w:type="dxa"/>
            </w:tcMar>
            <w:vAlign w:val="center"/>
          </w:tcPr>
          <w:p w14:paraId="7EE18D68">
            <w:pPr>
              <w:spacing w:line="360" w:lineRule="auto"/>
              <w:jc w:val="center"/>
              <w:rPr>
                <w:rFonts w:hAnsi="宋体" w:cs="宋体"/>
                <w:highlight w:val="none"/>
              </w:rPr>
            </w:pPr>
            <w:r>
              <w:rPr>
                <w:rFonts w:hint="eastAsia" w:hAnsi="宋体" w:cs="宋体"/>
                <w:highlight w:val="none"/>
              </w:rPr>
              <w:t>投标人名称</w:t>
            </w:r>
          </w:p>
        </w:tc>
        <w:tc>
          <w:tcPr>
            <w:tcW w:w="5518" w:type="dxa"/>
            <w:tcMar>
              <w:left w:w="75" w:type="dxa"/>
            </w:tcMar>
            <w:vAlign w:val="center"/>
          </w:tcPr>
          <w:p w14:paraId="0F8D2795">
            <w:pPr>
              <w:spacing w:line="360" w:lineRule="auto"/>
              <w:rPr>
                <w:rFonts w:hAnsi="宋体" w:cs="宋体"/>
                <w:highlight w:val="none"/>
              </w:rPr>
            </w:pPr>
            <w:r>
              <w:rPr>
                <w:rFonts w:hint="eastAsia" w:hAnsi="宋体" w:cs="宋体"/>
                <w:highlight w:val="none"/>
              </w:rPr>
              <w:t>与营业执照、资质证书一致。</w:t>
            </w:r>
          </w:p>
        </w:tc>
      </w:tr>
      <w:tr w14:paraId="20F7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3C46BB46">
            <w:pPr>
              <w:widowControl/>
              <w:spacing w:line="360" w:lineRule="auto"/>
              <w:jc w:val="center"/>
              <w:rPr>
                <w:rFonts w:hAnsi="宋体" w:cs="宋体"/>
                <w:bCs/>
                <w:highlight w:val="none"/>
              </w:rPr>
            </w:pPr>
          </w:p>
        </w:tc>
        <w:tc>
          <w:tcPr>
            <w:tcW w:w="808" w:type="dxa"/>
            <w:vMerge w:val="continue"/>
            <w:vAlign w:val="center"/>
          </w:tcPr>
          <w:p w14:paraId="046CACBC">
            <w:pPr>
              <w:widowControl/>
              <w:spacing w:line="360" w:lineRule="auto"/>
              <w:jc w:val="center"/>
              <w:rPr>
                <w:rFonts w:hAnsi="宋体" w:cs="宋体"/>
                <w:bCs/>
                <w:highlight w:val="none"/>
              </w:rPr>
            </w:pPr>
          </w:p>
        </w:tc>
        <w:tc>
          <w:tcPr>
            <w:tcW w:w="1389" w:type="dxa"/>
            <w:tcMar>
              <w:left w:w="75" w:type="dxa"/>
            </w:tcMar>
            <w:vAlign w:val="center"/>
          </w:tcPr>
          <w:p w14:paraId="5D224729">
            <w:pPr>
              <w:spacing w:line="360" w:lineRule="auto"/>
              <w:jc w:val="center"/>
              <w:rPr>
                <w:rFonts w:hAnsi="宋体" w:cs="宋体"/>
                <w:highlight w:val="none"/>
              </w:rPr>
            </w:pPr>
            <w:r>
              <w:rPr>
                <w:rFonts w:hint="eastAsia" w:hAnsi="宋体" w:cs="宋体"/>
                <w:highlight w:val="none"/>
              </w:rPr>
              <w:t>签字盖章</w:t>
            </w:r>
          </w:p>
        </w:tc>
        <w:tc>
          <w:tcPr>
            <w:tcW w:w="5518" w:type="dxa"/>
            <w:tcMar>
              <w:left w:w="75" w:type="dxa"/>
            </w:tcMar>
            <w:vAlign w:val="center"/>
          </w:tcPr>
          <w:p w14:paraId="06D92F6A">
            <w:pPr>
              <w:spacing w:line="360" w:lineRule="auto"/>
              <w:rPr>
                <w:rFonts w:hAnsi="宋体" w:cs="宋体"/>
                <w:highlight w:val="none"/>
              </w:rPr>
            </w:pPr>
            <w:r>
              <w:rPr>
                <w:rFonts w:hint="eastAsia" w:hAnsi="宋体" w:cs="宋体"/>
                <w:highlight w:val="none"/>
              </w:rPr>
              <w:t>符合第二章“投标人须知”第3.7.3项规定。</w:t>
            </w:r>
          </w:p>
        </w:tc>
      </w:tr>
      <w:tr w14:paraId="02A5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7472DB9D">
            <w:pPr>
              <w:widowControl/>
              <w:spacing w:line="360" w:lineRule="auto"/>
              <w:jc w:val="center"/>
              <w:rPr>
                <w:rFonts w:hAnsi="宋体" w:cs="宋体"/>
                <w:bCs/>
                <w:highlight w:val="none"/>
              </w:rPr>
            </w:pPr>
          </w:p>
        </w:tc>
        <w:tc>
          <w:tcPr>
            <w:tcW w:w="808" w:type="dxa"/>
            <w:vMerge w:val="continue"/>
            <w:vAlign w:val="center"/>
          </w:tcPr>
          <w:p w14:paraId="7D1B918B">
            <w:pPr>
              <w:widowControl/>
              <w:spacing w:line="360" w:lineRule="auto"/>
              <w:jc w:val="center"/>
              <w:rPr>
                <w:rFonts w:hAnsi="宋体" w:cs="宋体"/>
                <w:bCs/>
                <w:highlight w:val="none"/>
              </w:rPr>
            </w:pPr>
          </w:p>
        </w:tc>
        <w:tc>
          <w:tcPr>
            <w:tcW w:w="1389" w:type="dxa"/>
            <w:tcMar>
              <w:left w:w="75" w:type="dxa"/>
            </w:tcMar>
            <w:vAlign w:val="center"/>
          </w:tcPr>
          <w:p w14:paraId="26433E7B">
            <w:pPr>
              <w:spacing w:line="360" w:lineRule="auto"/>
              <w:jc w:val="center"/>
              <w:rPr>
                <w:rFonts w:hAnsi="宋体" w:cs="宋体"/>
                <w:highlight w:val="none"/>
              </w:rPr>
            </w:pPr>
            <w:r>
              <w:rPr>
                <w:rFonts w:hint="eastAsia" w:hAnsi="宋体" w:cs="宋体"/>
                <w:highlight w:val="none"/>
              </w:rPr>
              <w:t>投标文件格式</w:t>
            </w:r>
          </w:p>
        </w:tc>
        <w:tc>
          <w:tcPr>
            <w:tcW w:w="5518" w:type="dxa"/>
            <w:tcMar>
              <w:left w:w="75" w:type="dxa"/>
            </w:tcMar>
            <w:vAlign w:val="center"/>
          </w:tcPr>
          <w:p w14:paraId="7863936D">
            <w:pPr>
              <w:spacing w:line="360" w:lineRule="auto"/>
              <w:rPr>
                <w:rFonts w:hAnsi="宋体" w:cs="宋体"/>
                <w:highlight w:val="none"/>
              </w:rPr>
            </w:pPr>
            <w:r>
              <w:rPr>
                <w:rFonts w:hint="eastAsia" w:hAnsi="宋体" w:cs="宋体"/>
                <w:highlight w:val="none"/>
              </w:rPr>
              <w:t>符合第六章“投标文件格式”的规定</w:t>
            </w:r>
            <w:r>
              <w:rPr>
                <w:rFonts w:hint="eastAsia" w:hAnsi="宋体" w:cs="宋体"/>
                <w:szCs w:val="24"/>
                <w:highlight w:val="none"/>
              </w:rPr>
              <w:t>，关键字迹清晰可辨。</w:t>
            </w:r>
          </w:p>
        </w:tc>
      </w:tr>
      <w:tr w14:paraId="1A85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5A16B868">
            <w:pPr>
              <w:widowControl/>
              <w:spacing w:line="360" w:lineRule="auto"/>
              <w:jc w:val="center"/>
              <w:rPr>
                <w:rFonts w:hAnsi="宋体" w:cs="宋体"/>
                <w:bCs/>
                <w:highlight w:val="none"/>
              </w:rPr>
            </w:pPr>
          </w:p>
        </w:tc>
        <w:tc>
          <w:tcPr>
            <w:tcW w:w="808" w:type="dxa"/>
            <w:vMerge w:val="continue"/>
            <w:vAlign w:val="center"/>
          </w:tcPr>
          <w:p w14:paraId="45C08FBF">
            <w:pPr>
              <w:widowControl/>
              <w:spacing w:line="360" w:lineRule="auto"/>
              <w:jc w:val="center"/>
              <w:rPr>
                <w:rFonts w:hAnsi="宋体" w:cs="宋体"/>
                <w:bCs/>
                <w:highlight w:val="none"/>
              </w:rPr>
            </w:pPr>
          </w:p>
        </w:tc>
        <w:tc>
          <w:tcPr>
            <w:tcW w:w="1389" w:type="dxa"/>
            <w:tcMar>
              <w:left w:w="75" w:type="dxa"/>
            </w:tcMar>
            <w:vAlign w:val="center"/>
          </w:tcPr>
          <w:p w14:paraId="18A8D2FA">
            <w:pPr>
              <w:spacing w:line="360" w:lineRule="auto"/>
              <w:jc w:val="center"/>
              <w:rPr>
                <w:rFonts w:hAnsi="宋体" w:cs="宋体"/>
                <w:highlight w:val="none"/>
              </w:rPr>
            </w:pPr>
            <w:r>
              <w:rPr>
                <w:rFonts w:hint="eastAsia" w:hAnsi="宋体" w:cs="宋体"/>
                <w:highlight w:val="none"/>
              </w:rPr>
              <w:t>联合体投标人（如有）</w:t>
            </w:r>
          </w:p>
        </w:tc>
        <w:tc>
          <w:tcPr>
            <w:tcW w:w="5518" w:type="dxa"/>
            <w:tcMar>
              <w:left w:w="75" w:type="dxa"/>
            </w:tcMar>
            <w:vAlign w:val="center"/>
          </w:tcPr>
          <w:p w14:paraId="54009E73">
            <w:pPr>
              <w:spacing w:line="360" w:lineRule="auto"/>
              <w:rPr>
                <w:rFonts w:hAnsi="宋体" w:cs="宋体"/>
                <w:highlight w:val="none"/>
              </w:rPr>
            </w:pPr>
            <w:r>
              <w:rPr>
                <w:rFonts w:hint="eastAsia" w:hAnsi="宋体" w:cs="宋体"/>
                <w:highlight w:val="none"/>
              </w:rPr>
              <w:t>提交符合招标文件要求的联合体协议书，明确各方承担连带责任，并明确联合体牵头人。</w:t>
            </w:r>
          </w:p>
        </w:tc>
      </w:tr>
      <w:tr w14:paraId="0A4E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5AF43682">
            <w:pPr>
              <w:widowControl/>
              <w:spacing w:line="360" w:lineRule="auto"/>
              <w:jc w:val="center"/>
              <w:rPr>
                <w:rFonts w:hAnsi="宋体" w:cs="宋体"/>
                <w:bCs/>
                <w:highlight w:val="none"/>
              </w:rPr>
            </w:pPr>
          </w:p>
        </w:tc>
        <w:tc>
          <w:tcPr>
            <w:tcW w:w="808" w:type="dxa"/>
            <w:vMerge w:val="continue"/>
            <w:vAlign w:val="center"/>
          </w:tcPr>
          <w:p w14:paraId="4A58CC3F">
            <w:pPr>
              <w:widowControl/>
              <w:spacing w:line="360" w:lineRule="auto"/>
              <w:jc w:val="center"/>
              <w:rPr>
                <w:rFonts w:hAnsi="宋体" w:cs="宋体"/>
                <w:bCs/>
                <w:highlight w:val="none"/>
              </w:rPr>
            </w:pPr>
          </w:p>
        </w:tc>
        <w:tc>
          <w:tcPr>
            <w:tcW w:w="1389" w:type="dxa"/>
            <w:tcMar>
              <w:left w:w="75" w:type="dxa"/>
            </w:tcMar>
            <w:vAlign w:val="center"/>
          </w:tcPr>
          <w:p w14:paraId="7959050E">
            <w:pPr>
              <w:spacing w:line="360" w:lineRule="auto"/>
              <w:jc w:val="center"/>
              <w:rPr>
                <w:rFonts w:hAnsi="宋体" w:cs="宋体"/>
                <w:highlight w:val="none"/>
              </w:rPr>
            </w:pPr>
            <w:r>
              <w:rPr>
                <w:rFonts w:hint="eastAsia" w:hAnsi="宋体" w:cs="宋体"/>
                <w:highlight w:val="none"/>
              </w:rPr>
              <w:t>备选投标方案</w:t>
            </w:r>
          </w:p>
        </w:tc>
        <w:tc>
          <w:tcPr>
            <w:tcW w:w="5518" w:type="dxa"/>
            <w:tcMar>
              <w:left w:w="75" w:type="dxa"/>
            </w:tcMar>
            <w:vAlign w:val="center"/>
          </w:tcPr>
          <w:p w14:paraId="05D140D6">
            <w:pPr>
              <w:spacing w:line="360" w:lineRule="auto"/>
              <w:rPr>
                <w:rFonts w:hAnsi="宋体" w:cs="宋体"/>
                <w:highlight w:val="none"/>
              </w:rPr>
            </w:pPr>
            <w:r>
              <w:rPr>
                <w:rFonts w:hint="eastAsia" w:hAnsi="宋体" w:cs="宋体"/>
                <w:highlight w:val="none"/>
              </w:rPr>
              <w:t>除招标文件明确允许备选投标方案外，投标人不得提交备选投标方案。</w:t>
            </w:r>
          </w:p>
        </w:tc>
      </w:tr>
      <w:tr w14:paraId="383B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4DEBA59F">
            <w:pPr>
              <w:widowControl/>
              <w:spacing w:line="360" w:lineRule="auto"/>
              <w:jc w:val="center"/>
              <w:rPr>
                <w:rFonts w:hAnsi="宋体" w:cs="宋体"/>
                <w:bCs/>
                <w:highlight w:val="none"/>
              </w:rPr>
            </w:pPr>
          </w:p>
        </w:tc>
        <w:tc>
          <w:tcPr>
            <w:tcW w:w="808" w:type="dxa"/>
            <w:vMerge w:val="continue"/>
            <w:vAlign w:val="center"/>
          </w:tcPr>
          <w:p w14:paraId="2E779251">
            <w:pPr>
              <w:widowControl/>
              <w:spacing w:line="360" w:lineRule="auto"/>
              <w:jc w:val="center"/>
              <w:rPr>
                <w:rFonts w:hAnsi="宋体" w:cs="宋体"/>
                <w:bCs/>
                <w:highlight w:val="none"/>
              </w:rPr>
            </w:pPr>
          </w:p>
        </w:tc>
        <w:tc>
          <w:tcPr>
            <w:tcW w:w="1389" w:type="dxa"/>
            <w:tcMar>
              <w:left w:w="75" w:type="dxa"/>
            </w:tcMar>
            <w:vAlign w:val="center"/>
          </w:tcPr>
          <w:p w14:paraId="0EBE9927">
            <w:pPr>
              <w:widowControl/>
              <w:spacing w:line="360" w:lineRule="auto"/>
              <w:jc w:val="center"/>
              <w:rPr>
                <w:rFonts w:hAnsi="宋体" w:cs="宋体"/>
                <w:highlight w:val="none"/>
              </w:rPr>
            </w:pPr>
            <w:r>
              <w:rPr>
                <w:rFonts w:hint="eastAsia" w:hAnsi="宋体" w:cs="宋体"/>
                <w:highlight w:val="none"/>
              </w:rPr>
              <w:t>未出现异常情形</w:t>
            </w:r>
          </w:p>
        </w:tc>
        <w:tc>
          <w:tcPr>
            <w:tcW w:w="5518" w:type="dxa"/>
            <w:tcMar>
              <w:left w:w="75" w:type="dxa"/>
            </w:tcMar>
            <w:vAlign w:val="center"/>
          </w:tcPr>
          <w:p w14:paraId="5A502BD1">
            <w:pPr>
              <w:widowControl/>
              <w:spacing w:line="360" w:lineRule="auto"/>
              <w:jc w:val="left"/>
              <w:rPr>
                <w:rFonts w:hAnsi="宋体" w:cs="宋体"/>
                <w:highlight w:val="none"/>
              </w:rPr>
            </w:pPr>
            <w:r>
              <w:rPr>
                <w:rFonts w:hint="eastAsia" w:ascii="Times New Roman" w:cs="宋体"/>
                <w:szCs w:val="24"/>
                <w:highlight w:val="none"/>
              </w:rPr>
              <w:t>不同投标人未出现使用相同的投标文件制作机器码进行投标的情形。</w:t>
            </w:r>
          </w:p>
        </w:tc>
      </w:tr>
      <w:tr w14:paraId="388D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6E382C24">
            <w:pPr>
              <w:widowControl/>
              <w:spacing w:line="360" w:lineRule="auto"/>
              <w:jc w:val="center"/>
              <w:rPr>
                <w:rFonts w:hAnsi="宋体" w:cs="宋体"/>
                <w:bCs/>
                <w:highlight w:val="none"/>
              </w:rPr>
            </w:pPr>
          </w:p>
        </w:tc>
        <w:tc>
          <w:tcPr>
            <w:tcW w:w="808" w:type="dxa"/>
            <w:vMerge w:val="continue"/>
            <w:vAlign w:val="center"/>
          </w:tcPr>
          <w:p w14:paraId="796DDCF5">
            <w:pPr>
              <w:widowControl/>
              <w:spacing w:line="360" w:lineRule="auto"/>
              <w:jc w:val="center"/>
              <w:rPr>
                <w:rFonts w:hAnsi="宋体" w:cs="宋体"/>
                <w:bCs/>
                <w:highlight w:val="none"/>
              </w:rPr>
            </w:pPr>
          </w:p>
        </w:tc>
        <w:tc>
          <w:tcPr>
            <w:tcW w:w="1389" w:type="dxa"/>
            <w:tcMar>
              <w:left w:w="75" w:type="dxa"/>
            </w:tcMar>
            <w:vAlign w:val="center"/>
          </w:tcPr>
          <w:p w14:paraId="39E48C80">
            <w:pPr>
              <w:widowControl/>
              <w:spacing w:line="360" w:lineRule="auto"/>
              <w:jc w:val="center"/>
              <w:rPr>
                <w:rFonts w:hAnsi="宋体" w:cs="宋体"/>
                <w:highlight w:val="none"/>
              </w:rPr>
            </w:pPr>
            <w:r>
              <w:rPr>
                <w:rFonts w:hint="eastAsia" w:hAnsi="宋体" w:cs="宋体"/>
                <w:highlight w:val="none"/>
              </w:rPr>
              <w:t>未出现投标报价</w:t>
            </w:r>
          </w:p>
        </w:tc>
        <w:tc>
          <w:tcPr>
            <w:tcW w:w="5518" w:type="dxa"/>
            <w:tcMar>
              <w:left w:w="75" w:type="dxa"/>
            </w:tcMar>
            <w:vAlign w:val="center"/>
          </w:tcPr>
          <w:p w14:paraId="0CC59C0E">
            <w:pPr>
              <w:widowControl/>
              <w:spacing w:line="360" w:lineRule="auto"/>
              <w:jc w:val="left"/>
              <w:rPr>
                <w:rFonts w:hAnsi="宋体" w:cs="宋体"/>
                <w:highlight w:val="none"/>
              </w:rPr>
            </w:pPr>
            <w:r>
              <w:rPr>
                <w:rFonts w:hint="eastAsia" w:hAnsi="宋体" w:cs="宋体"/>
                <w:highlight w:val="none"/>
              </w:rPr>
              <w:t>商务及技术文件中未出现有关投标报价的内容。</w:t>
            </w:r>
          </w:p>
        </w:tc>
      </w:tr>
      <w:tr w14:paraId="5EE2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restart"/>
            <w:vAlign w:val="center"/>
          </w:tcPr>
          <w:p w14:paraId="0BDDCA66">
            <w:pPr>
              <w:widowControl/>
              <w:spacing w:line="360" w:lineRule="auto"/>
              <w:jc w:val="center"/>
              <w:rPr>
                <w:rFonts w:hAnsi="宋体" w:cs="宋体"/>
                <w:bCs/>
                <w:highlight w:val="none"/>
              </w:rPr>
            </w:pPr>
            <w:r>
              <w:rPr>
                <w:rFonts w:hint="eastAsia" w:hAnsi="宋体" w:cs="宋体"/>
                <w:bCs/>
                <w:highlight w:val="none"/>
              </w:rPr>
              <w:t>2.1.2</w:t>
            </w:r>
          </w:p>
        </w:tc>
        <w:tc>
          <w:tcPr>
            <w:tcW w:w="808" w:type="dxa"/>
            <w:vMerge w:val="restart"/>
            <w:vAlign w:val="center"/>
          </w:tcPr>
          <w:p w14:paraId="2298CC64">
            <w:pPr>
              <w:widowControl/>
              <w:spacing w:line="360" w:lineRule="auto"/>
              <w:jc w:val="center"/>
              <w:rPr>
                <w:rFonts w:hAnsi="宋体" w:cs="宋体"/>
                <w:highlight w:val="none"/>
              </w:rPr>
            </w:pPr>
            <w:r>
              <w:rPr>
                <w:rFonts w:hint="eastAsia" w:hAnsi="宋体" w:cs="宋体"/>
                <w:bCs/>
                <w:highlight w:val="none"/>
              </w:rPr>
              <w:t>资格评审标准</w:t>
            </w:r>
          </w:p>
        </w:tc>
        <w:tc>
          <w:tcPr>
            <w:tcW w:w="1389" w:type="dxa"/>
            <w:tcMar>
              <w:left w:w="75" w:type="dxa"/>
            </w:tcMar>
            <w:vAlign w:val="center"/>
          </w:tcPr>
          <w:p w14:paraId="034760F5">
            <w:pPr>
              <w:spacing w:line="360" w:lineRule="auto"/>
              <w:jc w:val="center"/>
              <w:rPr>
                <w:rFonts w:hAnsi="宋体" w:cs="宋体"/>
                <w:highlight w:val="none"/>
              </w:rPr>
            </w:pPr>
            <w:r>
              <w:rPr>
                <w:rFonts w:hint="eastAsia" w:hAnsi="宋体" w:cs="宋体"/>
                <w:highlight w:val="none"/>
              </w:rPr>
              <w:t>营业执照</w:t>
            </w:r>
          </w:p>
        </w:tc>
        <w:tc>
          <w:tcPr>
            <w:tcW w:w="5518" w:type="dxa"/>
            <w:tcMar>
              <w:left w:w="75" w:type="dxa"/>
            </w:tcMar>
            <w:vAlign w:val="center"/>
          </w:tcPr>
          <w:p w14:paraId="05FA37B7">
            <w:pPr>
              <w:spacing w:line="360" w:lineRule="auto"/>
              <w:jc w:val="left"/>
              <w:rPr>
                <w:rFonts w:hAnsi="宋体" w:cs="宋体"/>
                <w:highlight w:val="none"/>
              </w:rPr>
            </w:pPr>
            <w:r>
              <w:rPr>
                <w:rFonts w:hint="eastAsia" w:hAnsi="宋体" w:cs="宋体"/>
                <w:highlight w:val="none"/>
              </w:rPr>
              <w:t>符合第二章“投标人须知”第3.5.1项规定，具备有效的营业执照，如为联合体投标，联合体各方均须提供。</w:t>
            </w:r>
          </w:p>
        </w:tc>
      </w:tr>
      <w:tr w14:paraId="4D7F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101A87E9">
            <w:pPr>
              <w:widowControl/>
              <w:spacing w:line="360" w:lineRule="auto"/>
              <w:jc w:val="left"/>
              <w:rPr>
                <w:rFonts w:hAnsi="宋体" w:cs="宋体"/>
                <w:highlight w:val="none"/>
              </w:rPr>
            </w:pPr>
          </w:p>
        </w:tc>
        <w:tc>
          <w:tcPr>
            <w:tcW w:w="808" w:type="dxa"/>
            <w:vMerge w:val="continue"/>
            <w:vAlign w:val="center"/>
          </w:tcPr>
          <w:p w14:paraId="0D038B2D">
            <w:pPr>
              <w:widowControl/>
              <w:spacing w:line="360" w:lineRule="auto"/>
              <w:jc w:val="left"/>
              <w:rPr>
                <w:rFonts w:hAnsi="宋体" w:cs="宋体"/>
                <w:highlight w:val="none"/>
              </w:rPr>
            </w:pPr>
          </w:p>
        </w:tc>
        <w:tc>
          <w:tcPr>
            <w:tcW w:w="1389" w:type="dxa"/>
            <w:tcMar>
              <w:left w:w="75" w:type="dxa"/>
            </w:tcMar>
            <w:vAlign w:val="center"/>
          </w:tcPr>
          <w:p w14:paraId="4DC6C4A9">
            <w:pPr>
              <w:spacing w:line="360" w:lineRule="auto"/>
              <w:jc w:val="center"/>
              <w:rPr>
                <w:rFonts w:hAnsi="宋体" w:cs="宋体"/>
                <w:highlight w:val="none"/>
              </w:rPr>
            </w:pPr>
            <w:r>
              <w:rPr>
                <w:rFonts w:hint="eastAsia" w:hAnsi="宋体" w:cs="宋体"/>
                <w:highlight w:val="none"/>
              </w:rPr>
              <w:t>资质要求</w:t>
            </w:r>
          </w:p>
        </w:tc>
        <w:tc>
          <w:tcPr>
            <w:tcW w:w="5518" w:type="dxa"/>
            <w:tcMar>
              <w:left w:w="75" w:type="dxa"/>
            </w:tcMar>
            <w:vAlign w:val="center"/>
          </w:tcPr>
          <w:p w14:paraId="763FA389">
            <w:pPr>
              <w:spacing w:line="360" w:lineRule="auto"/>
              <w:rPr>
                <w:rFonts w:hAnsi="宋体" w:cs="宋体"/>
                <w:highlight w:val="none"/>
              </w:rPr>
            </w:pPr>
            <w:r>
              <w:rPr>
                <w:rFonts w:hint="eastAsia" w:hAnsi="宋体" w:cs="宋体"/>
                <w:highlight w:val="none"/>
              </w:rPr>
              <w:t>符合第二章“投标人须知”第1.4.1项规定。</w:t>
            </w:r>
          </w:p>
        </w:tc>
      </w:tr>
      <w:tr w14:paraId="373C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5F1FF5F0">
            <w:pPr>
              <w:widowControl/>
              <w:spacing w:line="360" w:lineRule="auto"/>
              <w:jc w:val="left"/>
              <w:rPr>
                <w:rFonts w:hAnsi="宋体" w:cs="宋体"/>
                <w:highlight w:val="none"/>
              </w:rPr>
            </w:pPr>
          </w:p>
        </w:tc>
        <w:tc>
          <w:tcPr>
            <w:tcW w:w="808" w:type="dxa"/>
            <w:vMerge w:val="continue"/>
            <w:vAlign w:val="center"/>
          </w:tcPr>
          <w:p w14:paraId="1D49C53E">
            <w:pPr>
              <w:widowControl/>
              <w:spacing w:line="360" w:lineRule="auto"/>
              <w:jc w:val="left"/>
              <w:rPr>
                <w:rFonts w:hAnsi="宋体" w:cs="宋体"/>
                <w:highlight w:val="none"/>
              </w:rPr>
            </w:pPr>
          </w:p>
        </w:tc>
        <w:tc>
          <w:tcPr>
            <w:tcW w:w="1389" w:type="dxa"/>
            <w:tcMar>
              <w:left w:w="75" w:type="dxa"/>
            </w:tcMar>
            <w:vAlign w:val="center"/>
          </w:tcPr>
          <w:p w14:paraId="6E95DF7E">
            <w:pPr>
              <w:spacing w:line="360" w:lineRule="auto"/>
              <w:jc w:val="center"/>
              <w:rPr>
                <w:rFonts w:hAnsi="宋体" w:cs="宋体"/>
                <w:highlight w:val="none"/>
              </w:rPr>
            </w:pPr>
            <w:r>
              <w:rPr>
                <w:rFonts w:hint="eastAsia" w:hAnsi="宋体" w:cs="宋体"/>
                <w:highlight w:val="none"/>
              </w:rPr>
              <w:t>项目负责人资格要求</w:t>
            </w:r>
          </w:p>
        </w:tc>
        <w:tc>
          <w:tcPr>
            <w:tcW w:w="5518" w:type="dxa"/>
            <w:tcMar>
              <w:left w:w="75" w:type="dxa"/>
            </w:tcMar>
            <w:vAlign w:val="center"/>
          </w:tcPr>
          <w:p w14:paraId="40F6CC28">
            <w:pPr>
              <w:spacing w:line="360" w:lineRule="auto"/>
              <w:rPr>
                <w:rFonts w:hAnsi="宋体" w:cs="宋体"/>
                <w:highlight w:val="none"/>
              </w:rPr>
            </w:pPr>
            <w:r>
              <w:rPr>
                <w:rFonts w:hint="eastAsia" w:hAnsi="宋体" w:cs="宋体"/>
                <w:highlight w:val="none"/>
              </w:rPr>
              <w:t>符合第二章“投标人须知”第1.4.1项规定。</w:t>
            </w:r>
          </w:p>
        </w:tc>
      </w:tr>
      <w:tr w14:paraId="73F0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1DEA8E8C">
            <w:pPr>
              <w:widowControl/>
              <w:spacing w:line="360" w:lineRule="auto"/>
              <w:jc w:val="left"/>
              <w:rPr>
                <w:rFonts w:hAnsi="宋体" w:cs="宋体"/>
                <w:highlight w:val="none"/>
              </w:rPr>
            </w:pPr>
          </w:p>
        </w:tc>
        <w:tc>
          <w:tcPr>
            <w:tcW w:w="808" w:type="dxa"/>
            <w:vMerge w:val="continue"/>
            <w:vAlign w:val="center"/>
          </w:tcPr>
          <w:p w14:paraId="5C0208D6">
            <w:pPr>
              <w:widowControl/>
              <w:spacing w:line="360" w:lineRule="auto"/>
              <w:jc w:val="left"/>
              <w:rPr>
                <w:rFonts w:hAnsi="宋体" w:cs="宋体"/>
                <w:highlight w:val="none"/>
              </w:rPr>
            </w:pPr>
          </w:p>
        </w:tc>
        <w:tc>
          <w:tcPr>
            <w:tcW w:w="1389" w:type="dxa"/>
            <w:tcMar>
              <w:left w:w="75" w:type="dxa"/>
            </w:tcMar>
            <w:vAlign w:val="center"/>
          </w:tcPr>
          <w:p w14:paraId="6B03E811">
            <w:pPr>
              <w:spacing w:line="360" w:lineRule="auto"/>
              <w:jc w:val="center"/>
              <w:rPr>
                <w:rFonts w:hAnsi="宋体" w:cs="宋体"/>
                <w:highlight w:val="none"/>
              </w:rPr>
            </w:pPr>
            <w:r>
              <w:rPr>
                <w:rFonts w:hint="eastAsia" w:hAnsi="宋体" w:cs="宋体"/>
                <w:highlight w:val="none"/>
              </w:rPr>
              <w:t>投标货物制造商的资质要求（如有）</w:t>
            </w:r>
          </w:p>
        </w:tc>
        <w:tc>
          <w:tcPr>
            <w:tcW w:w="5518" w:type="dxa"/>
            <w:tcMar>
              <w:left w:w="75" w:type="dxa"/>
            </w:tcMar>
            <w:vAlign w:val="center"/>
          </w:tcPr>
          <w:p w14:paraId="379EEAA9">
            <w:pPr>
              <w:spacing w:line="360" w:lineRule="auto"/>
              <w:rPr>
                <w:rFonts w:hAnsi="宋体" w:cs="宋体"/>
                <w:highlight w:val="none"/>
              </w:rPr>
            </w:pPr>
            <w:r>
              <w:rPr>
                <w:rFonts w:hint="eastAsia" w:hAnsi="宋体" w:cs="宋体"/>
                <w:highlight w:val="none"/>
              </w:rPr>
              <w:t>符合第二章“投标人须知”第1.4.1项规定。</w:t>
            </w:r>
          </w:p>
          <w:p w14:paraId="6FBE33AA">
            <w:pPr>
              <w:spacing w:line="360" w:lineRule="auto"/>
              <w:rPr>
                <w:rFonts w:hAnsi="宋体" w:cs="宋体"/>
                <w:highlight w:val="none"/>
              </w:rPr>
            </w:pPr>
            <w:r>
              <w:rPr>
                <w:rFonts w:hint="eastAsia" w:hAnsi="宋体" w:cs="宋体"/>
                <w:highlight w:val="none"/>
              </w:rPr>
              <w:t>具备有效的生产/制造许可证（如要求）。</w:t>
            </w:r>
          </w:p>
        </w:tc>
      </w:tr>
      <w:tr w14:paraId="2147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651C42FD">
            <w:pPr>
              <w:widowControl/>
              <w:spacing w:line="360" w:lineRule="auto"/>
              <w:jc w:val="left"/>
              <w:rPr>
                <w:rFonts w:hAnsi="宋体" w:cs="宋体"/>
                <w:highlight w:val="none"/>
              </w:rPr>
            </w:pPr>
          </w:p>
        </w:tc>
        <w:tc>
          <w:tcPr>
            <w:tcW w:w="808" w:type="dxa"/>
            <w:vMerge w:val="continue"/>
            <w:vAlign w:val="center"/>
          </w:tcPr>
          <w:p w14:paraId="3368949E">
            <w:pPr>
              <w:widowControl/>
              <w:spacing w:line="360" w:lineRule="auto"/>
              <w:jc w:val="left"/>
              <w:rPr>
                <w:rFonts w:hAnsi="宋体" w:cs="宋体"/>
                <w:highlight w:val="none"/>
              </w:rPr>
            </w:pPr>
          </w:p>
        </w:tc>
        <w:tc>
          <w:tcPr>
            <w:tcW w:w="1389" w:type="dxa"/>
            <w:tcMar>
              <w:left w:w="75" w:type="dxa"/>
            </w:tcMar>
            <w:vAlign w:val="center"/>
          </w:tcPr>
          <w:p w14:paraId="10F1E012">
            <w:pPr>
              <w:widowControl/>
              <w:adjustRightInd w:val="0"/>
              <w:snapToGrid w:val="0"/>
              <w:spacing w:line="360" w:lineRule="auto"/>
              <w:jc w:val="center"/>
              <w:rPr>
                <w:rFonts w:hAnsi="宋体" w:cs="宋体"/>
                <w:highlight w:val="none"/>
              </w:rPr>
            </w:pPr>
            <w:r>
              <w:rPr>
                <w:rFonts w:hint="eastAsia" w:hAnsi="宋体" w:cs="宋体"/>
                <w:highlight w:val="none"/>
              </w:rPr>
              <w:t>财务要求</w:t>
            </w:r>
          </w:p>
        </w:tc>
        <w:tc>
          <w:tcPr>
            <w:tcW w:w="5518" w:type="dxa"/>
            <w:tcMar>
              <w:left w:w="75" w:type="dxa"/>
            </w:tcMar>
            <w:vAlign w:val="center"/>
          </w:tcPr>
          <w:p w14:paraId="43340E36">
            <w:pPr>
              <w:spacing w:line="360" w:lineRule="auto"/>
              <w:jc w:val="left"/>
              <w:rPr>
                <w:rFonts w:hAnsi="宋体" w:cs="宋体"/>
                <w:highlight w:val="none"/>
              </w:rPr>
            </w:pPr>
            <w:r>
              <w:rPr>
                <w:rFonts w:hint="eastAsia" w:hAnsi="宋体" w:cs="宋体"/>
                <w:highlight w:val="none"/>
              </w:rPr>
              <w:t>符合第二章“投标人须知”第1.4.1项规定。</w:t>
            </w:r>
          </w:p>
        </w:tc>
      </w:tr>
      <w:tr w14:paraId="4819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74FDB6FD">
            <w:pPr>
              <w:widowControl/>
              <w:spacing w:line="360" w:lineRule="auto"/>
              <w:jc w:val="left"/>
              <w:rPr>
                <w:rFonts w:hAnsi="宋体" w:cs="宋体"/>
                <w:highlight w:val="none"/>
              </w:rPr>
            </w:pPr>
          </w:p>
        </w:tc>
        <w:tc>
          <w:tcPr>
            <w:tcW w:w="808" w:type="dxa"/>
            <w:vMerge w:val="continue"/>
            <w:vAlign w:val="center"/>
          </w:tcPr>
          <w:p w14:paraId="4B0612A3">
            <w:pPr>
              <w:widowControl/>
              <w:spacing w:line="360" w:lineRule="auto"/>
              <w:jc w:val="left"/>
              <w:rPr>
                <w:rFonts w:hAnsi="宋体" w:cs="宋体"/>
                <w:highlight w:val="none"/>
              </w:rPr>
            </w:pPr>
          </w:p>
        </w:tc>
        <w:tc>
          <w:tcPr>
            <w:tcW w:w="1389" w:type="dxa"/>
            <w:tcMar>
              <w:left w:w="75" w:type="dxa"/>
            </w:tcMar>
            <w:vAlign w:val="center"/>
          </w:tcPr>
          <w:p w14:paraId="421BDAE4">
            <w:pPr>
              <w:widowControl/>
              <w:adjustRightInd w:val="0"/>
              <w:snapToGrid w:val="0"/>
              <w:spacing w:line="360" w:lineRule="auto"/>
              <w:jc w:val="center"/>
              <w:rPr>
                <w:rFonts w:hAnsi="宋体" w:cs="宋体"/>
                <w:highlight w:val="none"/>
              </w:rPr>
            </w:pPr>
            <w:r>
              <w:rPr>
                <w:rFonts w:hint="eastAsia" w:hAnsi="宋体" w:cs="宋体"/>
                <w:highlight w:val="none"/>
              </w:rPr>
              <w:t>投标人业绩要求</w:t>
            </w:r>
          </w:p>
        </w:tc>
        <w:tc>
          <w:tcPr>
            <w:tcW w:w="5518" w:type="dxa"/>
            <w:tcMar>
              <w:left w:w="75" w:type="dxa"/>
            </w:tcMar>
            <w:vAlign w:val="center"/>
          </w:tcPr>
          <w:p w14:paraId="7F6DC6D4">
            <w:pPr>
              <w:spacing w:line="360" w:lineRule="auto"/>
              <w:jc w:val="left"/>
              <w:rPr>
                <w:rFonts w:hAnsi="宋体" w:cs="宋体"/>
                <w:highlight w:val="none"/>
              </w:rPr>
            </w:pPr>
            <w:r>
              <w:rPr>
                <w:rFonts w:hint="eastAsia" w:hAnsi="宋体" w:cs="宋体"/>
                <w:highlight w:val="none"/>
              </w:rPr>
              <w:t>符合第二章“投标人须知”第1.4.1项规定。</w:t>
            </w:r>
          </w:p>
        </w:tc>
      </w:tr>
      <w:tr w14:paraId="374F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0EDB8B74">
            <w:pPr>
              <w:widowControl/>
              <w:spacing w:line="360" w:lineRule="auto"/>
              <w:jc w:val="left"/>
              <w:rPr>
                <w:rFonts w:hAnsi="宋体" w:cs="宋体"/>
                <w:highlight w:val="none"/>
              </w:rPr>
            </w:pPr>
          </w:p>
        </w:tc>
        <w:tc>
          <w:tcPr>
            <w:tcW w:w="808" w:type="dxa"/>
            <w:vMerge w:val="continue"/>
            <w:vAlign w:val="center"/>
          </w:tcPr>
          <w:p w14:paraId="6A782381">
            <w:pPr>
              <w:widowControl/>
              <w:spacing w:line="360" w:lineRule="auto"/>
              <w:jc w:val="left"/>
              <w:rPr>
                <w:rFonts w:hAnsi="宋体" w:cs="宋体"/>
                <w:highlight w:val="none"/>
              </w:rPr>
            </w:pPr>
          </w:p>
        </w:tc>
        <w:tc>
          <w:tcPr>
            <w:tcW w:w="1389" w:type="dxa"/>
            <w:tcMar>
              <w:left w:w="75" w:type="dxa"/>
            </w:tcMar>
            <w:vAlign w:val="center"/>
          </w:tcPr>
          <w:p w14:paraId="4C37E60F">
            <w:pPr>
              <w:widowControl/>
              <w:adjustRightInd w:val="0"/>
              <w:snapToGrid w:val="0"/>
              <w:spacing w:line="360" w:lineRule="auto"/>
              <w:jc w:val="center"/>
              <w:rPr>
                <w:rFonts w:hAnsi="宋体" w:cs="宋体"/>
                <w:highlight w:val="none"/>
              </w:rPr>
            </w:pPr>
            <w:r>
              <w:rPr>
                <w:rFonts w:hint="eastAsia" w:hAnsi="宋体" w:cs="宋体"/>
                <w:highlight w:val="none"/>
              </w:rPr>
              <w:t>项目负责人业绩要求</w:t>
            </w:r>
          </w:p>
        </w:tc>
        <w:tc>
          <w:tcPr>
            <w:tcW w:w="5518" w:type="dxa"/>
            <w:tcMar>
              <w:left w:w="75" w:type="dxa"/>
            </w:tcMar>
            <w:vAlign w:val="center"/>
          </w:tcPr>
          <w:p w14:paraId="546C8EA3">
            <w:pPr>
              <w:spacing w:line="360" w:lineRule="auto"/>
              <w:jc w:val="left"/>
              <w:rPr>
                <w:rFonts w:hAnsi="宋体" w:cs="宋体"/>
                <w:highlight w:val="none"/>
              </w:rPr>
            </w:pPr>
            <w:r>
              <w:rPr>
                <w:rFonts w:hint="eastAsia" w:hAnsi="宋体" w:cs="宋体"/>
                <w:highlight w:val="none"/>
              </w:rPr>
              <w:t>符合第二章“投标人须知”第1.4.1项规定。</w:t>
            </w:r>
          </w:p>
        </w:tc>
      </w:tr>
      <w:tr w14:paraId="5415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27860695">
            <w:pPr>
              <w:widowControl/>
              <w:spacing w:line="360" w:lineRule="auto"/>
              <w:jc w:val="left"/>
              <w:rPr>
                <w:rFonts w:hAnsi="宋体" w:cs="宋体"/>
                <w:highlight w:val="none"/>
              </w:rPr>
            </w:pPr>
          </w:p>
        </w:tc>
        <w:tc>
          <w:tcPr>
            <w:tcW w:w="808" w:type="dxa"/>
            <w:vMerge w:val="continue"/>
            <w:vAlign w:val="center"/>
          </w:tcPr>
          <w:p w14:paraId="30315E4D">
            <w:pPr>
              <w:widowControl/>
              <w:spacing w:line="360" w:lineRule="auto"/>
              <w:jc w:val="left"/>
              <w:rPr>
                <w:rFonts w:hAnsi="宋体" w:cs="宋体"/>
                <w:highlight w:val="none"/>
              </w:rPr>
            </w:pPr>
          </w:p>
        </w:tc>
        <w:tc>
          <w:tcPr>
            <w:tcW w:w="1389" w:type="dxa"/>
            <w:tcMar>
              <w:left w:w="75" w:type="dxa"/>
            </w:tcMar>
            <w:vAlign w:val="center"/>
          </w:tcPr>
          <w:p w14:paraId="3E756C36">
            <w:pPr>
              <w:spacing w:line="360" w:lineRule="auto"/>
              <w:jc w:val="center"/>
              <w:rPr>
                <w:rFonts w:hAnsi="宋体" w:cs="宋体"/>
                <w:highlight w:val="none"/>
              </w:rPr>
            </w:pPr>
            <w:r>
              <w:rPr>
                <w:rFonts w:hint="eastAsia" w:hAnsi="宋体" w:cs="宋体"/>
                <w:highlight w:val="none"/>
              </w:rPr>
              <w:t>投标货物的业绩要求（如有）</w:t>
            </w:r>
          </w:p>
        </w:tc>
        <w:tc>
          <w:tcPr>
            <w:tcW w:w="5518" w:type="dxa"/>
            <w:tcMar>
              <w:left w:w="75" w:type="dxa"/>
            </w:tcMar>
            <w:vAlign w:val="center"/>
          </w:tcPr>
          <w:p w14:paraId="08223C60">
            <w:pPr>
              <w:spacing w:line="360" w:lineRule="auto"/>
              <w:rPr>
                <w:rFonts w:hAnsi="宋体" w:cs="宋体"/>
                <w:highlight w:val="none"/>
              </w:rPr>
            </w:pPr>
            <w:r>
              <w:rPr>
                <w:rFonts w:hint="eastAsia" w:hAnsi="宋体" w:cs="宋体"/>
                <w:highlight w:val="none"/>
              </w:rPr>
              <w:t>符合第二章“投标人须知”第1.4.1项规定。</w:t>
            </w:r>
          </w:p>
        </w:tc>
      </w:tr>
      <w:tr w14:paraId="21BD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21842A61">
            <w:pPr>
              <w:widowControl/>
              <w:spacing w:line="360" w:lineRule="auto"/>
              <w:jc w:val="left"/>
              <w:rPr>
                <w:rFonts w:hAnsi="宋体" w:cs="宋体"/>
                <w:highlight w:val="none"/>
              </w:rPr>
            </w:pPr>
          </w:p>
        </w:tc>
        <w:tc>
          <w:tcPr>
            <w:tcW w:w="808" w:type="dxa"/>
            <w:vMerge w:val="continue"/>
            <w:vAlign w:val="center"/>
          </w:tcPr>
          <w:p w14:paraId="71283B5C">
            <w:pPr>
              <w:widowControl/>
              <w:spacing w:line="360" w:lineRule="auto"/>
              <w:jc w:val="left"/>
              <w:rPr>
                <w:rFonts w:hAnsi="宋体" w:cs="宋体"/>
                <w:highlight w:val="none"/>
              </w:rPr>
            </w:pPr>
          </w:p>
        </w:tc>
        <w:tc>
          <w:tcPr>
            <w:tcW w:w="1389" w:type="dxa"/>
            <w:tcMar>
              <w:left w:w="75" w:type="dxa"/>
            </w:tcMar>
            <w:vAlign w:val="center"/>
          </w:tcPr>
          <w:p w14:paraId="2D179333">
            <w:pPr>
              <w:widowControl/>
              <w:adjustRightInd w:val="0"/>
              <w:snapToGrid w:val="0"/>
              <w:spacing w:line="360" w:lineRule="auto"/>
              <w:jc w:val="center"/>
              <w:rPr>
                <w:rFonts w:hAnsi="宋体" w:cs="宋体"/>
                <w:highlight w:val="none"/>
              </w:rPr>
            </w:pPr>
            <w:r>
              <w:rPr>
                <w:rFonts w:hint="eastAsia" w:hAnsi="宋体" w:cs="宋体"/>
                <w:highlight w:val="none"/>
              </w:rPr>
              <w:t>信誉要求</w:t>
            </w:r>
          </w:p>
        </w:tc>
        <w:tc>
          <w:tcPr>
            <w:tcW w:w="5518" w:type="dxa"/>
            <w:tcMar>
              <w:left w:w="75" w:type="dxa"/>
            </w:tcMar>
            <w:vAlign w:val="center"/>
          </w:tcPr>
          <w:p w14:paraId="7A54904E">
            <w:pPr>
              <w:spacing w:line="360" w:lineRule="auto"/>
              <w:jc w:val="left"/>
              <w:rPr>
                <w:rFonts w:hAnsi="宋体" w:cs="宋体"/>
                <w:highlight w:val="none"/>
              </w:rPr>
            </w:pPr>
            <w:r>
              <w:rPr>
                <w:rFonts w:hint="eastAsia" w:hAnsi="宋体" w:cs="宋体"/>
                <w:highlight w:val="none"/>
              </w:rPr>
              <w:t>符合第二章“投标人须知”第1.4.1项规定。</w:t>
            </w:r>
          </w:p>
        </w:tc>
      </w:tr>
      <w:tr w14:paraId="6A91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6AE71206">
            <w:pPr>
              <w:widowControl/>
              <w:spacing w:line="360" w:lineRule="auto"/>
              <w:jc w:val="left"/>
              <w:rPr>
                <w:rFonts w:hAnsi="宋体" w:cs="宋体"/>
                <w:highlight w:val="none"/>
              </w:rPr>
            </w:pPr>
          </w:p>
        </w:tc>
        <w:tc>
          <w:tcPr>
            <w:tcW w:w="808" w:type="dxa"/>
            <w:vMerge w:val="continue"/>
            <w:vAlign w:val="center"/>
          </w:tcPr>
          <w:p w14:paraId="51B39BF8">
            <w:pPr>
              <w:widowControl/>
              <w:spacing w:line="360" w:lineRule="auto"/>
              <w:jc w:val="left"/>
              <w:rPr>
                <w:rFonts w:hAnsi="宋体" w:cs="宋体"/>
                <w:highlight w:val="none"/>
              </w:rPr>
            </w:pPr>
          </w:p>
        </w:tc>
        <w:tc>
          <w:tcPr>
            <w:tcW w:w="1389" w:type="dxa"/>
            <w:tcMar>
              <w:left w:w="75" w:type="dxa"/>
            </w:tcMar>
            <w:vAlign w:val="center"/>
          </w:tcPr>
          <w:p w14:paraId="01B43AAC">
            <w:pPr>
              <w:widowControl/>
              <w:adjustRightInd w:val="0"/>
              <w:snapToGrid w:val="0"/>
              <w:spacing w:line="360" w:lineRule="auto"/>
              <w:jc w:val="center"/>
              <w:rPr>
                <w:rFonts w:hAnsi="宋体" w:cs="宋体"/>
                <w:highlight w:val="none"/>
              </w:rPr>
            </w:pPr>
            <w:r>
              <w:rPr>
                <w:rFonts w:hint="eastAsia" w:hAnsi="宋体" w:cs="宋体"/>
                <w:highlight w:val="none"/>
              </w:rPr>
              <w:t>其他要求</w:t>
            </w:r>
          </w:p>
        </w:tc>
        <w:tc>
          <w:tcPr>
            <w:tcW w:w="5518" w:type="dxa"/>
            <w:tcMar>
              <w:left w:w="75" w:type="dxa"/>
            </w:tcMar>
            <w:vAlign w:val="center"/>
          </w:tcPr>
          <w:p w14:paraId="705154E8">
            <w:pPr>
              <w:widowControl/>
              <w:spacing w:line="360" w:lineRule="auto"/>
              <w:jc w:val="left"/>
              <w:rPr>
                <w:rFonts w:hAnsi="宋体" w:cs="宋体"/>
                <w:highlight w:val="none"/>
              </w:rPr>
            </w:pPr>
            <w:r>
              <w:rPr>
                <w:rFonts w:hint="eastAsia" w:hAnsi="宋体" w:cs="宋体"/>
                <w:highlight w:val="none"/>
              </w:rPr>
              <w:t>符合第二章“投标人须知”第1.4.1项规定。</w:t>
            </w:r>
          </w:p>
        </w:tc>
      </w:tr>
      <w:tr w14:paraId="15D6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02B7DF01">
            <w:pPr>
              <w:widowControl/>
              <w:spacing w:line="360" w:lineRule="auto"/>
              <w:jc w:val="left"/>
              <w:rPr>
                <w:rFonts w:hAnsi="宋体" w:cs="宋体"/>
                <w:highlight w:val="none"/>
              </w:rPr>
            </w:pPr>
          </w:p>
        </w:tc>
        <w:tc>
          <w:tcPr>
            <w:tcW w:w="808" w:type="dxa"/>
            <w:vMerge w:val="continue"/>
            <w:vAlign w:val="center"/>
          </w:tcPr>
          <w:p w14:paraId="19401D31">
            <w:pPr>
              <w:widowControl/>
              <w:spacing w:line="360" w:lineRule="auto"/>
              <w:jc w:val="left"/>
              <w:rPr>
                <w:rFonts w:hAnsi="宋体" w:cs="宋体"/>
                <w:highlight w:val="none"/>
              </w:rPr>
            </w:pPr>
          </w:p>
        </w:tc>
        <w:tc>
          <w:tcPr>
            <w:tcW w:w="1389" w:type="dxa"/>
            <w:tcMar>
              <w:left w:w="75" w:type="dxa"/>
            </w:tcMar>
            <w:vAlign w:val="center"/>
          </w:tcPr>
          <w:p w14:paraId="2602F40C">
            <w:pPr>
              <w:widowControl/>
              <w:adjustRightInd w:val="0"/>
              <w:snapToGrid w:val="0"/>
              <w:spacing w:line="360" w:lineRule="auto"/>
              <w:jc w:val="center"/>
              <w:rPr>
                <w:rFonts w:hAnsi="宋体" w:cs="宋体"/>
                <w:highlight w:val="none"/>
              </w:rPr>
            </w:pPr>
            <w:r>
              <w:rPr>
                <w:rFonts w:hint="eastAsia" w:hAnsi="宋体" w:cs="宋体"/>
                <w:highlight w:val="none"/>
              </w:rPr>
              <w:t>联合体投标人</w:t>
            </w:r>
          </w:p>
        </w:tc>
        <w:tc>
          <w:tcPr>
            <w:tcW w:w="5518" w:type="dxa"/>
            <w:tcMar>
              <w:left w:w="75" w:type="dxa"/>
            </w:tcMar>
            <w:vAlign w:val="center"/>
          </w:tcPr>
          <w:p w14:paraId="7C133607">
            <w:pPr>
              <w:widowControl/>
              <w:spacing w:line="360" w:lineRule="auto"/>
              <w:jc w:val="left"/>
              <w:rPr>
                <w:rFonts w:hAnsi="宋体" w:cs="宋体"/>
                <w:highlight w:val="none"/>
              </w:rPr>
            </w:pPr>
            <w:r>
              <w:rPr>
                <w:rFonts w:hint="eastAsia" w:hAnsi="宋体" w:cs="宋体"/>
                <w:highlight w:val="none"/>
              </w:rPr>
              <w:t>符合第二章“投标人须知”第1.4.2项规定。</w:t>
            </w:r>
          </w:p>
        </w:tc>
      </w:tr>
      <w:tr w14:paraId="2823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1ABE5603">
            <w:pPr>
              <w:widowControl/>
              <w:spacing w:line="360" w:lineRule="auto"/>
              <w:jc w:val="left"/>
              <w:rPr>
                <w:rFonts w:hAnsi="宋体" w:cs="宋体"/>
                <w:highlight w:val="none"/>
              </w:rPr>
            </w:pPr>
          </w:p>
        </w:tc>
        <w:tc>
          <w:tcPr>
            <w:tcW w:w="808" w:type="dxa"/>
            <w:vMerge w:val="continue"/>
            <w:vAlign w:val="center"/>
          </w:tcPr>
          <w:p w14:paraId="502DDB12">
            <w:pPr>
              <w:widowControl/>
              <w:spacing w:line="360" w:lineRule="auto"/>
              <w:jc w:val="left"/>
              <w:rPr>
                <w:rFonts w:hAnsi="宋体" w:cs="宋体"/>
                <w:highlight w:val="none"/>
              </w:rPr>
            </w:pPr>
          </w:p>
        </w:tc>
        <w:tc>
          <w:tcPr>
            <w:tcW w:w="1389" w:type="dxa"/>
            <w:tcMar>
              <w:left w:w="75" w:type="dxa"/>
            </w:tcMar>
            <w:vAlign w:val="center"/>
          </w:tcPr>
          <w:p w14:paraId="068B9F02">
            <w:pPr>
              <w:widowControl/>
              <w:adjustRightInd w:val="0"/>
              <w:snapToGrid w:val="0"/>
              <w:spacing w:line="360" w:lineRule="auto"/>
              <w:jc w:val="center"/>
              <w:rPr>
                <w:rFonts w:hAnsi="宋体" w:cs="宋体"/>
                <w:highlight w:val="none"/>
              </w:rPr>
            </w:pPr>
            <w:r>
              <w:rPr>
                <w:rFonts w:hint="eastAsia" w:hAnsi="宋体" w:cs="宋体"/>
                <w:highlight w:val="none"/>
              </w:rPr>
              <w:t>不存在禁止投标的情形</w:t>
            </w:r>
          </w:p>
        </w:tc>
        <w:tc>
          <w:tcPr>
            <w:tcW w:w="5518" w:type="dxa"/>
            <w:tcMar>
              <w:left w:w="75" w:type="dxa"/>
            </w:tcMar>
            <w:vAlign w:val="center"/>
          </w:tcPr>
          <w:p w14:paraId="3771F52D">
            <w:pPr>
              <w:spacing w:line="360" w:lineRule="auto"/>
              <w:jc w:val="left"/>
              <w:rPr>
                <w:rFonts w:hAnsi="宋体" w:cs="宋体"/>
                <w:highlight w:val="none"/>
              </w:rPr>
            </w:pPr>
            <w:r>
              <w:rPr>
                <w:rFonts w:hint="eastAsia" w:hAnsi="宋体" w:cs="宋体"/>
                <w:highlight w:val="none"/>
              </w:rPr>
              <w:t>不存在第二章“投标人须知”第1.4.3项或第1.4.4项规定的任何一种情形。</w:t>
            </w:r>
            <w:r>
              <w:rPr>
                <w:rFonts w:hint="eastAsia" w:hAnsi="宋体" w:cs="宋体"/>
                <w:bCs/>
                <w:szCs w:val="24"/>
                <w:highlight w:val="none"/>
              </w:rPr>
              <w:t>投标人</w:t>
            </w:r>
            <w:r>
              <w:rPr>
                <w:rFonts w:hint="eastAsia" w:hAnsi="宋体"/>
                <w:bCs/>
                <w:snapToGrid w:val="0"/>
                <w:szCs w:val="24"/>
                <w:highlight w:val="none"/>
              </w:rPr>
              <w:t>应按照</w:t>
            </w:r>
            <w:r>
              <w:rPr>
                <w:rFonts w:hint="eastAsia" w:hAnsi="宋体" w:cs="宋体"/>
                <w:bCs/>
                <w:szCs w:val="24"/>
                <w:highlight w:val="none"/>
              </w:rPr>
              <w:t>第六章“投标文件格式”的“诚信投标承诺书”承诺。</w:t>
            </w:r>
          </w:p>
        </w:tc>
      </w:tr>
      <w:tr w14:paraId="45AC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restart"/>
            <w:vAlign w:val="center"/>
          </w:tcPr>
          <w:p w14:paraId="7104E92A">
            <w:pPr>
              <w:widowControl/>
              <w:spacing w:line="360" w:lineRule="auto"/>
              <w:jc w:val="center"/>
              <w:rPr>
                <w:rFonts w:hAnsi="宋体" w:cs="宋体"/>
                <w:highlight w:val="none"/>
              </w:rPr>
            </w:pPr>
            <w:r>
              <w:rPr>
                <w:rFonts w:hint="eastAsia" w:hAnsi="宋体" w:cs="宋体"/>
                <w:highlight w:val="none"/>
              </w:rPr>
              <w:t>2.1.3</w:t>
            </w:r>
          </w:p>
        </w:tc>
        <w:tc>
          <w:tcPr>
            <w:tcW w:w="808" w:type="dxa"/>
            <w:vMerge w:val="restart"/>
            <w:vAlign w:val="center"/>
          </w:tcPr>
          <w:p w14:paraId="5E944FB7">
            <w:pPr>
              <w:widowControl/>
              <w:spacing w:line="360" w:lineRule="auto"/>
              <w:jc w:val="center"/>
              <w:rPr>
                <w:rFonts w:hAnsi="宋体" w:cs="宋体"/>
                <w:highlight w:val="none"/>
              </w:rPr>
            </w:pPr>
            <w:r>
              <w:rPr>
                <w:rFonts w:hint="eastAsia" w:hAnsi="宋体" w:cs="宋体"/>
                <w:bCs/>
                <w:highlight w:val="none"/>
              </w:rPr>
              <w:t>响应性评审标准</w:t>
            </w:r>
          </w:p>
        </w:tc>
        <w:tc>
          <w:tcPr>
            <w:tcW w:w="1389" w:type="dxa"/>
            <w:tcMar>
              <w:left w:w="75" w:type="dxa"/>
            </w:tcMar>
            <w:vAlign w:val="center"/>
          </w:tcPr>
          <w:p w14:paraId="5DB19B85">
            <w:pPr>
              <w:widowControl/>
              <w:adjustRightInd w:val="0"/>
              <w:snapToGrid w:val="0"/>
              <w:spacing w:line="360" w:lineRule="auto"/>
              <w:jc w:val="center"/>
              <w:rPr>
                <w:rFonts w:hAnsi="宋体" w:cs="宋体"/>
                <w:highlight w:val="none"/>
              </w:rPr>
            </w:pPr>
            <w:r>
              <w:rPr>
                <w:rFonts w:hint="eastAsia" w:hAnsi="宋体" w:cs="宋体"/>
                <w:highlight w:val="none"/>
              </w:rPr>
              <w:t>投标内容</w:t>
            </w:r>
          </w:p>
        </w:tc>
        <w:tc>
          <w:tcPr>
            <w:tcW w:w="5518" w:type="dxa"/>
            <w:tcMar>
              <w:left w:w="75" w:type="dxa"/>
            </w:tcMar>
            <w:vAlign w:val="center"/>
          </w:tcPr>
          <w:p w14:paraId="44E76145">
            <w:pPr>
              <w:spacing w:line="360" w:lineRule="auto"/>
              <w:jc w:val="left"/>
              <w:rPr>
                <w:rFonts w:hAnsi="宋体" w:cs="宋体"/>
                <w:highlight w:val="none"/>
              </w:rPr>
            </w:pPr>
            <w:r>
              <w:rPr>
                <w:rFonts w:hint="eastAsia" w:hAnsi="宋体" w:cs="宋体"/>
                <w:highlight w:val="none"/>
              </w:rPr>
              <w:t>符合第二章“投标人须知”第1.3.1项规定。</w:t>
            </w:r>
          </w:p>
        </w:tc>
      </w:tr>
      <w:tr w14:paraId="2589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rPr>
        <w:tc>
          <w:tcPr>
            <w:tcW w:w="644" w:type="dxa"/>
            <w:vMerge w:val="continue"/>
            <w:vAlign w:val="center"/>
          </w:tcPr>
          <w:p w14:paraId="09776CD5">
            <w:pPr>
              <w:widowControl/>
              <w:spacing w:line="360" w:lineRule="auto"/>
              <w:jc w:val="left"/>
              <w:rPr>
                <w:rFonts w:hAnsi="宋体" w:cs="宋体"/>
                <w:highlight w:val="none"/>
              </w:rPr>
            </w:pPr>
          </w:p>
        </w:tc>
        <w:tc>
          <w:tcPr>
            <w:tcW w:w="808" w:type="dxa"/>
            <w:vMerge w:val="continue"/>
            <w:vAlign w:val="center"/>
          </w:tcPr>
          <w:p w14:paraId="6287DDA8">
            <w:pPr>
              <w:widowControl/>
              <w:spacing w:line="360" w:lineRule="auto"/>
              <w:jc w:val="left"/>
              <w:rPr>
                <w:rFonts w:hAnsi="宋体" w:cs="宋体"/>
                <w:bCs/>
                <w:highlight w:val="none"/>
              </w:rPr>
            </w:pPr>
          </w:p>
        </w:tc>
        <w:tc>
          <w:tcPr>
            <w:tcW w:w="1389" w:type="dxa"/>
            <w:tcMar>
              <w:left w:w="75" w:type="dxa"/>
            </w:tcMar>
            <w:vAlign w:val="center"/>
          </w:tcPr>
          <w:p w14:paraId="3776C90B">
            <w:pPr>
              <w:widowControl/>
              <w:adjustRightInd w:val="0"/>
              <w:snapToGrid w:val="0"/>
              <w:spacing w:line="360" w:lineRule="auto"/>
              <w:jc w:val="center"/>
              <w:rPr>
                <w:rFonts w:hAnsi="宋体" w:cs="宋体"/>
                <w:highlight w:val="none"/>
              </w:rPr>
            </w:pPr>
            <w:r>
              <w:rPr>
                <w:rFonts w:hint="eastAsia" w:hAnsi="宋体" w:cs="宋体"/>
                <w:highlight w:val="none"/>
              </w:rPr>
              <w:t>交货及安装周期</w:t>
            </w:r>
          </w:p>
        </w:tc>
        <w:tc>
          <w:tcPr>
            <w:tcW w:w="5518" w:type="dxa"/>
            <w:tcMar>
              <w:left w:w="75" w:type="dxa"/>
            </w:tcMar>
            <w:vAlign w:val="center"/>
          </w:tcPr>
          <w:p w14:paraId="6336BDFC">
            <w:pPr>
              <w:spacing w:line="360" w:lineRule="auto"/>
              <w:jc w:val="left"/>
              <w:rPr>
                <w:rFonts w:hAnsi="宋体" w:cs="宋体"/>
                <w:highlight w:val="none"/>
              </w:rPr>
            </w:pPr>
            <w:r>
              <w:rPr>
                <w:rFonts w:hint="eastAsia" w:hAnsi="宋体" w:cs="宋体"/>
                <w:highlight w:val="none"/>
              </w:rPr>
              <w:t>符合第二章“投标人须知”第1.3.2项规定。</w:t>
            </w:r>
          </w:p>
        </w:tc>
      </w:tr>
      <w:tr w14:paraId="4646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7477A9A9">
            <w:pPr>
              <w:widowControl/>
              <w:spacing w:line="360" w:lineRule="auto"/>
              <w:jc w:val="left"/>
              <w:rPr>
                <w:rFonts w:hAnsi="宋体" w:cs="宋体"/>
                <w:highlight w:val="none"/>
              </w:rPr>
            </w:pPr>
          </w:p>
        </w:tc>
        <w:tc>
          <w:tcPr>
            <w:tcW w:w="808" w:type="dxa"/>
            <w:vMerge w:val="continue"/>
            <w:vAlign w:val="center"/>
          </w:tcPr>
          <w:p w14:paraId="48B16580">
            <w:pPr>
              <w:widowControl/>
              <w:spacing w:line="360" w:lineRule="auto"/>
              <w:jc w:val="left"/>
              <w:rPr>
                <w:rFonts w:hAnsi="宋体" w:cs="宋体"/>
                <w:bCs/>
                <w:highlight w:val="none"/>
              </w:rPr>
            </w:pPr>
          </w:p>
        </w:tc>
        <w:tc>
          <w:tcPr>
            <w:tcW w:w="1389" w:type="dxa"/>
            <w:tcMar>
              <w:left w:w="75" w:type="dxa"/>
            </w:tcMar>
            <w:vAlign w:val="center"/>
          </w:tcPr>
          <w:p w14:paraId="177C3FC9">
            <w:pPr>
              <w:widowControl/>
              <w:adjustRightInd w:val="0"/>
              <w:snapToGrid w:val="0"/>
              <w:spacing w:line="360" w:lineRule="auto"/>
              <w:jc w:val="center"/>
              <w:rPr>
                <w:rFonts w:hAnsi="宋体" w:cs="宋体"/>
                <w:highlight w:val="none"/>
              </w:rPr>
            </w:pPr>
            <w:r>
              <w:rPr>
                <w:rFonts w:hint="eastAsia" w:hAnsi="宋体" w:cs="宋体"/>
                <w:highlight w:val="none"/>
              </w:rPr>
              <w:t>交货及安装地点</w:t>
            </w:r>
          </w:p>
        </w:tc>
        <w:tc>
          <w:tcPr>
            <w:tcW w:w="5518" w:type="dxa"/>
            <w:tcMar>
              <w:left w:w="75" w:type="dxa"/>
            </w:tcMar>
            <w:vAlign w:val="center"/>
          </w:tcPr>
          <w:p w14:paraId="191AA2D6">
            <w:pPr>
              <w:spacing w:line="360" w:lineRule="auto"/>
              <w:jc w:val="left"/>
              <w:rPr>
                <w:rFonts w:hAnsi="宋体" w:cs="宋体"/>
                <w:highlight w:val="none"/>
              </w:rPr>
            </w:pPr>
            <w:r>
              <w:rPr>
                <w:rFonts w:hint="eastAsia" w:hAnsi="宋体" w:cs="宋体"/>
                <w:highlight w:val="none"/>
              </w:rPr>
              <w:t>符合第二章“投标人须知”第1.3.3项规定。</w:t>
            </w:r>
          </w:p>
        </w:tc>
      </w:tr>
      <w:tr w14:paraId="6FFC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3825CDA4">
            <w:pPr>
              <w:widowControl/>
              <w:spacing w:line="360" w:lineRule="auto"/>
              <w:jc w:val="left"/>
              <w:rPr>
                <w:rFonts w:hAnsi="宋体" w:cs="宋体"/>
                <w:highlight w:val="none"/>
              </w:rPr>
            </w:pPr>
          </w:p>
        </w:tc>
        <w:tc>
          <w:tcPr>
            <w:tcW w:w="808" w:type="dxa"/>
            <w:vMerge w:val="continue"/>
            <w:vAlign w:val="center"/>
          </w:tcPr>
          <w:p w14:paraId="73069BE6">
            <w:pPr>
              <w:widowControl/>
              <w:spacing w:line="360" w:lineRule="auto"/>
              <w:jc w:val="left"/>
              <w:rPr>
                <w:rFonts w:hAnsi="宋体" w:cs="宋体"/>
                <w:bCs/>
                <w:highlight w:val="none"/>
              </w:rPr>
            </w:pPr>
          </w:p>
        </w:tc>
        <w:tc>
          <w:tcPr>
            <w:tcW w:w="1389" w:type="dxa"/>
            <w:tcMar>
              <w:left w:w="75" w:type="dxa"/>
            </w:tcMar>
            <w:vAlign w:val="center"/>
          </w:tcPr>
          <w:p w14:paraId="25DF6DBF">
            <w:pPr>
              <w:spacing w:line="360" w:lineRule="auto"/>
              <w:jc w:val="center"/>
              <w:rPr>
                <w:rFonts w:hAnsi="宋体" w:cs="宋体"/>
                <w:highlight w:val="none"/>
              </w:rPr>
            </w:pPr>
            <w:r>
              <w:rPr>
                <w:rFonts w:hint="eastAsia" w:hAnsi="宋体" w:cs="宋体"/>
                <w:highlight w:val="none"/>
              </w:rPr>
              <w:t>技术性能指标</w:t>
            </w:r>
          </w:p>
        </w:tc>
        <w:tc>
          <w:tcPr>
            <w:tcW w:w="5518" w:type="dxa"/>
            <w:tcMar>
              <w:left w:w="75" w:type="dxa"/>
            </w:tcMar>
            <w:vAlign w:val="center"/>
          </w:tcPr>
          <w:p w14:paraId="2F2B17A7">
            <w:pPr>
              <w:spacing w:line="360" w:lineRule="auto"/>
              <w:jc w:val="left"/>
              <w:rPr>
                <w:rFonts w:hAnsi="宋体" w:cs="宋体"/>
                <w:highlight w:val="none"/>
              </w:rPr>
            </w:pPr>
            <w:r>
              <w:rPr>
                <w:rFonts w:hint="eastAsia" w:hAnsi="宋体" w:cs="宋体"/>
                <w:highlight w:val="none"/>
              </w:rPr>
              <w:t>符合第二章“投标人须知”第1.3.4项规定。</w:t>
            </w:r>
          </w:p>
        </w:tc>
      </w:tr>
      <w:tr w14:paraId="5DEC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34D558F2">
            <w:pPr>
              <w:widowControl/>
              <w:spacing w:line="360" w:lineRule="auto"/>
              <w:jc w:val="left"/>
              <w:rPr>
                <w:rFonts w:hAnsi="宋体" w:cs="宋体"/>
                <w:highlight w:val="none"/>
              </w:rPr>
            </w:pPr>
          </w:p>
        </w:tc>
        <w:tc>
          <w:tcPr>
            <w:tcW w:w="808" w:type="dxa"/>
            <w:vMerge w:val="continue"/>
            <w:vAlign w:val="center"/>
          </w:tcPr>
          <w:p w14:paraId="08EFBD5A">
            <w:pPr>
              <w:widowControl/>
              <w:spacing w:line="360" w:lineRule="auto"/>
              <w:jc w:val="left"/>
              <w:rPr>
                <w:rFonts w:hAnsi="宋体" w:cs="宋体"/>
                <w:bCs/>
                <w:highlight w:val="none"/>
              </w:rPr>
            </w:pPr>
          </w:p>
        </w:tc>
        <w:tc>
          <w:tcPr>
            <w:tcW w:w="1389" w:type="dxa"/>
            <w:tcMar>
              <w:left w:w="75" w:type="dxa"/>
            </w:tcMar>
            <w:vAlign w:val="center"/>
          </w:tcPr>
          <w:p w14:paraId="4D1063B9">
            <w:pPr>
              <w:widowControl/>
              <w:spacing w:line="360" w:lineRule="auto"/>
              <w:jc w:val="center"/>
              <w:rPr>
                <w:rFonts w:hAnsi="宋体" w:cs="宋体"/>
                <w:highlight w:val="none"/>
              </w:rPr>
            </w:pPr>
            <w:r>
              <w:rPr>
                <w:rFonts w:hint="eastAsia" w:hAnsi="宋体" w:cs="宋体"/>
                <w:highlight w:val="none"/>
              </w:rPr>
              <w:t>投标有效期</w:t>
            </w:r>
          </w:p>
        </w:tc>
        <w:tc>
          <w:tcPr>
            <w:tcW w:w="5518" w:type="dxa"/>
            <w:tcMar>
              <w:left w:w="75" w:type="dxa"/>
            </w:tcMar>
            <w:vAlign w:val="center"/>
          </w:tcPr>
          <w:p w14:paraId="7D9A4350">
            <w:pPr>
              <w:spacing w:line="360" w:lineRule="auto"/>
              <w:rPr>
                <w:rFonts w:hAnsi="宋体" w:cs="宋体"/>
                <w:highlight w:val="none"/>
              </w:rPr>
            </w:pPr>
            <w:r>
              <w:rPr>
                <w:rFonts w:hint="eastAsia" w:hAnsi="宋体" w:cs="宋体"/>
                <w:highlight w:val="none"/>
              </w:rPr>
              <w:t>符合第二章“投标人须知”第3.3.1项规定。</w:t>
            </w:r>
          </w:p>
        </w:tc>
      </w:tr>
      <w:tr w14:paraId="59CE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3B591CEA">
            <w:pPr>
              <w:widowControl/>
              <w:spacing w:line="360" w:lineRule="auto"/>
              <w:jc w:val="left"/>
              <w:rPr>
                <w:rFonts w:hAnsi="宋体" w:cs="宋体"/>
                <w:highlight w:val="none"/>
              </w:rPr>
            </w:pPr>
          </w:p>
        </w:tc>
        <w:tc>
          <w:tcPr>
            <w:tcW w:w="808" w:type="dxa"/>
            <w:vMerge w:val="continue"/>
            <w:vAlign w:val="center"/>
          </w:tcPr>
          <w:p w14:paraId="30FF69DE">
            <w:pPr>
              <w:widowControl/>
              <w:spacing w:line="360" w:lineRule="auto"/>
              <w:jc w:val="left"/>
              <w:rPr>
                <w:rFonts w:hAnsi="宋体" w:cs="宋体"/>
                <w:highlight w:val="none"/>
              </w:rPr>
            </w:pPr>
          </w:p>
        </w:tc>
        <w:tc>
          <w:tcPr>
            <w:tcW w:w="1389" w:type="dxa"/>
            <w:tcMar>
              <w:left w:w="75" w:type="dxa"/>
            </w:tcMar>
            <w:vAlign w:val="center"/>
          </w:tcPr>
          <w:p w14:paraId="558A5070">
            <w:pPr>
              <w:widowControl/>
              <w:spacing w:line="360" w:lineRule="auto"/>
              <w:jc w:val="center"/>
              <w:rPr>
                <w:rFonts w:hAnsi="宋体" w:cs="宋体"/>
                <w:highlight w:val="none"/>
              </w:rPr>
            </w:pPr>
            <w:r>
              <w:rPr>
                <w:rFonts w:hint="eastAsia" w:hAnsi="宋体" w:cs="宋体"/>
                <w:highlight w:val="none"/>
              </w:rPr>
              <w:t>投标保证金</w:t>
            </w:r>
          </w:p>
        </w:tc>
        <w:tc>
          <w:tcPr>
            <w:tcW w:w="5518" w:type="dxa"/>
            <w:tcMar>
              <w:left w:w="75" w:type="dxa"/>
            </w:tcMar>
            <w:vAlign w:val="center"/>
          </w:tcPr>
          <w:p w14:paraId="178FC4E0">
            <w:pPr>
              <w:widowControl/>
              <w:spacing w:line="360" w:lineRule="auto"/>
              <w:jc w:val="left"/>
              <w:rPr>
                <w:rFonts w:hAnsi="宋体" w:cs="宋体"/>
                <w:highlight w:val="none"/>
              </w:rPr>
            </w:pPr>
            <w:r>
              <w:rPr>
                <w:rFonts w:hint="eastAsia" w:hAnsi="宋体" w:cs="宋体"/>
                <w:highlight w:val="none"/>
              </w:rPr>
              <w:t>符合第二章“投标人须知”第3.4.1项规定。</w:t>
            </w:r>
          </w:p>
        </w:tc>
      </w:tr>
      <w:tr w14:paraId="64B5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256C7374">
            <w:pPr>
              <w:widowControl/>
              <w:spacing w:line="360" w:lineRule="auto"/>
              <w:jc w:val="left"/>
              <w:rPr>
                <w:rFonts w:hAnsi="宋体" w:cs="宋体"/>
                <w:highlight w:val="none"/>
              </w:rPr>
            </w:pPr>
          </w:p>
        </w:tc>
        <w:tc>
          <w:tcPr>
            <w:tcW w:w="808" w:type="dxa"/>
            <w:vMerge w:val="continue"/>
            <w:vAlign w:val="center"/>
          </w:tcPr>
          <w:p w14:paraId="1609FCE4">
            <w:pPr>
              <w:widowControl/>
              <w:spacing w:line="360" w:lineRule="auto"/>
              <w:jc w:val="left"/>
              <w:rPr>
                <w:rFonts w:hAnsi="宋体" w:cs="宋体"/>
                <w:highlight w:val="none"/>
              </w:rPr>
            </w:pPr>
          </w:p>
        </w:tc>
        <w:tc>
          <w:tcPr>
            <w:tcW w:w="1389" w:type="dxa"/>
            <w:tcMar>
              <w:left w:w="75" w:type="dxa"/>
            </w:tcMar>
            <w:vAlign w:val="center"/>
          </w:tcPr>
          <w:p w14:paraId="526FB162">
            <w:pPr>
              <w:widowControl/>
              <w:adjustRightInd w:val="0"/>
              <w:snapToGrid w:val="0"/>
              <w:spacing w:line="360" w:lineRule="auto"/>
              <w:jc w:val="center"/>
              <w:rPr>
                <w:rFonts w:hAnsi="宋体" w:cs="宋体"/>
                <w:highlight w:val="none"/>
              </w:rPr>
            </w:pPr>
            <w:r>
              <w:rPr>
                <w:rFonts w:hint="eastAsia" w:hAnsi="宋体" w:cs="宋体"/>
                <w:highlight w:val="none"/>
              </w:rPr>
              <w:t>投标货物及技术服务和质保期服务</w:t>
            </w:r>
          </w:p>
        </w:tc>
        <w:tc>
          <w:tcPr>
            <w:tcW w:w="5518" w:type="dxa"/>
            <w:tcMar>
              <w:left w:w="75" w:type="dxa"/>
            </w:tcMar>
            <w:vAlign w:val="center"/>
          </w:tcPr>
          <w:p w14:paraId="5FAD696E">
            <w:pPr>
              <w:widowControl/>
              <w:spacing w:line="360" w:lineRule="auto"/>
              <w:rPr>
                <w:rFonts w:hAnsi="宋体" w:cs="宋体"/>
                <w:highlight w:val="none"/>
              </w:rPr>
            </w:pPr>
            <w:r>
              <w:rPr>
                <w:rFonts w:hint="eastAsia" w:hAnsi="宋体" w:cs="宋体"/>
                <w:highlight w:val="none"/>
              </w:rPr>
              <w:t>符合第五章“供货要求”中的实质性要求和条件。</w:t>
            </w:r>
          </w:p>
        </w:tc>
      </w:tr>
      <w:tr w14:paraId="290F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2FD778DA">
            <w:pPr>
              <w:widowControl/>
              <w:spacing w:line="360" w:lineRule="auto"/>
              <w:jc w:val="left"/>
              <w:rPr>
                <w:rFonts w:hAnsi="宋体" w:cs="宋体"/>
                <w:highlight w:val="none"/>
              </w:rPr>
            </w:pPr>
          </w:p>
        </w:tc>
        <w:tc>
          <w:tcPr>
            <w:tcW w:w="808" w:type="dxa"/>
            <w:vMerge w:val="continue"/>
            <w:vAlign w:val="center"/>
          </w:tcPr>
          <w:p w14:paraId="0F79FC86">
            <w:pPr>
              <w:widowControl/>
              <w:spacing w:line="360" w:lineRule="auto"/>
              <w:jc w:val="left"/>
              <w:rPr>
                <w:rFonts w:hAnsi="宋体" w:cs="宋体"/>
                <w:highlight w:val="none"/>
              </w:rPr>
            </w:pPr>
          </w:p>
        </w:tc>
        <w:tc>
          <w:tcPr>
            <w:tcW w:w="1389" w:type="dxa"/>
            <w:tcMar>
              <w:left w:w="75" w:type="dxa"/>
            </w:tcMar>
            <w:vAlign w:val="center"/>
          </w:tcPr>
          <w:p w14:paraId="2A7551F8">
            <w:pPr>
              <w:widowControl/>
              <w:adjustRightInd w:val="0"/>
              <w:snapToGrid w:val="0"/>
              <w:spacing w:line="360" w:lineRule="auto"/>
              <w:jc w:val="center"/>
              <w:rPr>
                <w:rFonts w:hAnsi="宋体" w:cs="宋体"/>
                <w:highlight w:val="none"/>
              </w:rPr>
            </w:pPr>
            <w:r>
              <w:rPr>
                <w:rFonts w:hint="eastAsia" w:hAnsi="宋体" w:cs="宋体"/>
                <w:highlight w:val="none"/>
              </w:rPr>
              <w:t>技术支持资料</w:t>
            </w:r>
          </w:p>
        </w:tc>
        <w:tc>
          <w:tcPr>
            <w:tcW w:w="5518" w:type="dxa"/>
            <w:tcMar>
              <w:left w:w="75" w:type="dxa"/>
            </w:tcMar>
            <w:vAlign w:val="center"/>
          </w:tcPr>
          <w:p w14:paraId="31F8E3A2">
            <w:pPr>
              <w:widowControl/>
              <w:spacing w:line="360" w:lineRule="auto"/>
              <w:rPr>
                <w:rFonts w:hAnsi="宋体" w:cs="宋体"/>
                <w:highlight w:val="none"/>
              </w:rPr>
            </w:pPr>
            <w:r>
              <w:rPr>
                <w:rFonts w:hint="eastAsia" w:hAnsi="宋体" w:cs="宋体"/>
                <w:highlight w:val="none"/>
              </w:rPr>
              <w:t>符合第二章“投标人须知”第1.12.3项规定。</w:t>
            </w:r>
          </w:p>
        </w:tc>
      </w:tr>
      <w:tr w14:paraId="62D5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4" w:type="dxa"/>
            <w:vMerge w:val="continue"/>
            <w:vAlign w:val="center"/>
          </w:tcPr>
          <w:p w14:paraId="14400B17">
            <w:pPr>
              <w:widowControl/>
              <w:spacing w:line="360" w:lineRule="auto"/>
              <w:jc w:val="left"/>
              <w:rPr>
                <w:rFonts w:hAnsi="宋体" w:cs="宋体"/>
                <w:highlight w:val="none"/>
              </w:rPr>
            </w:pPr>
          </w:p>
        </w:tc>
        <w:tc>
          <w:tcPr>
            <w:tcW w:w="808" w:type="dxa"/>
            <w:vMerge w:val="continue"/>
            <w:vAlign w:val="center"/>
          </w:tcPr>
          <w:p w14:paraId="72DB2625">
            <w:pPr>
              <w:widowControl/>
              <w:spacing w:line="360" w:lineRule="auto"/>
              <w:jc w:val="left"/>
              <w:rPr>
                <w:rFonts w:hAnsi="宋体" w:cs="宋体"/>
                <w:highlight w:val="none"/>
              </w:rPr>
            </w:pPr>
          </w:p>
        </w:tc>
        <w:tc>
          <w:tcPr>
            <w:tcW w:w="1389" w:type="dxa"/>
            <w:tcMar>
              <w:left w:w="75" w:type="dxa"/>
            </w:tcMar>
            <w:vAlign w:val="center"/>
          </w:tcPr>
          <w:p w14:paraId="6E107FBD">
            <w:pPr>
              <w:widowControl/>
              <w:spacing w:line="360" w:lineRule="auto"/>
              <w:jc w:val="center"/>
              <w:rPr>
                <w:rFonts w:hAnsi="宋体" w:cs="宋体"/>
                <w:highlight w:val="none"/>
              </w:rPr>
            </w:pPr>
            <w:r>
              <w:rPr>
                <w:rFonts w:hint="eastAsia" w:hAnsi="宋体" w:cs="宋体"/>
                <w:highlight w:val="none"/>
              </w:rPr>
              <w:t>其他实质性要求</w:t>
            </w:r>
          </w:p>
        </w:tc>
        <w:tc>
          <w:tcPr>
            <w:tcW w:w="5518" w:type="dxa"/>
            <w:tcMar>
              <w:left w:w="75" w:type="dxa"/>
            </w:tcMar>
            <w:vAlign w:val="center"/>
          </w:tcPr>
          <w:p w14:paraId="45CE2BD2">
            <w:pPr>
              <w:widowControl/>
              <w:spacing w:line="360" w:lineRule="auto"/>
              <w:jc w:val="left"/>
              <w:rPr>
                <w:rFonts w:hAnsi="宋体" w:cs="宋体"/>
                <w:highlight w:val="none"/>
              </w:rPr>
            </w:pPr>
            <w:r>
              <w:rPr>
                <w:rFonts w:hint="eastAsia" w:hAnsi="宋体" w:cs="宋体"/>
                <w:highlight w:val="none"/>
              </w:rPr>
              <w:t>符合招标文件的其他实质性要求和条件。</w:t>
            </w:r>
          </w:p>
        </w:tc>
      </w:tr>
    </w:tbl>
    <w:p w14:paraId="4336FC4A">
      <w:pPr>
        <w:widowControl/>
        <w:adjustRightInd w:val="0"/>
        <w:snapToGrid w:val="0"/>
        <w:spacing w:line="360" w:lineRule="auto"/>
        <w:ind w:firstLine="480" w:firstLineChars="200"/>
        <w:jc w:val="left"/>
        <w:rPr>
          <w:rFonts w:ascii="Times New Roman" w:cs="宋体"/>
          <w:szCs w:val="24"/>
          <w:highlight w:val="none"/>
        </w:rPr>
      </w:pPr>
      <w:r>
        <w:rPr>
          <w:rFonts w:hint="eastAsia" w:ascii="Times New Roman" w:cs="宋体"/>
          <w:szCs w:val="24"/>
          <w:highlight w:val="none"/>
        </w:rPr>
        <w:t>注：</w:t>
      </w:r>
    </w:p>
    <w:p w14:paraId="05AA1121">
      <w:pPr>
        <w:widowControl/>
        <w:adjustRightInd w:val="0"/>
        <w:snapToGrid w:val="0"/>
        <w:spacing w:line="360" w:lineRule="auto"/>
        <w:ind w:firstLine="480" w:firstLineChars="200"/>
        <w:jc w:val="left"/>
        <w:rPr>
          <w:rFonts w:ascii="Times New Roman" w:cs="宋体"/>
          <w:szCs w:val="24"/>
          <w:highlight w:val="none"/>
        </w:rPr>
      </w:pPr>
      <w:r>
        <w:rPr>
          <w:rFonts w:hint="eastAsia" w:ascii="Times New Roman" w:cs="宋体"/>
          <w:szCs w:val="24"/>
          <w:highlight w:val="none"/>
        </w:rPr>
        <w:t>1.评审因素“投标人业绩”和“项目负责人业绩”，投标人应按照第六章“投标文件格式”的要求填写相应表格，并附相应业绩证明材料。</w:t>
      </w:r>
    </w:p>
    <w:p w14:paraId="3E1F1E2D">
      <w:pPr>
        <w:widowControl/>
        <w:adjustRightInd w:val="0"/>
        <w:snapToGrid w:val="0"/>
        <w:spacing w:line="360" w:lineRule="auto"/>
        <w:ind w:firstLine="480" w:firstLineChars="200"/>
        <w:jc w:val="center"/>
        <w:rPr>
          <w:rFonts w:ascii="Times New Roman" w:eastAsia="黑体"/>
          <w:sz w:val="32"/>
          <w:szCs w:val="32"/>
          <w:highlight w:val="none"/>
        </w:rPr>
      </w:pPr>
      <w:r>
        <w:rPr>
          <w:rFonts w:hint="eastAsia" w:ascii="Times New Roman" w:cs="宋体"/>
          <w:szCs w:val="24"/>
          <w:highlight w:val="none"/>
        </w:rPr>
        <w:t>2.评标委员会应按照第六章“投标文件格式”中“投标人业绩情况表（资格审查）”“项目负责人业绩情况表（资格审查）”列明的业绩序号先后顺序依次进行评审，且仅评审“附录3  资格审查条件（业绩最低要求）”“附录5  资格审查条件（项目负责人最低要求）”规定数量的业绩，超出规定数量部分或未在表中列明的业绩均不作为资格审查投标人业绩（或项目负责人业绩）予以评审。</w:t>
      </w:r>
      <w:r>
        <w:rPr>
          <w:rFonts w:hint="eastAsia" w:ascii="Times New Roman" w:eastAsia="黑体"/>
          <w:sz w:val="32"/>
          <w:szCs w:val="32"/>
          <w:highlight w:val="none"/>
        </w:rPr>
        <w:br w:type="page"/>
      </w:r>
      <w:bookmarkStart w:id="460" w:name="_Toc24609"/>
      <w:r>
        <w:rPr>
          <w:rFonts w:hint="eastAsia" w:eastAsia="黑体" w:cs="宋体"/>
          <w:sz w:val="32"/>
          <w:szCs w:val="32"/>
          <w:highlight w:val="none"/>
        </w:rPr>
        <w:t>报价文件初步评审标准</w:t>
      </w:r>
      <w:bookmarkEnd w:id="460"/>
    </w:p>
    <w:tbl>
      <w:tblPr>
        <w:tblStyle w:val="52"/>
        <w:tblW w:w="5029" w:type="pct"/>
        <w:tblInd w:w="14"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19"/>
        <w:gridCol w:w="897"/>
        <w:gridCol w:w="2107"/>
        <w:gridCol w:w="4841"/>
      </w:tblGrid>
      <w:tr w14:paraId="6E3A13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1414" w:type="dxa"/>
            <w:gridSpan w:val="2"/>
            <w:tcBorders>
              <w:top w:val="outset" w:color="auto" w:sz="6" w:space="0"/>
              <w:left w:val="outset" w:color="auto" w:sz="6" w:space="0"/>
              <w:bottom w:val="outset" w:color="auto" w:sz="6" w:space="0"/>
              <w:right w:val="single" w:color="auto" w:sz="4" w:space="0"/>
            </w:tcBorders>
            <w:vAlign w:val="center"/>
          </w:tcPr>
          <w:p w14:paraId="1644B5CE">
            <w:pPr>
              <w:widowControl/>
              <w:spacing w:line="360" w:lineRule="auto"/>
              <w:jc w:val="center"/>
              <w:rPr>
                <w:rFonts w:hAnsi="宋体" w:cs="宋体"/>
                <w:highlight w:val="none"/>
              </w:rPr>
            </w:pPr>
            <w:r>
              <w:rPr>
                <w:rFonts w:hint="eastAsia" w:hAnsi="宋体" w:cs="宋体"/>
                <w:bCs/>
                <w:highlight w:val="none"/>
              </w:rPr>
              <w:t>条款号</w:t>
            </w:r>
          </w:p>
        </w:tc>
        <w:tc>
          <w:tcPr>
            <w:tcW w:w="2103" w:type="dxa"/>
            <w:tcBorders>
              <w:top w:val="outset" w:color="auto" w:sz="6" w:space="0"/>
              <w:left w:val="single" w:color="auto" w:sz="4" w:space="0"/>
              <w:bottom w:val="outset" w:color="auto" w:sz="6" w:space="0"/>
              <w:right w:val="single" w:color="auto" w:sz="4" w:space="0"/>
            </w:tcBorders>
            <w:vAlign w:val="center"/>
          </w:tcPr>
          <w:p w14:paraId="58D086F7">
            <w:pPr>
              <w:widowControl/>
              <w:spacing w:line="360" w:lineRule="auto"/>
              <w:ind w:firstLine="120" w:firstLineChars="50"/>
              <w:jc w:val="center"/>
              <w:rPr>
                <w:rFonts w:hAnsi="宋体" w:cs="宋体"/>
                <w:highlight w:val="none"/>
              </w:rPr>
            </w:pPr>
            <w:r>
              <w:rPr>
                <w:rFonts w:hint="eastAsia" w:hAnsi="宋体" w:cs="宋体"/>
                <w:bCs/>
                <w:highlight w:val="none"/>
              </w:rPr>
              <w:t>评审因素</w:t>
            </w:r>
          </w:p>
        </w:tc>
        <w:tc>
          <w:tcPr>
            <w:tcW w:w="4832" w:type="dxa"/>
            <w:tcBorders>
              <w:top w:val="outset" w:color="auto" w:sz="6" w:space="0"/>
              <w:left w:val="single" w:color="auto" w:sz="4" w:space="0"/>
              <w:bottom w:val="outset" w:color="auto" w:sz="6" w:space="0"/>
              <w:right w:val="outset" w:color="auto" w:sz="6" w:space="0"/>
            </w:tcBorders>
            <w:vAlign w:val="center"/>
          </w:tcPr>
          <w:p w14:paraId="3578AD2F">
            <w:pPr>
              <w:widowControl/>
              <w:spacing w:line="360" w:lineRule="auto"/>
              <w:ind w:firstLine="120" w:firstLineChars="50"/>
              <w:jc w:val="center"/>
              <w:rPr>
                <w:rFonts w:hAnsi="宋体" w:cs="宋体"/>
                <w:highlight w:val="none"/>
              </w:rPr>
            </w:pPr>
            <w:r>
              <w:rPr>
                <w:rFonts w:hint="eastAsia" w:hAnsi="宋体" w:cs="宋体"/>
                <w:bCs/>
                <w:highlight w:val="none"/>
              </w:rPr>
              <w:t>评审标准</w:t>
            </w:r>
          </w:p>
        </w:tc>
      </w:tr>
      <w:tr w14:paraId="2E954F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519" w:type="dxa"/>
            <w:vMerge w:val="restart"/>
            <w:tcBorders>
              <w:top w:val="outset" w:color="auto" w:sz="6" w:space="0"/>
              <w:left w:val="outset" w:color="auto" w:sz="6" w:space="0"/>
              <w:bottom w:val="outset" w:color="auto" w:sz="6" w:space="0"/>
              <w:right w:val="outset" w:color="auto" w:sz="6" w:space="0"/>
            </w:tcBorders>
            <w:vAlign w:val="center"/>
          </w:tcPr>
          <w:p w14:paraId="6C91CC3A">
            <w:pPr>
              <w:widowControl/>
              <w:spacing w:line="360" w:lineRule="auto"/>
              <w:jc w:val="center"/>
              <w:rPr>
                <w:rFonts w:hAnsi="宋体" w:cs="宋体"/>
                <w:highlight w:val="none"/>
              </w:rPr>
            </w:pPr>
            <w:r>
              <w:rPr>
                <w:rFonts w:hint="eastAsia" w:hAnsi="宋体" w:cs="宋体"/>
                <w:bCs/>
                <w:highlight w:val="none"/>
              </w:rPr>
              <w:t>2.1.1</w:t>
            </w:r>
          </w:p>
        </w:tc>
        <w:tc>
          <w:tcPr>
            <w:tcW w:w="895" w:type="dxa"/>
            <w:vMerge w:val="restart"/>
            <w:tcBorders>
              <w:top w:val="outset" w:color="auto" w:sz="6" w:space="0"/>
              <w:left w:val="outset" w:color="auto" w:sz="6" w:space="0"/>
              <w:bottom w:val="outset" w:color="auto" w:sz="6" w:space="0"/>
              <w:right w:val="single" w:color="auto" w:sz="4" w:space="0"/>
            </w:tcBorders>
            <w:vAlign w:val="center"/>
          </w:tcPr>
          <w:p w14:paraId="571616BF">
            <w:pPr>
              <w:widowControl/>
              <w:spacing w:line="360" w:lineRule="auto"/>
              <w:jc w:val="center"/>
              <w:rPr>
                <w:rFonts w:hAnsi="宋体" w:cs="宋体"/>
                <w:highlight w:val="none"/>
              </w:rPr>
            </w:pPr>
            <w:r>
              <w:rPr>
                <w:rFonts w:hint="eastAsia" w:hAnsi="宋体" w:cs="宋体"/>
                <w:bCs/>
                <w:highlight w:val="none"/>
              </w:rPr>
              <w:t>形式评审标准</w:t>
            </w:r>
          </w:p>
        </w:tc>
        <w:tc>
          <w:tcPr>
            <w:tcW w:w="2103" w:type="dxa"/>
            <w:tcBorders>
              <w:top w:val="outset" w:color="auto" w:sz="6" w:space="0"/>
              <w:left w:val="single" w:color="auto" w:sz="4" w:space="0"/>
              <w:bottom w:val="outset" w:color="auto" w:sz="6" w:space="0"/>
              <w:right w:val="outset" w:color="auto" w:sz="6" w:space="0"/>
            </w:tcBorders>
            <w:tcMar>
              <w:left w:w="75" w:type="dxa"/>
            </w:tcMar>
            <w:vAlign w:val="center"/>
          </w:tcPr>
          <w:p w14:paraId="2FFD85F9">
            <w:pPr>
              <w:spacing w:line="360" w:lineRule="auto"/>
              <w:jc w:val="center"/>
              <w:rPr>
                <w:rFonts w:hAnsi="宋体" w:cs="宋体"/>
                <w:highlight w:val="none"/>
              </w:rPr>
            </w:pPr>
            <w:r>
              <w:rPr>
                <w:rFonts w:hint="eastAsia" w:hAnsi="宋体" w:cs="宋体"/>
                <w:highlight w:val="none"/>
              </w:rPr>
              <w:t>投标人名称</w:t>
            </w:r>
          </w:p>
        </w:tc>
        <w:tc>
          <w:tcPr>
            <w:tcW w:w="4832" w:type="dxa"/>
            <w:tcBorders>
              <w:top w:val="outset" w:color="auto" w:sz="6" w:space="0"/>
              <w:left w:val="outset" w:color="auto" w:sz="6" w:space="0"/>
              <w:bottom w:val="outset" w:color="auto" w:sz="6" w:space="0"/>
              <w:right w:val="outset" w:color="auto" w:sz="6" w:space="0"/>
            </w:tcBorders>
            <w:tcMar>
              <w:left w:w="75" w:type="dxa"/>
            </w:tcMar>
            <w:vAlign w:val="center"/>
          </w:tcPr>
          <w:p w14:paraId="7D157BC1">
            <w:pPr>
              <w:spacing w:line="360" w:lineRule="auto"/>
              <w:rPr>
                <w:rFonts w:hAnsi="宋体" w:cs="宋体"/>
                <w:highlight w:val="none"/>
              </w:rPr>
            </w:pPr>
            <w:r>
              <w:rPr>
                <w:rFonts w:hint="eastAsia" w:hAnsi="宋体" w:cs="宋体"/>
                <w:highlight w:val="none"/>
              </w:rPr>
              <w:t>与营业执照、资质证书一致。</w:t>
            </w:r>
          </w:p>
        </w:tc>
      </w:tr>
      <w:tr w14:paraId="2F9A45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519" w:type="dxa"/>
            <w:vMerge w:val="continue"/>
            <w:tcBorders>
              <w:top w:val="outset" w:color="auto" w:sz="6" w:space="0"/>
              <w:left w:val="outset" w:color="auto" w:sz="6" w:space="0"/>
              <w:bottom w:val="outset" w:color="auto" w:sz="6" w:space="0"/>
              <w:right w:val="outset" w:color="auto" w:sz="6" w:space="0"/>
            </w:tcBorders>
            <w:vAlign w:val="center"/>
          </w:tcPr>
          <w:p w14:paraId="3FD0C55C">
            <w:pPr>
              <w:widowControl/>
              <w:spacing w:line="360" w:lineRule="auto"/>
              <w:jc w:val="left"/>
              <w:rPr>
                <w:rFonts w:hAnsi="宋体" w:cs="宋体"/>
                <w:highlight w:val="none"/>
              </w:rPr>
            </w:pPr>
          </w:p>
        </w:tc>
        <w:tc>
          <w:tcPr>
            <w:tcW w:w="895" w:type="dxa"/>
            <w:vMerge w:val="continue"/>
            <w:tcBorders>
              <w:top w:val="outset" w:color="auto" w:sz="6" w:space="0"/>
              <w:left w:val="outset" w:color="auto" w:sz="6" w:space="0"/>
              <w:bottom w:val="outset" w:color="auto" w:sz="6" w:space="0"/>
              <w:right w:val="single" w:color="auto" w:sz="4" w:space="0"/>
            </w:tcBorders>
            <w:vAlign w:val="center"/>
          </w:tcPr>
          <w:p w14:paraId="52AB18A3">
            <w:pPr>
              <w:widowControl/>
              <w:spacing w:line="360" w:lineRule="auto"/>
              <w:jc w:val="center"/>
              <w:rPr>
                <w:rFonts w:hAnsi="宋体" w:cs="宋体"/>
                <w:highlight w:val="none"/>
              </w:rPr>
            </w:pPr>
          </w:p>
        </w:tc>
        <w:tc>
          <w:tcPr>
            <w:tcW w:w="2103" w:type="dxa"/>
            <w:tcBorders>
              <w:top w:val="outset" w:color="auto" w:sz="6" w:space="0"/>
              <w:left w:val="single" w:color="auto" w:sz="4" w:space="0"/>
              <w:bottom w:val="outset" w:color="auto" w:sz="6" w:space="0"/>
              <w:right w:val="outset" w:color="auto" w:sz="6" w:space="0"/>
            </w:tcBorders>
            <w:tcMar>
              <w:left w:w="75" w:type="dxa"/>
            </w:tcMar>
            <w:vAlign w:val="center"/>
          </w:tcPr>
          <w:p w14:paraId="136F0BD8">
            <w:pPr>
              <w:widowControl/>
              <w:spacing w:line="360" w:lineRule="auto"/>
              <w:jc w:val="center"/>
              <w:rPr>
                <w:rFonts w:hAnsi="宋体" w:cs="宋体"/>
                <w:highlight w:val="none"/>
              </w:rPr>
            </w:pPr>
            <w:r>
              <w:rPr>
                <w:rFonts w:hint="eastAsia" w:hAnsi="宋体" w:cs="宋体"/>
                <w:highlight w:val="none"/>
              </w:rPr>
              <w:t>投标文件格式</w:t>
            </w:r>
          </w:p>
        </w:tc>
        <w:tc>
          <w:tcPr>
            <w:tcW w:w="4832" w:type="dxa"/>
            <w:tcBorders>
              <w:top w:val="outset" w:color="auto" w:sz="6" w:space="0"/>
              <w:left w:val="outset" w:color="auto" w:sz="6" w:space="0"/>
              <w:bottom w:val="outset" w:color="auto" w:sz="6" w:space="0"/>
              <w:right w:val="outset" w:color="auto" w:sz="6" w:space="0"/>
            </w:tcBorders>
            <w:tcMar>
              <w:left w:w="75" w:type="dxa"/>
            </w:tcMar>
            <w:vAlign w:val="center"/>
          </w:tcPr>
          <w:p w14:paraId="4F53F5B6">
            <w:pPr>
              <w:widowControl/>
              <w:spacing w:line="360" w:lineRule="auto"/>
              <w:jc w:val="left"/>
              <w:rPr>
                <w:rFonts w:hAnsi="宋体" w:cs="宋体"/>
                <w:highlight w:val="none"/>
              </w:rPr>
            </w:pPr>
            <w:r>
              <w:rPr>
                <w:rFonts w:hint="eastAsia" w:hAnsi="宋体" w:cs="宋体"/>
                <w:highlight w:val="none"/>
              </w:rPr>
              <w:t>（1）报价文件电子文件可以正常读取；</w:t>
            </w:r>
          </w:p>
          <w:p w14:paraId="54D0DF87">
            <w:pPr>
              <w:widowControl/>
              <w:spacing w:line="360" w:lineRule="auto"/>
              <w:jc w:val="left"/>
              <w:rPr>
                <w:rFonts w:hAnsi="宋体" w:cs="宋体"/>
                <w:highlight w:val="none"/>
              </w:rPr>
            </w:pPr>
            <w:r>
              <w:rPr>
                <w:rFonts w:hint="eastAsia" w:hAnsi="宋体" w:cs="宋体"/>
                <w:highlight w:val="none"/>
              </w:rPr>
              <w:t>（2）符合第六章“投标文件格式”的规定，关键字迹清晰可辨。</w:t>
            </w:r>
          </w:p>
        </w:tc>
      </w:tr>
      <w:tr w14:paraId="3B7258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519" w:type="dxa"/>
            <w:vMerge w:val="continue"/>
            <w:tcBorders>
              <w:top w:val="outset" w:color="auto" w:sz="6" w:space="0"/>
              <w:left w:val="outset" w:color="auto" w:sz="6" w:space="0"/>
              <w:bottom w:val="outset" w:color="auto" w:sz="6" w:space="0"/>
              <w:right w:val="outset" w:color="auto" w:sz="6" w:space="0"/>
            </w:tcBorders>
            <w:vAlign w:val="center"/>
          </w:tcPr>
          <w:p w14:paraId="0D0EC60D">
            <w:pPr>
              <w:widowControl/>
              <w:spacing w:line="360" w:lineRule="auto"/>
              <w:jc w:val="left"/>
              <w:rPr>
                <w:rFonts w:hAnsi="宋体" w:cs="宋体"/>
                <w:highlight w:val="none"/>
              </w:rPr>
            </w:pPr>
          </w:p>
        </w:tc>
        <w:tc>
          <w:tcPr>
            <w:tcW w:w="895" w:type="dxa"/>
            <w:vMerge w:val="continue"/>
            <w:tcBorders>
              <w:top w:val="outset" w:color="auto" w:sz="6" w:space="0"/>
              <w:left w:val="outset" w:color="auto" w:sz="6" w:space="0"/>
              <w:bottom w:val="outset" w:color="auto" w:sz="6" w:space="0"/>
              <w:right w:val="single" w:color="auto" w:sz="4" w:space="0"/>
            </w:tcBorders>
            <w:vAlign w:val="center"/>
          </w:tcPr>
          <w:p w14:paraId="1469F7CF">
            <w:pPr>
              <w:widowControl/>
              <w:spacing w:line="360" w:lineRule="auto"/>
              <w:jc w:val="center"/>
              <w:rPr>
                <w:rFonts w:hAnsi="宋体" w:cs="宋体"/>
                <w:highlight w:val="none"/>
              </w:rPr>
            </w:pPr>
          </w:p>
        </w:tc>
        <w:tc>
          <w:tcPr>
            <w:tcW w:w="2103" w:type="dxa"/>
            <w:tcBorders>
              <w:top w:val="outset" w:color="auto" w:sz="6" w:space="0"/>
              <w:left w:val="single" w:color="auto" w:sz="4" w:space="0"/>
              <w:bottom w:val="outset" w:color="auto" w:sz="6" w:space="0"/>
              <w:right w:val="outset" w:color="auto" w:sz="6" w:space="0"/>
            </w:tcBorders>
            <w:tcMar>
              <w:left w:w="75" w:type="dxa"/>
            </w:tcMar>
            <w:vAlign w:val="center"/>
          </w:tcPr>
          <w:p w14:paraId="104D0DC6">
            <w:pPr>
              <w:widowControl/>
              <w:spacing w:line="360" w:lineRule="auto"/>
              <w:jc w:val="center"/>
              <w:rPr>
                <w:rFonts w:hAnsi="宋体" w:cs="宋体"/>
                <w:highlight w:val="none"/>
              </w:rPr>
            </w:pPr>
            <w:r>
              <w:rPr>
                <w:rFonts w:hint="eastAsia" w:hAnsi="宋体" w:cs="宋体"/>
                <w:highlight w:val="none"/>
              </w:rPr>
              <w:t>备选投标方案</w:t>
            </w:r>
          </w:p>
        </w:tc>
        <w:tc>
          <w:tcPr>
            <w:tcW w:w="4832" w:type="dxa"/>
            <w:tcBorders>
              <w:top w:val="outset" w:color="auto" w:sz="6" w:space="0"/>
              <w:left w:val="outset" w:color="auto" w:sz="6" w:space="0"/>
              <w:bottom w:val="outset" w:color="auto" w:sz="6" w:space="0"/>
              <w:right w:val="outset" w:color="auto" w:sz="6" w:space="0"/>
            </w:tcBorders>
            <w:tcMar>
              <w:left w:w="75" w:type="dxa"/>
            </w:tcMar>
            <w:vAlign w:val="center"/>
          </w:tcPr>
          <w:p w14:paraId="36ECBDFD">
            <w:pPr>
              <w:widowControl/>
              <w:spacing w:line="360" w:lineRule="auto"/>
              <w:jc w:val="left"/>
              <w:rPr>
                <w:rFonts w:hAnsi="宋体" w:cs="宋体"/>
                <w:highlight w:val="none"/>
              </w:rPr>
            </w:pPr>
            <w:r>
              <w:rPr>
                <w:rFonts w:hint="eastAsia" w:hAnsi="宋体" w:cs="宋体"/>
                <w:highlight w:val="none"/>
              </w:rPr>
              <w:t>除招标文件明确允许备选投标方案外，投标人不得提交备选投标方案。</w:t>
            </w:r>
          </w:p>
        </w:tc>
      </w:tr>
      <w:tr w14:paraId="3FF3CD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519" w:type="dxa"/>
            <w:vMerge w:val="continue"/>
            <w:tcBorders>
              <w:top w:val="outset" w:color="auto" w:sz="6" w:space="0"/>
              <w:left w:val="outset" w:color="auto" w:sz="6" w:space="0"/>
              <w:bottom w:val="outset" w:color="auto" w:sz="6" w:space="0"/>
              <w:right w:val="outset" w:color="auto" w:sz="6" w:space="0"/>
            </w:tcBorders>
            <w:vAlign w:val="center"/>
          </w:tcPr>
          <w:p w14:paraId="5E044348">
            <w:pPr>
              <w:widowControl/>
              <w:spacing w:line="360" w:lineRule="auto"/>
              <w:jc w:val="left"/>
              <w:rPr>
                <w:rFonts w:hAnsi="宋体" w:cs="宋体"/>
                <w:highlight w:val="none"/>
              </w:rPr>
            </w:pPr>
          </w:p>
        </w:tc>
        <w:tc>
          <w:tcPr>
            <w:tcW w:w="895" w:type="dxa"/>
            <w:vMerge w:val="continue"/>
            <w:tcBorders>
              <w:top w:val="outset" w:color="auto" w:sz="6" w:space="0"/>
              <w:left w:val="outset" w:color="auto" w:sz="6" w:space="0"/>
              <w:bottom w:val="outset" w:color="auto" w:sz="6" w:space="0"/>
              <w:right w:val="single" w:color="auto" w:sz="4" w:space="0"/>
            </w:tcBorders>
            <w:vAlign w:val="center"/>
          </w:tcPr>
          <w:p w14:paraId="6D96151D">
            <w:pPr>
              <w:widowControl/>
              <w:spacing w:line="360" w:lineRule="auto"/>
              <w:jc w:val="center"/>
              <w:rPr>
                <w:rFonts w:hAnsi="宋体" w:cs="宋体"/>
                <w:highlight w:val="none"/>
              </w:rPr>
            </w:pPr>
          </w:p>
        </w:tc>
        <w:tc>
          <w:tcPr>
            <w:tcW w:w="2103" w:type="dxa"/>
            <w:tcBorders>
              <w:top w:val="outset" w:color="auto" w:sz="6" w:space="0"/>
              <w:left w:val="single" w:color="auto" w:sz="4" w:space="0"/>
              <w:bottom w:val="outset" w:color="auto" w:sz="6" w:space="0"/>
              <w:right w:val="outset" w:color="auto" w:sz="6" w:space="0"/>
            </w:tcBorders>
            <w:tcMar>
              <w:left w:w="75" w:type="dxa"/>
            </w:tcMar>
            <w:vAlign w:val="center"/>
          </w:tcPr>
          <w:p w14:paraId="296A5182">
            <w:pPr>
              <w:widowControl/>
              <w:spacing w:line="360" w:lineRule="auto"/>
              <w:jc w:val="center"/>
              <w:rPr>
                <w:rFonts w:hAnsi="宋体" w:cs="宋体"/>
                <w:highlight w:val="none"/>
              </w:rPr>
            </w:pPr>
            <w:r>
              <w:rPr>
                <w:rFonts w:hint="eastAsia" w:hAnsi="宋体" w:cs="宋体"/>
                <w:highlight w:val="none"/>
              </w:rPr>
              <w:t>签字盖章</w:t>
            </w:r>
          </w:p>
        </w:tc>
        <w:tc>
          <w:tcPr>
            <w:tcW w:w="4832" w:type="dxa"/>
            <w:tcBorders>
              <w:top w:val="outset" w:color="auto" w:sz="6" w:space="0"/>
              <w:left w:val="outset" w:color="auto" w:sz="6" w:space="0"/>
              <w:bottom w:val="outset" w:color="auto" w:sz="6" w:space="0"/>
              <w:right w:val="outset" w:color="auto" w:sz="6" w:space="0"/>
            </w:tcBorders>
            <w:tcMar>
              <w:left w:w="75" w:type="dxa"/>
            </w:tcMar>
            <w:vAlign w:val="center"/>
          </w:tcPr>
          <w:p w14:paraId="47874585">
            <w:pPr>
              <w:widowControl/>
              <w:spacing w:line="360" w:lineRule="auto"/>
              <w:jc w:val="left"/>
              <w:rPr>
                <w:rFonts w:hAnsi="宋体" w:cs="宋体"/>
                <w:highlight w:val="none"/>
              </w:rPr>
            </w:pPr>
            <w:r>
              <w:rPr>
                <w:rFonts w:hint="eastAsia" w:ascii="Times New Roman" w:cs="宋体"/>
                <w:szCs w:val="24"/>
                <w:highlight w:val="none"/>
              </w:rPr>
              <w:t>符合第二章“投标人须知”第3.7.3项规定。</w:t>
            </w:r>
          </w:p>
        </w:tc>
      </w:tr>
      <w:tr w14:paraId="1A9CC4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519" w:type="dxa"/>
            <w:vMerge w:val="continue"/>
            <w:tcBorders>
              <w:top w:val="outset" w:color="auto" w:sz="6" w:space="0"/>
              <w:left w:val="outset" w:color="auto" w:sz="6" w:space="0"/>
              <w:bottom w:val="outset" w:color="auto" w:sz="6" w:space="0"/>
              <w:right w:val="outset" w:color="auto" w:sz="6" w:space="0"/>
            </w:tcBorders>
            <w:vAlign w:val="center"/>
          </w:tcPr>
          <w:p w14:paraId="27D10214">
            <w:pPr>
              <w:widowControl/>
              <w:spacing w:line="360" w:lineRule="auto"/>
              <w:jc w:val="left"/>
              <w:rPr>
                <w:rFonts w:hAnsi="宋体" w:cs="宋体"/>
                <w:highlight w:val="none"/>
              </w:rPr>
            </w:pPr>
          </w:p>
        </w:tc>
        <w:tc>
          <w:tcPr>
            <w:tcW w:w="895" w:type="dxa"/>
            <w:vMerge w:val="continue"/>
            <w:tcBorders>
              <w:top w:val="outset" w:color="auto" w:sz="6" w:space="0"/>
              <w:left w:val="outset" w:color="auto" w:sz="6" w:space="0"/>
              <w:bottom w:val="outset" w:color="auto" w:sz="6" w:space="0"/>
              <w:right w:val="single" w:color="auto" w:sz="4" w:space="0"/>
            </w:tcBorders>
            <w:vAlign w:val="center"/>
          </w:tcPr>
          <w:p w14:paraId="53DF9A79">
            <w:pPr>
              <w:widowControl/>
              <w:spacing w:line="360" w:lineRule="auto"/>
              <w:jc w:val="center"/>
              <w:rPr>
                <w:rFonts w:hAnsi="宋体" w:cs="宋体"/>
                <w:highlight w:val="none"/>
              </w:rPr>
            </w:pPr>
          </w:p>
        </w:tc>
        <w:tc>
          <w:tcPr>
            <w:tcW w:w="2103" w:type="dxa"/>
            <w:tcBorders>
              <w:top w:val="outset" w:color="auto" w:sz="6" w:space="0"/>
              <w:left w:val="single" w:color="auto" w:sz="4" w:space="0"/>
              <w:bottom w:val="outset" w:color="auto" w:sz="6" w:space="0"/>
              <w:right w:val="outset" w:color="auto" w:sz="6" w:space="0"/>
            </w:tcBorders>
            <w:tcMar>
              <w:left w:w="75" w:type="dxa"/>
            </w:tcMar>
            <w:vAlign w:val="center"/>
          </w:tcPr>
          <w:p w14:paraId="0E69D361">
            <w:pPr>
              <w:widowControl/>
              <w:spacing w:line="360" w:lineRule="auto"/>
              <w:jc w:val="center"/>
              <w:rPr>
                <w:rFonts w:hAnsi="宋体" w:cs="宋体"/>
                <w:highlight w:val="none"/>
              </w:rPr>
            </w:pPr>
            <w:r>
              <w:rPr>
                <w:rFonts w:hint="eastAsia" w:hAnsi="宋体" w:cs="宋体"/>
                <w:highlight w:val="none"/>
              </w:rPr>
              <w:t>未出现异常情形</w:t>
            </w:r>
          </w:p>
        </w:tc>
        <w:tc>
          <w:tcPr>
            <w:tcW w:w="4832" w:type="dxa"/>
            <w:tcBorders>
              <w:top w:val="outset" w:color="auto" w:sz="6" w:space="0"/>
              <w:left w:val="outset" w:color="auto" w:sz="6" w:space="0"/>
              <w:bottom w:val="outset" w:color="auto" w:sz="6" w:space="0"/>
              <w:right w:val="outset" w:color="auto" w:sz="6" w:space="0"/>
            </w:tcBorders>
            <w:tcMar>
              <w:left w:w="75" w:type="dxa"/>
            </w:tcMar>
            <w:vAlign w:val="center"/>
          </w:tcPr>
          <w:p w14:paraId="2F03019B">
            <w:pPr>
              <w:widowControl/>
              <w:spacing w:line="360" w:lineRule="auto"/>
              <w:jc w:val="left"/>
              <w:rPr>
                <w:rFonts w:hAnsi="宋体" w:cs="宋体"/>
                <w:highlight w:val="none"/>
              </w:rPr>
            </w:pPr>
            <w:r>
              <w:rPr>
                <w:rFonts w:hint="eastAsia" w:ascii="Times New Roman" w:cs="宋体"/>
                <w:szCs w:val="24"/>
                <w:highlight w:val="none"/>
              </w:rPr>
              <w:t>不同投标人未出现使用相同的投标文件制作机器码进行投标的情形。</w:t>
            </w:r>
          </w:p>
        </w:tc>
      </w:tr>
      <w:tr w14:paraId="6E1EE1D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519" w:type="dxa"/>
            <w:vMerge w:val="restart"/>
            <w:tcBorders>
              <w:top w:val="single" w:color="auto" w:sz="4" w:space="0"/>
              <w:left w:val="outset" w:color="auto" w:sz="6" w:space="0"/>
              <w:bottom w:val="outset" w:color="auto" w:sz="6" w:space="0"/>
              <w:right w:val="outset" w:color="auto" w:sz="6" w:space="0"/>
            </w:tcBorders>
            <w:vAlign w:val="center"/>
          </w:tcPr>
          <w:p w14:paraId="7143FF8B">
            <w:pPr>
              <w:spacing w:line="360" w:lineRule="auto"/>
              <w:jc w:val="center"/>
              <w:rPr>
                <w:rFonts w:hAnsi="宋体" w:cs="宋体"/>
                <w:highlight w:val="none"/>
              </w:rPr>
            </w:pPr>
            <w:r>
              <w:rPr>
                <w:rFonts w:hint="eastAsia" w:hAnsi="宋体" w:cs="宋体"/>
                <w:bCs/>
                <w:highlight w:val="none"/>
              </w:rPr>
              <w:t>2.1.3</w:t>
            </w:r>
          </w:p>
        </w:tc>
        <w:tc>
          <w:tcPr>
            <w:tcW w:w="895" w:type="dxa"/>
            <w:vMerge w:val="restart"/>
            <w:tcBorders>
              <w:top w:val="single" w:color="auto" w:sz="4" w:space="0"/>
              <w:left w:val="outset" w:color="auto" w:sz="6" w:space="0"/>
              <w:bottom w:val="outset" w:color="auto" w:sz="6" w:space="0"/>
              <w:right w:val="single" w:color="auto" w:sz="4" w:space="0"/>
            </w:tcBorders>
            <w:vAlign w:val="center"/>
          </w:tcPr>
          <w:p w14:paraId="6BACD5AF">
            <w:pPr>
              <w:spacing w:line="360" w:lineRule="auto"/>
              <w:jc w:val="center"/>
              <w:rPr>
                <w:rFonts w:hAnsi="宋体" w:cs="宋体"/>
                <w:highlight w:val="none"/>
              </w:rPr>
            </w:pPr>
            <w:r>
              <w:rPr>
                <w:rFonts w:hint="eastAsia" w:hAnsi="宋体" w:cs="宋体"/>
                <w:bCs/>
                <w:highlight w:val="none"/>
              </w:rPr>
              <w:t>响应性评审标准</w:t>
            </w:r>
          </w:p>
        </w:tc>
        <w:tc>
          <w:tcPr>
            <w:tcW w:w="2103" w:type="dxa"/>
            <w:tcBorders>
              <w:top w:val="single" w:color="auto" w:sz="4" w:space="0"/>
              <w:left w:val="single" w:color="auto" w:sz="4" w:space="0"/>
              <w:bottom w:val="outset" w:color="auto" w:sz="6" w:space="0"/>
              <w:right w:val="outset" w:color="auto" w:sz="6" w:space="0"/>
            </w:tcBorders>
            <w:tcMar>
              <w:left w:w="75" w:type="dxa"/>
            </w:tcMar>
            <w:vAlign w:val="center"/>
          </w:tcPr>
          <w:p w14:paraId="2D2D848B">
            <w:pPr>
              <w:widowControl/>
              <w:spacing w:line="360" w:lineRule="auto"/>
              <w:jc w:val="center"/>
              <w:rPr>
                <w:rFonts w:hAnsi="宋体" w:cs="宋体"/>
                <w:highlight w:val="none"/>
              </w:rPr>
            </w:pPr>
            <w:r>
              <w:rPr>
                <w:rFonts w:hint="eastAsia" w:hAnsi="宋体" w:cs="宋体"/>
                <w:highlight w:val="none"/>
              </w:rPr>
              <w:t>投标内容</w:t>
            </w:r>
          </w:p>
        </w:tc>
        <w:tc>
          <w:tcPr>
            <w:tcW w:w="4832" w:type="dxa"/>
            <w:tcBorders>
              <w:top w:val="outset" w:color="auto" w:sz="6" w:space="0"/>
              <w:left w:val="outset" w:color="auto" w:sz="6" w:space="0"/>
              <w:bottom w:val="outset" w:color="auto" w:sz="6" w:space="0"/>
              <w:right w:val="outset" w:color="auto" w:sz="6" w:space="0"/>
            </w:tcBorders>
            <w:tcMar>
              <w:left w:w="75" w:type="dxa"/>
            </w:tcMar>
            <w:vAlign w:val="center"/>
          </w:tcPr>
          <w:p w14:paraId="25525786">
            <w:pPr>
              <w:widowControl/>
              <w:spacing w:line="360" w:lineRule="auto"/>
              <w:jc w:val="left"/>
              <w:rPr>
                <w:rFonts w:hAnsi="宋体" w:cs="宋体"/>
                <w:highlight w:val="none"/>
              </w:rPr>
            </w:pPr>
            <w:r>
              <w:rPr>
                <w:rFonts w:hint="eastAsia" w:hAnsi="宋体" w:cs="宋体"/>
                <w:highlight w:val="none"/>
              </w:rPr>
              <w:t>符合第二章“投标人须知”第1.3.1项规定。</w:t>
            </w:r>
          </w:p>
        </w:tc>
      </w:tr>
      <w:tr w14:paraId="187713A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519" w:type="dxa"/>
            <w:vMerge w:val="continue"/>
            <w:tcBorders>
              <w:top w:val="single" w:color="auto" w:sz="4" w:space="0"/>
              <w:left w:val="outset" w:color="auto" w:sz="6" w:space="0"/>
              <w:bottom w:val="outset" w:color="auto" w:sz="6" w:space="0"/>
              <w:right w:val="outset" w:color="auto" w:sz="6" w:space="0"/>
            </w:tcBorders>
            <w:vAlign w:val="center"/>
          </w:tcPr>
          <w:p w14:paraId="68F761F1">
            <w:pPr>
              <w:spacing w:line="360" w:lineRule="auto"/>
              <w:jc w:val="center"/>
              <w:rPr>
                <w:rFonts w:hAnsi="宋体" w:cs="宋体"/>
                <w:bCs/>
                <w:highlight w:val="none"/>
              </w:rPr>
            </w:pPr>
          </w:p>
        </w:tc>
        <w:tc>
          <w:tcPr>
            <w:tcW w:w="895" w:type="dxa"/>
            <w:vMerge w:val="continue"/>
            <w:tcBorders>
              <w:top w:val="single" w:color="auto" w:sz="4" w:space="0"/>
              <w:left w:val="outset" w:color="auto" w:sz="6" w:space="0"/>
              <w:bottom w:val="outset" w:color="auto" w:sz="6" w:space="0"/>
              <w:right w:val="single" w:color="auto" w:sz="4" w:space="0"/>
            </w:tcBorders>
            <w:vAlign w:val="center"/>
          </w:tcPr>
          <w:p w14:paraId="3DE71C8D">
            <w:pPr>
              <w:spacing w:line="360" w:lineRule="auto"/>
              <w:jc w:val="center"/>
              <w:rPr>
                <w:rFonts w:hAnsi="宋体" w:cs="宋体"/>
                <w:bCs/>
                <w:highlight w:val="none"/>
              </w:rPr>
            </w:pPr>
          </w:p>
        </w:tc>
        <w:tc>
          <w:tcPr>
            <w:tcW w:w="2103" w:type="dxa"/>
            <w:tcBorders>
              <w:top w:val="single" w:color="auto" w:sz="4" w:space="0"/>
              <w:left w:val="single" w:color="auto" w:sz="4" w:space="0"/>
              <w:bottom w:val="outset" w:color="auto" w:sz="6" w:space="0"/>
              <w:right w:val="outset" w:color="auto" w:sz="6" w:space="0"/>
            </w:tcBorders>
            <w:tcMar>
              <w:left w:w="75" w:type="dxa"/>
            </w:tcMar>
            <w:vAlign w:val="center"/>
          </w:tcPr>
          <w:p w14:paraId="6C4215F4">
            <w:pPr>
              <w:spacing w:line="360" w:lineRule="auto"/>
              <w:jc w:val="center"/>
              <w:rPr>
                <w:rFonts w:hAnsi="宋体" w:cs="宋体"/>
                <w:highlight w:val="none"/>
              </w:rPr>
            </w:pPr>
            <w:r>
              <w:rPr>
                <w:rFonts w:hint="eastAsia" w:hAnsi="宋体" w:cs="宋体"/>
                <w:highlight w:val="none"/>
              </w:rPr>
              <w:t>投标报价</w:t>
            </w:r>
          </w:p>
        </w:tc>
        <w:tc>
          <w:tcPr>
            <w:tcW w:w="4832" w:type="dxa"/>
            <w:tcBorders>
              <w:top w:val="outset" w:color="auto" w:sz="6" w:space="0"/>
              <w:left w:val="outset" w:color="auto" w:sz="6" w:space="0"/>
              <w:bottom w:val="outset" w:color="auto" w:sz="6" w:space="0"/>
              <w:right w:val="outset" w:color="auto" w:sz="6" w:space="0"/>
            </w:tcBorders>
            <w:tcMar>
              <w:left w:w="75" w:type="dxa"/>
            </w:tcMar>
            <w:vAlign w:val="center"/>
          </w:tcPr>
          <w:p w14:paraId="7BDFD9EF">
            <w:pPr>
              <w:widowControl/>
              <w:spacing w:line="360" w:lineRule="auto"/>
              <w:jc w:val="left"/>
              <w:rPr>
                <w:rFonts w:hAnsi="宋体" w:cs="宋体"/>
                <w:highlight w:val="none"/>
              </w:rPr>
            </w:pPr>
            <w:r>
              <w:rPr>
                <w:rFonts w:hint="eastAsia" w:hAnsi="宋体" w:cs="宋体"/>
                <w:highlight w:val="none"/>
              </w:rPr>
              <w:t>符合第二章“投标人须知”第3.2款规定。</w:t>
            </w:r>
          </w:p>
        </w:tc>
      </w:tr>
      <w:tr w14:paraId="57B8887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7" w:hRule="atLeast"/>
        </w:trPr>
        <w:tc>
          <w:tcPr>
            <w:tcW w:w="519" w:type="dxa"/>
            <w:vMerge w:val="continue"/>
            <w:tcBorders>
              <w:top w:val="outset" w:color="auto" w:sz="6" w:space="0"/>
              <w:left w:val="outset" w:color="auto" w:sz="6" w:space="0"/>
              <w:bottom w:val="outset" w:color="auto" w:sz="6" w:space="0"/>
              <w:right w:val="outset" w:color="auto" w:sz="6" w:space="0"/>
            </w:tcBorders>
            <w:vAlign w:val="center"/>
          </w:tcPr>
          <w:p w14:paraId="3774672B">
            <w:pPr>
              <w:widowControl/>
              <w:spacing w:line="360" w:lineRule="auto"/>
              <w:jc w:val="left"/>
              <w:rPr>
                <w:rFonts w:hAnsi="宋体" w:cs="宋体"/>
                <w:highlight w:val="none"/>
              </w:rPr>
            </w:pPr>
          </w:p>
        </w:tc>
        <w:tc>
          <w:tcPr>
            <w:tcW w:w="895" w:type="dxa"/>
            <w:vMerge w:val="continue"/>
            <w:tcBorders>
              <w:top w:val="outset" w:color="auto" w:sz="6" w:space="0"/>
              <w:left w:val="outset" w:color="auto" w:sz="6" w:space="0"/>
              <w:bottom w:val="outset" w:color="auto" w:sz="6" w:space="0"/>
              <w:right w:val="single" w:color="auto" w:sz="4" w:space="0"/>
            </w:tcBorders>
            <w:vAlign w:val="center"/>
          </w:tcPr>
          <w:p w14:paraId="06236F77">
            <w:pPr>
              <w:widowControl/>
              <w:spacing w:line="360" w:lineRule="auto"/>
              <w:jc w:val="left"/>
              <w:rPr>
                <w:rFonts w:hAnsi="宋体" w:cs="宋体"/>
                <w:highlight w:val="none"/>
              </w:rPr>
            </w:pPr>
          </w:p>
        </w:tc>
        <w:tc>
          <w:tcPr>
            <w:tcW w:w="2103" w:type="dxa"/>
            <w:tcBorders>
              <w:top w:val="outset" w:color="auto" w:sz="6" w:space="0"/>
              <w:left w:val="single" w:color="auto" w:sz="4" w:space="0"/>
              <w:bottom w:val="outset" w:color="auto" w:sz="6" w:space="0"/>
              <w:right w:val="outset" w:color="auto" w:sz="6" w:space="0"/>
            </w:tcBorders>
            <w:tcMar>
              <w:left w:w="75" w:type="dxa"/>
            </w:tcMar>
            <w:vAlign w:val="center"/>
          </w:tcPr>
          <w:p w14:paraId="03BB4B79">
            <w:pPr>
              <w:widowControl/>
              <w:spacing w:line="360" w:lineRule="auto"/>
              <w:ind w:left="-65" w:leftChars="-27"/>
              <w:jc w:val="center"/>
              <w:rPr>
                <w:rFonts w:hAnsi="宋体" w:cs="宋体"/>
                <w:highlight w:val="none"/>
              </w:rPr>
            </w:pPr>
            <w:r>
              <w:rPr>
                <w:rFonts w:hint="eastAsia" w:hAnsi="宋体" w:cs="宋体"/>
                <w:highlight w:val="none"/>
              </w:rPr>
              <w:t>其他情形</w:t>
            </w:r>
          </w:p>
        </w:tc>
        <w:tc>
          <w:tcPr>
            <w:tcW w:w="4832" w:type="dxa"/>
            <w:tcBorders>
              <w:top w:val="outset" w:color="auto" w:sz="6" w:space="0"/>
              <w:left w:val="outset" w:color="auto" w:sz="6" w:space="0"/>
              <w:bottom w:val="outset" w:color="auto" w:sz="6" w:space="0"/>
              <w:right w:val="outset" w:color="auto" w:sz="6" w:space="0"/>
            </w:tcBorders>
            <w:tcMar>
              <w:left w:w="75" w:type="dxa"/>
            </w:tcMar>
            <w:vAlign w:val="center"/>
          </w:tcPr>
          <w:p w14:paraId="5343E432">
            <w:pPr>
              <w:widowControl/>
              <w:spacing w:line="360" w:lineRule="auto"/>
              <w:jc w:val="left"/>
              <w:rPr>
                <w:rFonts w:hAnsi="宋体" w:cs="宋体"/>
                <w:szCs w:val="24"/>
                <w:highlight w:val="none"/>
              </w:rPr>
            </w:pPr>
            <w:r>
              <w:rPr>
                <w:rFonts w:hint="eastAsia" w:hAnsi="宋体" w:cs="宋体"/>
                <w:szCs w:val="24"/>
                <w:highlight w:val="none"/>
              </w:rPr>
              <w:t>（1）投标文件中不得存在招标人不能接受的其他实质性条件；</w:t>
            </w:r>
          </w:p>
          <w:p w14:paraId="7DE755DC">
            <w:pPr>
              <w:widowControl/>
              <w:spacing w:line="360" w:lineRule="auto"/>
              <w:jc w:val="left"/>
              <w:rPr>
                <w:rFonts w:hAnsi="宋体" w:cs="宋体"/>
                <w:highlight w:val="none"/>
              </w:rPr>
            </w:pPr>
            <w:r>
              <w:rPr>
                <w:rFonts w:hint="eastAsia" w:hAnsi="宋体" w:cs="宋体"/>
                <w:szCs w:val="24"/>
                <w:highlight w:val="none"/>
              </w:rPr>
              <w:t>（2）法律、法规规定的其他情形。</w:t>
            </w:r>
          </w:p>
        </w:tc>
      </w:tr>
    </w:tbl>
    <w:p w14:paraId="1203CF0C">
      <w:pPr>
        <w:spacing w:beforeLines="100" w:afterLines="100"/>
        <w:jc w:val="center"/>
        <w:outlineLvl w:val="1"/>
        <w:rPr>
          <w:rFonts w:ascii="Times New Roman" w:eastAsia="黑体"/>
          <w:sz w:val="32"/>
          <w:szCs w:val="32"/>
          <w:highlight w:val="none"/>
        </w:rPr>
      </w:pPr>
      <w:r>
        <w:rPr>
          <w:rFonts w:hint="eastAsia" w:ascii="Times New Roman" w:eastAsia="黑体"/>
          <w:sz w:val="32"/>
          <w:szCs w:val="32"/>
          <w:highlight w:val="none"/>
        </w:rPr>
        <w:br w:type="page"/>
      </w:r>
      <w:bookmarkStart w:id="461" w:name="_Toc32506"/>
      <w:bookmarkStart w:id="462" w:name="_Toc10080"/>
      <w:bookmarkStart w:id="463" w:name="_Toc17013"/>
      <w:bookmarkStart w:id="464" w:name="_Toc140069421"/>
      <w:r>
        <w:rPr>
          <w:rFonts w:hint="eastAsia" w:eastAsia="黑体" w:cs="宋体"/>
          <w:sz w:val="32"/>
          <w:szCs w:val="32"/>
          <w:highlight w:val="none"/>
        </w:rPr>
        <w:t>商务、技术及报价文件详细评审标准</w:t>
      </w:r>
      <w:bookmarkEnd w:id="461"/>
      <w:bookmarkEnd w:id="462"/>
      <w:bookmarkEnd w:id="463"/>
      <w:bookmarkEnd w:id="464"/>
    </w:p>
    <w:tbl>
      <w:tblPr>
        <w:tblStyle w:val="52"/>
        <w:tblW w:w="5090"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974"/>
        <w:gridCol w:w="1280"/>
        <w:gridCol w:w="785"/>
        <w:gridCol w:w="4642"/>
      </w:tblGrid>
      <w:tr w14:paraId="3186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51" w:type="dxa"/>
            <w:gridSpan w:val="2"/>
            <w:noWrap w:val="0"/>
            <w:vAlign w:val="center"/>
          </w:tcPr>
          <w:p w14:paraId="457A97AA">
            <w:pPr>
              <w:snapToGrid w:val="0"/>
              <w:spacing w:line="360" w:lineRule="auto"/>
              <w:jc w:val="center"/>
              <w:rPr>
                <w:rFonts w:hint="eastAsia" w:hAnsi="宋体" w:cs="宋体"/>
                <w:b/>
                <w:bCs/>
                <w:highlight w:val="none"/>
              </w:rPr>
            </w:pPr>
            <w:r>
              <w:rPr>
                <w:rFonts w:hint="eastAsia" w:hAnsi="宋体" w:cs="宋体"/>
                <w:b/>
                <w:bCs/>
                <w:highlight w:val="none"/>
              </w:rPr>
              <w:t xml:space="preserve"> 条款号</w:t>
            </w:r>
          </w:p>
        </w:tc>
        <w:tc>
          <w:tcPr>
            <w:tcW w:w="1278" w:type="dxa"/>
            <w:noWrap w:val="0"/>
            <w:tcMar>
              <w:left w:w="75" w:type="dxa"/>
            </w:tcMar>
            <w:vAlign w:val="center"/>
          </w:tcPr>
          <w:p w14:paraId="6D49F4F3">
            <w:pPr>
              <w:snapToGrid w:val="0"/>
              <w:spacing w:line="360" w:lineRule="auto"/>
              <w:jc w:val="center"/>
              <w:rPr>
                <w:rFonts w:hint="eastAsia" w:hAnsi="宋体" w:cs="宋体"/>
                <w:b/>
                <w:bCs/>
                <w:highlight w:val="none"/>
              </w:rPr>
            </w:pPr>
            <w:r>
              <w:rPr>
                <w:rFonts w:hint="eastAsia" w:hAnsi="宋体" w:cs="宋体"/>
                <w:b/>
                <w:bCs/>
                <w:highlight w:val="none"/>
              </w:rPr>
              <w:t>评审因素</w:t>
            </w:r>
          </w:p>
        </w:tc>
        <w:tc>
          <w:tcPr>
            <w:tcW w:w="784" w:type="dxa"/>
            <w:noWrap w:val="0"/>
            <w:vAlign w:val="center"/>
          </w:tcPr>
          <w:p w14:paraId="5A7C3060">
            <w:pPr>
              <w:snapToGrid w:val="0"/>
              <w:spacing w:line="360" w:lineRule="auto"/>
              <w:jc w:val="center"/>
              <w:rPr>
                <w:rFonts w:hint="eastAsia" w:hAnsi="宋体" w:cs="宋体"/>
                <w:b/>
                <w:bCs/>
                <w:highlight w:val="none"/>
              </w:rPr>
            </w:pPr>
            <w:r>
              <w:rPr>
                <w:rFonts w:hint="eastAsia" w:hAnsi="宋体" w:cs="宋体"/>
                <w:b/>
                <w:bCs/>
                <w:highlight w:val="none"/>
              </w:rPr>
              <w:t>分值</w:t>
            </w:r>
          </w:p>
        </w:tc>
        <w:tc>
          <w:tcPr>
            <w:tcW w:w="4637" w:type="dxa"/>
            <w:noWrap w:val="0"/>
            <w:vAlign w:val="center"/>
          </w:tcPr>
          <w:p w14:paraId="56D15DE9">
            <w:pPr>
              <w:snapToGrid w:val="0"/>
              <w:spacing w:line="360" w:lineRule="auto"/>
              <w:jc w:val="center"/>
              <w:rPr>
                <w:rFonts w:hint="eastAsia" w:hAnsi="宋体" w:cs="宋体"/>
                <w:b/>
                <w:bCs/>
                <w:highlight w:val="none"/>
              </w:rPr>
            </w:pPr>
            <w:r>
              <w:rPr>
                <w:rFonts w:hint="eastAsia" w:hAnsi="宋体" w:cs="宋体"/>
                <w:b/>
                <w:bCs/>
                <w:highlight w:val="none"/>
              </w:rPr>
              <w:t>评审标准</w:t>
            </w:r>
          </w:p>
        </w:tc>
      </w:tr>
      <w:tr w14:paraId="1E27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3" w:hRule="atLeast"/>
        </w:trPr>
        <w:tc>
          <w:tcPr>
            <w:tcW w:w="778" w:type="dxa"/>
            <w:vMerge w:val="restart"/>
            <w:noWrap w:val="0"/>
            <w:vAlign w:val="center"/>
          </w:tcPr>
          <w:p w14:paraId="30F76E4A">
            <w:pPr>
              <w:spacing w:line="360" w:lineRule="auto"/>
              <w:jc w:val="center"/>
              <w:rPr>
                <w:rFonts w:hint="eastAsia" w:hAnsi="宋体" w:cs="宋体"/>
                <w:sz w:val="21"/>
                <w:szCs w:val="21"/>
                <w:highlight w:val="none"/>
              </w:rPr>
            </w:pPr>
          </w:p>
        </w:tc>
        <w:tc>
          <w:tcPr>
            <w:tcW w:w="973" w:type="dxa"/>
            <w:vMerge w:val="restart"/>
            <w:noWrap w:val="0"/>
            <w:vAlign w:val="center"/>
          </w:tcPr>
          <w:p w14:paraId="1B9EFF65">
            <w:pPr>
              <w:spacing w:line="360" w:lineRule="auto"/>
              <w:jc w:val="center"/>
              <w:rPr>
                <w:rFonts w:hint="eastAsia" w:hAnsi="宋体" w:cs="宋体"/>
                <w:sz w:val="21"/>
                <w:szCs w:val="21"/>
                <w:highlight w:val="none"/>
              </w:rPr>
            </w:pPr>
          </w:p>
        </w:tc>
        <w:tc>
          <w:tcPr>
            <w:tcW w:w="1278" w:type="dxa"/>
            <w:noWrap w:val="0"/>
            <w:tcMar>
              <w:left w:w="75" w:type="dxa"/>
            </w:tcMar>
            <w:vAlign w:val="center"/>
          </w:tcPr>
          <w:p w14:paraId="69D6DAC2">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系统建设方案</w:t>
            </w:r>
          </w:p>
        </w:tc>
        <w:tc>
          <w:tcPr>
            <w:tcW w:w="784" w:type="dxa"/>
            <w:noWrap w:val="0"/>
            <w:vAlign w:val="center"/>
          </w:tcPr>
          <w:p w14:paraId="195389AA">
            <w:pPr>
              <w:spacing w:line="360" w:lineRule="auto"/>
              <w:jc w:val="center"/>
              <w:rPr>
                <w:rFonts w:hint="default" w:ascii="宋体" w:hAnsi="宋体" w:eastAsia="宋体" w:cs="宋体"/>
                <w:sz w:val="21"/>
                <w:szCs w:val="21"/>
                <w:highlight w:val="none"/>
                <w:lang w:val="en-US" w:eastAsia="zh-CN"/>
              </w:rPr>
            </w:pPr>
            <w:r>
              <w:rPr>
                <w:rFonts w:hint="eastAsia" w:hAnsi="宋体" w:cs="宋体"/>
                <w:sz w:val="21"/>
                <w:szCs w:val="21"/>
                <w:highlight w:val="none"/>
                <w:lang w:val="en-US" w:eastAsia="zh-CN"/>
              </w:rPr>
              <w:t>10</w:t>
            </w:r>
            <w:r>
              <w:rPr>
                <w:rFonts w:hint="eastAsia" w:ascii="宋体" w:hAnsi="宋体" w:eastAsia="宋体" w:cs="宋体"/>
                <w:sz w:val="21"/>
                <w:szCs w:val="21"/>
                <w:highlight w:val="none"/>
              </w:rPr>
              <w:t>分</w:t>
            </w:r>
          </w:p>
        </w:tc>
        <w:tc>
          <w:tcPr>
            <w:tcW w:w="4637" w:type="dxa"/>
            <w:noWrap w:val="0"/>
            <w:vAlign w:val="center"/>
          </w:tcPr>
          <w:p w14:paraId="6255BFAE">
            <w:pPr>
              <w:widowControl/>
              <w:jc w:val="left"/>
              <w:rPr>
                <w:rFonts w:hint="default" w:ascii="宋体" w:hAnsi="宋体" w:eastAsia="宋体" w:cs="宋体"/>
                <w:color w:val="000000"/>
                <w:sz w:val="21"/>
                <w:szCs w:val="21"/>
                <w:highlight w:val="none"/>
                <w:lang w:val="en-US" w:eastAsia="zh-CN" w:bidi="ar"/>
              </w:rPr>
            </w:pPr>
            <w:r>
              <w:rPr>
                <w:rFonts w:hint="eastAsia" w:ascii="宋体" w:hAnsi="宋体" w:eastAsia="宋体" w:cs="宋体"/>
                <w:color w:val="000000"/>
                <w:sz w:val="21"/>
                <w:szCs w:val="21"/>
                <w:highlight w:val="none"/>
                <w:lang w:bidi="ar"/>
              </w:rPr>
              <w:t>根据投标人对</w:t>
            </w:r>
            <w:r>
              <w:rPr>
                <w:rFonts w:hint="eastAsia" w:ascii="宋体" w:hAnsi="宋体" w:eastAsia="宋体" w:cs="宋体"/>
                <w:color w:val="000000"/>
                <w:sz w:val="21"/>
                <w:szCs w:val="21"/>
                <w:highlight w:val="none"/>
                <w:lang w:val="en-US" w:eastAsia="zh-CN" w:bidi="ar"/>
              </w:rPr>
              <w:t>项目</w:t>
            </w:r>
            <w:r>
              <w:rPr>
                <w:rFonts w:hint="eastAsia" w:ascii="宋体" w:hAnsi="宋体" w:eastAsia="宋体" w:cs="宋体"/>
                <w:color w:val="000000"/>
                <w:sz w:val="21"/>
                <w:szCs w:val="21"/>
                <w:highlight w:val="none"/>
                <w:lang w:bidi="ar"/>
              </w:rPr>
              <w:t>的理解，提供全面的可行性和必要性分析</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提供系统详细建设方案，包含总体架构、逻辑架构、实施技术路线、关键技术和难点、系统安全</w:t>
            </w:r>
            <w:r>
              <w:rPr>
                <w:rFonts w:hint="eastAsia" w:hAnsi="宋体" w:cs="宋体"/>
                <w:color w:val="000000"/>
                <w:sz w:val="21"/>
                <w:szCs w:val="21"/>
                <w:highlight w:val="none"/>
                <w:lang w:val="en-US" w:eastAsia="zh-CN" w:bidi="ar"/>
              </w:rPr>
              <w:t>保证</w:t>
            </w:r>
            <w:r>
              <w:rPr>
                <w:rFonts w:hint="eastAsia" w:ascii="宋体" w:hAnsi="宋体" w:eastAsia="宋体" w:cs="宋体"/>
                <w:color w:val="000000"/>
                <w:sz w:val="21"/>
                <w:szCs w:val="21"/>
                <w:highlight w:val="none"/>
                <w:lang w:bidi="ar"/>
              </w:rPr>
              <w:t>等进行详细的分析</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val="en-US" w:eastAsia="zh-CN" w:bidi="ar"/>
              </w:rPr>
              <w:t>评标委员会根据投标文件中</w:t>
            </w:r>
            <w:r>
              <w:rPr>
                <w:rFonts w:hint="eastAsia" w:ascii="宋体" w:hAnsi="宋体" w:eastAsia="宋体" w:cs="宋体"/>
                <w:sz w:val="21"/>
                <w:szCs w:val="21"/>
                <w:highlight w:val="none"/>
              </w:rPr>
              <w:t>系统建设方案</w:t>
            </w:r>
            <w:r>
              <w:rPr>
                <w:rFonts w:hint="eastAsia" w:ascii="宋体" w:hAnsi="宋体" w:eastAsia="宋体" w:cs="宋体"/>
                <w:color w:val="000000"/>
                <w:sz w:val="21"/>
                <w:szCs w:val="21"/>
                <w:highlight w:val="none"/>
                <w:lang w:val="en-US" w:eastAsia="zh-CN" w:bidi="ar"/>
              </w:rPr>
              <w:t>综合评审：</w:t>
            </w:r>
          </w:p>
          <w:p w14:paraId="1A66203E">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提供方案全面细致、针对性强、能够切实体现系统要求得</w:t>
            </w:r>
            <w:r>
              <w:rPr>
                <w:rFonts w:hint="eastAsia" w:hAnsi="宋体" w:cs="宋体"/>
                <w:color w:val="000000"/>
                <w:sz w:val="21"/>
                <w:szCs w:val="21"/>
                <w:highlight w:val="none"/>
                <w:lang w:val="en-US" w:eastAsia="zh-CN" w:bidi="ar"/>
              </w:rPr>
              <w:t>6</w:t>
            </w:r>
            <w:r>
              <w:rPr>
                <w:rFonts w:hint="eastAsia" w:ascii="宋体" w:hAnsi="宋体" w:eastAsia="宋体" w:cs="宋体"/>
                <w:color w:val="000000"/>
                <w:sz w:val="21"/>
                <w:szCs w:val="21"/>
                <w:highlight w:val="none"/>
                <w:lang w:bidi="ar"/>
              </w:rPr>
              <w:t>＜F≤</w:t>
            </w:r>
            <w:r>
              <w:rPr>
                <w:rFonts w:hint="eastAsia" w:hAnsi="宋体" w:cs="宋体"/>
                <w:color w:val="000000"/>
                <w:sz w:val="21"/>
                <w:szCs w:val="21"/>
                <w:highlight w:val="none"/>
                <w:lang w:val="en-US" w:eastAsia="zh-CN" w:bidi="ar"/>
              </w:rPr>
              <w:t>10</w:t>
            </w:r>
            <w:r>
              <w:rPr>
                <w:rFonts w:hint="eastAsia" w:ascii="宋体" w:hAnsi="宋体" w:eastAsia="宋体" w:cs="宋体"/>
                <w:color w:val="000000"/>
                <w:sz w:val="21"/>
                <w:szCs w:val="21"/>
                <w:highlight w:val="none"/>
                <w:lang w:bidi="ar"/>
              </w:rPr>
              <w:t>分；</w:t>
            </w:r>
          </w:p>
          <w:p w14:paraId="1016CACC">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提供方案相对全面、针对性较强、能够部分体现系统得</w:t>
            </w:r>
            <w:r>
              <w:rPr>
                <w:rFonts w:hint="eastAsia" w:hAnsi="宋体" w:cs="宋体"/>
                <w:color w:val="000000"/>
                <w:sz w:val="21"/>
                <w:szCs w:val="21"/>
                <w:highlight w:val="none"/>
                <w:lang w:val="en-US" w:eastAsia="zh-CN" w:bidi="ar"/>
              </w:rPr>
              <w:t>4</w:t>
            </w:r>
            <w:r>
              <w:rPr>
                <w:rFonts w:hint="eastAsia" w:ascii="宋体" w:hAnsi="宋体" w:eastAsia="宋体" w:cs="宋体"/>
                <w:color w:val="000000"/>
                <w:sz w:val="21"/>
                <w:szCs w:val="21"/>
                <w:highlight w:val="none"/>
                <w:lang w:bidi="ar"/>
              </w:rPr>
              <w:t>＜F≤</w:t>
            </w:r>
            <w:r>
              <w:rPr>
                <w:rFonts w:hint="eastAsia" w:hAnsi="宋体" w:cs="宋体"/>
                <w:color w:val="000000"/>
                <w:sz w:val="21"/>
                <w:szCs w:val="21"/>
                <w:highlight w:val="none"/>
                <w:lang w:val="en-US" w:eastAsia="zh-CN" w:bidi="ar"/>
              </w:rPr>
              <w:t>6</w:t>
            </w:r>
            <w:r>
              <w:rPr>
                <w:rFonts w:hint="eastAsia" w:ascii="宋体" w:hAnsi="宋体" w:eastAsia="宋体" w:cs="宋体"/>
                <w:color w:val="000000"/>
                <w:sz w:val="21"/>
                <w:szCs w:val="21"/>
                <w:highlight w:val="none"/>
                <w:lang w:bidi="ar"/>
              </w:rPr>
              <w:t>分；</w:t>
            </w:r>
          </w:p>
          <w:p w14:paraId="3E7F1143">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提供方案缺少内容较多、针对性差、系统较差得</w:t>
            </w:r>
            <w:r>
              <w:rPr>
                <w:rFonts w:hint="eastAsia" w:ascii="宋体" w:hAnsi="宋体" w:eastAsia="宋体" w:cs="宋体"/>
                <w:color w:val="000000"/>
                <w:sz w:val="21"/>
                <w:szCs w:val="21"/>
                <w:highlight w:val="none"/>
                <w:lang w:val="en-US" w:eastAsia="zh-CN" w:bidi="ar"/>
              </w:rPr>
              <w:t>0＜</w:t>
            </w:r>
            <w:r>
              <w:rPr>
                <w:rFonts w:hint="eastAsia" w:ascii="宋体" w:hAnsi="宋体" w:eastAsia="宋体" w:cs="宋体"/>
                <w:color w:val="000000"/>
                <w:sz w:val="21"/>
                <w:szCs w:val="21"/>
                <w:highlight w:val="none"/>
                <w:lang w:bidi="ar"/>
              </w:rPr>
              <w:t>F≤</w:t>
            </w:r>
            <w:r>
              <w:rPr>
                <w:rFonts w:hint="eastAsia" w:hAnsi="宋体" w:cs="宋体"/>
                <w:color w:val="000000"/>
                <w:sz w:val="21"/>
                <w:szCs w:val="21"/>
                <w:highlight w:val="none"/>
                <w:lang w:val="en-US" w:eastAsia="zh-CN" w:bidi="ar"/>
              </w:rPr>
              <w:t>4</w:t>
            </w:r>
            <w:r>
              <w:rPr>
                <w:rFonts w:hint="eastAsia" w:ascii="宋体" w:hAnsi="宋体" w:eastAsia="宋体" w:cs="宋体"/>
                <w:color w:val="000000"/>
                <w:sz w:val="21"/>
                <w:szCs w:val="21"/>
                <w:highlight w:val="none"/>
                <w:lang w:bidi="ar"/>
              </w:rPr>
              <w:t>分；</w:t>
            </w:r>
          </w:p>
          <w:p w14:paraId="274F1EED">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不提供或提供材料不符合要求不得分。</w:t>
            </w:r>
          </w:p>
          <w:p w14:paraId="3B8172C2">
            <w:pPr>
              <w:widowControl/>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bidi="ar"/>
              </w:rPr>
              <w:t>注：F为本项得分。</w:t>
            </w:r>
          </w:p>
        </w:tc>
      </w:tr>
      <w:tr w14:paraId="14B8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3" w:hRule="atLeast"/>
        </w:trPr>
        <w:tc>
          <w:tcPr>
            <w:tcW w:w="778" w:type="dxa"/>
            <w:vMerge w:val="continue"/>
            <w:noWrap w:val="0"/>
            <w:vAlign w:val="center"/>
          </w:tcPr>
          <w:p w14:paraId="475DBF54">
            <w:pPr>
              <w:spacing w:line="360" w:lineRule="auto"/>
              <w:jc w:val="center"/>
              <w:rPr>
                <w:rFonts w:hint="eastAsia" w:hAnsi="宋体" w:cs="宋体"/>
                <w:sz w:val="21"/>
                <w:szCs w:val="21"/>
                <w:highlight w:val="none"/>
              </w:rPr>
            </w:pPr>
          </w:p>
        </w:tc>
        <w:tc>
          <w:tcPr>
            <w:tcW w:w="973" w:type="dxa"/>
            <w:vMerge w:val="continue"/>
            <w:noWrap w:val="0"/>
            <w:vAlign w:val="center"/>
          </w:tcPr>
          <w:p w14:paraId="08797056">
            <w:pPr>
              <w:spacing w:line="360" w:lineRule="auto"/>
              <w:jc w:val="center"/>
              <w:rPr>
                <w:rFonts w:hint="eastAsia" w:hAnsi="宋体" w:cs="宋体"/>
                <w:sz w:val="21"/>
                <w:szCs w:val="21"/>
                <w:highlight w:val="none"/>
              </w:rPr>
            </w:pPr>
          </w:p>
        </w:tc>
        <w:tc>
          <w:tcPr>
            <w:tcW w:w="1278" w:type="dxa"/>
            <w:noWrap w:val="0"/>
            <w:tcMar>
              <w:left w:w="75" w:type="dxa"/>
            </w:tcMar>
            <w:vAlign w:val="center"/>
          </w:tcPr>
          <w:p w14:paraId="6E88AE0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施工组织方案</w:t>
            </w:r>
          </w:p>
        </w:tc>
        <w:tc>
          <w:tcPr>
            <w:tcW w:w="784" w:type="dxa"/>
            <w:noWrap w:val="0"/>
            <w:vAlign w:val="center"/>
          </w:tcPr>
          <w:p w14:paraId="5B98D213">
            <w:pPr>
              <w:spacing w:line="360" w:lineRule="auto"/>
              <w:jc w:val="center"/>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10</w:t>
            </w:r>
            <w:r>
              <w:rPr>
                <w:rFonts w:hint="eastAsia" w:ascii="宋体" w:hAnsi="宋体" w:eastAsia="宋体" w:cs="宋体"/>
                <w:sz w:val="21"/>
                <w:szCs w:val="21"/>
                <w:highlight w:val="none"/>
                <w:lang w:val="en-US" w:eastAsia="zh-CN"/>
              </w:rPr>
              <w:t>分</w:t>
            </w:r>
          </w:p>
        </w:tc>
        <w:tc>
          <w:tcPr>
            <w:tcW w:w="4637" w:type="dxa"/>
            <w:noWrap w:val="0"/>
            <w:vAlign w:val="center"/>
          </w:tcPr>
          <w:p w14:paraId="3076843C">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val="en-US" w:eastAsia="zh-CN" w:bidi="ar"/>
              </w:rPr>
              <w:t>投标文件中需</w:t>
            </w:r>
            <w:r>
              <w:rPr>
                <w:rFonts w:hint="eastAsia" w:ascii="宋体" w:hAnsi="宋体" w:eastAsia="宋体" w:cs="宋体"/>
                <w:color w:val="000000"/>
                <w:sz w:val="21"/>
                <w:szCs w:val="21"/>
                <w:highlight w:val="none"/>
                <w:lang w:bidi="ar"/>
              </w:rPr>
              <w:t>提供施工组织方案，包括：人员配置、施工资源配置、进度计划及保障措施、施工工艺、质量管理体系及措施、安全管理体系及措施、文明施工管理体系及措施</w:t>
            </w:r>
            <w:r>
              <w:rPr>
                <w:rFonts w:hint="eastAsia" w:hAnsi="宋体" w:cs="宋体"/>
                <w:color w:val="000000"/>
                <w:sz w:val="21"/>
                <w:szCs w:val="21"/>
                <w:highlight w:val="none"/>
                <w:lang w:eastAsia="zh-CN" w:bidi="ar"/>
              </w:rPr>
              <w:t>、</w:t>
            </w:r>
            <w:r>
              <w:rPr>
                <w:rFonts w:hint="eastAsia" w:hAnsi="宋体" w:cs="宋体"/>
                <w:color w:val="000000"/>
                <w:sz w:val="21"/>
                <w:szCs w:val="21"/>
                <w:highlight w:val="none"/>
                <w:lang w:val="en-US" w:eastAsia="zh-CN" w:bidi="ar"/>
              </w:rPr>
              <w:t>现场施工图纸</w:t>
            </w:r>
            <w:r>
              <w:rPr>
                <w:rFonts w:hint="eastAsia" w:ascii="宋体" w:hAnsi="宋体" w:eastAsia="宋体" w:cs="宋体"/>
                <w:color w:val="000000"/>
                <w:sz w:val="21"/>
                <w:szCs w:val="21"/>
                <w:highlight w:val="none"/>
                <w:lang w:bidi="ar"/>
              </w:rPr>
              <w:t>等，</w:t>
            </w:r>
            <w:r>
              <w:rPr>
                <w:rFonts w:hint="eastAsia" w:ascii="宋体" w:hAnsi="宋体" w:eastAsia="宋体" w:cs="宋体"/>
                <w:color w:val="000000"/>
                <w:sz w:val="21"/>
                <w:szCs w:val="21"/>
                <w:highlight w:val="none"/>
                <w:lang w:val="en-US" w:eastAsia="zh-CN" w:bidi="ar"/>
              </w:rPr>
              <w:t>评标委员会根据投标文件中</w:t>
            </w:r>
            <w:r>
              <w:rPr>
                <w:rFonts w:hint="eastAsia" w:ascii="宋体" w:hAnsi="宋体" w:eastAsia="宋体" w:cs="宋体"/>
                <w:color w:val="000000"/>
                <w:sz w:val="21"/>
                <w:szCs w:val="21"/>
                <w:highlight w:val="none"/>
                <w:lang w:bidi="ar"/>
              </w:rPr>
              <w:t>施工组织方案</w:t>
            </w:r>
            <w:r>
              <w:rPr>
                <w:rFonts w:hint="eastAsia" w:ascii="宋体" w:hAnsi="宋体" w:eastAsia="宋体" w:cs="宋体"/>
                <w:color w:val="000000"/>
                <w:sz w:val="21"/>
                <w:szCs w:val="21"/>
                <w:highlight w:val="none"/>
                <w:lang w:val="en-US" w:eastAsia="zh-CN" w:bidi="ar"/>
              </w:rPr>
              <w:t>综合评审：</w:t>
            </w:r>
          </w:p>
          <w:p w14:paraId="546B578E">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提供方案全面细致、施工工艺合理、管理措施完善得</w:t>
            </w:r>
            <w:r>
              <w:rPr>
                <w:rFonts w:hint="eastAsia" w:hAnsi="宋体" w:cs="宋体"/>
                <w:color w:val="000000"/>
                <w:sz w:val="21"/>
                <w:szCs w:val="21"/>
                <w:highlight w:val="none"/>
                <w:lang w:val="en-US" w:eastAsia="zh-CN" w:bidi="ar"/>
              </w:rPr>
              <w:t>6</w:t>
            </w:r>
            <w:r>
              <w:rPr>
                <w:rFonts w:hint="eastAsia" w:ascii="宋体" w:hAnsi="宋体" w:eastAsia="宋体" w:cs="宋体"/>
                <w:color w:val="000000"/>
                <w:sz w:val="21"/>
                <w:szCs w:val="21"/>
                <w:highlight w:val="none"/>
                <w:lang w:bidi="ar"/>
              </w:rPr>
              <w:t>＜F≤</w:t>
            </w:r>
            <w:r>
              <w:rPr>
                <w:rFonts w:hint="eastAsia" w:hAnsi="宋体" w:cs="宋体"/>
                <w:color w:val="000000"/>
                <w:sz w:val="21"/>
                <w:szCs w:val="21"/>
                <w:highlight w:val="none"/>
                <w:lang w:val="en-US" w:eastAsia="zh-CN" w:bidi="ar"/>
              </w:rPr>
              <w:t>10</w:t>
            </w:r>
            <w:r>
              <w:rPr>
                <w:rFonts w:hint="eastAsia" w:ascii="宋体" w:hAnsi="宋体" w:eastAsia="宋体" w:cs="宋体"/>
                <w:color w:val="000000"/>
                <w:sz w:val="21"/>
                <w:szCs w:val="21"/>
                <w:highlight w:val="none"/>
                <w:lang w:bidi="ar"/>
              </w:rPr>
              <w:t>分；</w:t>
            </w:r>
          </w:p>
          <w:p w14:paraId="7BA8D80C">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提供方案全面细致、施工工艺需要完善、管理措施需调整得</w:t>
            </w:r>
            <w:r>
              <w:rPr>
                <w:rFonts w:hint="eastAsia" w:hAnsi="宋体" w:cs="宋体"/>
                <w:color w:val="000000"/>
                <w:sz w:val="21"/>
                <w:szCs w:val="21"/>
                <w:highlight w:val="none"/>
                <w:lang w:val="en-US" w:eastAsia="zh-CN" w:bidi="ar"/>
              </w:rPr>
              <w:t>4</w:t>
            </w:r>
            <w:r>
              <w:rPr>
                <w:rFonts w:hint="eastAsia" w:ascii="宋体" w:hAnsi="宋体" w:eastAsia="宋体" w:cs="宋体"/>
                <w:color w:val="000000"/>
                <w:sz w:val="21"/>
                <w:szCs w:val="21"/>
                <w:highlight w:val="none"/>
                <w:lang w:bidi="ar"/>
              </w:rPr>
              <w:t>＜F≤</w:t>
            </w:r>
            <w:r>
              <w:rPr>
                <w:rFonts w:hint="eastAsia" w:hAnsi="宋体" w:cs="宋体"/>
                <w:color w:val="000000"/>
                <w:sz w:val="21"/>
                <w:szCs w:val="21"/>
                <w:highlight w:val="none"/>
                <w:lang w:val="en-US" w:eastAsia="zh-CN" w:bidi="ar"/>
              </w:rPr>
              <w:t>6</w:t>
            </w:r>
            <w:r>
              <w:rPr>
                <w:rFonts w:hint="eastAsia" w:ascii="宋体" w:hAnsi="宋体" w:eastAsia="宋体" w:cs="宋体"/>
                <w:color w:val="000000"/>
                <w:sz w:val="21"/>
                <w:szCs w:val="21"/>
                <w:highlight w:val="none"/>
                <w:lang w:bidi="ar"/>
              </w:rPr>
              <w:t>分；</w:t>
            </w:r>
          </w:p>
          <w:p w14:paraId="4737DB8A">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提供方案全面细致、施工工艺不合理、管理措施不当得</w:t>
            </w:r>
            <w:r>
              <w:rPr>
                <w:rFonts w:hint="eastAsia" w:ascii="宋体" w:hAnsi="宋体" w:eastAsia="宋体" w:cs="宋体"/>
                <w:color w:val="000000"/>
                <w:sz w:val="21"/>
                <w:szCs w:val="21"/>
                <w:highlight w:val="none"/>
                <w:lang w:val="en-US" w:eastAsia="zh-CN" w:bidi="ar"/>
              </w:rPr>
              <w:t>0</w:t>
            </w:r>
            <w:r>
              <w:rPr>
                <w:rFonts w:hint="eastAsia" w:ascii="宋体" w:hAnsi="宋体" w:eastAsia="宋体" w:cs="宋体"/>
                <w:color w:val="000000"/>
                <w:sz w:val="21"/>
                <w:szCs w:val="21"/>
                <w:highlight w:val="none"/>
                <w:lang w:bidi="ar"/>
              </w:rPr>
              <w:t>＜F≤</w:t>
            </w:r>
            <w:r>
              <w:rPr>
                <w:rFonts w:hint="eastAsia" w:hAnsi="宋体" w:cs="宋体"/>
                <w:color w:val="000000"/>
                <w:sz w:val="21"/>
                <w:szCs w:val="21"/>
                <w:highlight w:val="none"/>
                <w:lang w:val="en-US" w:eastAsia="zh-CN" w:bidi="ar"/>
              </w:rPr>
              <w:t>4</w:t>
            </w:r>
            <w:r>
              <w:rPr>
                <w:rFonts w:hint="eastAsia" w:ascii="宋体" w:hAnsi="宋体" w:eastAsia="宋体" w:cs="宋体"/>
                <w:color w:val="000000"/>
                <w:sz w:val="21"/>
                <w:szCs w:val="21"/>
                <w:highlight w:val="none"/>
                <w:lang w:bidi="ar"/>
              </w:rPr>
              <w:t>分；</w:t>
            </w:r>
          </w:p>
          <w:p w14:paraId="63CC08E7">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不提供或提供材料不符合要求不得分。</w:t>
            </w:r>
          </w:p>
          <w:p w14:paraId="047A7EAD">
            <w:pPr>
              <w:widowControl/>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bidi="ar"/>
              </w:rPr>
              <w:t>注：F为本项得分。</w:t>
            </w:r>
          </w:p>
        </w:tc>
      </w:tr>
      <w:tr w14:paraId="33F8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trPr>
        <w:tc>
          <w:tcPr>
            <w:tcW w:w="778" w:type="dxa"/>
            <w:vMerge w:val="continue"/>
            <w:noWrap w:val="0"/>
            <w:vAlign w:val="center"/>
          </w:tcPr>
          <w:p w14:paraId="4686C874">
            <w:pPr>
              <w:spacing w:line="360" w:lineRule="auto"/>
              <w:jc w:val="center"/>
              <w:rPr>
                <w:rFonts w:hint="eastAsia" w:hAnsi="宋体" w:cs="宋体"/>
                <w:sz w:val="21"/>
                <w:szCs w:val="21"/>
                <w:highlight w:val="none"/>
              </w:rPr>
            </w:pPr>
          </w:p>
        </w:tc>
        <w:tc>
          <w:tcPr>
            <w:tcW w:w="973" w:type="dxa"/>
            <w:vMerge w:val="continue"/>
            <w:noWrap w:val="0"/>
            <w:vAlign w:val="center"/>
          </w:tcPr>
          <w:p w14:paraId="118E4506">
            <w:pPr>
              <w:spacing w:line="360" w:lineRule="auto"/>
              <w:jc w:val="center"/>
              <w:rPr>
                <w:rFonts w:hint="eastAsia" w:hAnsi="宋体" w:cs="宋体"/>
                <w:sz w:val="21"/>
                <w:szCs w:val="21"/>
                <w:highlight w:val="none"/>
              </w:rPr>
            </w:pPr>
          </w:p>
        </w:tc>
        <w:tc>
          <w:tcPr>
            <w:tcW w:w="1278" w:type="dxa"/>
            <w:noWrap w:val="0"/>
            <w:tcMar>
              <w:left w:w="75" w:type="dxa"/>
            </w:tcMar>
            <w:vAlign w:val="center"/>
          </w:tcPr>
          <w:p w14:paraId="78C6AD0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售后服务与维保方案</w:t>
            </w:r>
          </w:p>
        </w:tc>
        <w:tc>
          <w:tcPr>
            <w:tcW w:w="784" w:type="dxa"/>
            <w:noWrap w:val="0"/>
            <w:vAlign w:val="center"/>
          </w:tcPr>
          <w:p w14:paraId="0A6A940E">
            <w:pPr>
              <w:spacing w:line="360" w:lineRule="auto"/>
              <w:jc w:val="center"/>
              <w:rPr>
                <w:rFonts w:hint="eastAsia" w:ascii="宋体" w:hAnsi="宋体" w:eastAsia="宋体" w:cs="宋体"/>
                <w:sz w:val="21"/>
                <w:szCs w:val="21"/>
                <w:highlight w:val="none"/>
              </w:rPr>
            </w:pPr>
            <w:r>
              <w:rPr>
                <w:rFonts w:hint="eastAsia" w:hAnsi="宋体" w:cs="宋体"/>
                <w:sz w:val="21"/>
                <w:szCs w:val="21"/>
                <w:highlight w:val="none"/>
                <w:lang w:val="en-US" w:eastAsia="zh-CN"/>
              </w:rPr>
              <w:t>4</w:t>
            </w:r>
            <w:r>
              <w:rPr>
                <w:rFonts w:hint="eastAsia" w:ascii="宋体" w:hAnsi="宋体" w:eastAsia="宋体" w:cs="宋体"/>
                <w:sz w:val="21"/>
                <w:szCs w:val="21"/>
                <w:highlight w:val="none"/>
              </w:rPr>
              <w:t>分</w:t>
            </w:r>
          </w:p>
        </w:tc>
        <w:tc>
          <w:tcPr>
            <w:tcW w:w="4637" w:type="dxa"/>
            <w:noWrap w:val="0"/>
            <w:vAlign w:val="top"/>
          </w:tcPr>
          <w:p w14:paraId="6DA59A1B">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根据投标人的售后服务体系、出现故障后响应时间及处理流程等情况评审：</w:t>
            </w:r>
          </w:p>
          <w:p w14:paraId="6F917C68">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售后服务与维保方案科学、合理、完善、详尽 ，得</w:t>
            </w:r>
            <w:r>
              <w:rPr>
                <w:rFonts w:hint="eastAsia" w:hAnsi="宋体" w:cs="宋体"/>
                <w:color w:val="000000"/>
                <w:sz w:val="21"/>
                <w:szCs w:val="21"/>
                <w:highlight w:val="none"/>
                <w:lang w:val="en-US" w:eastAsia="zh-CN" w:bidi="ar"/>
              </w:rPr>
              <w:t>3</w:t>
            </w:r>
            <w:r>
              <w:rPr>
                <w:rFonts w:hint="eastAsia" w:ascii="宋体" w:hAnsi="宋体" w:eastAsia="宋体" w:cs="宋体"/>
                <w:color w:val="000000"/>
                <w:sz w:val="21"/>
                <w:szCs w:val="21"/>
                <w:highlight w:val="none"/>
                <w:lang w:bidi="ar"/>
              </w:rPr>
              <w:t>＜F≤</w:t>
            </w:r>
            <w:r>
              <w:rPr>
                <w:rFonts w:hint="eastAsia" w:hAnsi="宋体" w:cs="宋体"/>
                <w:color w:val="000000"/>
                <w:sz w:val="21"/>
                <w:szCs w:val="21"/>
                <w:highlight w:val="none"/>
                <w:lang w:val="en-US" w:eastAsia="zh-CN" w:bidi="ar"/>
              </w:rPr>
              <w:t>4</w:t>
            </w:r>
            <w:r>
              <w:rPr>
                <w:rFonts w:hint="eastAsia" w:ascii="宋体" w:hAnsi="宋体" w:eastAsia="宋体" w:cs="宋体"/>
                <w:color w:val="000000"/>
                <w:sz w:val="21"/>
                <w:szCs w:val="21"/>
                <w:highlight w:val="none"/>
                <w:lang w:bidi="ar"/>
              </w:rPr>
              <w:t>分；</w:t>
            </w:r>
          </w:p>
          <w:p w14:paraId="12DAA3B5">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售后服务与维保方案较科学、较合理、较完善、较详尽，得</w:t>
            </w:r>
            <w:r>
              <w:rPr>
                <w:rFonts w:hint="eastAsia" w:hAnsi="宋体" w:cs="宋体"/>
                <w:color w:val="000000"/>
                <w:sz w:val="21"/>
                <w:szCs w:val="21"/>
                <w:highlight w:val="none"/>
                <w:lang w:val="en-US" w:eastAsia="zh-CN" w:bidi="ar"/>
              </w:rPr>
              <w:t>2</w:t>
            </w:r>
            <w:r>
              <w:rPr>
                <w:rFonts w:hint="eastAsia" w:ascii="宋体" w:hAnsi="宋体" w:eastAsia="宋体" w:cs="宋体"/>
                <w:color w:val="000000"/>
                <w:sz w:val="21"/>
                <w:szCs w:val="21"/>
                <w:highlight w:val="none"/>
                <w:lang w:bidi="ar"/>
              </w:rPr>
              <w:t>＜F≤</w:t>
            </w:r>
            <w:r>
              <w:rPr>
                <w:rFonts w:hint="eastAsia" w:hAnsi="宋体" w:cs="宋体"/>
                <w:color w:val="000000"/>
                <w:sz w:val="21"/>
                <w:szCs w:val="21"/>
                <w:highlight w:val="none"/>
                <w:lang w:val="en-US" w:eastAsia="zh-CN" w:bidi="ar"/>
              </w:rPr>
              <w:t>3</w:t>
            </w:r>
            <w:r>
              <w:rPr>
                <w:rFonts w:hint="eastAsia" w:ascii="宋体" w:hAnsi="宋体" w:eastAsia="宋体" w:cs="宋体"/>
                <w:color w:val="000000"/>
                <w:sz w:val="21"/>
                <w:szCs w:val="21"/>
                <w:highlight w:val="none"/>
                <w:lang w:bidi="ar"/>
              </w:rPr>
              <w:t>分；</w:t>
            </w:r>
          </w:p>
          <w:p w14:paraId="03FDB0D9">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售后服务与维保方案有待完善的，得</w:t>
            </w:r>
            <w:r>
              <w:rPr>
                <w:rFonts w:hint="eastAsia" w:ascii="宋体" w:hAnsi="宋体" w:eastAsia="宋体" w:cs="宋体"/>
                <w:color w:val="000000"/>
                <w:sz w:val="21"/>
                <w:szCs w:val="21"/>
                <w:highlight w:val="none"/>
                <w:lang w:val="en-US" w:eastAsia="zh-CN" w:bidi="ar"/>
              </w:rPr>
              <w:t>0</w:t>
            </w:r>
            <w:r>
              <w:rPr>
                <w:rFonts w:hint="eastAsia" w:ascii="宋体" w:hAnsi="宋体" w:eastAsia="宋体" w:cs="宋体"/>
                <w:color w:val="000000"/>
                <w:sz w:val="21"/>
                <w:szCs w:val="21"/>
                <w:highlight w:val="none"/>
                <w:lang w:bidi="ar"/>
              </w:rPr>
              <w:t>＜F≤</w:t>
            </w:r>
            <w:r>
              <w:rPr>
                <w:rFonts w:hint="eastAsia" w:hAnsi="宋体" w:cs="宋体"/>
                <w:color w:val="000000"/>
                <w:sz w:val="21"/>
                <w:szCs w:val="21"/>
                <w:highlight w:val="none"/>
                <w:lang w:val="en-US" w:eastAsia="zh-CN" w:bidi="ar"/>
              </w:rPr>
              <w:t>2</w:t>
            </w:r>
            <w:r>
              <w:rPr>
                <w:rFonts w:hint="eastAsia" w:ascii="宋体" w:hAnsi="宋体" w:eastAsia="宋体" w:cs="宋体"/>
                <w:color w:val="000000"/>
                <w:sz w:val="21"/>
                <w:szCs w:val="21"/>
                <w:highlight w:val="none"/>
                <w:lang w:bidi="ar"/>
              </w:rPr>
              <w:t>分。</w:t>
            </w:r>
          </w:p>
          <w:p w14:paraId="1AABD36E">
            <w:pPr>
              <w:widowControl/>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不提供或提供材料不符合要求不得分。</w:t>
            </w:r>
          </w:p>
          <w:p w14:paraId="0662A4EF">
            <w:pPr>
              <w:widowControl/>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bidi="ar"/>
              </w:rPr>
              <w:t>注：F为本项得分。</w:t>
            </w:r>
          </w:p>
        </w:tc>
      </w:tr>
      <w:tr w14:paraId="760F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8" w:type="dxa"/>
            <w:vMerge w:val="restart"/>
            <w:noWrap w:val="0"/>
            <w:vAlign w:val="center"/>
          </w:tcPr>
          <w:p w14:paraId="7A5DA695">
            <w:pPr>
              <w:spacing w:line="360" w:lineRule="auto"/>
              <w:jc w:val="center"/>
              <w:rPr>
                <w:rFonts w:hint="eastAsia" w:hAnsi="宋体" w:cs="宋体"/>
                <w:sz w:val="21"/>
                <w:szCs w:val="21"/>
                <w:highlight w:val="none"/>
              </w:rPr>
            </w:pPr>
            <w:r>
              <w:rPr>
                <w:rFonts w:hint="eastAsia" w:hAnsi="宋体" w:cs="宋体"/>
                <w:sz w:val="21"/>
                <w:szCs w:val="21"/>
                <w:highlight w:val="none"/>
              </w:rPr>
              <w:t>2.2.2（2）</w:t>
            </w:r>
          </w:p>
        </w:tc>
        <w:tc>
          <w:tcPr>
            <w:tcW w:w="973" w:type="dxa"/>
            <w:vMerge w:val="restart"/>
            <w:noWrap w:val="0"/>
            <w:vAlign w:val="center"/>
          </w:tcPr>
          <w:p w14:paraId="7381A17B">
            <w:pPr>
              <w:spacing w:line="360" w:lineRule="auto"/>
              <w:jc w:val="center"/>
              <w:rPr>
                <w:rFonts w:hint="eastAsia" w:hAnsi="宋体" w:cs="宋体"/>
                <w:sz w:val="21"/>
                <w:szCs w:val="21"/>
                <w:highlight w:val="none"/>
              </w:rPr>
            </w:pPr>
            <w:r>
              <w:rPr>
                <w:rFonts w:hint="eastAsia" w:hAnsi="宋体" w:cs="宋体"/>
                <w:sz w:val="21"/>
                <w:szCs w:val="21"/>
                <w:highlight w:val="none"/>
              </w:rPr>
              <w:t>商务文件评分标准</w:t>
            </w:r>
          </w:p>
        </w:tc>
        <w:tc>
          <w:tcPr>
            <w:tcW w:w="1278" w:type="dxa"/>
            <w:noWrap w:val="0"/>
            <w:tcMar>
              <w:left w:w="75" w:type="dxa"/>
            </w:tcMar>
            <w:vAlign w:val="top"/>
          </w:tcPr>
          <w:p w14:paraId="0C6D2344">
            <w:pPr>
              <w:spacing w:line="360" w:lineRule="auto"/>
              <w:jc w:val="center"/>
              <w:rPr>
                <w:rFonts w:hint="eastAsia" w:hAnsi="宋体" w:cs="宋体"/>
                <w:sz w:val="21"/>
                <w:szCs w:val="21"/>
                <w:highlight w:val="none"/>
              </w:rPr>
            </w:pPr>
          </w:p>
          <w:p w14:paraId="24B98433">
            <w:pPr>
              <w:spacing w:line="360" w:lineRule="auto"/>
              <w:jc w:val="center"/>
              <w:rPr>
                <w:rFonts w:hint="eastAsia" w:hAnsi="宋体" w:cs="宋体"/>
                <w:sz w:val="21"/>
                <w:szCs w:val="21"/>
                <w:highlight w:val="none"/>
              </w:rPr>
            </w:pPr>
          </w:p>
          <w:p w14:paraId="34FC236D">
            <w:pPr>
              <w:spacing w:line="360" w:lineRule="auto"/>
              <w:jc w:val="center"/>
              <w:rPr>
                <w:rFonts w:hint="eastAsia" w:hAnsi="宋体" w:cs="宋体"/>
                <w:sz w:val="21"/>
                <w:szCs w:val="21"/>
                <w:highlight w:val="none"/>
              </w:rPr>
            </w:pPr>
            <w:r>
              <w:rPr>
                <w:rFonts w:hint="eastAsia" w:hAnsi="宋体" w:cs="宋体"/>
                <w:sz w:val="21"/>
                <w:szCs w:val="21"/>
                <w:highlight w:val="none"/>
              </w:rPr>
              <w:t>投标人资信、认证</w:t>
            </w:r>
          </w:p>
        </w:tc>
        <w:tc>
          <w:tcPr>
            <w:tcW w:w="784" w:type="dxa"/>
            <w:noWrap w:val="0"/>
            <w:vAlign w:val="center"/>
          </w:tcPr>
          <w:p w14:paraId="7D74D028">
            <w:pPr>
              <w:widowControl/>
              <w:snapToGrid w:val="0"/>
              <w:spacing w:line="360" w:lineRule="auto"/>
              <w:jc w:val="center"/>
              <w:rPr>
                <w:rFonts w:hint="eastAsia" w:hAnsi="宋体" w:cs="宋体"/>
                <w:sz w:val="21"/>
                <w:szCs w:val="21"/>
                <w:highlight w:val="none"/>
              </w:rPr>
            </w:pPr>
            <w:r>
              <w:rPr>
                <w:rFonts w:hint="eastAsia" w:hAnsi="宋体" w:cs="宋体"/>
                <w:sz w:val="21"/>
                <w:szCs w:val="21"/>
                <w:highlight w:val="none"/>
              </w:rPr>
              <w:t>6分</w:t>
            </w:r>
          </w:p>
        </w:tc>
        <w:tc>
          <w:tcPr>
            <w:tcW w:w="4637" w:type="dxa"/>
            <w:noWrap w:val="0"/>
            <w:vAlign w:val="center"/>
          </w:tcPr>
          <w:p w14:paraId="6FFD673F">
            <w:pPr>
              <w:rPr>
                <w:rFonts w:hint="eastAsia" w:ascii="Times New Roman" w:hAnsi="宋体" w:cs="仿宋"/>
                <w:b w:val="0"/>
                <w:bCs/>
                <w:kern w:val="2"/>
                <w:sz w:val="21"/>
                <w:szCs w:val="21"/>
                <w:highlight w:val="none"/>
              </w:rPr>
            </w:pPr>
            <w:r>
              <w:rPr>
                <w:rFonts w:hint="eastAsia" w:ascii="Times New Roman" w:hAnsi="宋体" w:cs="仿宋"/>
                <w:b w:val="0"/>
                <w:bCs/>
                <w:kern w:val="2"/>
                <w:sz w:val="21"/>
                <w:szCs w:val="21"/>
                <w:highlight w:val="none"/>
              </w:rPr>
              <w:t>投标人具有</w:t>
            </w:r>
            <w:r>
              <w:rPr>
                <w:rFonts w:hint="eastAsia" w:ascii="Times New Roman" w:hAnsi="宋体" w:cs="仿宋"/>
                <w:b w:val="0"/>
                <w:bCs/>
                <w:kern w:val="2"/>
                <w:sz w:val="21"/>
                <w:szCs w:val="21"/>
                <w:highlight w:val="none"/>
                <w:lang w:val="en-US" w:eastAsia="zh-CN"/>
              </w:rPr>
              <w:t>有效的</w:t>
            </w:r>
            <w:r>
              <w:rPr>
                <w:rFonts w:hint="eastAsia" w:ascii="Times New Roman" w:hAnsi="宋体" w:cs="仿宋"/>
                <w:b w:val="0"/>
                <w:bCs/>
                <w:kern w:val="2"/>
                <w:sz w:val="21"/>
                <w:szCs w:val="21"/>
                <w:highlight w:val="none"/>
              </w:rPr>
              <w:t>以下认证的，每提供一类，得2分，本项满分6分。</w:t>
            </w:r>
          </w:p>
          <w:p w14:paraId="1BB704A7">
            <w:pPr>
              <w:rPr>
                <w:rFonts w:hint="eastAsia" w:ascii="Times New Roman" w:hAnsi="宋体" w:eastAsia="宋体" w:cs="仿宋"/>
                <w:b w:val="0"/>
                <w:bCs/>
                <w:kern w:val="2"/>
                <w:sz w:val="21"/>
                <w:szCs w:val="21"/>
                <w:highlight w:val="none"/>
                <w:lang w:eastAsia="zh-CN"/>
              </w:rPr>
            </w:pPr>
            <w:r>
              <w:rPr>
                <w:rFonts w:hint="eastAsia" w:ascii="Times New Roman" w:hAnsi="宋体" w:cs="仿宋"/>
                <w:b w:val="0"/>
                <w:bCs/>
                <w:kern w:val="2"/>
                <w:sz w:val="21"/>
                <w:szCs w:val="21"/>
                <w:highlight w:val="none"/>
              </w:rPr>
              <w:t>1.具有信息技术服务管理体系认证</w:t>
            </w:r>
            <w:r>
              <w:rPr>
                <w:rFonts w:hint="eastAsia" w:ascii="Times New Roman" w:hAnsi="宋体" w:cs="仿宋"/>
                <w:b w:val="0"/>
                <w:bCs/>
                <w:kern w:val="2"/>
                <w:sz w:val="21"/>
                <w:szCs w:val="21"/>
                <w:highlight w:val="none"/>
                <w:lang w:eastAsia="zh-CN"/>
              </w:rPr>
              <w:t>；</w:t>
            </w:r>
          </w:p>
          <w:p w14:paraId="0A4BCA99">
            <w:pPr>
              <w:rPr>
                <w:rFonts w:hint="eastAsia" w:ascii="Times New Roman" w:hAnsi="宋体" w:eastAsia="宋体" w:cs="仿宋"/>
                <w:b w:val="0"/>
                <w:bCs/>
                <w:kern w:val="2"/>
                <w:sz w:val="21"/>
                <w:szCs w:val="21"/>
                <w:highlight w:val="none"/>
                <w:lang w:eastAsia="zh-CN"/>
              </w:rPr>
            </w:pPr>
            <w:r>
              <w:rPr>
                <w:rFonts w:hint="eastAsia" w:ascii="Times New Roman" w:hAnsi="宋体" w:cs="仿宋"/>
                <w:b w:val="0"/>
                <w:bCs/>
                <w:kern w:val="2"/>
                <w:sz w:val="21"/>
                <w:szCs w:val="21"/>
                <w:highlight w:val="none"/>
              </w:rPr>
              <w:t>2.具有信息安全管理体系认证</w:t>
            </w:r>
            <w:r>
              <w:rPr>
                <w:rFonts w:hint="eastAsia" w:ascii="Times New Roman" w:hAnsi="宋体" w:cs="仿宋"/>
                <w:b w:val="0"/>
                <w:bCs/>
                <w:kern w:val="2"/>
                <w:sz w:val="21"/>
                <w:szCs w:val="21"/>
                <w:highlight w:val="none"/>
                <w:lang w:eastAsia="zh-CN"/>
              </w:rPr>
              <w:t>；</w:t>
            </w:r>
          </w:p>
          <w:p w14:paraId="324AD7CF">
            <w:pPr>
              <w:rPr>
                <w:rFonts w:hint="eastAsia" w:ascii="Times New Roman" w:hAnsi="宋体" w:eastAsia="宋体" w:cs="仿宋"/>
                <w:b w:val="0"/>
                <w:bCs/>
                <w:kern w:val="2"/>
                <w:sz w:val="21"/>
                <w:szCs w:val="21"/>
                <w:highlight w:val="none"/>
                <w:lang w:eastAsia="zh-CN"/>
              </w:rPr>
            </w:pPr>
            <w:r>
              <w:rPr>
                <w:rFonts w:hint="eastAsia" w:ascii="Times New Roman" w:hAnsi="宋体" w:cs="仿宋"/>
                <w:b w:val="0"/>
                <w:bCs/>
                <w:kern w:val="2"/>
                <w:sz w:val="21"/>
                <w:szCs w:val="21"/>
                <w:highlight w:val="none"/>
              </w:rPr>
              <w:t>3.具有质量管理体系认证</w:t>
            </w:r>
            <w:r>
              <w:rPr>
                <w:rFonts w:hint="eastAsia" w:ascii="Times New Roman" w:hAnsi="宋体" w:cs="仿宋"/>
                <w:b w:val="0"/>
                <w:bCs/>
                <w:kern w:val="2"/>
                <w:sz w:val="21"/>
                <w:szCs w:val="21"/>
                <w:highlight w:val="none"/>
                <w:lang w:eastAsia="zh-CN"/>
              </w:rPr>
              <w:t>；</w:t>
            </w:r>
          </w:p>
          <w:p w14:paraId="4F1CC369">
            <w:pPr>
              <w:rPr>
                <w:rFonts w:hint="eastAsia" w:hAnsi="宋体" w:cs="宋体"/>
                <w:b/>
                <w:sz w:val="21"/>
                <w:szCs w:val="21"/>
                <w:highlight w:val="none"/>
              </w:rPr>
            </w:pPr>
            <w:r>
              <w:rPr>
                <w:rFonts w:hint="eastAsia" w:ascii="Times New Roman" w:hAnsi="宋体" w:cs="仿宋"/>
                <w:b/>
                <w:kern w:val="2"/>
                <w:sz w:val="21"/>
                <w:szCs w:val="21"/>
                <w:highlight w:val="none"/>
              </w:rPr>
              <w:t>注：投标文件中提供全国认证认可信息公共服务平台认证查询截图。</w:t>
            </w:r>
          </w:p>
        </w:tc>
      </w:tr>
      <w:tr w14:paraId="170A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8" w:type="dxa"/>
            <w:vMerge w:val="continue"/>
            <w:noWrap w:val="0"/>
            <w:vAlign w:val="center"/>
          </w:tcPr>
          <w:p w14:paraId="3AE0A817">
            <w:pPr>
              <w:snapToGrid w:val="0"/>
              <w:spacing w:line="360" w:lineRule="auto"/>
              <w:jc w:val="center"/>
              <w:rPr>
                <w:rFonts w:hint="eastAsia" w:hAnsi="宋体" w:cs="宋体"/>
                <w:bCs/>
                <w:sz w:val="21"/>
                <w:szCs w:val="21"/>
                <w:highlight w:val="none"/>
              </w:rPr>
            </w:pPr>
          </w:p>
        </w:tc>
        <w:tc>
          <w:tcPr>
            <w:tcW w:w="973" w:type="dxa"/>
            <w:vMerge w:val="continue"/>
            <w:noWrap w:val="0"/>
            <w:vAlign w:val="top"/>
          </w:tcPr>
          <w:p w14:paraId="73A338B8">
            <w:pPr>
              <w:snapToGrid w:val="0"/>
              <w:spacing w:line="360" w:lineRule="auto"/>
              <w:jc w:val="center"/>
              <w:rPr>
                <w:rFonts w:hint="eastAsia" w:hAnsi="宋体" w:cs="宋体"/>
                <w:bCs/>
                <w:sz w:val="21"/>
                <w:szCs w:val="21"/>
                <w:highlight w:val="none"/>
              </w:rPr>
            </w:pPr>
          </w:p>
        </w:tc>
        <w:tc>
          <w:tcPr>
            <w:tcW w:w="1278" w:type="dxa"/>
            <w:noWrap w:val="0"/>
            <w:tcMar>
              <w:left w:w="75" w:type="dxa"/>
            </w:tcMar>
            <w:vAlign w:val="center"/>
          </w:tcPr>
          <w:p w14:paraId="61E7063E">
            <w:pPr>
              <w:snapToGrid w:val="0"/>
              <w:spacing w:line="360" w:lineRule="auto"/>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拟委任人员资格</w:t>
            </w:r>
          </w:p>
        </w:tc>
        <w:tc>
          <w:tcPr>
            <w:tcW w:w="784" w:type="dxa"/>
            <w:noWrap w:val="0"/>
            <w:vAlign w:val="center"/>
          </w:tcPr>
          <w:p w14:paraId="58C3827A">
            <w:pPr>
              <w:widowControl/>
              <w:snapToGrid w:val="0"/>
              <w:spacing w:line="360" w:lineRule="auto"/>
              <w:jc w:val="center"/>
              <w:rPr>
                <w:rFonts w:hint="eastAsia" w:hAnsi="宋体" w:cs="宋体"/>
                <w:sz w:val="21"/>
                <w:szCs w:val="21"/>
                <w:highlight w:val="none"/>
              </w:rPr>
            </w:pPr>
            <w:r>
              <w:rPr>
                <w:rFonts w:hint="eastAsia" w:hAnsi="宋体" w:cs="宋体"/>
                <w:sz w:val="21"/>
                <w:szCs w:val="21"/>
                <w:highlight w:val="none"/>
                <w:lang w:val="en-US" w:eastAsia="zh-CN"/>
              </w:rPr>
              <w:t>6</w:t>
            </w:r>
            <w:r>
              <w:rPr>
                <w:rFonts w:hint="eastAsia" w:hAnsi="宋体" w:cs="宋体"/>
                <w:sz w:val="21"/>
                <w:szCs w:val="21"/>
                <w:highlight w:val="none"/>
              </w:rPr>
              <w:t>分</w:t>
            </w:r>
          </w:p>
        </w:tc>
        <w:tc>
          <w:tcPr>
            <w:tcW w:w="4637" w:type="dxa"/>
            <w:noWrap w:val="0"/>
            <w:vAlign w:val="center"/>
          </w:tcPr>
          <w:p w14:paraId="6CED9E53">
            <w:pPr>
              <w:numPr>
                <w:ilvl w:val="0"/>
                <w:numId w:val="0"/>
              </w:numPr>
              <w:rPr>
                <w:rFonts w:hint="eastAsia" w:hAnsi="宋体" w:eastAsia="宋体" w:cs="仿宋"/>
                <w:kern w:val="2"/>
                <w:sz w:val="21"/>
                <w:szCs w:val="21"/>
                <w:highlight w:val="none"/>
                <w:lang w:eastAsia="zh-CN"/>
              </w:rPr>
            </w:pPr>
            <w:r>
              <w:rPr>
                <w:rFonts w:hint="eastAsia" w:ascii="宋体" w:hAnsi="宋体" w:eastAsia="宋体" w:cs="仿宋"/>
                <w:kern w:val="2"/>
                <w:sz w:val="21"/>
                <w:szCs w:val="21"/>
                <w:highlight w:val="none"/>
                <w:lang w:val="en-US" w:eastAsia="zh-CN" w:bidi="ar-SA"/>
              </w:rPr>
              <w:t>（1）</w:t>
            </w:r>
            <w:r>
              <w:rPr>
                <w:rFonts w:hint="eastAsia" w:hAnsi="宋体" w:cs="仿宋"/>
                <w:kern w:val="2"/>
                <w:sz w:val="21"/>
                <w:szCs w:val="21"/>
                <w:highlight w:val="none"/>
                <w:lang w:val="en-US" w:eastAsia="zh-CN"/>
              </w:rPr>
              <w:t>拟任</w:t>
            </w:r>
            <w:r>
              <w:rPr>
                <w:rFonts w:hint="eastAsia" w:hAnsi="宋体" w:eastAsia="宋体" w:cs="仿宋"/>
                <w:kern w:val="2"/>
                <w:sz w:val="21"/>
                <w:szCs w:val="21"/>
                <w:highlight w:val="none"/>
                <w:lang w:eastAsia="zh-CN"/>
              </w:rPr>
              <w:t>项目负责人具有信息系统项目管理师证书得2分。</w:t>
            </w:r>
          </w:p>
          <w:p w14:paraId="5F6AE885">
            <w:pPr>
              <w:numPr>
                <w:ilvl w:val="0"/>
                <w:numId w:val="0"/>
              </w:numPr>
              <w:rPr>
                <w:rFonts w:hint="default" w:hAnsi="宋体" w:eastAsia="宋体" w:cs="仿宋"/>
                <w:b/>
                <w:bCs/>
                <w:kern w:val="2"/>
                <w:sz w:val="21"/>
                <w:szCs w:val="21"/>
                <w:highlight w:val="none"/>
                <w:lang w:val="en-US" w:eastAsia="zh-CN"/>
              </w:rPr>
            </w:pPr>
            <w:r>
              <w:rPr>
                <w:rFonts w:hint="eastAsia" w:hAnsi="宋体" w:cs="仿宋"/>
                <w:b/>
                <w:bCs/>
                <w:kern w:val="2"/>
                <w:sz w:val="21"/>
                <w:szCs w:val="21"/>
                <w:highlight w:val="none"/>
                <w:lang w:val="en-US" w:eastAsia="zh-CN"/>
              </w:rPr>
              <w:t>注：提供证书。</w:t>
            </w:r>
          </w:p>
          <w:p w14:paraId="57C3448D">
            <w:pPr>
              <w:rPr>
                <w:rFonts w:hint="eastAsia" w:hAnsi="宋体" w:eastAsia="宋体" w:cs="仿宋"/>
                <w:kern w:val="2"/>
                <w:sz w:val="21"/>
                <w:szCs w:val="21"/>
                <w:highlight w:val="none"/>
                <w:lang w:eastAsia="zh-CN"/>
              </w:rPr>
            </w:pPr>
            <w:r>
              <w:rPr>
                <w:rFonts w:hint="eastAsia" w:hAnsi="宋体" w:eastAsia="宋体" w:cs="仿宋"/>
                <w:kern w:val="2"/>
                <w:sz w:val="21"/>
                <w:szCs w:val="21"/>
                <w:highlight w:val="none"/>
                <w:lang w:eastAsia="zh-CN"/>
              </w:rPr>
              <w:t>（2）投标人拟投入本项目的团队人员（2人，不含项目负责人）：具有信息安全工程师、网络工程师、系统集成项目管理工程师，每提供1个证书得2分，本项最高得4分。</w:t>
            </w:r>
          </w:p>
          <w:p w14:paraId="59F9395D">
            <w:pPr>
              <w:rPr>
                <w:rFonts w:hint="eastAsia" w:hAnsi="宋体" w:eastAsia="宋体" w:cs="仿宋"/>
                <w:kern w:val="2"/>
                <w:sz w:val="21"/>
                <w:szCs w:val="21"/>
                <w:highlight w:val="none"/>
                <w:lang w:eastAsia="zh-CN"/>
              </w:rPr>
            </w:pPr>
            <w:r>
              <w:rPr>
                <w:rFonts w:hint="eastAsia" w:hAnsi="宋体" w:eastAsia="宋体" w:cs="仿宋"/>
                <w:b/>
                <w:bCs/>
                <w:kern w:val="2"/>
                <w:sz w:val="21"/>
                <w:szCs w:val="21"/>
                <w:highlight w:val="none"/>
                <w:lang w:eastAsia="zh-CN"/>
              </w:rPr>
              <w:t>注：</w:t>
            </w:r>
            <w:r>
              <w:rPr>
                <w:rFonts w:hint="eastAsia" w:hAnsi="宋体" w:cs="仿宋"/>
                <w:b/>
                <w:bCs/>
                <w:kern w:val="2"/>
                <w:sz w:val="21"/>
                <w:szCs w:val="21"/>
                <w:highlight w:val="none"/>
              </w:rPr>
              <w:t>多个人具有同一证书或同一人员具有多个证书，仅计分一次。</w:t>
            </w:r>
          </w:p>
        </w:tc>
      </w:tr>
      <w:tr w14:paraId="55EF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8" w:type="dxa"/>
            <w:vMerge w:val="continue"/>
            <w:noWrap w:val="0"/>
            <w:vAlign w:val="top"/>
          </w:tcPr>
          <w:p w14:paraId="447DF862">
            <w:pPr>
              <w:snapToGrid w:val="0"/>
              <w:spacing w:line="360" w:lineRule="auto"/>
              <w:jc w:val="center"/>
              <w:rPr>
                <w:rFonts w:hint="eastAsia" w:hAnsi="宋体" w:cs="宋体"/>
                <w:bCs/>
                <w:sz w:val="21"/>
                <w:szCs w:val="21"/>
                <w:highlight w:val="none"/>
              </w:rPr>
            </w:pPr>
          </w:p>
        </w:tc>
        <w:tc>
          <w:tcPr>
            <w:tcW w:w="973" w:type="dxa"/>
            <w:vMerge w:val="continue"/>
            <w:noWrap w:val="0"/>
            <w:vAlign w:val="top"/>
          </w:tcPr>
          <w:p w14:paraId="5E4C45A7">
            <w:pPr>
              <w:snapToGrid w:val="0"/>
              <w:spacing w:line="360" w:lineRule="auto"/>
              <w:jc w:val="center"/>
              <w:rPr>
                <w:rFonts w:hint="eastAsia" w:hAnsi="宋体" w:cs="宋体"/>
                <w:bCs/>
                <w:sz w:val="21"/>
                <w:szCs w:val="21"/>
                <w:highlight w:val="none"/>
              </w:rPr>
            </w:pPr>
          </w:p>
        </w:tc>
        <w:tc>
          <w:tcPr>
            <w:tcW w:w="1278" w:type="dxa"/>
            <w:noWrap w:val="0"/>
            <w:tcMar>
              <w:left w:w="75" w:type="dxa"/>
            </w:tcMar>
            <w:vAlign w:val="center"/>
          </w:tcPr>
          <w:p w14:paraId="16181B95">
            <w:pPr>
              <w:snapToGrid w:val="0"/>
              <w:spacing w:line="360" w:lineRule="auto"/>
              <w:jc w:val="center"/>
              <w:rPr>
                <w:rFonts w:hint="eastAsia" w:hAnsi="宋体" w:cs="宋体"/>
                <w:sz w:val="21"/>
                <w:szCs w:val="21"/>
                <w:highlight w:val="none"/>
              </w:rPr>
            </w:pPr>
            <w:r>
              <w:rPr>
                <w:rFonts w:hint="eastAsia" w:hAnsi="宋体" w:cs="宋体"/>
                <w:sz w:val="21"/>
                <w:szCs w:val="21"/>
                <w:highlight w:val="none"/>
              </w:rPr>
              <w:t>投标人业绩</w:t>
            </w:r>
          </w:p>
        </w:tc>
        <w:tc>
          <w:tcPr>
            <w:tcW w:w="784" w:type="dxa"/>
            <w:noWrap w:val="0"/>
            <w:vAlign w:val="center"/>
          </w:tcPr>
          <w:p w14:paraId="583DBE63">
            <w:pPr>
              <w:widowControl/>
              <w:snapToGrid w:val="0"/>
              <w:spacing w:line="360" w:lineRule="auto"/>
              <w:jc w:val="center"/>
              <w:rPr>
                <w:rFonts w:hint="eastAsia" w:hAnsi="宋体" w:cs="宋体"/>
                <w:sz w:val="21"/>
                <w:szCs w:val="21"/>
                <w:highlight w:val="none"/>
              </w:rPr>
            </w:pPr>
            <w:r>
              <w:rPr>
                <w:rFonts w:hint="eastAsia" w:hAnsi="宋体" w:cs="宋体"/>
                <w:sz w:val="21"/>
                <w:szCs w:val="21"/>
                <w:highlight w:val="none"/>
                <w:lang w:val="en-US" w:eastAsia="zh-CN"/>
              </w:rPr>
              <w:t>6</w:t>
            </w:r>
            <w:r>
              <w:rPr>
                <w:rFonts w:hint="eastAsia" w:hAnsi="宋体" w:cs="宋体"/>
                <w:sz w:val="21"/>
                <w:szCs w:val="21"/>
                <w:highlight w:val="none"/>
              </w:rPr>
              <w:t>分</w:t>
            </w:r>
          </w:p>
        </w:tc>
        <w:tc>
          <w:tcPr>
            <w:tcW w:w="4637" w:type="dxa"/>
            <w:noWrap w:val="0"/>
            <w:vAlign w:val="center"/>
          </w:tcPr>
          <w:p w14:paraId="3BCC2669">
            <w:pPr>
              <w:widowControl/>
              <w:jc w:val="left"/>
              <w:rPr>
                <w:rFonts w:hint="eastAsia" w:hAnsi="宋体" w:cs="宋体"/>
                <w:b w:val="0"/>
                <w:bCs w:val="0"/>
                <w:color w:val="000000"/>
                <w:sz w:val="21"/>
                <w:szCs w:val="21"/>
                <w:highlight w:val="none"/>
                <w:lang w:bidi="ar"/>
              </w:rPr>
            </w:pPr>
            <w:r>
              <w:rPr>
                <w:rFonts w:hint="eastAsia" w:hAnsi="宋体" w:cs="宋体"/>
                <w:b w:val="0"/>
                <w:bCs w:val="0"/>
                <w:color w:val="000000"/>
                <w:sz w:val="21"/>
                <w:szCs w:val="21"/>
                <w:highlight w:val="none"/>
                <w:lang w:bidi="ar"/>
              </w:rPr>
              <w:t>自2021年1月1日以来（以合同签订时间为准），投标人具有单个业绩合同金额不低于200万的建筑智能化（或信息化类）项目业绩（建设内容须包括以下系统中至少三项内容：综合布线系统、计算机网络系统、机房工程、视频监控系统、护理呼叫系统、信息发布系统、多媒体会议系统</w:t>
            </w:r>
            <w:r>
              <w:rPr>
                <w:rFonts w:hint="eastAsia" w:hAnsi="宋体" w:cs="宋体"/>
                <w:b w:val="0"/>
                <w:bCs w:val="0"/>
                <w:color w:val="000000"/>
                <w:sz w:val="21"/>
                <w:szCs w:val="21"/>
                <w:highlight w:val="none"/>
                <w:lang w:eastAsia="zh-CN" w:bidi="ar"/>
              </w:rPr>
              <w:t>）</w:t>
            </w:r>
            <w:r>
              <w:rPr>
                <w:rFonts w:hint="eastAsia" w:hAnsi="宋体" w:cs="宋体"/>
                <w:b w:val="0"/>
                <w:bCs w:val="0"/>
                <w:color w:val="000000"/>
                <w:sz w:val="21"/>
                <w:szCs w:val="21"/>
                <w:highlight w:val="none"/>
                <w:lang w:bidi="ar"/>
              </w:rPr>
              <w:t>。每提供1个业绩得 3 分，满分</w:t>
            </w:r>
            <w:r>
              <w:rPr>
                <w:rFonts w:hint="eastAsia" w:hAnsi="宋体" w:cs="宋体"/>
                <w:b w:val="0"/>
                <w:bCs w:val="0"/>
                <w:color w:val="000000"/>
                <w:sz w:val="21"/>
                <w:szCs w:val="21"/>
                <w:highlight w:val="none"/>
                <w:lang w:val="en-US" w:eastAsia="zh-CN" w:bidi="ar"/>
              </w:rPr>
              <w:t>6</w:t>
            </w:r>
            <w:r>
              <w:rPr>
                <w:rFonts w:hint="eastAsia" w:hAnsi="宋体" w:cs="宋体"/>
                <w:b w:val="0"/>
                <w:bCs w:val="0"/>
                <w:color w:val="000000"/>
                <w:sz w:val="21"/>
                <w:szCs w:val="21"/>
                <w:highlight w:val="none"/>
                <w:lang w:bidi="ar"/>
              </w:rPr>
              <w:t xml:space="preserve"> 分。</w:t>
            </w:r>
          </w:p>
          <w:p w14:paraId="3FB97AC3">
            <w:pPr>
              <w:widowControl/>
              <w:jc w:val="left"/>
              <w:rPr>
                <w:rFonts w:hint="eastAsia" w:hAnsi="宋体" w:cs="宋体"/>
                <w:b/>
                <w:bCs/>
                <w:color w:val="000000"/>
                <w:sz w:val="21"/>
                <w:szCs w:val="21"/>
                <w:highlight w:val="none"/>
                <w:lang w:val="en-US" w:eastAsia="zh-CN" w:bidi="ar"/>
              </w:rPr>
            </w:pPr>
            <w:r>
              <w:rPr>
                <w:rFonts w:hint="eastAsia" w:hAnsi="宋体" w:cs="宋体"/>
                <w:b/>
                <w:bCs/>
                <w:color w:val="000000"/>
                <w:sz w:val="21"/>
                <w:szCs w:val="21"/>
                <w:highlight w:val="none"/>
                <w:lang w:bidi="ar"/>
              </w:rPr>
              <w:t>注：</w:t>
            </w:r>
            <w:r>
              <w:rPr>
                <w:rFonts w:hint="eastAsia" w:hAnsi="宋体" w:cs="宋体"/>
                <w:b/>
                <w:bCs/>
                <w:color w:val="000000"/>
                <w:sz w:val="21"/>
                <w:szCs w:val="21"/>
                <w:highlight w:val="none"/>
                <w:lang w:val="en-US" w:eastAsia="zh-CN" w:bidi="ar"/>
              </w:rPr>
              <w:t>1、</w:t>
            </w:r>
            <w:r>
              <w:rPr>
                <w:rFonts w:hint="eastAsia" w:hAnsi="宋体" w:cs="宋体"/>
                <w:b/>
                <w:bCs/>
                <w:color w:val="000000"/>
                <w:sz w:val="21"/>
                <w:szCs w:val="21"/>
                <w:highlight w:val="none"/>
                <w:lang w:bidi="ar"/>
              </w:rPr>
              <w:t>投标人须</w:t>
            </w:r>
            <w:r>
              <w:rPr>
                <w:rFonts w:hint="eastAsia" w:hAnsi="宋体" w:cs="宋体"/>
                <w:b/>
                <w:bCs/>
                <w:color w:val="000000"/>
                <w:sz w:val="21"/>
                <w:szCs w:val="21"/>
                <w:highlight w:val="none"/>
                <w:lang w:val="en-US" w:eastAsia="zh-CN" w:bidi="ar"/>
              </w:rPr>
              <w:t>提供下列业绩证明材料：</w:t>
            </w:r>
          </w:p>
          <w:p w14:paraId="35CF80AF">
            <w:pPr>
              <w:widowControl/>
              <w:jc w:val="left"/>
              <w:rPr>
                <w:rFonts w:hint="eastAsia" w:hAnsi="宋体" w:eastAsia="宋体" w:cs="宋体"/>
                <w:b/>
                <w:bCs/>
                <w:color w:val="000000"/>
                <w:sz w:val="21"/>
                <w:szCs w:val="21"/>
                <w:highlight w:val="none"/>
                <w:lang w:eastAsia="zh-CN" w:bidi="ar"/>
              </w:rPr>
            </w:pPr>
            <w:r>
              <w:rPr>
                <w:rFonts w:hint="eastAsia" w:hAnsi="宋体" w:cs="宋体"/>
                <w:b/>
                <w:bCs/>
                <w:color w:val="000000"/>
                <w:sz w:val="21"/>
                <w:szCs w:val="21"/>
                <w:highlight w:val="none"/>
                <w:lang w:val="en-US" w:eastAsia="zh-CN" w:bidi="ar"/>
              </w:rPr>
              <w:t>（1）</w:t>
            </w:r>
            <w:r>
              <w:rPr>
                <w:rFonts w:hint="eastAsia" w:hAnsi="宋体" w:cs="宋体"/>
                <w:b/>
                <w:bCs/>
                <w:color w:val="000000"/>
                <w:sz w:val="21"/>
                <w:szCs w:val="21"/>
                <w:highlight w:val="none"/>
                <w:lang w:bidi="ar"/>
              </w:rPr>
              <w:t>符合要求的合同关键页</w:t>
            </w:r>
            <w:r>
              <w:rPr>
                <w:rFonts w:hint="eastAsia" w:hAnsi="宋体" w:cs="宋体"/>
                <w:b/>
                <w:bCs/>
                <w:color w:val="000000"/>
                <w:sz w:val="21"/>
                <w:szCs w:val="21"/>
                <w:highlight w:val="none"/>
                <w:lang w:eastAsia="zh-CN" w:bidi="ar"/>
              </w:rPr>
              <w:t>；</w:t>
            </w:r>
          </w:p>
          <w:p w14:paraId="14187E91">
            <w:pPr>
              <w:widowControl/>
              <w:jc w:val="left"/>
              <w:rPr>
                <w:rFonts w:hint="eastAsia" w:hAnsi="宋体" w:cs="宋体"/>
                <w:b/>
                <w:bCs/>
                <w:color w:val="000000"/>
                <w:sz w:val="21"/>
                <w:szCs w:val="21"/>
                <w:highlight w:val="none"/>
                <w:lang w:eastAsia="zh-CN" w:bidi="ar"/>
              </w:rPr>
            </w:pPr>
            <w:r>
              <w:rPr>
                <w:rFonts w:hint="eastAsia" w:hAnsi="宋体" w:cs="宋体"/>
                <w:b/>
                <w:bCs/>
                <w:color w:val="000000"/>
                <w:sz w:val="21"/>
                <w:szCs w:val="21"/>
                <w:highlight w:val="none"/>
                <w:lang w:eastAsia="zh-CN" w:bidi="ar"/>
              </w:rPr>
              <w:t>（</w:t>
            </w:r>
            <w:r>
              <w:rPr>
                <w:rFonts w:hint="eastAsia" w:hAnsi="宋体" w:cs="宋体"/>
                <w:b/>
                <w:bCs/>
                <w:color w:val="000000"/>
                <w:sz w:val="21"/>
                <w:szCs w:val="21"/>
                <w:highlight w:val="none"/>
                <w:lang w:val="en-US" w:eastAsia="zh-CN" w:bidi="ar"/>
              </w:rPr>
              <w:t>2</w:t>
            </w:r>
            <w:r>
              <w:rPr>
                <w:rFonts w:hint="eastAsia" w:hAnsi="宋体" w:cs="宋体"/>
                <w:b/>
                <w:bCs/>
                <w:color w:val="000000"/>
                <w:sz w:val="21"/>
                <w:szCs w:val="21"/>
                <w:highlight w:val="none"/>
                <w:lang w:eastAsia="zh-CN" w:bidi="ar"/>
              </w:rPr>
              <w:t>）供货安装完毕并验收合格的相关证明文件（如验收证书或合同甲方开具的证明等）；</w:t>
            </w:r>
          </w:p>
          <w:p w14:paraId="1BD44308">
            <w:pPr>
              <w:widowControl/>
              <w:jc w:val="left"/>
              <w:rPr>
                <w:rFonts w:hint="eastAsia" w:hAnsi="宋体" w:cs="宋体"/>
                <w:b/>
                <w:bCs/>
                <w:color w:val="000000"/>
                <w:sz w:val="21"/>
                <w:szCs w:val="21"/>
                <w:highlight w:val="none"/>
                <w:lang w:eastAsia="zh-CN" w:bidi="ar"/>
              </w:rPr>
            </w:pPr>
            <w:r>
              <w:rPr>
                <w:rFonts w:hint="eastAsia" w:hAnsi="宋体" w:cs="宋体"/>
                <w:b/>
                <w:bCs/>
                <w:color w:val="000000"/>
                <w:sz w:val="21"/>
                <w:szCs w:val="21"/>
                <w:highlight w:val="none"/>
                <w:lang w:val="en-US" w:eastAsia="zh-CN" w:bidi="ar"/>
              </w:rPr>
              <w:t>2、</w:t>
            </w:r>
            <w:r>
              <w:rPr>
                <w:rFonts w:hint="eastAsia" w:hAnsi="宋体" w:cs="宋体"/>
                <w:b/>
                <w:bCs/>
                <w:color w:val="000000"/>
                <w:sz w:val="21"/>
                <w:szCs w:val="21"/>
                <w:highlight w:val="none"/>
                <w:lang w:eastAsia="zh-CN" w:bidi="ar"/>
              </w:rPr>
              <w:t>本招标项目投标人业绩(详细评审)数量：</w:t>
            </w:r>
            <w:r>
              <w:rPr>
                <w:rFonts w:hint="eastAsia" w:hAnsi="宋体" w:cs="宋体"/>
                <w:b/>
                <w:bCs/>
                <w:color w:val="000000"/>
                <w:sz w:val="21"/>
                <w:szCs w:val="21"/>
                <w:highlight w:val="none"/>
                <w:lang w:val="en-US" w:eastAsia="zh-CN" w:bidi="ar"/>
              </w:rPr>
              <w:t>2</w:t>
            </w:r>
            <w:r>
              <w:rPr>
                <w:rFonts w:hint="eastAsia" w:hAnsi="宋体" w:cs="宋体"/>
                <w:b/>
                <w:bCs/>
                <w:color w:val="000000"/>
                <w:sz w:val="21"/>
                <w:szCs w:val="21"/>
                <w:highlight w:val="none"/>
                <w:lang w:eastAsia="zh-CN" w:bidi="ar"/>
              </w:rPr>
              <w:t>个。</w:t>
            </w:r>
            <w:r>
              <w:rPr>
                <w:rFonts w:hint="eastAsia" w:hAnsi="宋体" w:cs="宋体"/>
                <w:b/>
                <w:bCs/>
                <w:color w:val="000000"/>
                <w:sz w:val="21"/>
                <w:szCs w:val="21"/>
                <w:highlight w:val="none"/>
                <w:lang w:val="en-US" w:eastAsia="zh-CN" w:bidi="ar"/>
              </w:rPr>
              <w:t>3、如投标人提供的上述业绩证明材料未能完整或充分反映评审因素（如合同金额、项目负责人姓名、业绩内容等）的，应另附合同甲方证明材料（须加盖合同甲方单位章）予以明确说明，否则评标委员会不予认可。</w:t>
            </w:r>
          </w:p>
        </w:tc>
      </w:tr>
      <w:tr w14:paraId="0F37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8" w:type="dxa"/>
            <w:vMerge w:val="continue"/>
            <w:noWrap w:val="0"/>
            <w:vAlign w:val="top"/>
          </w:tcPr>
          <w:p w14:paraId="53B36EA4">
            <w:pPr>
              <w:snapToGrid w:val="0"/>
              <w:spacing w:line="360" w:lineRule="auto"/>
              <w:jc w:val="center"/>
              <w:rPr>
                <w:rFonts w:hint="eastAsia" w:hAnsi="宋体" w:cs="宋体"/>
                <w:bCs/>
                <w:sz w:val="21"/>
                <w:szCs w:val="21"/>
                <w:highlight w:val="none"/>
              </w:rPr>
            </w:pPr>
          </w:p>
        </w:tc>
        <w:tc>
          <w:tcPr>
            <w:tcW w:w="973" w:type="dxa"/>
            <w:vMerge w:val="continue"/>
            <w:noWrap w:val="0"/>
            <w:vAlign w:val="top"/>
          </w:tcPr>
          <w:p w14:paraId="16649AB7">
            <w:pPr>
              <w:snapToGrid w:val="0"/>
              <w:spacing w:line="360" w:lineRule="auto"/>
              <w:jc w:val="center"/>
              <w:rPr>
                <w:rFonts w:hint="eastAsia" w:hAnsi="宋体" w:cs="宋体"/>
                <w:bCs/>
                <w:sz w:val="21"/>
                <w:szCs w:val="21"/>
                <w:highlight w:val="none"/>
              </w:rPr>
            </w:pPr>
          </w:p>
        </w:tc>
        <w:tc>
          <w:tcPr>
            <w:tcW w:w="1278" w:type="dxa"/>
            <w:shd w:val="clear" w:color="auto" w:fill="auto"/>
            <w:noWrap w:val="0"/>
            <w:tcMar>
              <w:left w:w="75" w:type="dxa"/>
            </w:tcMar>
            <w:vAlign w:val="center"/>
          </w:tcPr>
          <w:p w14:paraId="5C0C10FB">
            <w:pPr>
              <w:snapToGrid w:val="0"/>
              <w:spacing w:line="360" w:lineRule="auto"/>
              <w:jc w:val="center"/>
              <w:rPr>
                <w:rFonts w:hint="eastAsia" w:ascii="宋体" w:hAnsi="宋体" w:eastAsia="宋体" w:cs="宋体"/>
                <w:sz w:val="21"/>
                <w:szCs w:val="21"/>
                <w:highlight w:val="none"/>
                <w:lang w:val="en-US" w:eastAsia="zh-CN" w:bidi="ar-SA"/>
              </w:rPr>
            </w:pPr>
            <w:r>
              <w:rPr>
                <w:rFonts w:hint="eastAsia" w:hAnsi="宋体" w:cs="宋体"/>
                <w:sz w:val="21"/>
                <w:szCs w:val="21"/>
                <w:highlight w:val="none"/>
                <w:lang w:val="en-US" w:eastAsia="zh-CN"/>
              </w:rPr>
              <w:t>产品、部件的软件著作权证书</w:t>
            </w:r>
          </w:p>
        </w:tc>
        <w:tc>
          <w:tcPr>
            <w:tcW w:w="784" w:type="dxa"/>
            <w:shd w:val="clear" w:color="auto" w:fill="auto"/>
            <w:noWrap w:val="0"/>
            <w:vAlign w:val="center"/>
          </w:tcPr>
          <w:p w14:paraId="41A5898E">
            <w:pPr>
              <w:widowControl/>
              <w:snapToGrid w:val="0"/>
              <w:spacing w:line="360" w:lineRule="auto"/>
              <w:jc w:val="center"/>
              <w:rPr>
                <w:rFonts w:hint="eastAsia" w:ascii="宋体" w:hAnsi="宋体" w:eastAsia="宋体" w:cs="宋体"/>
                <w:sz w:val="21"/>
                <w:szCs w:val="21"/>
                <w:highlight w:val="none"/>
                <w:lang w:val="en-US" w:eastAsia="zh-CN" w:bidi="ar-SA"/>
              </w:rPr>
            </w:pPr>
            <w:r>
              <w:rPr>
                <w:rFonts w:hint="eastAsia" w:hAnsi="宋体" w:cs="宋体"/>
                <w:sz w:val="21"/>
                <w:szCs w:val="21"/>
                <w:highlight w:val="none"/>
                <w:lang w:val="en-US" w:eastAsia="zh-CN"/>
              </w:rPr>
              <w:t>8</w:t>
            </w:r>
            <w:r>
              <w:rPr>
                <w:rFonts w:hint="eastAsia" w:hAnsi="宋体" w:cs="宋体"/>
                <w:sz w:val="21"/>
                <w:szCs w:val="21"/>
                <w:highlight w:val="none"/>
              </w:rPr>
              <w:t>分</w:t>
            </w:r>
          </w:p>
        </w:tc>
        <w:tc>
          <w:tcPr>
            <w:tcW w:w="4637" w:type="dxa"/>
            <w:shd w:val="clear" w:color="auto" w:fill="auto"/>
            <w:noWrap w:val="0"/>
            <w:vAlign w:val="center"/>
          </w:tcPr>
          <w:p w14:paraId="0E861662">
            <w:pPr>
              <w:numPr>
                <w:ilvl w:val="0"/>
                <w:numId w:val="0"/>
              </w:numPr>
              <w:shd w:val="clear" w:fill="FFFFFF" w:themeFill="background1"/>
              <w:rPr>
                <w:rFonts w:hint="eastAsia" w:hAnsi="宋体" w:cs="宋体"/>
                <w:b w:val="0"/>
                <w:bCs w:val="0"/>
                <w:color w:val="000000"/>
                <w:sz w:val="21"/>
                <w:szCs w:val="21"/>
                <w:highlight w:val="none"/>
                <w:lang w:eastAsia="zh-CN" w:bidi="ar"/>
              </w:rPr>
            </w:pPr>
            <w:r>
              <w:rPr>
                <w:rFonts w:hint="eastAsia" w:hAnsi="宋体" w:cs="宋体"/>
                <w:b w:val="0"/>
                <w:bCs w:val="0"/>
                <w:color w:val="000000"/>
                <w:sz w:val="21"/>
                <w:szCs w:val="21"/>
                <w:highlight w:val="none"/>
                <w:lang w:bidi="ar"/>
              </w:rPr>
              <w:t>投标人所投产品</w:t>
            </w:r>
            <w:r>
              <w:rPr>
                <w:rFonts w:hint="eastAsia" w:hAnsi="宋体" w:cs="宋体"/>
                <w:b w:val="0"/>
                <w:bCs w:val="0"/>
                <w:color w:val="000000"/>
                <w:sz w:val="21"/>
                <w:szCs w:val="21"/>
                <w:highlight w:val="none"/>
                <w:lang w:val="en-US" w:eastAsia="zh-CN" w:bidi="ar"/>
              </w:rPr>
              <w:t>具有以下</w:t>
            </w:r>
            <w:r>
              <w:rPr>
                <w:rFonts w:hint="eastAsia" w:hAnsi="宋体" w:cs="宋体"/>
                <w:b w:val="0"/>
                <w:bCs w:val="0"/>
                <w:color w:val="000000"/>
                <w:sz w:val="21"/>
                <w:szCs w:val="21"/>
                <w:highlight w:val="none"/>
                <w:lang w:bidi="ar"/>
              </w:rPr>
              <w:t>软件著作权证书</w:t>
            </w:r>
            <w:r>
              <w:rPr>
                <w:rFonts w:hint="eastAsia" w:hAnsi="宋体" w:cs="宋体"/>
                <w:b w:val="0"/>
                <w:bCs w:val="0"/>
                <w:color w:val="000000"/>
                <w:sz w:val="21"/>
                <w:szCs w:val="21"/>
                <w:highlight w:val="none"/>
                <w:lang w:eastAsia="zh-CN" w:bidi="ar"/>
              </w:rPr>
              <w:t>：</w:t>
            </w:r>
          </w:p>
          <w:p w14:paraId="21D44853">
            <w:pPr>
              <w:numPr>
                <w:ilvl w:val="0"/>
                <w:numId w:val="0"/>
              </w:numPr>
              <w:shd w:val="clear" w:fill="FFFFFF" w:themeFill="background1"/>
              <w:rPr>
                <w:rFonts w:hint="eastAsia" w:hAnsi="宋体" w:cs="宋体"/>
                <w:sz w:val="21"/>
                <w:szCs w:val="21"/>
                <w:highlight w:val="none"/>
                <w:lang w:val="en-US" w:eastAsia="zh-CN"/>
              </w:rPr>
            </w:pPr>
            <w:r>
              <w:rPr>
                <w:rFonts w:hint="eastAsia" w:hAnsi="宋体" w:cs="宋体"/>
                <w:sz w:val="21"/>
                <w:szCs w:val="21"/>
                <w:highlight w:val="none"/>
                <w:lang w:val="en-US" w:eastAsia="zh-CN"/>
              </w:rPr>
              <w:t>1、所投数字会议主机</w:t>
            </w:r>
            <w:r>
              <w:rPr>
                <w:rFonts w:hint="eastAsia" w:hAnsi="宋体" w:cs="宋体"/>
                <w:b w:val="0"/>
                <w:bCs w:val="0"/>
                <w:color w:val="000000"/>
                <w:sz w:val="21"/>
                <w:szCs w:val="21"/>
                <w:highlight w:val="none"/>
                <w:lang w:bidi="ar"/>
              </w:rPr>
              <w:t>产品</w:t>
            </w:r>
            <w:r>
              <w:rPr>
                <w:rFonts w:hint="eastAsia" w:hAnsi="宋体" w:cs="宋体"/>
                <w:sz w:val="21"/>
                <w:szCs w:val="21"/>
                <w:highlight w:val="none"/>
                <w:lang w:val="en-US" w:eastAsia="zh-CN"/>
              </w:rPr>
              <w:t>具有数字会议系统管理软件类软件著作权证书，</w:t>
            </w:r>
            <w:r>
              <w:rPr>
                <w:rFonts w:hint="eastAsia" w:hAnsi="宋体" w:cs="宋体"/>
                <w:b w:val="0"/>
                <w:bCs w:val="0"/>
                <w:color w:val="000000"/>
                <w:sz w:val="21"/>
                <w:szCs w:val="21"/>
                <w:highlight w:val="none"/>
                <w:lang w:val="en-US" w:eastAsia="zh-CN" w:bidi="ar"/>
              </w:rPr>
              <w:t>得2分；</w:t>
            </w:r>
          </w:p>
          <w:p w14:paraId="07FC3AB5">
            <w:pPr>
              <w:numPr>
                <w:ilvl w:val="0"/>
                <w:numId w:val="0"/>
              </w:numPr>
              <w:shd w:val="clear" w:fill="FFFFFF" w:themeFill="background1"/>
              <w:rPr>
                <w:rFonts w:hint="default" w:hAnsi="宋体" w:cs="宋体"/>
                <w:sz w:val="21"/>
                <w:szCs w:val="21"/>
                <w:highlight w:val="none"/>
                <w:lang w:val="en-US" w:eastAsia="zh-CN"/>
              </w:rPr>
            </w:pPr>
            <w:r>
              <w:rPr>
                <w:rFonts w:hint="eastAsia" w:hAnsi="宋体" w:cs="宋体"/>
                <w:sz w:val="21"/>
                <w:szCs w:val="21"/>
                <w:highlight w:val="none"/>
                <w:lang w:val="en-US" w:eastAsia="zh-CN"/>
              </w:rPr>
              <w:t>2、所投视频处理器</w:t>
            </w:r>
            <w:r>
              <w:rPr>
                <w:rFonts w:hint="eastAsia" w:hAnsi="宋体" w:cs="宋体"/>
                <w:b w:val="0"/>
                <w:bCs w:val="0"/>
                <w:color w:val="000000"/>
                <w:sz w:val="21"/>
                <w:szCs w:val="21"/>
                <w:highlight w:val="none"/>
                <w:lang w:bidi="ar"/>
              </w:rPr>
              <w:t>产品</w:t>
            </w:r>
            <w:r>
              <w:rPr>
                <w:rFonts w:hint="eastAsia" w:hAnsi="宋体" w:cs="宋体"/>
                <w:sz w:val="21"/>
                <w:szCs w:val="21"/>
                <w:highlight w:val="none"/>
                <w:lang w:val="en-US" w:eastAsia="zh-CN"/>
              </w:rPr>
              <w:t>具有LED大屏幕播放控制软件类软件著作权证书，</w:t>
            </w:r>
            <w:r>
              <w:rPr>
                <w:rFonts w:hint="eastAsia" w:hAnsi="宋体" w:cs="宋体"/>
                <w:b w:val="0"/>
                <w:bCs w:val="0"/>
                <w:color w:val="000000"/>
                <w:sz w:val="21"/>
                <w:szCs w:val="21"/>
                <w:highlight w:val="none"/>
                <w:lang w:val="en-US" w:eastAsia="zh-CN" w:bidi="ar"/>
              </w:rPr>
              <w:t>得2分；</w:t>
            </w:r>
          </w:p>
          <w:p w14:paraId="6A1A157F">
            <w:pPr>
              <w:numPr>
                <w:ilvl w:val="0"/>
                <w:numId w:val="0"/>
              </w:numPr>
              <w:shd w:val="clear" w:fill="FFFFFF" w:themeFill="background1"/>
              <w:rPr>
                <w:rFonts w:hint="default" w:hAnsi="宋体" w:cs="宋体"/>
                <w:sz w:val="21"/>
                <w:szCs w:val="21"/>
                <w:highlight w:val="none"/>
                <w:lang w:val="en-US" w:eastAsia="zh-CN"/>
              </w:rPr>
            </w:pPr>
            <w:r>
              <w:rPr>
                <w:rFonts w:hint="eastAsia" w:hAnsi="宋体" w:cs="宋体"/>
                <w:sz w:val="21"/>
                <w:szCs w:val="21"/>
                <w:highlight w:val="none"/>
                <w:lang w:val="en-US" w:eastAsia="zh-CN"/>
              </w:rPr>
              <w:t>3、所投UPS主机</w:t>
            </w:r>
            <w:r>
              <w:rPr>
                <w:rFonts w:hint="eastAsia" w:hAnsi="宋体" w:cs="宋体"/>
                <w:b w:val="0"/>
                <w:bCs w:val="0"/>
                <w:color w:val="000000"/>
                <w:sz w:val="21"/>
                <w:szCs w:val="21"/>
                <w:highlight w:val="none"/>
                <w:lang w:bidi="ar"/>
              </w:rPr>
              <w:t>产品</w:t>
            </w:r>
            <w:r>
              <w:rPr>
                <w:rFonts w:hint="eastAsia" w:hAnsi="宋体" w:cs="宋体"/>
                <w:sz w:val="21"/>
                <w:szCs w:val="21"/>
                <w:highlight w:val="none"/>
                <w:lang w:val="en-US" w:eastAsia="zh-CN"/>
              </w:rPr>
              <w:t>具有</w:t>
            </w:r>
            <w:r>
              <w:rPr>
                <w:rFonts w:hint="default" w:hAnsi="宋体" w:cs="宋体"/>
                <w:sz w:val="21"/>
                <w:szCs w:val="21"/>
                <w:highlight w:val="none"/>
                <w:lang w:val="en-US" w:eastAsia="zh-CN"/>
              </w:rPr>
              <w:t>超宽电压UPS电源</w:t>
            </w:r>
            <w:r>
              <w:rPr>
                <w:rFonts w:hint="eastAsia" w:hAnsi="宋体" w:cs="宋体"/>
                <w:sz w:val="21"/>
                <w:szCs w:val="21"/>
                <w:highlight w:val="none"/>
                <w:lang w:val="en-US" w:eastAsia="zh-CN"/>
              </w:rPr>
              <w:t>后备</w:t>
            </w:r>
            <w:r>
              <w:rPr>
                <w:rFonts w:hint="default" w:hAnsi="宋体" w:cs="宋体"/>
                <w:sz w:val="21"/>
                <w:szCs w:val="21"/>
                <w:highlight w:val="none"/>
                <w:lang w:val="en-US" w:eastAsia="zh-CN"/>
              </w:rPr>
              <w:t>式控制</w:t>
            </w:r>
            <w:r>
              <w:rPr>
                <w:rFonts w:hint="eastAsia" w:hAnsi="宋体" w:cs="宋体"/>
                <w:sz w:val="21"/>
                <w:szCs w:val="21"/>
                <w:highlight w:val="none"/>
                <w:lang w:val="en-US" w:eastAsia="zh-CN"/>
              </w:rPr>
              <w:t>软件类软件著作权证书，</w:t>
            </w:r>
            <w:r>
              <w:rPr>
                <w:rFonts w:hint="eastAsia" w:hAnsi="宋体" w:cs="宋体"/>
                <w:b w:val="0"/>
                <w:bCs w:val="0"/>
                <w:color w:val="000000"/>
                <w:sz w:val="21"/>
                <w:szCs w:val="21"/>
                <w:highlight w:val="none"/>
                <w:lang w:val="en-US" w:eastAsia="zh-CN" w:bidi="ar"/>
              </w:rPr>
              <w:t>得2分；</w:t>
            </w:r>
          </w:p>
          <w:p w14:paraId="6D4E7941">
            <w:pPr>
              <w:numPr>
                <w:ilvl w:val="0"/>
                <w:numId w:val="0"/>
              </w:numPr>
              <w:shd w:val="clear" w:fill="FFFFFF" w:themeFill="background1"/>
              <w:rPr>
                <w:rFonts w:hint="default" w:hAnsi="宋体" w:cs="宋体"/>
                <w:sz w:val="21"/>
                <w:szCs w:val="21"/>
                <w:highlight w:val="none"/>
                <w:lang w:val="en-US" w:eastAsia="zh-CN"/>
              </w:rPr>
            </w:pPr>
            <w:r>
              <w:rPr>
                <w:rFonts w:hint="eastAsia" w:hAnsi="宋体" w:cs="宋体"/>
                <w:sz w:val="21"/>
                <w:szCs w:val="21"/>
                <w:highlight w:val="none"/>
                <w:lang w:val="en-US" w:eastAsia="zh-CN"/>
              </w:rPr>
              <w:t>4、所投交换机</w:t>
            </w:r>
            <w:r>
              <w:rPr>
                <w:rFonts w:hint="eastAsia" w:hAnsi="宋体" w:cs="宋体"/>
                <w:b w:val="0"/>
                <w:bCs w:val="0"/>
                <w:color w:val="000000"/>
                <w:sz w:val="21"/>
                <w:szCs w:val="21"/>
                <w:highlight w:val="none"/>
                <w:lang w:bidi="ar"/>
              </w:rPr>
              <w:t>产品</w:t>
            </w:r>
            <w:r>
              <w:rPr>
                <w:rFonts w:hint="eastAsia" w:hAnsi="宋体" w:cs="宋体"/>
                <w:sz w:val="21"/>
                <w:szCs w:val="21"/>
                <w:highlight w:val="none"/>
                <w:lang w:val="en-US" w:eastAsia="zh-CN"/>
              </w:rPr>
              <w:t>具有自主可控交换机管理软件类软件著作权证书，得2分</w:t>
            </w:r>
            <w:r>
              <w:rPr>
                <w:rFonts w:hint="eastAsia" w:hAnsi="宋体" w:cs="宋体"/>
                <w:b w:val="0"/>
                <w:bCs w:val="0"/>
                <w:color w:val="000000"/>
                <w:sz w:val="21"/>
                <w:szCs w:val="21"/>
                <w:highlight w:val="none"/>
                <w:lang w:val="en-US" w:eastAsia="zh-CN" w:bidi="ar"/>
              </w:rPr>
              <w:t>；</w:t>
            </w:r>
          </w:p>
          <w:p w14:paraId="149B903F">
            <w:pPr>
              <w:widowControl/>
              <w:jc w:val="left"/>
              <w:rPr>
                <w:rFonts w:hint="eastAsia" w:ascii="宋体" w:hAnsi="宋体" w:eastAsia="宋体" w:cs="宋体"/>
                <w:b/>
                <w:bCs/>
                <w:color w:val="000000"/>
                <w:sz w:val="21"/>
                <w:szCs w:val="21"/>
                <w:highlight w:val="none"/>
                <w:lang w:val="en-US" w:eastAsia="zh-CN" w:bidi="ar"/>
              </w:rPr>
            </w:pPr>
            <w:r>
              <w:rPr>
                <w:rFonts w:hint="eastAsia" w:hAnsi="宋体" w:cs="宋体"/>
                <w:b/>
                <w:bCs/>
                <w:color w:val="000000"/>
                <w:sz w:val="21"/>
                <w:szCs w:val="21"/>
                <w:highlight w:val="none"/>
                <w:lang w:bidi="ar"/>
              </w:rPr>
              <w:t>注:</w:t>
            </w:r>
            <w:r>
              <w:rPr>
                <w:rFonts w:hint="eastAsia" w:hAnsi="宋体" w:cs="宋体"/>
                <w:b/>
                <w:bCs/>
                <w:color w:val="000000"/>
                <w:sz w:val="21"/>
                <w:szCs w:val="21"/>
                <w:highlight w:val="none"/>
                <w:lang w:val="en-US" w:eastAsia="zh-CN" w:bidi="ar"/>
              </w:rPr>
              <w:t>须</w:t>
            </w:r>
            <w:r>
              <w:rPr>
                <w:rFonts w:hint="eastAsia" w:hAnsi="宋体" w:cs="宋体"/>
                <w:b/>
                <w:bCs/>
                <w:color w:val="000000"/>
                <w:sz w:val="21"/>
                <w:szCs w:val="21"/>
                <w:highlight w:val="none"/>
                <w:lang w:bidi="ar"/>
              </w:rPr>
              <w:t>提供有效证书作为评审依据，同一类软件著作权证书仅计一次。</w:t>
            </w:r>
          </w:p>
        </w:tc>
      </w:tr>
      <w:tr w14:paraId="068E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trPr>
        <w:tc>
          <w:tcPr>
            <w:tcW w:w="778" w:type="dxa"/>
            <w:vMerge w:val="continue"/>
            <w:noWrap w:val="0"/>
            <w:vAlign w:val="top"/>
          </w:tcPr>
          <w:p w14:paraId="459B43D6">
            <w:pPr>
              <w:snapToGrid w:val="0"/>
              <w:spacing w:line="360" w:lineRule="auto"/>
              <w:jc w:val="center"/>
              <w:rPr>
                <w:rFonts w:hint="eastAsia" w:hAnsi="宋体" w:cs="宋体"/>
                <w:bCs/>
                <w:sz w:val="21"/>
                <w:szCs w:val="21"/>
                <w:highlight w:val="none"/>
              </w:rPr>
            </w:pPr>
          </w:p>
        </w:tc>
        <w:tc>
          <w:tcPr>
            <w:tcW w:w="973" w:type="dxa"/>
            <w:vMerge w:val="continue"/>
            <w:noWrap w:val="0"/>
            <w:vAlign w:val="top"/>
          </w:tcPr>
          <w:p w14:paraId="07F81E66">
            <w:pPr>
              <w:snapToGrid w:val="0"/>
              <w:spacing w:line="360" w:lineRule="auto"/>
              <w:jc w:val="center"/>
              <w:rPr>
                <w:rFonts w:hint="eastAsia" w:hAnsi="宋体" w:cs="宋体"/>
                <w:bCs/>
                <w:sz w:val="21"/>
                <w:szCs w:val="21"/>
                <w:highlight w:val="none"/>
              </w:rPr>
            </w:pPr>
          </w:p>
        </w:tc>
        <w:tc>
          <w:tcPr>
            <w:tcW w:w="1278" w:type="dxa"/>
            <w:noWrap w:val="0"/>
            <w:tcMar>
              <w:left w:w="75" w:type="dxa"/>
            </w:tcMar>
            <w:vAlign w:val="center"/>
          </w:tcPr>
          <w:p w14:paraId="65A01BFB">
            <w:pPr>
              <w:snapToGrid w:val="0"/>
              <w:spacing w:line="360" w:lineRule="auto"/>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技术评审</w:t>
            </w:r>
          </w:p>
        </w:tc>
        <w:tc>
          <w:tcPr>
            <w:tcW w:w="784" w:type="dxa"/>
            <w:noWrap w:val="0"/>
            <w:vAlign w:val="center"/>
          </w:tcPr>
          <w:p w14:paraId="1DCB8618">
            <w:pPr>
              <w:widowControl/>
              <w:snapToGrid w:val="0"/>
              <w:spacing w:line="360" w:lineRule="auto"/>
              <w:jc w:val="center"/>
              <w:rPr>
                <w:rFonts w:hint="eastAsia" w:hAnsi="宋体" w:cs="宋体"/>
                <w:sz w:val="21"/>
                <w:szCs w:val="21"/>
                <w:highlight w:val="none"/>
              </w:rPr>
            </w:pPr>
            <w:r>
              <w:rPr>
                <w:rFonts w:hint="eastAsia" w:hAnsi="宋体" w:cs="宋体"/>
                <w:sz w:val="21"/>
                <w:szCs w:val="21"/>
                <w:highlight w:val="none"/>
                <w:lang w:val="en-US" w:eastAsia="zh-CN"/>
              </w:rPr>
              <w:t>20</w:t>
            </w:r>
            <w:r>
              <w:rPr>
                <w:rFonts w:hint="eastAsia" w:hAnsi="宋体" w:cs="宋体"/>
                <w:sz w:val="21"/>
                <w:szCs w:val="21"/>
                <w:highlight w:val="none"/>
              </w:rPr>
              <w:t>分</w:t>
            </w:r>
          </w:p>
        </w:tc>
        <w:tc>
          <w:tcPr>
            <w:tcW w:w="4637" w:type="dxa"/>
            <w:noWrap w:val="0"/>
            <w:vAlign w:val="center"/>
          </w:tcPr>
          <w:p w14:paraId="0A33FD6D">
            <w:pPr>
              <w:rPr>
                <w:rFonts w:hint="default" w:ascii="宋体" w:hAnsi="宋体" w:eastAsia="宋体" w:cs="Times New Roman"/>
                <w:kern w:val="2"/>
                <w:sz w:val="21"/>
                <w:szCs w:val="21"/>
                <w:highlight w:val="none"/>
                <w:lang w:val="en-US" w:eastAsia="zh-CN"/>
              </w:rPr>
            </w:pPr>
            <w:r>
              <w:rPr>
                <w:rFonts w:hint="eastAsia" w:ascii="宋体" w:hAnsi="宋体" w:eastAsia="宋体" w:cs="Times New Roman"/>
                <w:kern w:val="2"/>
                <w:sz w:val="21"/>
                <w:szCs w:val="21"/>
                <w:highlight w:val="none"/>
                <w:lang w:val="en-US" w:eastAsia="zh-CN"/>
              </w:rPr>
              <w:t>下列设备完全满足或优于招标文件技术参数要求，</w:t>
            </w:r>
            <w:r>
              <w:rPr>
                <w:rFonts w:hint="eastAsia" w:ascii="宋体" w:hAnsi="宋体" w:cs="Times New Roman"/>
                <w:kern w:val="2"/>
                <w:sz w:val="21"/>
                <w:szCs w:val="21"/>
                <w:highlight w:val="none"/>
                <w:lang w:val="en-US" w:eastAsia="zh-CN"/>
              </w:rPr>
              <w:t>并</w:t>
            </w:r>
            <w:r>
              <w:rPr>
                <w:rFonts w:hint="eastAsia" w:ascii="宋体" w:hAnsi="宋体" w:eastAsia="宋体" w:cs="Times New Roman"/>
                <w:kern w:val="2"/>
                <w:sz w:val="21"/>
                <w:szCs w:val="21"/>
                <w:highlight w:val="none"/>
                <w:lang w:val="en-US" w:eastAsia="zh-CN"/>
              </w:rPr>
              <w:t>提供</w:t>
            </w:r>
            <w:r>
              <w:rPr>
                <w:rFonts w:hint="eastAsia" w:ascii="宋体" w:hAnsi="宋体" w:cs="Times New Roman"/>
                <w:kern w:val="2"/>
                <w:sz w:val="21"/>
                <w:szCs w:val="21"/>
                <w:highlight w:val="none"/>
                <w:lang w:val="en-US" w:eastAsia="zh-CN"/>
              </w:rPr>
              <w:t>要求的证明材料，</w:t>
            </w:r>
            <w:r>
              <w:rPr>
                <w:rFonts w:hint="eastAsia" w:hAnsi="宋体" w:cs="Times New Roman"/>
                <w:kern w:val="2"/>
                <w:sz w:val="21"/>
                <w:szCs w:val="21"/>
                <w:highlight w:val="none"/>
                <w:lang w:val="en-US" w:eastAsia="zh-CN"/>
              </w:rPr>
              <w:t>每1小项1分，满分20分。</w:t>
            </w:r>
          </w:p>
          <w:p w14:paraId="57EE7D0D">
            <w:pPr>
              <w:spacing w:line="240" w:lineRule="auto"/>
              <w:rPr>
                <w:rFonts w:hint="eastAsia" w:ascii="宋体" w:hAnsi="宋体" w:eastAsia="宋体" w:cs="Times New Roman"/>
                <w:b/>
                <w:bCs/>
                <w:kern w:val="2"/>
                <w:sz w:val="21"/>
                <w:szCs w:val="21"/>
                <w:highlight w:val="none"/>
                <w:lang w:val="en-US" w:eastAsia="zh-CN"/>
              </w:rPr>
            </w:pPr>
            <w:r>
              <w:rPr>
                <w:rFonts w:hint="eastAsia" w:ascii="宋体" w:hAnsi="宋体" w:eastAsia="宋体" w:cs="Times New Roman"/>
                <w:b/>
                <w:bCs/>
                <w:kern w:val="2"/>
                <w:sz w:val="21"/>
                <w:szCs w:val="21"/>
                <w:highlight w:val="none"/>
              </w:rPr>
              <w:t>一、视频存储服务器</w:t>
            </w:r>
          </w:p>
          <w:p w14:paraId="40860171">
            <w:pPr>
              <w:numPr>
                <w:ilvl w:val="0"/>
                <w:numId w:val="0"/>
              </w:numPr>
              <w:spacing w:line="240" w:lineRule="auto"/>
              <w:rPr>
                <w:rFonts w:hint="eastAsia" w:ascii="宋体" w:hAnsi="宋体" w:eastAsia="宋体" w:cs="Times New Roman"/>
                <w:kern w:val="2"/>
                <w:sz w:val="21"/>
                <w:szCs w:val="21"/>
                <w:highlight w:val="none"/>
                <w:lang w:val="en-US" w:eastAsia="zh-CN"/>
              </w:rPr>
            </w:pPr>
            <w:r>
              <w:rPr>
                <w:rFonts w:hint="eastAsia" w:hAnsi="宋体" w:cs="Times New Roman"/>
                <w:kern w:val="2"/>
                <w:sz w:val="21"/>
                <w:szCs w:val="21"/>
                <w:highlight w:val="none"/>
                <w:lang w:val="en-US" w:eastAsia="zh-CN"/>
              </w:rPr>
              <w:t>1</w:t>
            </w:r>
            <w:r>
              <w:rPr>
                <w:rFonts w:hint="eastAsia" w:ascii="宋体" w:hAnsi="宋体" w:eastAsia="宋体" w:cs="Times New Roman"/>
                <w:kern w:val="2"/>
                <w:sz w:val="21"/>
                <w:szCs w:val="21"/>
                <w:highlight w:val="none"/>
                <w:lang w:val="en-US" w:eastAsia="zh-CN"/>
              </w:rPr>
              <w:t>. 前面板具有锁止功能，加锁后硬盘无法取出，具有可拆卸式防尘滤网，选配支持带显示器的前面板。</w:t>
            </w:r>
          </w:p>
          <w:p w14:paraId="765A9ECD">
            <w:pPr>
              <w:numPr>
                <w:ilvl w:val="0"/>
                <w:numId w:val="0"/>
              </w:numPr>
              <w:spacing w:line="240" w:lineRule="auto"/>
              <w:rPr>
                <w:rFonts w:hint="eastAsia" w:ascii="宋体" w:hAnsi="宋体" w:eastAsia="宋体" w:cs="Times New Roman"/>
                <w:kern w:val="2"/>
                <w:sz w:val="21"/>
                <w:szCs w:val="21"/>
                <w:highlight w:val="none"/>
                <w:lang w:val="en-US" w:eastAsia="zh-CN"/>
              </w:rPr>
            </w:pPr>
            <w:r>
              <w:rPr>
                <w:rFonts w:hint="eastAsia" w:hAnsi="宋体" w:cs="Times New Roman"/>
                <w:kern w:val="2"/>
                <w:sz w:val="21"/>
                <w:szCs w:val="21"/>
                <w:highlight w:val="none"/>
                <w:lang w:val="en-US" w:eastAsia="zh-CN"/>
              </w:rPr>
              <w:t>2</w:t>
            </w:r>
            <w:r>
              <w:rPr>
                <w:rFonts w:hint="eastAsia" w:ascii="宋体" w:hAnsi="宋体" w:eastAsia="宋体" w:cs="Times New Roman"/>
                <w:kern w:val="2"/>
                <w:sz w:val="21"/>
                <w:szCs w:val="21"/>
                <w:highlight w:val="none"/>
                <w:lang w:val="en-US" w:eastAsia="zh-CN"/>
              </w:rPr>
              <w:t>.可扩展带显示器的前面板，可在设备前面板自带的液晶屏上，显示时间、设备信息、网卡状态、远程设备状态、录像状态、Raid状态、硬盘状态、环控信息、报警信息</w:t>
            </w:r>
            <w:r>
              <w:rPr>
                <w:rFonts w:hint="eastAsia" w:hAnsi="宋体" w:cs="Times New Roman"/>
                <w:kern w:val="2"/>
                <w:sz w:val="21"/>
                <w:szCs w:val="21"/>
                <w:highlight w:val="none"/>
                <w:lang w:val="en-US" w:eastAsia="zh-CN"/>
              </w:rPr>
              <w:t>。</w:t>
            </w:r>
          </w:p>
          <w:p w14:paraId="7454E0C4">
            <w:pPr>
              <w:numPr>
                <w:ilvl w:val="0"/>
                <w:numId w:val="0"/>
              </w:numPr>
              <w:spacing w:line="240" w:lineRule="auto"/>
              <w:rPr>
                <w:rFonts w:hint="eastAsia" w:ascii="宋体" w:hAnsi="宋体" w:eastAsia="宋体" w:cs="Times New Roman"/>
                <w:kern w:val="2"/>
                <w:sz w:val="21"/>
                <w:szCs w:val="21"/>
                <w:highlight w:val="none"/>
                <w:lang w:val="en-US" w:eastAsia="zh-CN"/>
              </w:rPr>
            </w:pPr>
            <w:r>
              <w:rPr>
                <w:rFonts w:hint="eastAsia" w:hAnsi="宋体" w:cs="Times New Roman"/>
                <w:kern w:val="2"/>
                <w:sz w:val="21"/>
                <w:szCs w:val="21"/>
                <w:highlight w:val="none"/>
                <w:lang w:val="en-US" w:eastAsia="zh-CN"/>
              </w:rPr>
              <w:t>3</w:t>
            </w:r>
            <w:r>
              <w:rPr>
                <w:rFonts w:hint="eastAsia" w:ascii="宋体" w:hAnsi="宋体" w:eastAsia="宋体" w:cs="Times New Roman"/>
                <w:kern w:val="2"/>
                <w:sz w:val="21"/>
                <w:szCs w:val="21"/>
                <w:highlight w:val="none"/>
                <w:lang w:val="en-US" w:eastAsia="zh-CN"/>
              </w:rPr>
              <w:t>. 可对被监测的硬盘健康状态进行分级分类，类别包含“硬盘良好状态”、“硬盘告警状态”、“硬盘错误状态”、“硬盘即将损坏”和“硬盘损坏状态”；. 支持纠删码技术。最多可以支持16个盘掉线或者损坏，数据仍然有效，保留的硬盘中的数据可正常读出，且新数据可正常写入.创建RAID后即为同步完成状态；</w:t>
            </w:r>
          </w:p>
          <w:p w14:paraId="15B1D34D">
            <w:pPr>
              <w:numPr>
                <w:ilvl w:val="0"/>
                <w:numId w:val="0"/>
              </w:numPr>
              <w:spacing w:line="240" w:lineRule="auto"/>
              <w:rPr>
                <w:rFonts w:hint="eastAsia"/>
                <w:b/>
                <w:bCs/>
                <w:highlight w:val="none"/>
              </w:rPr>
            </w:pPr>
            <w:r>
              <w:rPr>
                <w:rFonts w:hint="eastAsia" w:hAnsi="宋体" w:cs="Times New Roman"/>
                <w:b/>
                <w:bCs/>
                <w:kern w:val="2"/>
                <w:sz w:val="21"/>
                <w:szCs w:val="21"/>
                <w:highlight w:val="none"/>
                <w:lang w:val="en-US" w:eastAsia="zh-CN"/>
              </w:rPr>
              <w:t>注：以上参数均需</w:t>
            </w:r>
            <w:r>
              <w:rPr>
                <w:rFonts w:hint="eastAsia" w:ascii="宋体" w:hAnsi="宋体" w:eastAsia="宋体" w:cs="Times New Roman"/>
                <w:b/>
                <w:bCs/>
                <w:kern w:val="2"/>
                <w:sz w:val="21"/>
                <w:szCs w:val="21"/>
                <w:highlight w:val="none"/>
              </w:rPr>
              <w:t>提供第三方检测机构出具的具有“ CMA ”或“ CNAS ”标识的检测报告</w:t>
            </w:r>
            <w:r>
              <w:rPr>
                <w:rFonts w:hint="eastAsia" w:ascii="宋体" w:hAnsi="宋体" w:eastAsia="宋体" w:cs="Times New Roman"/>
                <w:b/>
                <w:bCs/>
                <w:kern w:val="2"/>
                <w:sz w:val="21"/>
                <w:szCs w:val="21"/>
                <w:highlight w:val="none"/>
                <w:lang w:val="en-US" w:eastAsia="zh-CN"/>
              </w:rPr>
              <w:t>。</w:t>
            </w:r>
          </w:p>
          <w:p w14:paraId="30871291">
            <w:pPr>
              <w:numPr>
                <w:ilvl w:val="0"/>
                <w:numId w:val="4"/>
              </w:numPr>
              <w:spacing w:line="240" w:lineRule="auto"/>
              <w:rPr>
                <w:rFonts w:hint="eastAsia" w:hAnsi="宋体" w:cs="Times New Roman"/>
                <w:b/>
                <w:bCs/>
                <w:kern w:val="2"/>
                <w:sz w:val="21"/>
                <w:szCs w:val="21"/>
                <w:highlight w:val="none"/>
                <w:lang w:val="en-US" w:eastAsia="zh-CN"/>
              </w:rPr>
            </w:pPr>
            <w:r>
              <w:rPr>
                <w:rFonts w:hint="eastAsia" w:hAnsi="宋体" w:cs="Times New Roman"/>
                <w:b/>
                <w:bCs/>
                <w:kern w:val="2"/>
                <w:sz w:val="21"/>
                <w:szCs w:val="21"/>
                <w:highlight w:val="none"/>
                <w:lang w:val="en-US" w:eastAsia="zh-CN"/>
              </w:rPr>
              <w:t>解码器</w:t>
            </w:r>
          </w:p>
          <w:p w14:paraId="269AA151">
            <w:pPr>
              <w:numPr>
                <w:ilvl w:val="0"/>
                <w:numId w:val="0"/>
              </w:numPr>
              <w:spacing w:line="240" w:lineRule="auto"/>
              <w:rPr>
                <w:rFonts w:hint="eastAsia" w:hAnsi="宋体" w:cs="Times New Roman"/>
                <w:kern w:val="2"/>
                <w:sz w:val="21"/>
                <w:szCs w:val="21"/>
                <w:highlight w:val="none"/>
                <w:lang w:val="en-US" w:eastAsia="zh-CN"/>
              </w:rPr>
            </w:pPr>
            <w:r>
              <w:rPr>
                <w:rFonts w:hint="eastAsia" w:hAnsi="宋体" w:cs="Times New Roman"/>
                <w:kern w:val="2"/>
                <w:sz w:val="21"/>
                <w:szCs w:val="21"/>
                <w:highlight w:val="none"/>
                <w:lang w:val="en-US" w:eastAsia="zh-CN"/>
              </w:rPr>
              <w:t>4、支持视频图像跨屏同步显示功能，所有跨屏信号源可以同时发送至各个屏幕显示，时差≤50ｕs。</w:t>
            </w:r>
          </w:p>
          <w:p w14:paraId="72F68AF8">
            <w:pPr>
              <w:numPr>
                <w:ilvl w:val="0"/>
                <w:numId w:val="0"/>
              </w:numPr>
              <w:spacing w:line="240" w:lineRule="auto"/>
              <w:rPr>
                <w:rFonts w:hint="eastAsia" w:hAnsi="宋体" w:cs="Times New Roman"/>
                <w:kern w:val="2"/>
                <w:sz w:val="21"/>
                <w:szCs w:val="21"/>
                <w:highlight w:val="none"/>
                <w:lang w:val="en-US" w:eastAsia="zh-CN"/>
              </w:rPr>
            </w:pPr>
            <w:r>
              <w:rPr>
                <w:rFonts w:hint="eastAsia" w:hAnsi="宋体" w:cs="Times New Roman"/>
                <w:kern w:val="2"/>
                <w:sz w:val="21"/>
                <w:szCs w:val="21"/>
                <w:highlight w:val="none"/>
                <w:lang w:val="en-US" w:eastAsia="zh-CN"/>
              </w:rPr>
              <w:t>5、支持输出口资源复制借用，使每个输出口同时实现≥36路1920×1080、30帧/秒的视频画面分割显示。</w:t>
            </w:r>
          </w:p>
          <w:p w14:paraId="57FE159D">
            <w:pPr>
              <w:numPr>
                <w:ilvl w:val="0"/>
                <w:numId w:val="0"/>
              </w:numPr>
              <w:spacing w:line="240" w:lineRule="auto"/>
              <w:rPr>
                <w:rFonts w:hint="eastAsia"/>
                <w:b/>
                <w:bCs/>
                <w:highlight w:val="none"/>
              </w:rPr>
            </w:pPr>
            <w:r>
              <w:rPr>
                <w:rFonts w:hint="eastAsia" w:ascii="宋体" w:hAnsi="宋体" w:eastAsia="宋体" w:cs="Times New Roman"/>
                <w:b/>
                <w:bCs/>
                <w:kern w:val="2"/>
                <w:sz w:val="21"/>
                <w:szCs w:val="21"/>
                <w:highlight w:val="none"/>
                <w:lang w:val="en-US" w:eastAsia="zh-CN" w:bidi="ar-SA"/>
              </w:rPr>
              <w:t>注：</w:t>
            </w:r>
            <w:r>
              <w:rPr>
                <w:rFonts w:hint="eastAsia" w:hAnsi="宋体" w:cs="Times New Roman"/>
                <w:b/>
                <w:bCs/>
                <w:kern w:val="2"/>
                <w:sz w:val="21"/>
                <w:szCs w:val="21"/>
                <w:highlight w:val="none"/>
                <w:lang w:val="en-US" w:eastAsia="zh-CN"/>
              </w:rPr>
              <w:t>以上参数均需</w:t>
            </w:r>
            <w:r>
              <w:rPr>
                <w:rFonts w:hint="eastAsia" w:ascii="宋体" w:hAnsi="宋体" w:eastAsia="宋体" w:cs="Times New Roman"/>
                <w:b/>
                <w:bCs/>
                <w:kern w:val="2"/>
                <w:sz w:val="21"/>
                <w:szCs w:val="21"/>
                <w:highlight w:val="none"/>
              </w:rPr>
              <w:t>提供第三方检测机构出具的具有“ CMA ”或“ CNAS ”标识的检测报告</w:t>
            </w:r>
            <w:r>
              <w:rPr>
                <w:rFonts w:hint="eastAsia" w:ascii="宋体" w:hAnsi="宋体" w:eastAsia="宋体" w:cs="Times New Roman"/>
                <w:b/>
                <w:bCs/>
                <w:kern w:val="2"/>
                <w:sz w:val="21"/>
                <w:szCs w:val="21"/>
                <w:highlight w:val="none"/>
                <w:lang w:val="en-US" w:eastAsia="zh-CN"/>
              </w:rPr>
              <w:t>。</w:t>
            </w:r>
          </w:p>
          <w:p w14:paraId="57F24D79">
            <w:pPr>
              <w:rPr>
                <w:rFonts w:hint="default" w:hAnsi="宋体" w:cs="Times New Roman"/>
                <w:b/>
                <w:bCs/>
                <w:kern w:val="2"/>
                <w:sz w:val="21"/>
                <w:szCs w:val="21"/>
                <w:highlight w:val="none"/>
                <w:lang w:val="en-US" w:eastAsia="zh-CN"/>
              </w:rPr>
            </w:pPr>
            <w:r>
              <w:rPr>
                <w:rFonts w:hint="eastAsia" w:hAnsi="宋体" w:cs="Times New Roman"/>
                <w:b/>
                <w:bCs/>
                <w:kern w:val="2"/>
                <w:sz w:val="21"/>
                <w:szCs w:val="21"/>
                <w:highlight w:val="none"/>
                <w:lang w:val="en-US" w:eastAsia="zh-CN"/>
              </w:rPr>
              <w:t>三、核心交换机：</w:t>
            </w:r>
          </w:p>
          <w:p w14:paraId="0DE1742A">
            <w:pPr>
              <w:numPr>
                <w:ilvl w:val="0"/>
                <w:numId w:val="0"/>
              </w:numPr>
              <w:rPr>
                <w:rFonts w:hint="eastAsia" w:hAnsi="宋体" w:eastAsia="宋体"/>
                <w:kern w:val="2"/>
                <w:sz w:val="21"/>
                <w:szCs w:val="21"/>
                <w:highlight w:val="none"/>
                <w:lang w:eastAsia="zh-CN"/>
              </w:rPr>
            </w:pPr>
            <w:r>
              <w:rPr>
                <w:rFonts w:hint="eastAsia" w:hAnsi="宋体" w:cs="Times New Roman"/>
                <w:color w:val="auto"/>
                <w:kern w:val="2"/>
                <w:sz w:val="21"/>
                <w:szCs w:val="21"/>
                <w:highlight w:val="none"/>
                <w:lang w:val="en-US" w:eastAsia="zh-CN"/>
              </w:rPr>
              <w:t>6</w:t>
            </w:r>
            <w:r>
              <w:rPr>
                <w:rFonts w:hint="eastAsia" w:ascii="宋体" w:hAnsi="宋体" w:eastAsia="宋体" w:cs="Times New Roman"/>
                <w:color w:val="auto"/>
                <w:kern w:val="2"/>
                <w:sz w:val="21"/>
                <w:szCs w:val="21"/>
                <w:highlight w:val="none"/>
                <w:lang w:val="en-US" w:eastAsia="zh-CN"/>
              </w:rPr>
              <w:t>、</w:t>
            </w:r>
            <w:r>
              <w:rPr>
                <w:rFonts w:hint="eastAsia" w:hAnsi="宋体"/>
                <w:kern w:val="2"/>
                <w:sz w:val="21"/>
                <w:szCs w:val="21"/>
                <w:highlight w:val="none"/>
              </w:rPr>
              <w:t>设备支持软件定义网络SDN，符合0penFlow1.3协议标准，支持SDN和SDNReady功能，实现网络控制层和数据转发层的分离，简化网络的管理及维护难度，实现网络流量的灵活控制</w:t>
            </w:r>
            <w:r>
              <w:rPr>
                <w:rFonts w:hint="eastAsia" w:hAnsi="宋体"/>
                <w:kern w:val="2"/>
                <w:sz w:val="21"/>
                <w:szCs w:val="21"/>
                <w:highlight w:val="none"/>
                <w:lang w:eastAsia="zh-CN"/>
              </w:rPr>
              <w:t>；</w:t>
            </w:r>
          </w:p>
          <w:p w14:paraId="433CDCCE">
            <w:pPr>
              <w:numPr>
                <w:ilvl w:val="0"/>
                <w:numId w:val="0"/>
              </w:numPr>
              <w:rPr>
                <w:rFonts w:hint="eastAsia" w:hAnsi="宋体" w:eastAsia="宋体"/>
                <w:kern w:val="2"/>
                <w:sz w:val="21"/>
                <w:szCs w:val="21"/>
                <w:highlight w:val="none"/>
                <w:lang w:eastAsia="zh-CN"/>
              </w:rPr>
            </w:pPr>
            <w:r>
              <w:rPr>
                <w:rFonts w:hint="eastAsia" w:hAnsi="宋体"/>
                <w:kern w:val="2"/>
                <w:sz w:val="21"/>
                <w:szCs w:val="21"/>
                <w:highlight w:val="none"/>
                <w:lang w:val="en-US" w:eastAsia="zh-CN"/>
              </w:rPr>
              <w:t>7</w:t>
            </w:r>
            <w:r>
              <w:rPr>
                <w:rFonts w:hint="eastAsia" w:hAnsi="宋体"/>
                <w:kern w:val="2"/>
                <w:sz w:val="21"/>
                <w:szCs w:val="21"/>
                <w:highlight w:val="none"/>
              </w:rPr>
              <w:t>、具有流分类和安全审计功能；具有用户访问控制和基于 IPv6的访问控制功能</w:t>
            </w:r>
            <w:r>
              <w:rPr>
                <w:rFonts w:hint="eastAsia" w:hAnsi="宋体"/>
                <w:kern w:val="2"/>
                <w:sz w:val="21"/>
                <w:szCs w:val="21"/>
                <w:highlight w:val="none"/>
                <w:lang w:eastAsia="zh-CN"/>
              </w:rPr>
              <w:t>；</w:t>
            </w:r>
          </w:p>
          <w:p w14:paraId="6F380484">
            <w:pPr>
              <w:numPr>
                <w:ilvl w:val="0"/>
                <w:numId w:val="0"/>
              </w:numPr>
              <w:rPr>
                <w:rFonts w:hint="eastAsia"/>
                <w:highlight w:val="none"/>
              </w:rPr>
            </w:pPr>
            <w:r>
              <w:rPr>
                <w:rFonts w:hint="eastAsia" w:hAnsi="宋体"/>
                <w:kern w:val="2"/>
                <w:sz w:val="21"/>
                <w:szCs w:val="21"/>
                <w:highlight w:val="none"/>
                <w:lang w:val="en-US" w:eastAsia="zh-CN"/>
              </w:rPr>
              <w:t>8</w:t>
            </w:r>
            <w:r>
              <w:rPr>
                <w:rFonts w:hint="eastAsia" w:hAnsi="宋体"/>
                <w:kern w:val="2"/>
                <w:sz w:val="21"/>
                <w:szCs w:val="21"/>
                <w:highlight w:val="none"/>
              </w:rPr>
              <w:t>、提供防攻击功能，对恶意流量进行检测和抑制，实时查看防止攻击功能的工作情况，保护二层和三层网络安全，支持自定义时间区域查看交换机攻击事件，包括事件类型、攻击者MAC、攻击设备类型等维度；</w:t>
            </w:r>
          </w:p>
          <w:p w14:paraId="1316C688">
            <w:pPr>
              <w:rPr>
                <w:rFonts w:hint="eastAsia" w:ascii="宋体" w:hAnsi="宋体" w:eastAsia="宋体" w:cs="Times New Roman"/>
                <w:b/>
                <w:bCs/>
                <w:kern w:val="2"/>
                <w:sz w:val="21"/>
                <w:szCs w:val="21"/>
                <w:highlight w:val="none"/>
                <w:lang w:eastAsia="zh-CN"/>
              </w:rPr>
            </w:pPr>
            <w:r>
              <w:rPr>
                <w:rFonts w:hint="eastAsia" w:ascii="宋体" w:hAnsi="宋体" w:eastAsia="宋体" w:cs="Times New Roman"/>
                <w:b/>
                <w:bCs/>
                <w:kern w:val="2"/>
                <w:sz w:val="21"/>
                <w:szCs w:val="21"/>
                <w:highlight w:val="none"/>
                <w:lang w:val="en-US" w:eastAsia="zh-CN" w:bidi="ar-SA"/>
              </w:rPr>
              <w:t>注：</w:t>
            </w:r>
            <w:r>
              <w:rPr>
                <w:rFonts w:hint="eastAsia" w:hAnsi="宋体" w:cs="Times New Roman"/>
                <w:b/>
                <w:bCs/>
                <w:kern w:val="2"/>
                <w:sz w:val="21"/>
                <w:szCs w:val="21"/>
                <w:highlight w:val="none"/>
                <w:lang w:val="en-US" w:eastAsia="zh-CN"/>
              </w:rPr>
              <w:t>以上参数均需</w:t>
            </w:r>
            <w:r>
              <w:rPr>
                <w:rFonts w:hint="eastAsia" w:ascii="宋体" w:hAnsi="宋体" w:eastAsia="宋体" w:cs="Times New Roman"/>
                <w:b/>
                <w:bCs/>
                <w:kern w:val="2"/>
                <w:sz w:val="21"/>
                <w:szCs w:val="21"/>
                <w:highlight w:val="none"/>
              </w:rPr>
              <w:t>提供第三方检测机构出具的具有“ CMA ”或“ CNAS ”标识的检测报告</w:t>
            </w:r>
            <w:r>
              <w:rPr>
                <w:rFonts w:hint="eastAsia" w:ascii="宋体" w:hAnsi="宋体" w:eastAsia="宋体" w:cs="Times New Roman"/>
                <w:b/>
                <w:bCs/>
                <w:kern w:val="2"/>
                <w:sz w:val="21"/>
                <w:szCs w:val="21"/>
                <w:highlight w:val="none"/>
                <w:lang w:eastAsia="zh-CN"/>
              </w:rPr>
              <w:t>。</w:t>
            </w:r>
          </w:p>
          <w:p w14:paraId="5B20A541">
            <w:pPr>
              <w:rPr>
                <w:rFonts w:hint="eastAsia" w:ascii="宋体" w:hAnsi="宋体" w:eastAsia="宋体" w:cs="Times New Roman"/>
                <w:b/>
                <w:bCs/>
                <w:kern w:val="2"/>
                <w:sz w:val="21"/>
                <w:szCs w:val="21"/>
                <w:highlight w:val="none"/>
                <w:lang w:val="en-US" w:eastAsia="zh-CN"/>
              </w:rPr>
            </w:pPr>
            <w:r>
              <w:rPr>
                <w:rFonts w:hint="eastAsia" w:ascii="宋体" w:hAnsi="宋体" w:eastAsia="宋体" w:cs="Times New Roman"/>
                <w:b/>
                <w:bCs/>
                <w:kern w:val="2"/>
                <w:sz w:val="21"/>
                <w:szCs w:val="21"/>
                <w:highlight w:val="none"/>
                <w:lang w:val="en-US" w:eastAsia="zh-CN"/>
              </w:rPr>
              <w:t>四：防火墙</w:t>
            </w:r>
          </w:p>
          <w:p w14:paraId="6F8C6ACF">
            <w:pPr>
              <w:rPr>
                <w:rFonts w:hint="eastAsia"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9</w:t>
            </w:r>
            <w:r>
              <w:rPr>
                <w:rFonts w:hint="default" w:ascii="宋体" w:hAnsi="宋体" w:eastAsia="宋体" w:cs="Times New Roman"/>
                <w:b w:val="0"/>
                <w:bCs w:val="0"/>
                <w:kern w:val="2"/>
                <w:sz w:val="21"/>
                <w:szCs w:val="21"/>
                <w:highlight w:val="none"/>
                <w:lang w:val="en-US" w:eastAsia="zh-CN"/>
              </w:rPr>
              <w:t>、支</w:t>
            </w:r>
            <w:r>
              <w:rPr>
                <w:rFonts w:hint="eastAsia" w:ascii="宋体" w:hAnsi="宋体" w:eastAsia="宋体" w:cs="Times New Roman"/>
                <w:b w:val="0"/>
                <w:bCs w:val="0"/>
                <w:kern w:val="2"/>
                <w:sz w:val="21"/>
                <w:szCs w:val="21"/>
                <w:highlight w:val="none"/>
                <w:lang w:val="en-US" w:eastAsia="zh-CN"/>
              </w:rPr>
              <w:t>持自定义IPS特征，支持针对8种协议自定义入侵攻击特征，包括IP、UDP、TCP、ICMP、HTTP、FTP、POP3、SMTP等协议；可拓展协议字段，设置数据包中的匹配内容；支持选择包含、等于、不等于、大于、正则匹配等匹配方式；可选择多种匹配条件，支持设置“与”和“或”的匹配顺序；</w:t>
            </w:r>
          </w:p>
          <w:p w14:paraId="57CFF755">
            <w:pPr>
              <w:rPr>
                <w:rFonts w:hint="eastAsia"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10</w:t>
            </w:r>
            <w:r>
              <w:rPr>
                <w:rFonts w:hint="eastAsia" w:ascii="宋体" w:hAnsi="宋体" w:eastAsia="宋体" w:cs="Times New Roman"/>
                <w:b w:val="0"/>
                <w:bCs w:val="0"/>
                <w:kern w:val="2"/>
                <w:sz w:val="21"/>
                <w:szCs w:val="21"/>
                <w:highlight w:val="none"/>
                <w:lang w:val="en-US" w:eastAsia="zh-CN"/>
              </w:rPr>
              <w:t>、支持单用户全天行为分析报表，一个界面同时展示用户名、用户组、在线时长、虚拟身份（如QQ号码、微博账号等）、日志关联情况、全天流量使用分布、网站访问类别分布、全天关键网络行为轴等信息</w:t>
            </w:r>
          </w:p>
          <w:p w14:paraId="158B9006">
            <w:pPr>
              <w:rPr>
                <w:rFonts w:hint="default"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11</w:t>
            </w:r>
            <w:r>
              <w:rPr>
                <w:rFonts w:hint="eastAsia" w:ascii="宋体" w:hAnsi="宋体" w:eastAsia="宋体" w:cs="Times New Roman"/>
                <w:b w:val="0"/>
                <w:bCs w:val="0"/>
                <w:kern w:val="2"/>
                <w:sz w:val="21"/>
                <w:szCs w:val="21"/>
                <w:highlight w:val="none"/>
                <w:lang w:val="en-US" w:eastAsia="zh-CN"/>
              </w:rPr>
              <w:t>、支持本地认证、Portal认证、Radius认证、LDAP认证、POP3认证、AD域单点登录、短信认证、微信公众号认证、APP认证、IC卡认证、二维码认证、互联网钉钉认证、混合认证和免认证等认证方式；</w:t>
            </w:r>
          </w:p>
          <w:p w14:paraId="1EC3EF93">
            <w:pPr>
              <w:rPr>
                <w:rFonts w:hint="eastAsia" w:ascii="宋体" w:hAnsi="宋体" w:eastAsia="宋体" w:cs="Times New Roman"/>
                <w:b/>
                <w:bCs/>
                <w:kern w:val="2"/>
                <w:sz w:val="21"/>
                <w:szCs w:val="21"/>
                <w:highlight w:val="none"/>
                <w:lang w:eastAsia="zh-CN"/>
              </w:rPr>
            </w:pPr>
            <w:r>
              <w:rPr>
                <w:rFonts w:hint="eastAsia" w:ascii="宋体" w:hAnsi="宋体" w:eastAsia="宋体" w:cs="Times New Roman"/>
                <w:b/>
                <w:bCs/>
                <w:kern w:val="2"/>
                <w:sz w:val="21"/>
                <w:szCs w:val="21"/>
                <w:highlight w:val="none"/>
                <w:lang w:val="en-US" w:eastAsia="zh-CN" w:bidi="ar-SA"/>
              </w:rPr>
              <w:t>注：</w:t>
            </w:r>
            <w:r>
              <w:rPr>
                <w:rFonts w:hint="eastAsia" w:hAnsi="宋体" w:cs="Times New Roman"/>
                <w:b/>
                <w:bCs/>
                <w:kern w:val="2"/>
                <w:sz w:val="21"/>
                <w:szCs w:val="21"/>
                <w:highlight w:val="none"/>
                <w:lang w:val="en-US" w:eastAsia="zh-CN"/>
              </w:rPr>
              <w:t>以上参数均需</w:t>
            </w:r>
            <w:r>
              <w:rPr>
                <w:rFonts w:hint="eastAsia" w:ascii="宋体" w:hAnsi="宋体" w:eastAsia="宋体" w:cs="Times New Roman"/>
                <w:b/>
                <w:bCs/>
                <w:kern w:val="2"/>
                <w:sz w:val="21"/>
                <w:szCs w:val="21"/>
                <w:highlight w:val="none"/>
                <w:lang w:val="en-US" w:eastAsia="zh-CN" w:bidi="ar-SA"/>
              </w:rPr>
              <w:t>提供web配置截图；</w:t>
            </w:r>
          </w:p>
          <w:p w14:paraId="53BACEFC">
            <w:pPr>
              <w:rPr>
                <w:rFonts w:hint="default" w:ascii="宋体" w:hAnsi="宋体" w:eastAsia="宋体" w:cs="Times New Roman"/>
                <w:b/>
                <w:bCs/>
                <w:kern w:val="2"/>
                <w:sz w:val="21"/>
                <w:szCs w:val="21"/>
                <w:highlight w:val="none"/>
                <w:lang w:val="en-US" w:eastAsia="zh-CN"/>
              </w:rPr>
            </w:pPr>
            <w:r>
              <w:rPr>
                <w:rFonts w:hint="eastAsia" w:ascii="宋体" w:hAnsi="宋体" w:eastAsia="宋体" w:cs="Times New Roman"/>
                <w:b/>
                <w:bCs/>
                <w:kern w:val="2"/>
                <w:sz w:val="21"/>
                <w:szCs w:val="21"/>
                <w:highlight w:val="none"/>
                <w:lang w:val="en-US" w:eastAsia="zh-CN"/>
              </w:rPr>
              <w:t>五：功放</w:t>
            </w:r>
          </w:p>
          <w:p w14:paraId="7497B4E7">
            <w:pPr>
              <w:rPr>
                <w:rFonts w:hint="eastAsia"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12.</w:t>
            </w:r>
            <w:r>
              <w:rPr>
                <w:rFonts w:hint="eastAsia" w:ascii="宋体" w:hAnsi="宋体" w:eastAsia="宋体" w:cs="Times New Roman"/>
                <w:b w:val="0"/>
                <w:bCs w:val="0"/>
                <w:kern w:val="2"/>
                <w:sz w:val="21"/>
                <w:szCs w:val="21"/>
                <w:highlight w:val="none"/>
                <w:lang w:val="en-US" w:eastAsia="zh-CN"/>
              </w:rPr>
              <w:t>超压保护市电压超过264时关机；直流输出&gt;5V,直流电压保护，保护后功放不能重启；超温保护≥85度，启动超温压限；失真压限失真≥1%THD时启动；音量渐大电路面板保护指示灯熄灭后，音量渐增大，5秒增大到最大音量；</w:t>
            </w:r>
          </w:p>
          <w:p w14:paraId="4B77ED77">
            <w:pPr>
              <w:rPr>
                <w:rFonts w:hint="eastAsia"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13</w:t>
            </w:r>
            <w:r>
              <w:rPr>
                <w:rFonts w:hint="eastAsia" w:ascii="宋体" w:hAnsi="宋体" w:eastAsia="宋体" w:cs="Times New Roman"/>
                <w:b w:val="0"/>
                <w:bCs w:val="0"/>
                <w:kern w:val="2"/>
                <w:sz w:val="21"/>
                <w:szCs w:val="21"/>
                <w:highlight w:val="none"/>
                <w:lang w:val="en-US" w:eastAsia="zh-CN"/>
              </w:rPr>
              <w:t>.≥95度时启动超温保护，关闭信号，面板保护灯点亮；</w:t>
            </w:r>
          </w:p>
          <w:p w14:paraId="47F6B41E">
            <w:pPr>
              <w:numPr>
                <w:ilvl w:val="0"/>
                <w:numId w:val="0"/>
              </w:numPr>
              <w:rPr>
                <w:rFonts w:hint="eastAsia" w:ascii="宋体" w:hAnsi="宋体" w:eastAsia="宋体" w:cs="Times New Roman"/>
                <w:b/>
                <w:bCs/>
                <w:kern w:val="2"/>
                <w:sz w:val="21"/>
                <w:szCs w:val="21"/>
                <w:highlight w:val="none"/>
                <w:lang w:val="en-US" w:eastAsia="zh-CN"/>
              </w:rPr>
            </w:pPr>
            <w:r>
              <w:rPr>
                <w:rFonts w:hint="eastAsia" w:ascii="宋体" w:hAnsi="宋体" w:eastAsia="宋体" w:cs="Times New Roman"/>
                <w:b/>
                <w:bCs/>
                <w:kern w:val="2"/>
                <w:sz w:val="21"/>
                <w:szCs w:val="21"/>
                <w:highlight w:val="none"/>
                <w:lang w:val="en-US" w:eastAsia="zh-CN" w:bidi="ar-SA"/>
              </w:rPr>
              <w:t>注：</w:t>
            </w:r>
            <w:r>
              <w:rPr>
                <w:rFonts w:hint="eastAsia" w:hAnsi="宋体" w:cs="Times New Roman"/>
                <w:b/>
                <w:bCs/>
                <w:kern w:val="2"/>
                <w:sz w:val="21"/>
                <w:szCs w:val="21"/>
                <w:highlight w:val="none"/>
                <w:lang w:val="en-US" w:eastAsia="zh-CN"/>
              </w:rPr>
              <w:t>以上参数均需</w:t>
            </w:r>
            <w:r>
              <w:rPr>
                <w:rFonts w:hint="eastAsia" w:ascii="宋体" w:hAnsi="宋体" w:eastAsia="宋体" w:cs="Times New Roman"/>
                <w:b/>
                <w:bCs/>
                <w:kern w:val="2"/>
                <w:sz w:val="21"/>
                <w:szCs w:val="21"/>
                <w:highlight w:val="none"/>
              </w:rPr>
              <w:t>提供第三方检测机构出具的具有“ CMA ”或“ CNAS ”标识的检测报告</w:t>
            </w:r>
            <w:r>
              <w:rPr>
                <w:rFonts w:hint="eastAsia" w:ascii="宋体" w:hAnsi="宋体" w:eastAsia="宋体" w:cs="Times New Roman"/>
                <w:b/>
                <w:bCs/>
                <w:kern w:val="2"/>
                <w:sz w:val="21"/>
                <w:szCs w:val="21"/>
                <w:highlight w:val="none"/>
                <w:lang w:eastAsia="zh-CN"/>
              </w:rPr>
              <w:t>。</w:t>
            </w:r>
          </w:p>
          <w:p w14:paraId="4E48002E">
            <w:pPr>
              <w:rPr>
                <w:rFonts w:hint="default" w:ascii="宋体" w:hAnsi="宋体" w:eastAsia="宋体" w:cs="Times New Roman"/>
                <w:b/>
                <w:bCs/>
                <w:kern w:val="2"/>
                <w:sz w:val="21"/>
                <w:szCs w:val="21"/>
                <w:highlight w:val="none"/>
                <w:lang w:val="en-US" w:eastAsia="zh-CN"/>
              </w:rPr>
            </w:pPr>
            <w:r>
              <w:rPr>
                <w:rFonts w:hint="eastAsia" w:ascii="宋体" w:hAnsi="宋体" w:eastAsia="宋体" w:cs="Times New Roman"/>
                <w:b/>
                <w:bCs/>
                <w:kern w:val="2"/>
                <w:sz w:val="21"/>
                <w:szCs w:val="21"/>
                <w:highlight w:val="none"/>
                <w:lang w:val="en-US" w:eastAsia="zh-CN"/>
              </w:rPr>
              <w:t>六：室内全彩屏</w:t>
            </w:r>
          </w:p>
          <w:p w14:paraId="34503B10">
            <w:pPr>
              <w:rPr>
                <w:rFonts w:hint="eastAsia"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14</w:t>
            </w:r>
            <w:r>
              <w:rPr>
                <w:rFonts w:hint="eastAsia" w:ascii="宋体" w:hAnsi="宋体" w:eastAsia="宋体" w:cs="Times New Roman"/>
                <w:b w:val="0"/>
                <w:bCs w:val="0"/>
                <w:kern w:val="2"/>
                <w:sz w:val="21"/>
                <w:szCs w:val="21"/>
                <w:highlight w:val="none"/>
                <w:lang w:val="en-US" w:eastAsia="zh-CN"/>
              </w:rPr>
              <w:t>、具有 SELV 电路,在 SELV 电路中任何两个导体之间或任何一个这样的导体和地之间的电压的限值为:正常工作条件下，不超过 42.4V 交流峰值或 60V 直流值,单一故障条件下，在 200ms 后不超过 42.4V (30V 有效值)交流峰值或 60V 直流值，并且在 200ms 内其极限值不超过 71V (50V 有效值) 交流峰值或 120V直流值</w:t>
            </w:r>
            <w:r>
              <w:rPr>
                <w:rFonts w:hint="eastAsia" w:hAnsi="宋体" w:cs="Times New Roman"/>
                <w:b w:val="0"/>
                <w:bCs w:val="0"/>
                <w:kern w:val="2"/>
                <w:sz w:val="21"/>
                <w:szCs w:val="21"/>
                <w:highlight w:val="none"/>
                <w:lang w:val="en-US" w:eastAsia="zh-CN"/>
              </w:rPr>
              <w:t>；</w:t>
            </w:r>
          </w:p>
          <w:p w14:paraId="6C613F49">
            <w:pPr>
              <w:rPr>
                <w:rFonts w:hint="eastAsia"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15</w:t>
            </w:r>
            <w:r>
              <w:rPr>
                <w:rFonts w:hint="eastAsia" w:ascii="宋体" w:hAnsi="宋体" w:eastAsia="宋体" w:cs="Times New Roman"/>
                <w:b w:val="0"/>
                <w:bCs w:val="0"/>
                <w:kern w:val="2"/>
                <w:sz w:val="21"/>
                <w:szCs w:val="21"/>
                <w:highlight w:val="none"/>
                <w:lang w:val="en-US" w:eastAsia="zh-CN"/>
              </w:rPr>
              <w:t>、防电击等级依据GB4943.1标准，使用基本绝缘作为基本安全防护，同时使用保护连接和保护接地作为附加安全防护，达到防电击保护I类设备</w:t>
            </w:r>
          </w:p>
          <w:p w14:paraId="2B54D49E">
            <w:pPr>
              <w:rPr>
                <w:rFonts w:hint="eastAsia"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16</w:t>
            </w:r>
            <w:r>
              <w:rPr>
                <w:rFonts w:hint="eastAsia" w:ascii="宋体" w:hAnsi="宋体" w:eastAsia="宋体" w:cs="Times New Roman"/>
                <w:b w:val="0"/>
                <w:bCs w:val="0"/>
                <w:kern w:val="2"/>
                <w:sz w:val="21"/>
                <w:szCs w:val="21"/>
                <w:highlight w:val="none"/>
                <w:lang w:val="en-US" w:eastAsia="zh-CN"/>
              </w:rPr>
              <w:t>、支持PPA碗杯结构、点胶封装、出光方式为单面发光；显示面采用高强度化学防护材质，防碰撞、耐冲击、高耐磨、抗腐蚀、防划痕，可直接擦拭LED附着力≥100N；在灯珠四侧以水平夹角 45°的方向施加推力15N，灯珠未破碎或脱落。</w:t>
            </w:r>
          </w:p>
          <w:p w14:paraId="58A6A0C5">
            <w:pPr>
              <w:rPr>
                <w:rFonts w:hint="eastAsia"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17</w:t>
            </w:r>
            <w:r>
              <w:rPr>
                <w:rFonts w:hint="eastAsia" w:ascii="宋体" w:hAnsi="宋体" w:eastAsia="宋体" w:cs="Times New Roman"/>
                <w:b w:val="0"/>
                <w:bCs w:val="0"/>
                <w:kern w:val="2"/>
                <w:sz w:val="21"/>
                <w:szCs w:val="21"/>
                <w:highlight w:val="none"/>
                <w:lang w:val="en-US" w:eastAsia="zh-CN"/>
              </w:rPr>
              <w:t>、智能控制：支持软件自定义修改分辨率，自定义分辨率，更加适合LED屏幕的使用；</w:t>
            </w:r>
          </w:p>
          <w:p w14:paraId="73CBA10E">
            <w:pPr>
              <w:rPr>
                <w:rFonts w:hint="eastAsia" w:ascii="宋体" w:hAnsi="宋体" w:eastAsia="宋体" w:cs="Times New Roman"/>
                <w:b w:val="0"/>
                <w:bCs w:val="0"/>
                <w:kern w:val="2"/>
                <w:sz w:val="21"/>
                <w:szCs w:val="21"/>
                <w:highlight w:val="none"/>
                <w:lang w:val="en-US" w:eastAsia="zh-CN"/>
              </w:rPr>
            </w:pPr>
            <w:r>
              <w:rPr>
                <w:rFonts w:hint="eastAsia" w:ascii="宋体" w:hAnsi="宋体" w:eastAsia="宋体" w:cs="Times New Roman"/>
                <w:b w:val="0"/>
                <w:bCs w:val="0"/>
                <w:kern w:val="2"/>
                <w:sz w:val="21"/>
                <w:szCs w:val="21"/>
                <w:highlight w:val="none"/>
                <w:lang w:val="en-US" w:eastAsia="zh-CN"/>
              </w:rPr>
              <w:t>支持分屏操作。支持任意比例拼接素材和多图层叠加；支持无线遥控、手机遥控，一键切换视频；支持与智能播控软件一键IP连接</w:t>
            </w:r>
            <w:r>
              <w:rPr>
                <w:rFonts w:hint="eastAsia" w:hAnsi="宋体" w:cs="Times New Roman"/>
                <w:b w:val="0"/>
                <w:bCs w:val="0"/>
                <w:kern w:val="2"/>
                <w:sz w:val="21"/>
                <w:szCs w:val="21"/>
                <w:highlight w:val="none"/>
                <w:lang w:val="en-US" w:eastAsia="zh-CN"/>
              </w:rPr>
              <w:t>；</w:t>
            </w:r>
          </w:p>
          <w:p w14:paraId="64A19F16">
            <w:pPr>
              <w:rPr>
                <w:rFonts w:hint="eastAsia" w:ascii="宋体" w:hAnsi="宋体" w:eastAsia="宋体" w:cs="Times New Roman"/>
                <w:b/>
                <w:bCs/>
                <w:kern w:val="2"/>
                <w:sz w:val="21"/>
                <w:szCs w:val="21"/>
                <w:highlight w:val="none"/>
                <w:lang w:val="en-US" w:eastAsia="zh-CN"/>
              </w:rPr>
            </w:pPr>
            <w:r>
              <w:rPr>
                <w:rFonts w:hint="eastAsia" w:ascii="宋体" w:hAnsi="宋体" w:eastAsia="宋体" w:cs="Times New Roman"/>
                <w:b/>
                <w:bCs/>
                <w:kern w:val="2"/>
                <w:sz w:val="21"/>
                <w:szCs w:val="21"/>
                <w:highlight w:val="none"/>
                <w:lang w:val="en-US" w:eastAsia="zh-CN"/>
              </w:rPr>
              <w:t>注：</w:t>
            </w:r>
            <w:r>
              <w:rPr>
                <w:rFonts w:hint="eastAsia" w:hAnsi="宋体" w:cs="Times New Roman"/>
                <w:b/>
                <w:bCs/>
                <w:kern w:val="2"/>
                <w:sz w:val="21"/>
                <w:szCs w:val="21"/>
                <w:highlight w:val="none"/>
                <w:lang w:val="en-US" w:eastAsia="zh-CN"/>
              </w:rPr>
              <w:t>以上参数均需</w:t>
            </w:r>
            <w:r>
              <w:rPr>
                <w:rFonts w:hint="eastAsia" w:ascii="宋体" w:hAnsi="宋体" w:eastAsia="宋体" w:cs="Times New Roman"/>
                <w:b/>
                <w:bCs/>
                <w:kern w:val="2"/>
                <w:sz w:val="21"/>
                <w:szCs w:val="21"/>
                <w:highlight w:val="none"/>
              </w:rPr>
              <w:t>提供第三方检测机构出具的具有“ CMA ”或“ CNAS ”标识的检测报告</w:t>
            </w:r>
            <w:r>
              <w:rPr>
                <w:rFonts w:hint="eastAsia" w:ascii="宋体" w:hAnsi="宋体" w:eastAsia="宋体" w:cs="Times New Roman"/>
                <w:b/>
                <w:bCs/>
                <w:kern w:val="2"/>
                <w:sz w:val="21"/>
                <w:szCs w:val="21"/>
                <w:highlight w:val="none"/>
                <w:lang w:eastAsia="zh-CN"/>
              </w:rPr>
              <w:t>。</w:t>
            </w:r>
          </w:p>
          <w:p w14:paraId="16813A08">
            <w:pPr>
              <w:rPr>
                <w:rFonts w:hint="eastAsia" w:ascii="宋体" w:hAnsi="宋体" w:eastAsia="宋体" w:cs="Times New Roman"/>
                <w:b/>
                <w:bCs/>
                <w:kern w:val="2"/>
                <w:sz w:val="21"/>
                <w:szCs w:val="21"/>
                <w:highlight w:val="none"/>
                <w:lang w:val="en-US" w:eastAsia="zh-CN"/>
              </w:rPr>
            </w:pPr>
            <w:r>
              <w:rPr>
                <w:rFonts w:hint="eastAsia" w:ascii="宋体" w:hAnsi="宋体" w:eastAsia="宋体" w:cs="Times New Roman"/>
                <w:b/>
                <w:bCs/>
                <w:kern w:val="2"/>
                <w:sz w:val="21"/>
                <w:szCs w:val="21"/>
                <w:highlight w:val="none"/>
                <w:lang w:val="en-US" w:eastAsia="zh-CN"/>
              </w:rPr>
              <w:t>七：接收卡</w:t>
            </w:r>
          </w:p>
          <w:p w14:paraId="73D1B105">
            <w:pPr>
              <w:rPr>
                <w:rFonts w:hint="eastAsia"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18</w:t>
            </w:r>
            <w:r>
              <w:rPr>
                <w:rFonts w:hint="eastAsia" w:ascii="宋体" w:hAnsi="宋体" w:eastAsia="宋体" w:cs="Times New Roman"/>
                <w:b w:val="0"/>
                <w:bCs w:val="0"/>
                <w:kern w:val="2"/>
                <w:sz w:val="21"/>
                <w:szCs w:val="21"/>
                <w:highlight w:val="none"/>
                <w:lang w:val="en-US" w:eastAsia="zh-CN"/>
              </w:rPr>
              <w:t>、8bit/14bit精度的色度，亮度一体化逐点校正，能有效消除灯点色差，保证整屏的颜色亮度的均匀性和一致性，提升整体显示效果；</w:t>
            </w:r>
          </w:p>
          <w:p w14:paraId="2C4D6CED">
            <w:pPr>
              <w:rPr>
                <w:rFonts w:hint="eastAsia" w:ascii="宋体" w:hAnsi="宋体" w:eastAsia="宋体" w:cs="Times New Roman"/>
                <w:b w:val="0"/>
                <w:bCs w:val="0"/>
                <w:kern w:val="2"/>
                <w:sz w:val="21"/>
                <w:szCs w:val="21"/>
                <w:highlight w:val="none"/>
                <w:lang w:val="en-US" w:eastAsia="zh-CN"/>
              </w:rPr>
            </w:pPr>
            <w:r>
              <w:rPr>
                <w:rFonts w:hint="eastAsia" w:hAnsi="宋体" w:cs="Times New Roman"/>
                <w:b w:val="0"/>
                <w:bCs w:val="0"/>
                <w:kern w:val="2"/>
                <w:sz w:val="21"/>
                <w:szCs w:val="21"/>
                <w:highlight w:val="none"/>
                <w:lang w:val="en-US" w:eastAsia="zh-CN"/>
              </w:rPr>
              <w:t>19</w:t>
            </w:r>
            <w:r>
              <w:rPr>
                <w:rFonts w:hint="eastAsia" w:ascii="宋体" w:hAnsi="宋体" w:eastAsia="宋体" w:cs="Times New Roman"/>
                <w:b w:val="0"/>
                <w:bCs w:val="0"/>
                <w:kern w:val="2"/>
                <w:sz w:val="21"/>
                <w:szCs w:val="21"/>
                <w:highlight w:val="none"/>
                <w:lang w:val="en-US" w:eastAsia="zh-CN"/>
              </w:rPr>
              <w:t>、一帧延迟，发送端到显示端延迟达到一帧，解决系统延迟导致的画面不同步问题；</w:t>
            </w:r>
          </w:p>
          <w:p w14:paraId="24047B95">
            <w:pPr>
              <w:rPr>
                <w:rFonts w:hint="eastAsia" w:ascii="宋体" w:hAnsi="宋体" w:eastAsia="宋体" w:cs="Times New Roman"/>
                <w:b/>
                <w:bCs/>
                <w:kern w:val="2"/>
                <w:sz w:val="21"/>
                <w:szCs w:val="21"/>
                <w:highlight w:val="none"/>
                <w:lang w:val="en-US" w:eastAsia="zh-CN"/>
              </w:rPr>
            </w:pPr>
            <w:r>
              <w:rPr>
                <w:rFonts w:hint="eastAsia" w:ascii="宋体" w:hAnsi="宋体" w:eastAsia="宋体" w:cs="Times New Roman"/>
                <w:b/>
                <w:bCs/>
                <w:kern w:val="2"/>
                <w:sz w:val="21"/>
                <w:szCs w:val="21"/>
                <w:highlight w:val="none"/>
                <w:lang w:val="en-US" w:eastAsia="zh-CN"/>
              </w:rPr>
              <w:t>注：</w:t>
            </w:r>
            <w:r>
              <w:rPr>
                <w:rFonts w:hint="eastAsia" w:hAnsi="宋体" w:cs="Times New Roman"/>
                <w:b/>
                <w:bCs/>
                <w:kern w:val="2"/>
                <w:sz w:val="21"/>
                <w:szCs w:val="21"/>
                <w:highlight w:val="none"/>
                <w:lang w:val="en-US" w:eastAsia="zh-CN"/>
              </w:rPr>
              <w:t>以上参数均需</w:t>
            </w:r>
            <w:r>
              <w:rPr>
                <w:rFonts w:hint="eastAsia" w:ascii="宋体" w:hAnsi="宋体" w:eastAsia="宋体" w:cs="Times New Roman"/>
                <w:b/>
                <w:bCs/>
                <w:kern w:val="2"/>
                <w:sz w:val="21"/>
                <w:szCs w:val="21"/>
                <w:highlight w:val="none"/>
              </w:rPr>
              <w:t>提供第三方检测机构出具的具有“ CMA ”或“ CNAS ”标识的检测报告</w:t>
            </w:r>
            <w:r>
              <w:rPr>
                <w:rFonts w:hint="eastAsia" w:ascii="宋体" w:hAnsi="宋体" w:eastAsia="宋体" w:cs="Times New Roman"/>
                <w:b/>
                <w:bCs/>
                <w:kern w:val="2"/>
                <w:sz w:val="21"/>
                <w:szCs w:val="21"/>
                <w:highlight w:val="none"/>
                <w:lang w:eastAsia="zh-CN"/>
              </w:rPr>
              <w:t>。</w:t>
            </w:r>
          </w:p>
          <w:p w14:paraId="79057B25">
            <w:pPr>
              <w:rPr>
                <w:rFonts w:hint="default" w:ascii="宋体" w:hAnsi="宋体" w:eastAsia="宋体" w:cs="Times New Roman"/>
                <w:b/>
                <w:bCs/>
                <w:kern w:val="2"/>
                <w:sz w:val="21"/>
                <w:szCs w:val="21"/>
                <w:highlight w:val="none"/>
                <w:lang w:val="en-US" w:eastAsia="zh-CN"/>
              </w:rPr>
            </w:pPr>
            <w:r>
              <w:rPr>
                <w:rFonts w:hint="eastAsia" w:ascii="宋体" w:hAnsi="宋体" w:eastAsia="宋体" w:cs="Times New Roman"/>
                <w:b/>
                <w:bCs/>
                <w:kern w:val="2"/>
                <w:sz w:val="21"/>
                <w:szCs w:val="21"/>
                <w:highlight w:val="none"/>
                <w:lang w:val="en-US" w:eastAsia="zh-CN"/>
              </w:rPr>
              <w:t>八：视频控制器</w:t>
            </w:r>
          </w:p>
          <w:p w14:paraId="17AAB93B">
            <w:pPr>
              <w:numPr>
                <w:ilvl w:val="0"/>
                <w:numId w:val="0"/>
              </w:numPr>
              <w:rPr>
                <w:rFonts w:hint="eastAsia" w:ascii="宋体" w:hAnsi="宋体" w:eastAsia="宋体" w:cs="Times New Roman"/>
                <w:b/>
                <w:bCs/>
                <w:kern w:val="2"/>
                <w:sz w:val="21"/>
                <w:szCs w:val="21"/>
                <w:highlight w:val="none"/>
                <w:lang w:val="en-US" w:eastAsia="zh-CN"/>
              </w:rPr>
            </w:pPr>
            <w:r>
              <w:rPr>
                <w:rFonts w:hint="eastAsia" w:hAnsi="宋体" w:cs="Times New Roman"/>
                <w:b w:val="0"/>
                <w:bCs w:val="0"/>
                <w:kern w:val="2"/>
                <w:sz w:val="21"/>
                <w:szCs w:val="21"/>
                <w:highlight w:val="none"/>
                <w:lang w:val="en-US" w:eastAsia="zh-CN"/>
              </w:rPr>
              <w:t>20</w:t>
            </w:r>
            <w:r>
              <w:rPr>
                <w:rFonts w:hint="eastAsia" w:ascii="宋体" w:hAnsi="宋体" w:eastAsia="宋体" w:cs="Times New Roman"/>
                <w:b w:val="0"/>
                <w:bCs w:val="0"/>
                <w:kern w:val="2"/>
                <w:sz w:val="21"/>
                <w:szCs w:val="21"/>
                <w:highlight w:val="none"/>
                <w:lang w:val="en-US" w:eastAsia="zh-CN"/>
              </w:rPr>
              <w:t>、节能环保，可通过与多功能卡的配合实现自动亮度调节功能，根据环境照度的改变自动调节显示屏的亮度，达到最佳的显示效果；</w:t>
            </w:r>
          </w:p>
          <w:p w14:paraId="651B1D6B">
            <w:pPr>
              <w:widowControl/>
              <w:jc w:val="left"/>
              <w:rPr>
                <w:rFonts w:hint="default" w:hAnsi="宋体" w:eastAsia="宋体" w:cs="宋体"/>
                <w:b/>
                <w:bCs/>
                <w:color w:val="000000"/>
                <w:sz w:val="21"/>
                <w:szCs w:val="21"/>
                <w:highlight w:val="none"/>
                <w:lang w:val="en-US" w:eastAsia="zh-CN" w:bidi="ar"/>
              </w:rPr>
            </w:pPr>
            <w:r>
              <w:rPr>
                <w:rFonts w:hint="eastAsia" w:ascii="宋体" w:hAnsi="宋体" w:eastAsia="宋体" w:cs="Times New Roman"/>
                <w:b/>
                <w:bCs/>
                <w:kern w:val="2"/>
                <w:sz w:val="21"/>
                <w:szCs w:val="21"/>
                <w:highlight w:val="none"/>
                <w:lang w:val="en-US" w:eastAsia="zh-CN"/>
              </w:rPr>
              <w:t>注：</w:t>
            </w:r>
            <w:r>
              <w:rPr>
                <w:rFonts w:hint="eastAsia" w:ascii="宋体" w:hAnsi="宋体" w:eastAsia="宋体" w:cs="Times New Roman"/>
                <w:b/>
                <w:bCs/>
                <w:kern w:val="2"/>
                <w:sz w:val="21"/>
                <w:szCs w:val="21"/>
                <w:highlight w:val="none"/>
              </w:rPr>
              <w:t>提供第三方检测机构出具的具有“ CMA ”或“ CNAS ”标识的检测报告</w:t>
            </w:r>
            <w:r>
              <w:rPr>
                <w:rFonts w:hint="eastAsia" w:ascii="宋体" w:hAnsi="宋体" w:eastAsia="宋体" w:cs="Times New Roman"/>
                <w:b/>
                <w:bCs/>
                <w:kern w:val="2"/>
                <w:sz w:val="21"/>
                <w:szCs w:val="21"/>
                <w:highlight w:val="none"/>
                <w:lang w:eastAsia="zh-CN"/>
              </w:rPr>
              <w:t>。</w:t>
            </w:r>
          </w:p>
        </w:tc>
      </w:tr>
      <w:tr w14:paraId="61C9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778" w:type="dxa"/>
            <w:noWrap w:val="0"/>
            <w:vAlign w:val="center"/>
          </w:tcPr>
          <w:p w14:paraId="278CA00E">
            <w:pPr>
              <w:spacing w:line="360" w:lineRule="auto"/>
              <w:jc w:val="center"/>
              <w:rPr>
                <w:rFonts w:hint="eastAsia" w:hAnsi="宋体" w:cs="宋体"/>
                <w:sz w:val="21"/>
                <w:szCs w:val="21"/>
                <w:highlight w:val="none"/>
              </w:rPr>
            </w:pPr>
            <w:r>
              <w:rPr>
                <w:rFonts w:hint="eastAsia" w:hAnsi="宋体" w:cs="宋体"/>
                <w:sz w:val="21"/>
                <w:szCs w:val="21"/>
                <w:highlight w:val="none"/>
              </w:rPr>
              <w:t>2.2.2（3）</w:t>
            </w:r>
          </w:p>
        </w:tc>
        <w:tc>
          <w:tcPr>
            <w:tcW w:w="973" w:type="dxa"/>
            <w:noWrap w:val="0"/>
            <w:vAlign w:val="center"/>
          </w:tcPr>
          <w:p w14:paraId="2846F99A">
            <w:pPr>
              <w:spacing w:line="360" w:lineRule="auto"/>
              <w:jc w:val="center"/>
              <w:rPr>
                <w:rFonts w:hint="eastAsia" w:hAnsi="宋体" w:cs="宋体"/>
                <w:sz w:val="21"/>
                <w:szCs w:val="21"/>
                <w:highlight w:val="none"/>
              </w:rPr>
            </w:pPr>
            <w:r>
              <w:rPr>
                <w:rFonts w:hint="eastAsia" w:hAnsi="宋体" w:cs="宋体"/>
                <w:sz w:val="21"/>
                <w:szCs w:val="21"/>
                <w:highlight w:val="none"/>
              </w:rPr>
              <w:t>报价文件评分标准</w:t>
            </w:r>
          </w:p>
        </w:tc>
        <w:tc>
          <w:tcPr>
            <w:tcW w:w="1278" w:type="dxa"/>
            <w:noWrap w:val="0"/>
            <w:vAlign w:val="center"/>
          </w:tcPr>
          <w:p w14:paraId="4ACAFBE3">
            <w:pPr>
              <w:spacing w:line="360" w:lineRule="auto"/>
              <w:jc w:val="center"/>
              <w:rPr>
                <w:rFonts w:hint="eastAsia" w:hAnsi="宋体" w:eastAsia="宋体" w:cs="宋体"/>
                <w:sz w:val="21"/>
                <w:szCs w:val="21"/>
                <w:highlight w:val="none"/>
                <w:lang w:eastAsia="zh-CN"/>
              </w:rPr>
            </w:pPr>
            <w:r>
              <w:rPr>
                <w:rFonts w:hint="eastAsia" w:hAnsi="宋体" w:cs="宋体"/>
                <w:sz w:val="21"/>
                <w:szCs w:val="21"/>
                <w:highlight w:val="none"/>
              </w:rPr>
              <w:t>投标报价</w:t>
            </w:r>
          </w:p>
        </w:tc>
        <w:tc>
          <w:tcPr>
            <w:tcW w:w="784" w:type="dxa"/>
            <w:noWrap w:val="0"/>
            <w:vAlign w:val="center"/>
          </w:tcPr>
          <w:p w14:paraId="28AF014E">
            <w:pPr>
              <w:spacing w:line="360" w:lineRule="auto"/>
              <w:ind w:firstLine="210" w:firstLineChars="100"/>
              <w:jc w:val="left"/>
              <w:rPr>
                <w:rFonts w:hint="eastAsia" w:hAnsi="宋体" w:cs="宋体"/>
                <w:sz w:val="21"/>
                <w:szCs w:val="21"/>
                <w:highlight w:val="none"/>
              </w:rPr>
            </w:pPr>
            <w:r>
              <w:rPr>
                <w:rFonts w:hint="eastAsia" w:hAnsi="宋体" w:cs="宋体"/>
                <w:sz w:val="21"/>
                <w:szCs w:val="21"/>
                <w:highlight w:val="none"/>
                <w:lang w:val="en-US" w:eastAsia="zh-CN"/>
              </w:rPr>
              <w:t>3</w:t>
            </w:r>
            <w:r>
              <w:rPr>
                <w:rFonts w:hint="eastAsia" w:hAnsi="宋体" w:cs="宋体"/>
                <w:sz w:val="21"/>
                <w:szCs w:val="21"/>
                <w:highlight w:val="none"/>
              </w:rPr>
              <w:t>0分</w:t>
            </w:r>
          </w:p>
        </w:tc>
        <w:tc>
          <w:tcPr>
            <w:tcW w:w="4637" w:type="dxa"/>
            <w:noWrap w:val="0"/>
            <w:vAlign w:val="center"/>
          </w:tcPr>
          <w:p w14:paraId="264514F5">
            <w:pPr>
              <w:spacing w:line="440" w:lineRule="exact"/>
              <w:rPr>
                <w:rFonts w:hAnsi="宋体"/>
                <w:kern w:val="2"/>
                <w:sz w:val="21"/>
                <w:szCs w:val="21"/>
                <w:highlight w:val="none"/>
              </w:rPr>
            </w:pPr>
            <w:r>
              <w:rPr>
                <w:rFonts w:hint="eastAsia" w:hAnsi="宋体"/>
                <w:kern w:val="2"/>
                <w:sz w:val="21"/>
                <w:szCs w:val="21"/>
                <w:highlight w:val="none"/>
              </w:rPr>
              <w:t>（1）确定评标价</w:t>
            </w:r>
            <w:r>
              <w:rPr>
                <w:rFonts w:hint="eastAsia" w:hAnsi="宋体"/>
                <w:kern w:val="2"/>
                <w:sz w:val="21"/>
                <w:szCs w:val="21"/>
                <w:highlight w:val="none"/>
              </w:rPr>
              <w:br w:type="textWrapping"/>
            </w:r>
            <w:r>
              <w:rPr>
                <w:rFonts w:hint="eastAsia" w:hAnsi="宋体"/>
                <w:kern w:val="2"/>
                <w:sz w:val="21"/>
                <w:szCs w:val="21"/>
                <w:highlight w:val="none"/>
              </w:rPr>
              <w:t>评标价=投标函文字报价；</w:t>
            </w:r>
            <w:r>
              <w:rPr>
                <w:rFonts w:hint="eastAsia" w:hAnsi="宋体"/>
                <w:kern w:val="2"/>
                <w:sz w:val="21"/>
                <w:szCs w:val="21"/>
                <w:highlight w:val="none"/>
              </w:rPr>
              <w:br w:type="textWrapping"/>
            </w:r>
            <w:r>
              <w:rPr>
                <w:rFonts w:hint="eastAsia" w:hAnsi="宋体"/>
                <w:kern w:val="2"/>
                <w:sz w:val="21"/>
                <w:szCs w:val="21"/>
                <w:highlight w:val="none"/>
              </w:rPr>
              <w:t xml:space="preserve"> （2）评标价平均值计算</w:t>
            </w:r>
          </w:p>
          <w:p w14:paraId="5F73FA7D">
            <w:pPr>
              <w:spacing w:line="440" w:lineRule="exact"/>
              <w:rPr>
                <w:rFonts w:hAnsi="宋体"/>
                <w:kern w:val="2"/>
                <w:sz w:val="21"/>
                <w:szCs w:val="21"/>
                <w:highlight w:val="none"/>
              </w:rPr>
            </w:pPr>
            <w:r>
              <w:rPr>
                <w:rFonts w:hint="eastAsia" w:hAnsi="宋体"/>
                <w:kern w:val="2"/>
                <w:sz w:val="21"/>
                <w:szCs w:val="21"/>
                <w:highlight w:val="none"/>
              </w:rPr>
              <w:t xml:space="preserve"> ①当通过报价文件初步评审的投标人数量≤5家时，取通过报价文件初步评审且商务及技术文件得分大于等于招标项目标段商务及技术文件总分*60%的投标人评标价进行算术平均得出评标价平均值。（如通过报价文件初步评审且商务及技术文件得分大于等于招标项目标段商务及技术文件总分*60%的投标人为1家时，则该投标人评标价即为评标价平均值）</w:t>
            </w:r>
          </w:p>
          <w:p w14:paraId="361ADD0B">
            <w:pPr>
              <w:spacing w:line="440" w:lineRule="exact"/>
              <w:rPr>
                <w:rFonts w:hAnsi="宋体"/>
                <w:kern w:val="2"/>
                <w:sz w:val="21"/>
                <w:szCs w:val="21"/>
                <w:highlight w:val="none"/>
              </w:rPr>
            </w:pPr>
            <w:r>
              <w:rPr>
                <w:rFonts w:hint="eastAsia" w:hAnsi="宋体"/>
                <w:kern w:val="2"/>
                <w:sz w:val="21"/>
                <w:szCs w:val="21"/>
                <w:highlight w:val="none"/>
              </w:rPr>
              <w:t>注：如出现无法计算评标价平均值的情况，评标委员会将否决所有投标。</w:t>
            </w:r>
            <w:r>
              <w:rPr>
                <w:rFonts w:hint="eastAsia" w:hAnsi="宋体"/>
                <w:kern w:val="2"/>
                <w:sz w:val="21"/>
                <w:szCs w:val="21"/>
                <w:highlight w:val="none"/>
              </w:rPr>
              <w:br w:type="textWrapping"/>
            </w:r>
            <w:r>
              <w:rPr>
                <w:rFonts w:hint="eastAsia" w:hAnsi="宋体"/>
                <w:kern w:val="2"/>
                <w:sz w:val="21"/>
                <w:szCs w:val="21"/>
                <w:highlight w:val="none"/>
              </w:rPr>
              <w:t>②当通过报价文件初步评审的投标人数量＞5家时：</w:t>
            </w:r>
          </w:p>
          <w:p w14:paraId="1604CA98">
            <w:pPr>
              <w:spacing w:line="440" w:lineRule="exact"/>
              <w:rPr>
                <w:rFonts w:hAnsi="宋体"/>
                <w:kern w:val="2"/>
                <w:sz w:val="21"/>
                <w:szCs w:val="21"/>
                <w:highlight w:val="none"/>
              </w:rPr>
            </w:pPr>
            <w:r>
              <w:rPr>
                <w:rFonts w:hint="eastAsia" w:hAnsi="宋体"/>
                <w:kern w:val="2"/>
                <w:sz w:val="21"/>
                <w:szCs w:val="21"/>
                <w:highlight w:val="none"/>
              </w:rPr>
              <w:t>a.其中通过报价文件初步评审且商务及技术文件得分大于等于招标项目标段商务及技术文件总分*70%的投标人数量＞5家，取通过报价文件初步评审且商务及技术文件得分大于等于招标项目标段商务及技术文件总分*70%的投标人评标价进行算术平均得出评标价平均值。</w:t>
            </w:r>
          </w:p>
          <w:p w14:paraId="199A0444">
            <w:pPr>
              <w:spacing w:line="440" w:lineRule="exact"/>
              <w:rPr>
                <w:rFonts w:hAnsi="宋体"/>
                <w:kern w:val="2"/>
                <w:sz w:val="21"/>
                <w:szCs w:val="21"/>
                <w:highlight w:val="none"/>
              </w:rPr>
            </w:pPr>
            <w:r>
              <w:rPr>
                <w:rFonts w:hint="eastAsia" w:hAnsi="宋体"/>
                <w:kern w:val="2"/>
                <w:sz w:val="21"/>
                <w:szCs w:val="21"/>
                <w:highlight w:val="none"/>
              </w:rPr>
              <w:t>b.其中通过报价文件初步评审且商务及技术文件得分大于等于招标项目标段商务及技术文件总分*70%的投标人数量≤5家时，取通过报价文件初步评审且商务及技术文件得分大于等于招标项目标段商务及技术文件总分*60%的投标人评标价进行算术平均得出评标价平均值。（如通过报价文件初步评审且商务及技术文件得分大于等于招标项目标段商务及技术文件总分*60%的投标人为1家时，则该投标人评标价即为评标价平均值）</w:t>
            </w:r>
            <w:r>
              <w:rPr>
                <w:rFonts w:hint="eastAsia" w:hAnsi="宋体"/>
                <w:kern w:val="2"/>
                <w:sz w:val="21"/>
                <w:szCs w:val="21"/>
                <w:highlight w:val="none"/>
              </w:rPr>
              <w:br w:type="textWrapping"/>
            </w:r>
            <w:r>
              <w:rPr>
                <w:rFonts w:hint="eastAsia" w:hAnsi="宋体"/>
                <w:kern w:val="2"/>
                <w:sz w:val="21"/>
                <w:szCs w:val="21"/>
                <w:highlight w:val="none"/>
              </w:rPr>
              <w:t>注：如出现无法计算评标价平均值的情况，评标委员会将否决所有投标。</w:t>
            </w:r>
          </w:p>
          <w:p w14:paraId="782BEA83">
            <w:pPr>
              <w:spacing w:line="440" w:lineRule="exact"/>
              <w:rPr>
                <w:rFonts w:hAnsi="宋体"/>
                <w:kern w:val="2"/>
                <w:sz w:val="21"/>
                <w:szCs w:val="21"/>
                <w:highlight w:val="none"/>
              </w:rPr>
            </w:pPr>
            <w:r>
              <w:rPr>
                <w:rFonts w:hint="eastAsia" w:hAnsi="宋体"/>
                <w:kern w:val="2"/>
                <w:sz w:val="21"/>
                <w:szCs w:val="21"/>
                <w:highlight w:val="none"/>
              </w:rPr>
              <w:t>3）确定评标基准价</w:t>
            </w:r>
          </w:p>
          <w:p w14:paraId="0E82CADD">
            <w:pPr>
              <w:spacing w:line="440" w:lineRule="exact"/>
              <w:rPr>
                <w:rFonts w:hAnsi="宋体"/>
                <w:kern w:val="2"/>
                <w:sz w:val="21"/>
                <w:szCs w:val="21"/>
                <w:highlight w:val="none"/>
              </w:rPr>
            </w:pPr>
            <w:r>
              <w:rPr>
                <w:rFonts w:hint="eastAsia" w:hAnsi="宋体"/>
                <w:kern w:val="2"/>
                <w:sz w:val="21"/>
                <w:szCs w:val="21"/>
                <w:highlight w:val="none"/>
              </w:rPr>
              <w:t>评标基准价=评标价平均值*C值</w:t>
            </w:r>
          </w:p>
          <w:p w14:paraId="1C9FB9B7">
            <w:pPr>
              <w:spacing w:line="440" w:lineRule="exact"/>
              <w:rPr>
                <w:rFonts w:hAnsi="宋体"/>
                <w:kern w:val="2"/>
                <w:sz w:val="21"/>
                <w:szCs w:val="21"/>
                <w:highlight w:val="none"/>
              </w:rPr>
            </w:pPr>
            <w:r>
              <w:rPr>
                <w:rFonts w:hint="eastAsia" w:hAnsi="宋体"/>
                <w:kern w:val="2"/>
                <w:sz w:val="21"/>
                <w:szCs w:val="21"/>
                <w:highlight w:val="none"/>
              </w:rPr>
              <w:t>C值确定如下：</w:t>
            </w:r>
          </w:p>
          <w:p w14:paraId="66FCBE99">
            <w:pPr>
              <w:spacing w:line="440" w:lineRule="exact"/>
              <w:rPr>
                <w:rFonts w:hAnsi="宋体"/>
                <w:kern w:val="2"/>
                <w:sz w:val="21"/>
                <w:szCs w:val="21"/>
                <w:highlight w:val="none"/>
              </w:rPr>
            </w:pPr>
            <w:r>
              <w:rPr>
                <w:rFonts w:hint="eastAsia" w:hAnsi="宋体"/>
                <w:kern w:val="2"/>
                <w:sz w:val="21"/>
                <w:szCs w:val="21"/>
                <w:highlight w:val="none"/>
              </w:rPr>
              <w:t>将在投标截止时间后系统成功接收投标文件的投标人总数（无论是否成功解密）除以5，根据余数对应取C值，见下表（多标段按各自标段在投标截止时间后系统成功接收投标文件的投标人总数（无论是否成功解密）计算选取）</w:t>
            </w:r>
          </w:p>
          <w:tbl>
            <w:tblPr>
              <w:tblStyle w:val="52"/>
              <w:tblW w:w="48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1"/>
              <w:gridCol w:w="2627"/>
            </w:tblGrid>
            <w:tr w14:paraId="7FD98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2093" w:type="pct"/>
                  <w:tcBorders>
                    <w:top w:val="single" w:color="000000" w:sz="4" w:space="0"/>
                    <w:left w:val="single" w:color="000000" w:sz="4" w:space="0"/>
                    <w:bottom w:val="single" w:color="000000" w:sz="4" w:space="0"/>
                    <w:right w:val="single" w:color="000000" w:sz="4" w:space="0"/>
                    <w:tl2br w:val="single" w:color="auto" w:sz="4" w:space="0"/>
                  </w:tcBorders>
                  <w:noWrap w:val="0"/>
                  <w:vAlign w:val="center"/>
                </w:tcPr>
                <w:p w14:paraId="43CBE58A">
                  <w:pPr>
                    <w:spacing w:line="440" w:lineRule="exact"/>
                    <w:ind w:firstLine="1155" w:firstLineChars="550"/>
                    <w:rPr>
                      <w:rFonts w:hAnsi="宋体"/>
                      <w:kern w:val="2"/>
                      <w:sz w:val="21"/>
                      <w:szCs w:val="21"/>
                      <w:highlight w:val="none"/>
                    </w:rPr>
                  </w:pPr>
                  <w:r>
                    <w:rPr>
                      <w:rFonts w:hint="eastAsia" w:hAnsi="宋体"/>
                      <w:kern w:val="2"/>
                      <w:sz w:val="21"/>
                      <w:szCs w:val="21"/>
                      <w:highlight w:val="none"/>
                    </w:rPr>
                    <w:t>对应的C值</w:t>
                  </w:r>
                </w:p>
                <w:p w14:paraId="34626581">
                  <w:pPr>
                    <w:spacing w:line="440" w:lineRule="exact"/>
                    <w:rPr>
                      <w:rFonts w:hAnsi="宋体"/>
                      <w:kern w:val="2"/>
                      <w:sz w:val="21"/>
                      <w:szCs w:val="21"/>
                      <w:highlight w:val="none"/>
                    </w:rPr>
                  </w:pPr>
                  <w:r>
                    <w:rPr>
                      <w:rFonts w:hint="eastAsia" w:hAnsi="宋体"/>
                      <w:kern w:val="2"/>
                      <w:sz w:val="21"/>
                      <w:szCs w:val="21"/>
                      <w:highlight w:val="none"/>
                    </w:rPr>
                    <w:t>余数</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212A38F4">
                  <w:pPr>
                    <w:spacing w:line="440" w:lineRule="exact"/>
                    <w:rPr>
                      <w:rFonts w:hAnsi="宋体"/>
                      <w:kern w:val="2"/>
                      <w:sz w:val="21"/>
                      <w:szCs w:val="21"/>
                      <w:highlight w:val="none"/>
                    </w:rPr>
                  </w:pPr>
                  <w:r>
                    <w:rPr>
                      <w:rFonts w:hint="eastAsia" w:hAnsi="宋体"/>
                      <w:kern w:val="2"/>
                      <w:sz w:val="21"/>
                      <w:szCs w:val="21"/>
                      <w:highlight w:val="none"/>
                    </w:rPr>
                    <w:t>C值</w:t>
                  </w:r>
                </w:p>
              </w:tc>
            </w:tr>
            <w:tr w14:paraId="7D38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93" w:type="pct"/>
                  <w:tcBorders>
                    <w:top w:val="single" w:color="000000" w:sz="4" w:space="0"/>
                    <w:left w:val="single" w:color="000000" w:sz="4" w:space="0"/>
                    <w:bottom w:val="single" w:color="000000" w:sz="4" w:space="0"/>
                    <w:right w:val="single" w:color="000000" w:sz="4" w:space="0"/>
                  </w:tcBorders>
                  <w:noWrap w:val="0"/>
                  <w:vAlign w:val="center"/>
                </w:tcPr>
                <w:p w14:paraId="3C26FC0C">
                  <w:pPr>
                    <w:spacing w:line="440" w:lineRule="exact"/>
                    <w:rPr>
                      <w:rFonts w:hAnsi="宋体"/>
                      <w:kern w:val="2"/>
                      <w:sz w:val="21"/>
                      <w:szCs w:val="21"/>
                      <w:highlight w:val="none"/>
                    </w:rPr>
                  </w:pPr>
                  <w:r>
                    <w:rPr>
                      <w:rFonts w:hint="eastAsia" w:hAnsi="宋体"/>
                      <w:kern w:val="2"/>
                      <w:sz w:val="21"/>
                      <w:szCs w:val="21"/>
                      <w:highlight w:val="none"/>
                    </w:rPr>
                    <w:t>0</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677DD84C">
                  <w:pPr>
                    <w:spacing w:line="440" w:lineRule="exact"/>
                    <w:rPr>
                      <w:rFonts w:hAnsi="宋体"/>
                      <w:kern w:val="2"/>
                      <w:sz w:val="21"/>
                      <w:szCs w:val="21"/>
                      <w:highlight w:val="none"/>
                    </w:rPr>
                  </w:pPr>
                  <w:r>
                    <w:rPr>
                      <w:rFonts w:hint="eastAsia" w:hAnsi="宋体"/>
                      <w:kern w:val="2"/>
                      <w:sz w:val="21"/>
                      <w:szCs w:val="21"/>
                      <w:highlight w:val="none"/>
                    </w:rPr>
                    <w:t>0.95</w:t>
                  </w:r>
                </w:p>
              </w:tc>
            </w:tr>
            <w:tr w14:paraId="62C3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93" w:type="pct"/>
                  <w:tcBorders>
                    <w:top w:val="single" w:color="000000" w:sz="4" w:space="0"/>
                    <w:left w:val="single" w:color="000000" w:sz="4" w:space="0"/>
                    <w:bottom w:val="single" w:color="000000" w:sz="4" w:space="0"/>
                    <w:right w:val="single" w:color="000000" w:sz="4" w:space="0"/>
                  </w:tcBorders>
                  <w:noWrap w:val="0"/>
                  <w:vAlign w:val="center"/>
                </w:tcPr>
                <w:p w14:paraId="7AD4BECB">
                  <w:pPr>
                    <w:spacing w:line="440" w:lineRule="exact"/>
                    <w:rPr>
                      <w:rFonts w:hAnsi="宋体"/>
                      <w:kern w:val="2"/>
                      <w:sz w:val="21"/>
                      <w:szCs w:val="21"/>
                      <w:highlight w:val="none"/>
                    </w:rPr>
                  </w:pPr>
                  <w:r>
                    <w:rPr>
                      <w:rFonts w:hint="eastAsia" w:hAnsi="宋体"/>
                      <w:kern w:val="2"/>
                      <w:sz w:val="21"/>
                      <w:szCs w:val="21"/>
                      <w:highlight w:val="none"/>
                    </w:rPr>
                    <w:t>1</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0BF36733">
                  <w:pPr>
                    <w:spacing w:line="440" w:lineRule="exact"/>
                    <w:rPr>
                      <w:rFonts w:hAnsi="宋体"/>
                      <w:kern w:val="2"/>
                      <w:sz w:val="21"/>
                      <w:szCs w:val="21"/>
                      <w:highlight w:val="none"/>
                    </w:rPr>
                  </w:pPr>
                  <w:r>
                    <w:rPr>
                      <w:rFonts w:hint="eastAsia" w:hAnsi="宋体"/>
                      <w:kern w:val="2"/>
                      <w:sz w:val="21"/>
                      <w:szCs w:val="21"/>
                      <w:highlight w:val="none"/>
                    </w:rPr>
                    <w:t>0.96</w:t>
                  </w:r>
                </w:p>
              </w:tc>
            </w:tr>
            <w:tr w14:paraId="0A7D8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93" w:type="pct"/>
                  <w:tcBorders>
                    <w:top w:val="single" w:color="000000" w:sz="4" w:space="0"/>
                    <w:left w:val="single" w:color="000000" w:sz="4" w:space="0"/>
                    <w:bottom w:val="single" w:color="000000" w:sz="4" w:space="0"/>
                    <w:right w:val="single" w:color="000000" w:sz="4" w:space="0"/>
                  </w:tcBorders>
                  <w:noWrap w:val="0"/>
                  <w:vAlign w:val="center"/>
                </w:tcPr>
                <w:p w14:paraId="0401968B">
                  <w:pPr>
                    <w:spacing w:line="440" w:lineRule="exact"/>
                    <w:rPr>
                      <w:rFonts w:hAnsi="宋体"/>
                      <w:kern w:val="2"/>
                      <w:sz w:val="21"/>
                      <w:szCs w:val="21"/>
                      <w:highlight w:val="none"/>
                    </w:rPr>
                  </w:pPr>
                  <w:r>
                    <w:rPr>
                      <w:rFonts w:hint="eastAsia" w:hAnsi="宋体"/>
                      <w:kern w:val="2"/>
                      <w:sz w:val="21"/>
                      <w:szCs w:val="21"/>
                      <w:highlight w:val="none"/>
                    </w:rPr>
                    <w:t>2</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4F30E74C">
                  <w:pPr>
                    <w:spacing w:line="440" w:lineRule="exact"/>
                    <w:rPr>
                      <w:rFonts w:hAnsi="宋体"/>
                      <w:kern w:val="2"/>
                      <w:sz w:val="21"/>
                      <w:szCs w:val="21"/>
                      <w:highlight w:val="none"/>
                    </w:rPr>
                  </w:pPr>
                  <w:r>
                    <w:rPr>
                      <w:rFonts w:hint="eastAsia" w:hAnsi="宋体"/>
                      <w:kern w:val="2"/>
                      <w:sz w:val="21"/>
                      <w:szCs w:val="21"/>
                      <w:highlight w:val="none"/>
                    </w:rPr>
                    <w:t>0.97</w:t>
                  </w:r>
                </w:p>
              </w:tc>
            </w:tr>
            <w:tr w14:paraId="67DD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93" w:type="pct"/>
                  <w:tcBorders>
                    <w:top w:val="single" w:color="000000" w:sz="4" w:space="0"/>
                    <w:left w:val="single" w:color="000000" w:sz="4" w:space="0"/>
                    <w:bottom w:val="single" w:color="000000" w:sz="4" w:space="0"/>
                    <w:right w:val="single" w:color="000000" w:sz="4" w:space="0"/>
                  </w:tcBorders>
                  <w:noWrap w:val="0"/>
                  <w:vAlign w:val="center"/>
                </w:tcPr>
                <w:p w14:paraId="7CE404C2">
                  <w:pPr>
                    <w:spacing w:line="440" w:lineRule="exact"/>
                    <w:rPr>
                      <w:rFonts w:hAnsi="宋体"/>
                      <w:kern w:val="2"/>
                      <w:sz w:val="21"/>
                      <w:szCs w:val="21"/>
                      <w:highlight w:val="none"/>
                    </w:rPr>
                  </w:pPr>
                  <w:r>
                    <w:rPr>
                      <w:rFonts w:hint="eastAsia" w:hAnsi="宋体"/>
                      <w:kern w:val="2"/>
                      <w:sz w:val="21"/>
                      <w:szCs w:val="21"/>
                      <w:highlight w:val="none"/>
                    </w:rPr>
                    <w:t>3</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6A49E948">
                  <w:pPr>
                    <w:spacing w:line="440" w:lineRule="exact"/>
                    <w:rPr>
                      <w:rFonts w:hAnsi="宋体"/>
                      <w:kern w:val="2"/>
                      <w:sz w:val="21"/>
                      <w:szCs w:val="21"/>
                      <w:highlight w:val="none"/>
                    </w:rPr>
                  </w:pPr>
                  <w:r>
                    <w:rPr>
                      <w:rFonts w:hint="eastAsia" w:hAnsi="宋体"/>
                      <w:kern w:val="2"/>
                      <w:sz w:val="21"/>
                      <w:szCs w:val="21"/>
                      <w:highlight w:val="none"/>
                    </w:rPr>
                    <w:t>0.98</w:t>
                  </w:r>
                </w:p>
              </w:tc>
            </w:tr>
            <w:tr w14:paraId="0227F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93" w:type="pct"/>
                  <w:tcBorders>
                    <w:top w:val="single" w:color="000000" w:sz="4" w:space="0"/>
                    <w:left w:val="single" w:color="000000" w:sz="4" w:space="0"/>
                    <w:bottom w:val="single" w:color="000000" w:sz="4" w:space="0"/>
                    <w:right w:val="single" w:color="000000" w:sz="4" w:space="0"/>
                  </w:tcBorders>
                  <w:noWrap w:val="0"/>
                  <w:vAlign w:val="center"/>
                </w:tcPr>
                <w:p w14:paraId="1E5BFEBE">
                  <w:pPr>
                    <w:spacing w:line="440" w:lineRule="exact"/>
                    <w:rPr>
                      <w:rFonts w:hAnsi="宋体"/>
                      <w:kern w:val="2"/>
                      <w:sz w:val="21"/>
                      <w:szCs w:val="21"/>
                      <w:highlight w:val="none"/>
                    </w:rPr>
                  </w:pPr>
                  <w:r>
                    <w:rPr>
                      <w:rFonts w:hint="eastAsia" w:hAnsi="宋体"/>
                      <w:kern w:val="2"/>
                      <w:sz w:val="21"/>
                      <w:szCs w:val="21"/>
                      <w:highlight w:val="none"/>
                    </w:rPr>
                    <w:t>4</w:t>
                  </w:r>
                </w:p>
              </w:tc>
              <w:tc>
                <w:tcPr>
                  <w:tcW w:w="2907" w:type="pct"/>
                  <w:tcBorders>
                    <w:top w:val="single" w:color="000000" w:sz="4" w:space="0"/>
                    <w:left w:val="single" w:color="auto" w:sz="4" w:space="0"/>
                    <w:bottom w:val="single" w:color="000000" w:sz="4" w:space="0"/>
                    <w:right w:val="single" w:color="000000" w:sz="4" w:space="0"/>
                  </w:tcBorders>
                  <w:noWrap w:val="0"/>
                  <w:vAlign w:val="center"/>
                </w:tcPr>
                <w:p w14:paraId="5277A027">
                  <w:pPr>
                    <w:spacing w:line="440" w:lineRule="exact"/>
                    <w:rPr>
                      <w:rFonts w:hAnsi="宋体"/>
                      <w:kern w:val="2"/>
                      <w:sz w:val="21"/>
                      <w:szCs w:val="21"/>
                      <w:highlight w:val="none"/>
                    </w:rPr>
                  </w:pPr>
                  <w:r>
                    <w:rPr>
                      <w:rFonts w:hint="eastAsia" w:hAnsi="宋体"/>
                      <w:kern w:val="2"/>
                      <w:sz w:val="21"/>
                      <w:szCs w:val="21"/>
                      <w:highlight w:val="none"/>
                    </w:rPr>
                    <w:t>0.99</w:t>
                  </w:r>
                </w:p>
              </w:tc>
            </w:tr>
          </w:tbl>
          <w:p w14:paraId="71B5DC1E">
            <w:pPr>
              <w:spacing w:line="440" w:lineRule="exact"/>
              <w:rPr>
                <w:rFonts w:hAnsi="宋体"/>
                <w:kern w:val="2"/>
                <w:sz w:val="21"/>
                <w:szCs w:val="21"/>
                <w:highlight w:val="none"/>
              </w:rPr>
            </w:pPr>
            <w:r>
              <w:rPr>
                <w:rFonts w:hint="eastAsia" w:hAnsi="宋体"/>
                <w:kern w:val="2"/>
                <w:sz w:val="21"/>
                <w:szCs w:val="21"/>
                <w:highlight w:val="none"/>
              </w:rPr>
              <w:t>在评标过程中，评标委员会应对评标基准价进行复核，存在计算错误的应予以修正并在评标报告中作出说明。除此之外，评标基准价在整个评标期间保持不变，不随任何因素发生变化。</w:t>
            </w:r>
          </w:p>
          <w:p w14:paraId="7BAAB5D0">
            <w:pPr>
              <w:spacing w:line="440" w:lineRule="exact"/>
              <w:rPr>
                <w:rFonts w:hAnsi="宋体"/>
                <w:kern w:val="2"/>
                <w:sz w:val="21"/>
                <w:szCs w:val="21"/>
                <w:highlight w:val="none"/>
              </w:rPr>
            </w:pPr>
            <w:r>
              <w:rPr>
                <w:rFonts w:hint="eastAsia" w:hAnsi="宋体"/>
                <w:kern w:val="2"/>
                <w:sz w:val="21"/>
                <w:szCs w:val="21"/>
                <w:highlight w:val="none"/>
              </w:rPr>
              <w:t>（4）评标价的偏差率计算</w:t>
            </w:r>
          </w:p>
          <w:p w14:paraId="07F6C213">
            <w:pPr>
              <w:spacing w:line="440" w:lineRule="exact"/>
              <w:rPr>
                <w:rFonts w:hAnsi="宋体"/>
                <w:kern w:val="2"/>
                <w:sz w:val="21"/>
                <w:szCs w:val="21"/>
                <w:highlight w:val="none"/>
              </w:rPr>
            </w:pPr>
            <w:r>
              <w:rPr>
                <w:rFonts w:hint="eastAsia" w:hAnsi="宋体"/>
                <w:kern w:val="2"/>
                <w:sz w:val="21"/>
                <w:szCs w:val="21"/>
                <w:highlight w:val="none"/>
              </w:rPr>
              <w:t>偏差率=100%×（投标人评标价-评标基准价）/评标基准价</w:t>
            </w:r>
          </w:p>
          <w:p w14:paraId="0A1E836B">
            <w:pPr>
              <w:spacing w:line="440" w:lineRule="exact"/>
              <w:rPr>
                <w:rFonts w:hAnsi="宋体"/>
                <w:kern w:val="2"/>
                <w:sz w:val="21"/>
                <w:szCs w:val="21"/>
                <w:highlight w:val="none"/>
              </w:rPr>
            </w:pPr>
            <w:r>
              <w:rPr>
                <w:rFonts w:hint="eastAsia" w:hAnsi="宋体"/>
                <w:kern w:val="2"/>
                <w:sz w:val="21"/>
                <w:szCs w:val="21"/>
                <w:highlight w:val="none"/>
              </w:rPr>
              <w:t>偏差率保留两位小数（小数点后第三位“四舍五入”），即为*.**%。</w:t>
            </w:r>
          </w:p>
          <w:p w14:paraId="74E0C15C">
            <w:pPr>
              <w:spacing w:line="440" w:lineRule="exact"/>
              <w:rPr>
                <w:rFonts w:hAnsi="宋体"/>
                <w:kern w:val="2"/>
                <w:sz w:val="21"/>
                <w:szCs w:val="21"/>
                <w:highlight w:val="none"/>
              </w:rPr>
            </w:pPr>
            <w:r>
              <w:rPr>
                <w:rFonts w:hint="eastAsia" w:hAnsi="宋体"/>
                <w:kern w:val="2"/>
                <w:sz w:val="21"/>
                <w:szCs w:val="21"/>
                <w:highlight w:val="none"/>
              </w:rPr>
              <w:t>（5）评标价得分计算</w:t>
            </w:r>
          </w:p>
          <w:p w14:paraId="6C1136FA">
            <w:pPr>
              <w:spacing w:line="440" w:lineRule="exact"/>
              <w:rPr>
                <w:rFonts w:hAnsi="宋体"/>
                <w:kern w:val="2"/>
                <w:sz w:val="21"/>
                <w:szCs w:val="21"/>
                <w:highlight w:val="none"/>
              </w:rPr>
            </w:pPr>
            <w:r>
              <w:rPr>
                <w:rFonts w:hint="eastAsia" w:hAnsi="宋体"/>
                <w:kern w:val="2"/>
                <w:sz w:val="21"/>
                <w:szCs w:val="21"/>
                <w:highlight w:val="none"/>
              </w:rPr>
              <w:t>①当投标人评标价＞评标基准价，评标价得分=F-偏差率*100*E1</w:t>
            </w:r>
          </w:p>
          <w:p w14:paraId="1C6A818D">
            <w:pPr>
              <w:spacing w:line="440" w:lineRule="exact"/>
              <w:rPr>
                <w:rFonts w:hAnsi="宋体"/>
                <w:kern w:val="2"/>
                <w:sz w:val="21"/>
                <w:szCs w:val="21"/>
                <w:highlight w:val="none"/>
              </w:rPr>
            </w:pPr>
            <w:r>
              <w:rPr>
                <w:rFonts w:hint="eastAsia" w:hAnsi="宋体"/>
                <w:kern w:val="2"/>
                <w:sz w:val="21"/>
                <w:szCs w:val="21"/>
                <w:highlight w:val="none"/>
              </w:rPr>
              <w:t>②当投标人评标价≤评标基准价，评标价得分=F+偏差率*100*E2</w:t>
            </w:r>
          </w:p>
          <w:p w14:paraId="6F80FB19">
            <w:pPr>
              <w:spacing w:line="440" w:lineRule="exact"/>
              <w:rPr>
                <w:rFonts w:hAnsi="宋体"/>
                <w:kern w:val="2"/>
                <w:sz w:val="21"/>
                <w:szCs w:val="21"/>
                <w:highlight w:val="none"/>
              </w:rPr>
            </w:pPr>
            <w:r>
              <w:rPr>
                <w:rFonts w:hint="eastAsia" w:hAnsi="宋体"/>
                <w:kern w:val="2"/>
                <w:sz w:val="21"/>
                <w:szCs w:val="21"/>
                <w:highlight w:val="none"/>
              </w:rPr>
              <w:t>其中:F=</w:t>
            </w:r>
            <w:r>
              <w:rPr>
                <w:rFonts w:hint="eastAsia" w:hAnsi="宋体"/>
                <w:kern w:val="2"/>
                <w:sz w:val="21"/>
                <w:szCs w:val="21"/>
                <w:highlight w:val="none"/>
                <w:lang w:val="en-US" w:eastAsia="zh-CN"/>
              </w:rPr>
              <w:t>3</w:t>
            </w:r>
            <w:r>
              <w:rPr>
                <w:rFonts w:hint="eastAsia" w:hAnsi="宋体"/>
                <w:kern w:val="2"/>
                <w:sz w:val="21"/>
                <w:szCs w:val="21"/>
                <w:highlight w:val="none"/>
              </w:rPr>
              <w:t>0，E1=0.5，E2=0.3。</w:t>
            </w:r>
          </w:p>
          <w:p w14:paraId="13BDF779">
            <w:pPr>
              <w:widowControl/>
              <w:spacing w:line="360" w:lineRule="auto"/>
              <w:jc w:val="left"/>
              <w:rPr>
                <w:rFonts w:hint="eastAsia" w:hAnsi="宋体" w:cs="宋体"/>
                <w:spacing w:val="-2"/>
                <w:sz w:val="21"/>
                <w:szCs w:val="21"/>
                <w:highlight w:val="none"/>
              </w:rPr>
            </w:pPr>
            <w:r>
              <w:rPr>
                <w:rFonts w:hint="eastAsia" w:hAnsi="宋体"/>
                <w:kern w:val="2"/>
                <w:sz w:val="21"/>
                <w:szCs w:val="21"/>
                <w:highlight w:val="none"/>
              </w:rPr>
              <w:t>当评标价得分为负时，均按0分计算。评标价得分保留小数点后两位，小数点后三位“四舍五入”。</w:t>
            </w:r>
          </w:p>
        </w:tc>
      </w:tr>
      <w:tr w14:paraId="2A7B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50" w:type="dxa"/>
            <w:gridSpan w:val="5"/>
            <w:noWrap w:val="0"/>
            <w:vAlign w:val="center"/>
          </w:tcPr>
          <w:p w14:paraId="5CF2CCD5">
            <w:pPr>
              <w:widowControl/>
              <w:snapToGrid w:val="0"/>
              <w:spacing w:line="360" w:lineRule="auto"/>
              <w:jc w:val="left"/>
              <w:rPr>
                <w:rFonts w:hint="eastAsia" w:hAnsi="宋体" w:cs="宋体"/>
                <w:b/>
                <w:highlight w:val="none"/>
              </w:rPr>
            </w:pPr>
            <w:r>
              <w:rPr>
                <w:rFonts w:hint="eastAsia" w:hAnsi="宋体" w:cs="宋体"/>
                <w:b/>
                <w:highlight w:val="none"/>
              </w:rPr>
              <w:t>需要补充的其他内容</w:t>
            </w:r>
          </w:p>
        </w:tc>
      </w:tr>
      <w:tr w14:paraId="27E2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450" w:type="dxa"/>
            <w:gridSpan w:val="5"/>
            <w:noWrap w:val="0"/>
            <w:vAlign w:val="center"/>
          </w:tcPr>
          <w:p w14:paraId="5DC95A73">
            <w:pPr>
              <w:pStyle w:val="2"/>
              <w:keepNext w:val="0"/>
              <w:keepLines w:val="0"/>
              <w:spacing w:line="240" w:lineRule="auto"/>
              <w:rPr>
                <w:rFonts w:hint="eastAsia" w:ascii="宋体" w:hAnsi="宋体" w:eastAsia="宋体" w:cs="宋体"/>
                <w:b/>
                <w:snapToGrid w:val="0"/>
                <w:kern w:val="0"/>
                <w:szCs w:val="20"/>
                <w:highlight w:val="none"/>
                <w:lang w:val="en-US" w:eastAsia="zh-CN"/>
              </w:rPr>
            </w:pPr>
            <w:r>
              <w:rPr>
                <w:rFonts w:hint="eastAsia" w:ascii="宋体" w:hAnsi="宋体" w:eastAsia="宋体" w:cs="宋体"/>
                <w:b/>
                <w:snapToGrid w:val="0"/>
                <w:kern w:val="0"/>
                <w:szCs w:val="20"/>
                <w:highlight w:val="none"/>
                <w:lang w:val="en-US" w:eastAsia="zh-CN"/>
              </w:rPr>
              <w:t>无</w:t>
            </w:r>
          </w:p>
        </w:tc>
      </w:tr>
    </w:tbl>
    <w:p w14:paraId="19E566EE">
      <w:pPr>
        <w:spacing w:line="360" w:lineRule="auto"/>
        <w:jc w:val="center"/>
        <w:outlineLvl w:val="0"/>
        <w:rPr>
          <w:rFonts w:hAnsi="宋体" w:cs="宋体"/>
          <w:highlight w:val="none"/>
        </w:rPr>
      </w:pPr>
      <w:r>
        <w:rPr>
          <w:rFonts w:hint="eastAsia" w:ascii="Times New Roman" w:eastAsia="黑体"/>
          <w:sz w:val="32"/>
          <w:szCs w:val="32"/>
          <w:highlight w:val="none"/>
        </w:rPr>
        <w:br w:type="page"/>
      </w:r>
      <w:bookmarkStart w:id="465" w:name="_Toc10303"/>
      <w:bookmarkStart w:id="466" w:name="_Toc140069422"/>
      <w:bookmarkStart w:id="467" w:name="_Toc8778"/>
      <w:bookmarkStart w:id="468" w:name="_Toc32641"/>
      <w:r>
        <w:rPr>
          <w:rFonts w:hint="eastAsia" w:ascii="黑体" w:hAnsi="黑体" w:eastAsia="黑体" w:cs="黑体"/>
          <w:highlight w:val="none"/>
        </w:rPr>
        <w:t>附件1：技术文件详细评审得分计算规则</w:t>
      </w:r>
      <w:bookmarkEnd w:id="465"/>
      <w:bookmarkEnd w:id="466"/>
      <w:bookmarkEnd w:id="467"/>
      <w:bookmarkEnd w:id="468"/>
    </w:p>
    <w:p w14:paraId="257C3C94">
      <w:pPr>
        <w:spacing w:line="360" w:lineRule="auto"/>
        <w:ind w:firstLine="480" w:firstLineChars="200"/>
        <w:rPr>
          <w:rFonts w:hAnsi="宋体" w:cs="宋体"/>
          <w:bCs/>
          <w:highlight w:val="none"/>
        </w:rPr>
      </w:pPr>
      <w:r>
        <w:rPr>
          <w:rFonts w:hint="eastAsia" w:hAnsi="宋体" w:cs="宋体"/>
          <w:bCs/>
          <w:highlight w:val="none"/>
        </w:rPr>
        <w:t>针对评标办法正文“3.2商务及技术文件详细评审”中“技术文件详细评审得分计算”规则，</w:t>
      </w:r>
      <w:r>
        <w:rPr>
          <w:rFonts w:hint="eastAsia" w:ascii="Times New Roman"/>
          <w:bCs/>
          <w:szCs w:val="24"/>
          <w:highlight w:val="none"/>
        </w:rPr>
        <w:t>具体如下，计算保留小数点后两位，小数点后第三位“四舍五入”：</w:t>
      </w:r>
    </w:p>
    <w:p w14:paraId="7E51D16D">
      <w:pPr>
        <w:spacing w:line="360" w:lineRule="auto"/>
        <w:ind w:firstLine="480" w:firstLineChars="200"/>
        <w:rPr>
          <w:rFonts w:ascii="Times New Roman"/>
          <w:szCs w:val="24"/>
          <w:highlight w:val="none"/>
        </w:rPr>
      </w:pPr>
      <w:r>
        <w:rPr>
          <w:rFonts w:hint="eastAsia" w:ascii="Times New Roman"/>
          <w:szCs w:val="24"/>
          <w:highlight w:val="none"/>
        </w:rPr>
        <w:t>技术文件详细评审得分计算如下：</w:t>
      </w:r>
    </w:p>
    <w:p w14:paraId="442DAC84">
      <w:pPr>
        <w:spacing w:line="360" w:lineRule="auto"/>
        <w:ind w:firstLine="480" w:firstLineChars="200"/>
        <w:rPr>
          <w:rFonts w:ascii="Times New Roman"/>
          <w:szCs w:val="24"/>
          <w:highlight w:val="none"/>
        </w:rPr>
      </w:pPr>
      <w:r>
        <w:rPr>
          <w:rFonts w:hint="eastAsia" w:ascii="Times New Roman"/>
          <w:szCs w:val="24"/>
          <w:highlight w:val="none"/>
        </w:rPr>
        <w:t>①首先，根据评委技术文件详细评审打分汇总（以下简称“技术打分”），计算偏差率</w:t>
      </w:r>
    </w:p>
    <w:p w14:paraId="50E74D07">
      <w:pPr>
        <w:spacing w:line="360" w:lineRule="auto"/>
        <w:ind w:firstLine="480" w:firstLineChars="200"/>
        <w:rPr>
          <w:rFonts w:ascii="Times New Roman"/>
          <w:szCs w:val="24"/>
          <w:highlight w:val="none"/>
        </w:rPr>
      </w:pPr>
      <w:r>
        <w:rPr>
          <w:rFonts w:hint="eastAsia" w:ascii="Times New Roman"/>
          <w:szCs w:val="24"/>
          <w:highlight w:val="none"/>
        </w:rPr>
        <w:t>根据评委对其评审的各投标人的技术打分进行排序，计算该评委最高与次高技术打分的纵向偏差率（该评委最高与次高技术打分的差值占该评委最高技术打分的百分比）；</w:t>
      </w:r>
    </w:p>
    <w:p w14:paraId="07FEEEAD">
      <w:pPr>
        <w:spacing w:line="360" w:lineRule="auto"/>
        <w:ind w:firstLine="480" w:firstLineChars="200"/>
        <w:rPr>
          <w:rFonts w:ascii="Times New Roman"/>
          <w:szCs w:val="24"/>
          <w:highlight w:val="none"/>
        </w:rPr>
      </w:pPr>
      <w:r>
        <w:rPr>
          <w:rFonts w:hint="eastAsia" w:ascii="Times New Roman"/>
          <w:szCs w:val="24"/>
          <w:highlight w:val="none"/>
        </w:rPr>
        <w:t>针对上述评委确定的最高技术打分的投标人，计算该投标人最高技术打分与其他评委对该投标人平均技术打分（技术打分的算术平均值）的横向偏差率（该投标人最高技术打分与其他评委对该投标人平均技术打分的差值占其他评委对该投标人平均技术打分的百分比；出现同一评委不同投标人的最高技术打分相同时，分别计算确定）；</w:t>
      </w:r>
    </w:p>
    <w:p w14:paraId="69CEA6EA">
      <w:pPr>
        <w:spacing w:line="360" w:lineRule="auto"/>
        <w:ind w:firstLine="480" w:firstLineChars="200"/>
        <w:rPr>
          <w:rFonts w:ascii="Times New Roman"/>
          <w:szCs w:val="24"/>
          <w:highlight w:val="none"/>
        </w:rPr>
      </w:pPr>
      <w:r>
        <w:rPr>
          <w:rFonts w:hint="eastAsia" w:ascii="Times New Roman"/>
          <w:szCs w:val="24"/>
          <w:highlight w:val="none"/>
        </w:rPr>
        <w:t>当纵向偏差率达到或超过20%，同时横向偏差率达到或超过15%时，该评委的技术打分不纳入投标人得分计算。当出现2名或以上评委技术打分同时出现上述情况时，纵向偏差率最大的评委技术打分不纳入投标人得分计算；如纵向偏差率最大的相同时，以横向偏差率最大的评委技术打分不纳入投标人得分计算；如横向偏差率最大的也相同时，则计算该情形评委最高与次次高技术打分的偏差率，该偏差率最大的评委技术打分不纳入投标人得分计算；若最终仍然无法判断的，由评标委员会随机确定1位该情形评委技术打分不纳入投标人得分计算。</w:t>
      </w:r>
    </w:p>
    <w:p w14:paraId="511DD3B5">
      <w:pPr>
        <w:spacing w:line="360" w:lineRule="auto"/>
        <w:ind w:firstLine="480" w:firstLineChars="200"/>
        <w:rPr>
          <w:rFonts w:ascii="Times New Roman"/>
          <w:szCs w:val="24"/>
          <w:highlight w:val="none"/>
        </w:rPr>
      </w:pPr>
      <w:r>
        <w:rPr>
          <w:rFonts w:hint="eastAsia" w:ascii="Times New Roman"/>
          <w:szCs w:val="24"/>
          <w:highlight w:val="none"/>
        </w:rPr>
        <w:t>注：技术打分相同的，一并纳入同情形偏差率计算（见示例标示）。上述差值按照绝对值计算；</w:t>
      </w:r>
    </w:p>
    <w:p w14:paraId="3F6A7FAF">
      <w:pPr>
        <w:spacing w:line="360" w:lineRule="auto"/>
        <w:ind w:firstLine="480" w:firstLineChars="200"/>
        <w:rPr>
          <w:rFonts w:ascii="Times New Roman"/>
          <w:szCs w:val="24"/>
          <w:highlight w:val="none"/>
        </w:rPr>
      </w:pPr>
      <w:r>
        <w:rPr>
          <w:rFonts w:hint="eastAsia" w:ascii="Times New Roman"/>
          <w:szCs w:val="24"/>
          <w:highlight w:val="none"/>
        </w:rPr>
        <w:t>示例：如某项目的投标人共6家，共有5位评委参与评审，评委进行技术打分分值见下表，现列举其中1位评委相关计算，具体如下：</w:t>
      </w:r>
    </w:p>
    <w:tbl>
      <w:tblPr>
        <w:tblStyle w:val="52"/>
        <w:tblW w:w="8566" w:type="dxa"/>
        <w:tblInd w:w="118" w:type="dxa"/>
        <w:tblLayout w:type="fixed"/>
        <w:tblCellMar>
          <w:top w:w="0" w:type="dxa"/>
          <w:left w:w="108" w:type="dxa"/>
          <w:bottom w:w="0" w:type="dxa"/>
          <w:right w:w="108" w:type="dxa"/>
        </w:tblCellMar>
      </w:tblPr>
      <w:tblGrid>
        <w:gridCol w:w="1253"/>
        <w:gridCol w:w="129"/>
        <w:gridCol w:w="1358"/>
        <w:gridCol w:w="1550"/>
        <w:gridCol w:w="1475"/>
        <w:gridCol w:w="1450"/>
        <w:gridCol w:w="1351"/>
      </w:tblGrid>
      <w:tr w14:paraId="6FA93DFF">
        <w:tblPrEx>
          <w:tblCellMar>
            <w:top w:w="0" w:type="dxa"/>
            <w:left w:w="108" w:type="dxa"/>
            <w:bottom w:w="0" w:type="dxa"/>
            <w:right w:w="108" w:type="dxa"/>
          </w:tblCellMar>
        </w:tblPrEx>
        <w:trPr>
          <w:trHeight w:val="387" w:hRule="atLeast"/>
        </w:trPr>
        <w:tc>
          <w:tcPr>
            <w:tcW w:w="8566" w:type="dxa"/>
            <w:gridSpan w:val="7"/>
            <w:tcBorders>
              <w:top w:val="single" w:color="000000" w:sz="8" w:space="0"/>
              <w:left w:val="single" w:color="000000" w:sz="8" w:space="0"/>
              <w:bottom w:val="single" w:color="auto" w:sz="4" w:space="0"/>
              <w:right w:val="single" w:color="000000" w:sz="8" w:space="0"/>
            </w:tcBorders>
            <w:shd w:val="clear" w:color="auto" w:fill="BEBEBE"/>
            <w:noWrap/>
            <w:vAlign w:val="center"/>
          </w:tcPr>
          <w:p w14:paraId="7B1B277D">
            <w:pPr>
              <w:widowControl/>
              <w:adjustRightInd w:val="0"/>
              <w:snapToGrid w:val="0"/>
              <w:jc w:val="center"/>
              <w:textAlignment w:val="center"/>
              <w:rPr>
                <w:rFonts w:ascii="Times New Roman" w:cs="宋体"/>
                <w:bCs/>
                <w:sz w:val="18"/>
                <w:szCs w:val="18"/>
                <w:highlight w:val="none"/>
              </w:rPr>
            </w:pPr>
            <w:r>
              <w:rPr>
                <w:rFonts w:hint="eastAsia" w:ascii="Times New Roman" w:cs="宋体"/>
                <w:bCs/>
                <w:sz w:val="20"/>
                <w:highlight w:val="none"/>
              </w:rPr>
              <w:t>技术打分分值</w:t>
            </w:r>
          </w:p>
        </w:tc>
      </w:tr>
      <w:tr w14:paraId="2CE1F1B2">
        <w:tblPrEx>
          <w:tblCellMar>
            <w:top w:w="0" w:type="dxa"/>
            <w:left w:w="108" w:type="dxa"/>
            <w:bottom w:w="0" w:type="dxa"/>
            <w:right w:w="108" w:type="dxa"/>
          </w:tblCellMar>
        </w:tblPrEx>
        <w:trPr>
          <w:trHeight w:val="387" w:hRule="atLeast"/>
        </w:trPr>
        <w:tc>
          <w:tcPr>
            <w:tcW w:w="1253" w:type="dxa"/>
            <w:tcBorders>
              <w:top w:val="single" w:color="000000" w:sz="8" w:space="0"/>
              <w:left w:val="single" w:color="000000" w:sz="8" w:space="0"/>
              <w:bottom w:val="single" w:color="auto" w:sz="4" w:space="0"/>
              <w:right w:val="single" w:color="000000" w:sz="8" w:space="0"/>
            </w:tcBorders>
            <w:noWrap/>
            <w:vAlign w:val="center"/>
          </w:tcPr>
          <w:p w14:paraId="09AB9F29">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评委名称</w:t>
            </w:r>
          </w:p>
        </w:tc>
        <w:tc>
          <w:tcPr>
            <w:tcW w:w="1487" w:type="dxa"/>
            <w:gridSpan w:val="2"/>
            <w:tcBorders>
              <w:top w:val="single" w:color="000000" w:sz="8" w:space="0"/>
              <w:left w:val="nil"/>
              <w:bottom w:val="single" w:color="auto" w:sz="4" w:space="0"/>
              <w:right w:val="single" w:color="000000" w:sz="8" w:space="0"/>
            </w:tcBorders>
            <w:noWrap/>
            <w:vAlign w:val="center"/>
          </w:tcPr>
          <w:p w14:paraId="69C8B11F">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评委1</w:t>
            </w:r>
          </w:p>
        </w:tc>
        <w:tc>
          <w:tcPr>
            <w:tcW w:w="1550" w:type="dxa"/>
            <w:tcBorders>
              <w:top w:val="single" w:color="000000" w:sz="8" w:space="0"/>
              <w:left w:val="nil"/>
              <w:bottom w:val="single" w:color="auto" w:sz="4" w:space="0"/>
              <w:right w:val="single" w:color="000000" w:sz="8" w:space="0"/>
            </w:tcBorders>
            <w:noWrap/>
            <w:vAlign w:val="center"/>
          </w:tcPr>
          <w:p w14:paraId="4C0A442C">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评委2</w:t>
            </w:r>
          </w:p>
        </w:tc>
        <w:tc>
          <w:tcPr>
            <w:tcW w:w="1475" w:type="dxa"/>
            <w:tcBorders>
              <w:top w:val="single" w:color="000000" w:sz="8" w:space="0"/>
              <w:left w:val="nil"/>
              <w:bottom w:val="single" w:color="auto" w:sz="4" w:space="0"/>
              <w:right w:val="single" w:color="000000" w:sz="8" w:space="0"/>
            </w:tcBorders>
            <w:noWrap/>
            <w:vAlign w:val="center"/>
          </w:tcPr>
          <w:p w14:paraId="2A7E5364">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评委3</w:t>
            </w:r>
          </w:p>
        </w:tc>
        <w:tc>
          <w:tcPr>
            <w:tcW w:w="1450" w:type="dxa"/>
            <w:tcBorders>
              <w:top w:val="single" w:color="000000" w:sz="8" w:space="0"/>
              <w:left w:val="nil"/>
              <w:bottom w:val="single" w:color="auto" w:sz="4" w:space="0"/>
              <w:right w:val="single" w:color="000000" w:sz="8" w:space="0"/>
            </w:tcBorders>
            <w:noWrap/>
            <w:vAlign w:val="center"/>
          </w:tcPr>
          <w:p w14:paraId="2096F24C">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评委4</w:t>
            </w:r>
          </w:p>
        </w:tc>
        <w:tc>
          <w:tcPr>
            <w:tcW w:w="1351" w:type="dxa"/>
            <w:tcBorders>
              <w:top w:val="single" w:color="000000" w:sz="8" w:space="0"/>
              <w:left w:val="nil"/>
              <w:bottom w:val="single" w:color="auto" w:sz="4" w:space="0"/>
              <w:right w:val="single" w:color="000000" w:sz="8" w:space="0"/>
            </w:tcBorders>
            <w:noWrap/>
            <w:vAlign w:val="center"/>
          </w:tcPr>
          <w:p w14:paraId="50239228">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评委5</w:t>
            </w:r>
          </w:p>
        </w:tc>
      </w:tr>
      <w:tr w14:paraId="6E4A9802">
        <w:tblPrEx>
          <w:tblCellMar>
            <w:top w:w="0" w:type="dxa"/>
            <w:left w:w="108" w:type="dxa"/>
            <w:bottom w:w="0" w:type="dxa"/>
            <w:right w:w="108" w:type="dxa"/>
          </w:tblCellMar>
        </w:tblPrEx>
        <w:trPr>
          <w:trHeight w:val="567" w:hRule="atLeast"/>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84BA59">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投标人1</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6F85EF">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28.0分</w:t>
            </w:r>
          </w:p>
          <w:p w14:paraId="4DAC22FE">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64FB4C">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30.0分</w:t>
            </w:r>
          </w:p>
          <w:p w14:paraId="715C9CA9">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CF6103">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22.0分</w:t>
            </w:r>
          </w:p>
          <w:p w14:paraId="3278D5D3">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（最低分）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3FCFD0">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25.0分</w:t>
            </w:r>
          </w:p>
          <w:p w14:paraId="09564A3E">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CEC057">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20.0分</w:t>
            </w:r>
          </w:p>
          <w:p w14:paraId="35359EE9">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（最低分）</w:t>
            </w:r>
          </w:p>
        </w:tc>
      </w:tr>
      <w:tr w14:paraId="3BF36BB9">
        <w:tblPrEx>
          <w:tblCellMar>
            <w:top w:w="0" w:type="dxa"/>
            <w:left w:w="108" w:type="dxa"/>
            <w:bottom w:w="0" w:type="dxa"/>
            <w:right w:w="108" w:type="dxa"/>
          </w:tblCellMar>
        </w:tblPrEx>
        <w:trPr>
          <w:trHeight w:val="567" w:hRule="atLeast"/>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BF5B72">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投标人2</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C9F56C">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28.0分</w:t>
            </w:r>
          </w:p>
          <w:p w14:paraId="435197B9">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B74B31">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28.0分</w:t>
            </w:r>
          </w:p>
          <w:p w14:paraId="41DA1C91">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EC27F6">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28.0分</w:t>
            </w:r>
          </w:p>
          <w:p w14:paraId="09297C59">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D47001">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24.0分</w:t>
            </w:r>
          </w:p>
          <w:p w14:paraId="0B220621">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C11511E">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22.0分</w:t>
            </w:r>
          </w:p>
          <w:p w14:paraId="4CBB336B">
            <w:pPr>
              <w:widowControl/>
              <w:adjustRightInd w:val="0"/>
              <w:snapToGrid w:val="0"/>
              <w:textAlignment w:val="center"/>
              <w:rPr>
                <w:rFonts w:ascii="Times New Roman" w:cs="宋体"/>
                <w:sz w:val="18"/>
                <w:szCs w:val="18"/>
                <w:highlight w:val="none"/>
              </w:rPr>
            </w:pPr>
            <w:r>
              <w:rPr>
                <w:rFonts w:hint="eastAsia" w:ascii="Times New Roman" w:cs="宋体"/>
                <w:sz w:val="18"/>
                <w:szCs w:val="18"/>
                <w:highlight w:val="none"/>
              </w:rPr>
              <w:t>（次次高分）</w:t>
            </w:r>
          </w:p>
        </w:tc>
      </w:tr>
      <w:tr w14:paraId="3DDA2F0D">
        <w:tblPrEx>
          <w:tblCellMar>
            <w:top w:w="0" w:type="dxa"/>
            <w:left w:w="108" w:type="dxa"/>
            <w:bottom w:w="0" w:type="dxa"/>
            <w:right w:w="108" w:type="dxa"/>
          </w:tblCellMar>
        </w:tblPrEx>
        <w:trPr>
          <w:trHeight w:val="567" w:hRule="atLeast"/>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C3A466">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投标人3</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470357">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26.0分</w:t>
            </w:r>
          </w:p>
          <w:p w14:paraId="33DD231A">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DFF7AE4">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28.0分</w:t>
            </w:r>
          </w:p>
          <w:p w14:paraId="413A291A">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B7B3E8">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25.0分</w:t>
            </w:r>
          </w:p>
          <w:p w14:paraId="03DF352D">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A51953">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25.0分</w:t>
            </w:r>
          </w:p>
          <w:p w14:paraId="37AE779C">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2E34C5">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23.0分</w:t>
            </w:r>
          </w:p>
          <w:p w14:paraId="6F845FF7">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（次高分）</w:t>
            </w:r>
          </w:p>
        </w:tc>
      </w:tr>
      <w:tr w14:paraId="1636435D">
        <w:tblPrEx>
          <w:tblCellMar>
            <w:top w:w="0" w:type="dxa"/>
            <w:left w:w="108" w:type="dxa"/>
            <w:bottom w:w="0" w:type="dxa"/>
            <w:right w:w="108" w:type="dxa"/>
          </w:tblCellMar>
        </w:tblPrEx>
        <w:trPr>
          <w:trHeight w:val="567" w:hRule="atLeast"/>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B938A2">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投标人4</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A6AA18">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24.0 分</w:t>
            </w:r>
          </w:p>
          <w:p w14:paraId="544E8101">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（次次高分）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C61F72">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24.0 分</w:t>
            </w:r>
          </w:p>
          <w:p w14:paraId="21FB8ED2">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794F2A">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28.0 分</w:t>
            </w:r>
          </w:p>
          <w:p w14:paraId="3D24DCA5">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55DD48">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23.0 分</w:t>
            </w:r>
          </w:p>
          <w:p w14:paraId="37792C37">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（次次高分）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B8F851">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20.0 分</w:t>
            </w:r>
          </w:p>
          <w:p w14:paraId="79CC34A1">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（最低分）</w:t>
            </w:r>
          </w:p>
        </w:tc>
      </w:tr>
      <w:tr w14:paraId="1E406E23">
        <w:tblPrEx>
          <w:tblCellMar>
            <w:top w:w="0" w:type="dxa"/>
            <w:left w:w="108" w:type="dxa"/>
            <w:bottom w:w="0" w:type="dxa"/>
            <w:right w:w="108" w:type="dxa"/>
          </w:tblCellMar>
        </w:tblPrEx>
        <w:trPr>
          <w:trHeight w:val="567" w:hRule="atLeast"/>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76D92C">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投标人5</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85271F">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22.0分</w:t>
            </w:r>
          </w:p>
          <w:p w14:paraId="268A6BA6">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（最低分）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A2C795">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22.0分</w:t>
            </w:r>
          </w:p>
          <w:p w14:paraId="6E95DE78">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（最低分）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FA845D">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24.0分</w:t>
            </w:r>
          </w:p>
          <w:p w14:paraId="00C0B1D4">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（次次高分）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F354D6">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22.0分</w:t>
            </w:r>
          </w:p>
          <w:p w14:paraId="176208F6">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（最低分）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D22CF9">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22.0分</w:t>
            </w:r>
          </w:p>
          <w:p w14:paraId="67D53D86">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（次次高分）</w:t>
            </w:r>
          </w:p>
        </w:tc>
      </w:tr>
      <w:tr w14:paraId="707B65B6">
        <w:tblPrEx>
          <w:tblCellMar>
            <w:top w:w="0" w:type="dxa"/>
            <w:left w:w="108" w:type="dxa"/>
            <w:bottom w:w="0" w:type="dxa"/>
            <w:right w:w="108" w:type="dxa"/>
          </w:tblCellMar>
        </w:tblPrEx>
        <w:trPr>
          <w:trHeight w:val="567" w:hRule="atLeast"/>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0FBE81">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投标人6</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DCBF97">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22.0分</w:t>
            </w:r>
          </w:p>
          <w:p w14:paraId="6E3433F0">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（最低分）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9EBA39">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22.0分</w:t>
            </w:r>
          </w:p>
          <w:p w14:paraId="615D6C70">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（最低分）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9D803C">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22.0分</w:t>
            </w:r>
          </w:p>
          <w:p w14:paraId="161F8DA3">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（最低分）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23D5717">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22.0分</w:t>
            </w:r>
          </w:p>
          <w:p w14:paraId="5192185D">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（最低分）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FFBB074">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30.0分</w:t>
            </w:r>
          </w:p>
          <w:p w14:paraId="619ACF42">
            <w:pPr>
              <w:widowControl/>
              <w:adjustRightInd w:val="0"/>
              <w:snapToGrid w:val="0"/>
              <w:jc w:val="center"/>
              <w:textAlignment w:val="center"/>
              <w:rPr>
                <w:rFonts w:ascii="Times New Roman" w:cs="宋体"/>
                <w:sz w:val="18"/>
                <w:szCs w:val="18"/>
                <w:highlight w:val="none"/>
              </w:rPr>
            </w:pPr>
            <w:r>
              <w:rPr>
                <w:rFonts w:hint="eastAsia" w:ascii="Times New Roman" w:cs="宋体"/>
                <w:sz w:val="18"/>
                <w:szCs w:val="18"/>
                <w:highlight w:val="none"/>
              </w:rPr>
              <w:t>（最高分）</w:t>
            </w:r>
          </w:p>
        </w:tc>
      </w:tr>
      <w:tr w14:paraId="2A984A7D">
        <w:tblPrEx>
          <w:tblCellMar>
            <w:top w:w="0" w:type="dxa"/>
            <w:left w:w="108" w:type="dxa"/>
            <w:bottom w:w="0" w:type="dxa"/>
            <w:right w:w="108" w:type="dxa"/>
          </w:tblCellMar>
        </w:tblPrEx>
        <w:trPr>
          <w:trHeight w:val="415" w:hRule="atLeast"/>
        </w:trPr>
        <w:tc>
          <w:tcPr>
            <w:tcW w:w="8566" w:type="dxa"/>
            <w:gridSpan w:val="7"/>
            <w:tcBorders>
              <w:top w:val="single" w:color="auto" w:sz="4" w:space="0"/>
              <w:left w:val="single" w:color="000000" w:sz="4" w:space="0"/>
              <w:bottom w:val="single" w:color="auto" w:sz="4" w:space="0"/>
              <w:right w:val="single" w:color="000000" w:sz="4" w:space="0"/>
            </w:tcBorders>
            <w:shd w:val="clear" w:color="auto" w:fill="BEBEBE"/>
            <w:noWrap/>
            <w:vAlign w:val="center"/>
          </w:tcPr>
          <w:p w14:paraId="38EE720D">
            <w:pPr>
              <w:widowControl/>
              <w:adjustRightInd w:val="0"/>
              <w:snapToGrid w:val="0"/>
              <w:jc w:val="center"/>
              <w:textAlignment w:val="center"/>
              <w:rPr>
                <w:rFonts w:ascii="Times New Roman" w:cs="宋体"/>
                <w:bCs/>
                <w:sz w:val="20"/>
                <w:highlight w:val="none"/>
              </w:rPr>
            </w:pPr>
            <w:r>
              <w:rPr>
                <w:rFonts w:hint="eastAsia" w:ascii="Times New Roman" w:cs="宋体"/>
                <w:bCs/>
                <w:sz w:val="20"/>
                <w:highlight w:val="none"/>
              </w:rPr>
              <w:t>列举评委1纵向偏差率计算</w:t>
            </w:r>
          </w:p>
        </w:tc>
      </w:tr>
      <w:tr w14:paraId="6BC3623C">
        <w:tblPrEx>
          <w:tblCellMar>
            <w:top w:w="0" w:type="dxa"/>
            <w:left w:w="108" w:type="dxa"/>
            <w:bottom w:w="0" w:type="dxa"/>
            <w:right w:w="108" w:type="dxa"/>
          </w:tblCellMar>
        </w:tblPrEx>
        <w:trPr>
          <w:trHeight w:val="472" w:hRule="atLeast"/>
        </w:trPr>
        <w:tc>
          <w:tcPr>
            <w:tcW w:w="27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B884F91">
            <w:pPr>
              <w:widowControl/>
              <w:adjustRightInd w:val="0"/>
              <w:snapToGrid w:val="0"/>
              <w:jc w:val="center"/>
              <w:textAlignment w:val="center"/>
              <w:rPr>
                <w:rFonts w:ascii="Times New Roman" w:cs="宋体"/>
                <w:sz w:val="18"/>
                <w:szCs w:val="18"/>
                <w:highlight w:val="none"/>
              </w:rPr>
            </w:pPr>
            <w:r>
              <w:rPr>
                <w:rFonts w:hint="eastAsia" w:ascii="Times New Roman" w:cs="宋体"/>
                <w:sz w:val="20"/>
                <w:highlight w:val="none"/>
              </w:rPr>
              <w:t>评委1的纵向偏差率</w:t>
            </w:r>
          </w:p>
        </w:tc>
        <w:tc>
          <w:tcPr>
            <w:tcW w:w="5826"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60F2FE5">
            <w:pPr>
              <w:widowControl/>
              <w:adjustRightInd w:val="0"/>
              <w:snapToGrid w:val="0"/>
              <w:jc w:val="left"/>
              <w:textAlignment w:val="center"/>
              <w:rPr>
                <w:rFonts w:ascii="Times New Roman" w:cs="宋体"/>
                <w:sz w:val="18"/>
                <w:szCs w:val="18"/>
                <w:highlight w:val="none"/>
              </w:rPr>
            </w:pPr>
            <w:r>
              <w:rPr>
                <w:rFonts w:hint="eastAsia" w:ascii="Times New Roman" w:cs="宋体"/>
                <w:sz w:val="20"/>
                <w:highlight w:val="none"/>
              </w:rPr>
              <w:t>【（28.0-26.0）÷28.0】×100%=7.14%</w:t>
            </w:r>
          </w:p>
        </w:tc>
      </w:tr>
      <w:tr w14:paraId="21D2CD8B">
        <w:tblPrEx>
          <w:tblCellMar>
            <w:top w:w="0" w:type="dxa"/>
            <w:left w:w="108" w:type="dxa"/>
            <w:bottom w:w="0" w:type="dxa"/>
            <w:right w:w="108" w:type="dxa"/>
          </w:tblCellMar>
        </w:tblPrEx>
        <w:trPr>
          <w:trHeight w:val="412" w:hRule="atLeast"/>
        </w:trPr>
        <w:tc>
          <w:tcPr>
            <w:tcW w:w="8566" w:type="dxa"/>
            <w:gridSpan w:val="7"/>
            <w:tcBorders>
              <w:top w:val="single" w:color="auto" w:sz="4" w:space="0"/>
              <w:left w:val="single" w:color="auto" w:sz="4" w:space="0"/>
              <w:bottom w:val="single" w:color="auto" w:sz="4" w:space="0"/>
              <w:right w:val="single" w:color="auto" w:sz="4" w:space="0"/>
            </w:tcBorders>
            <w:shd w:val="clear" w:color="auto" w:fill="BEBEBE"/>
            <w:noWrap/>
            <w:vAlign w:val="center"/>
          </w:tcPr>
          <w:p w14:paraId="7F9CBB3D">
            <w:pPr>
              <w:widowControl/>
              <w:adjustRightInd w:val="0"/>
              <w:snapToGrid w:val="0"/>
              <w:jc w:val="center"/>
              <w:textAlignment w:val="center"/>
              <w:rPr>
                <w:rFonts w:ascii="Times New Roman" w:cs="宋体"/>
                <w:bCs/>
                <w:sz w:val="20"/>
                <w:highlight w:val="none"/>
              </w:rPr>
            </w:pPr>
            <w:r>
              <w:rPr>
                <w:rFonts w:hint="eastAsia" w:ascii="Times New Roman" w:cs="宋体"/>
                <w:bCs/>
                <w:sz w:val="20"/>
                <w:highlight w:val="none"/>
              </w:rPr>
              <w:t>列举评委1横向偏差率计算</w:t>
            </w:r>
          </w:p>
        </w:tc>
      </w:tr>
      <w:tr w14:paraId="1CB78475">
        <w:tblPrEx>
          <w:tblCellMar>
            <w:top w:w="0" w:type="dxa"/>
            <w:left w:w="108" w:type="dxa"/>
            <w:bottom w:w="0" w:type="dxa"/>
            <w:right w:w="108" w:type="dxa"/>
          </w:tblCellMar>
        </w:tblPrEx>
        <w:trPr>
          <w:trHeight w:val="1017" w:hRule="atLeast"/>
        </w:trPr>
        <w:tc>
          <w:tcPr>
            <w:tcW w:w="1382" w:type="dxa"/>
            <w:gridSpan w:val="2"/>
            <w:vMerge w:val="restart"/>
            <w:tcBorders>
              <w:top w:val="single" w:color="auto" w:sz="4" w:space="0"/>
              <w:left w:val="single" w:color="auto" w:sz="4" w:space="0"/>
              <w:right w:val="single" w:color="auto" w:sz="4" w:space="0"/>
            </w:tcBorders>
            <w:shd w:val="clear" w:color="auto" w:fill="FFFFFF"/>
            <w:noWrap/>
            <w:vAlign w:val="center"/>
          </w:tcPr>
          <w:p w14:paraId="3647FC40">
            <w:pPr>
              <w:widowControl/>
              <w:adjustRightInd w:val="0"/>
              <w:snapToGrid w:val="0"/>
              <w:spacing w:line="360" w:lineRule="auto"/>
              <w:jc w:val="center"/>
              <w:textAlignment w:val="center"/>
              <w:rPr>
                <w:rFonts w:ascii="Times New Roman" w:cs="宋体"/>
                <w:sz w:val="20"/>
                <w:highlight w:val="none"/>
              </w:rPr>
            </w:pPr>
            <w:r>
              <w:rPr>
                <w:rFonts w:hint="eastAsia" w:ascii="Times New Roman" w:cs="宋体"/>
                <w:sz w:val="20"/>
                <w:highlight w:val="none"/>
              </w:rPr>
              <w:t>评委1的</w:t>
            </w:r>
          </w:p>
          <w:p w14:paraId="0E3BEAFA">
            <w:pPr>
              <w:widowControl/>
              <w:adjustRightInd w:val="0"/>
              <w:snapToGrid w:val="0"/>
              <w:spacing w:line="360" w:lineRule="auto"/>
              <w:jc w:val="center"/>
              <w:textAlignment w:val="center"/>
              <w:rPr>
                <w:rFonts w:ascii="Times New Roman" w:cs="宋体"/>
                <w:sz w:val="20"/>
                <w:highlight w:val="none"/>
              </w:rPr>
            </w:pPr>
            <w:r>
              <w:rPr>
                <w:rFonts w:hint="eastAsia" w:ascii="Times New Roman" w:cs="宋体"/>
                <w:sz w:val="20"/>
                <w:highlight w:val="none"/>
              </w:rPr>
              <w:t>横向偏差</w:t>
            </w:r>
          </w:p>
        </w:tc>
        <w:tc>
          <w:tcPr>
            <w:tcW w:w="7184"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24190FD0">
            <w:pPr>
              <w:widowControl/>
              <w:adjustRightInd w:val="0"/>
              <w:snapToGrid w:val="0"/>
              <w:spacing w:line="360" w:lineRule="auto"/>
              <w:jc w:val="left"/>
              <w:textAlignment w:val="center"/>
              <w:rPr>
                <w:rFonts w:ascii="Times New Roman" w:cs="宋体"/>
                <w:sz w:val="20"/>
                <w:highlight w:val="none"/>
              </w:rPr>
            </w:pPr>
            <w:r>
              <w:rPr>
                <w:rFonts w:hint="eastAsia" w:ascii="Times New Roman" w:cs="宋体"/>
                <w:sz w:val="20"/>
                <w:highlight w:val="none"/>
              </w:rPr>
              <w:t>对投标人1计算横向偏差={28.0-[（30.0+22.0+25.0+20.0）÷4]}÷[（30.0+22.0+25.0+20.0）÷4]×100%={28.0-24.25}÷[24.25]×100%=15.46%</w:t>
            </w:r>
          </w:p>
        </w:tc>
      </w:tr>
      <w:tr w14:paraId="0386067D">
        <w:tblPrEx>
          <w:tblCellMar>
            <w:top w:w="0" w:type="dxa"/>
            <w:left w:w="108" w:type="dxa"/>
            <w:bottom w:w="0" w:type="dxa"/>
            <w:right w:w="108" w:type="dxa"/>
          </w:tblCellMar>
        </w:tblPrEx>
        <w:trPr>
          <w:trHeight w:val="905" w:hRule="atLeast"/>
        </w:trPr>
        <w:tc>
          <w:tcPr>
            <w:tcW w:w="1382" w:type="dxa"/>
            <w:gridSpan w:val="2"/>
            <w:vMerge w:val="continue"/>
            <w:tcBorders>
              <w:left w:val="single" w:color="auto" w:sz="4" w:space="0"/>
              <w:bottom w:val="single" w:color="auto" w:sz="4" w:space="0"/>
              <w:right w:val="single" w:color="auto" w:sz="4" w:space="0"/>
            </w:tcBorders>
            <w:shd w:val="clear" w:color="auto" w:fill="FFFFFF"/>
            <w:noWrap/>
            <w:vAlign w:val="center"/>
          </w:tcPr>
          <w:p w14:paraId="41D8D2F5">
            <w:pPr>
              <w:widowControl/>
              <w:adjustRightInd w:val="0"/>
              <w:snapToGrid w:val="0"/>
              <w:spacing w:line="360" w:lineRule="auto"/>
              <w:jc w:val="center"/>
              <w:textAlignment w:val="center"/>
              <w:rPr>
                <w:rFonts w:ascii="Times New Roman" w:cs="宋体"/>
                <w:sz w:val="20"/>
                <w:highlight w:val="none"/>
              </w:rPr>
            </w:pPr>
          </w:p>
        </w:tc>
        <w:tc>
          <w:tcPr>
            <w:tcW w:w="7184"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31FC3D1B">
            <w:pPr>
              <w:widowControl/>
              <w:adjustRightInd w:val="0"/>
              <w:snapToGrid w:val="0"/>
              <w:spacing w:line="360" w:lineRule="auto"/>
              <w:jc w:val="left"/>
              <w:textAlignment w:val="center"/>
              <w:rPr>
                <w:rFonts w:ascii="Times New Roman" w:cs="宋体"/>
                <w:sz w:val="20"/>
                <w:highlight w:val="none"/>
              </w:rPr>
            </w:pPr>
            <w:r>
              <w:rPr>
                <w:rFonts w:hint="eastAsia" w:ascii="Times New Roman" w:cs="宋体"/>
                <w:sz w:val="20"/>
                <w:highlight w:val="none"/>
              </w:rPr>
              <w:t>对投标人2计算横向偏差={28.0-[（28.0+28.0+24.0+22.0）÷4]}÷[（28.0+28.0+24.0+22.0）÷4]×100%={28.0-25.50}÷[25.50]×100%=9.80%</w:t>
            </w:r>
          </w:p>
        </w:tc>
      </w:tr>
    </w:tbl>
    <w:p w14:paraId="33CF849A">
      <w:pPr>
        <w:spacing w:line="360" w:lineRule="auto"/>
        <w:ind w:firstLine="480" w:firstLineChars="200"/>
        <w:rPr>
          <w:rFonts w:ascii="Times New Roman"/>
          <w:szCs w:val="24"/>
          <w:highlight w:val="none"/>
        </w:rPr>
      </w:pPr>
      <w:r>
        <w:rPr>
          <w:rFonts w:hint="eastAsia" w:ascii="Times New Roman"/>
          <w:szCs w:val="24"/>
          <w:highlight w:val="none"/>
        </w:rPr>
        <w:t>②其次，根据评委技术文件详细评审打分汇总（以下简称“技术打分”），计算打分差值</w:t>
      </w:r>
    </w:p>
    <w:p w14:paraId="0D0E7757">
      <w:pPr>
        <w:spacing w:line="360" w:lineRule="auto"/>
        <w:ind w:firstLine="480" w:firstLineChars="200"/>
        <w:rPr>
          <w:rFonts w:ascii="Times New Roman"/>
          <w:szCs w:val="24"/>
          <w:highlight w:val="none"/>
        </w:rPr>
      </w:pPr>
      <w:r>
        <w:rPr>
          <w:rFonts w:ascii="Times New Roman"/>
          <w:szCs w:val="24"/>
          <w:highlight w:val="none"/>
        </w:rPr>
        <w:t>a.</w:t>
      </w:r>
      <w:r>
        <w:rPr>
          <w:rFonts w:hint="eastAsia" w:ascii="Times New Roman"/>
          <w:szCs w:val="24"/>
          <w:highlight w:val="none"/>
        </w:rPr>
        <w:t>当未出现上述①中评委的技术打分不纳入投标人得分计算的情形时，根据评委对其评审的各投标人的技术打分进行排序，计算该评委最高与最低技术打分的差值；</w:t>
      </w:r>
    </w:p>
    <w:p w14:paraId="59794C60">
      <w:pPr>
        <w:spacing w:line="360" w:lineRule="auto"/>
        <w:ind w:firstLine="480" w:firstLineChars="200"/>
        <w:rPr>
          <w:rFonts w:ascii="Times New Roman"/>
          <w:szCs w:val="24"/>
          <w:highlight w:val="none"/>
        </w:rPr>
      </w:pPr>
      <w:r>
        <w:rPr>
          <w:rFonts w:hint="eastAsia" w:ascii="Times New Roman"/>
          <w:szCs w:val="24"/>
          <w:highlight w:val="none"/>
        </w:rPr>
        <w:t>所有评委中技术打分差值最大的，其技术打分不纳入投标人得分计算。当出现技术打分差值最大的评委为2名或以上时，则计算该情形的评委次最高与最低技术打分的差值，次差值最大的评委的技术打分不纳入投标人得分计算；如次差值也相同时，则计算该情形的评委次次最高与最低技术打分的差值，次次差值最大的评委的技术打分不纳入投标人得分计算；以此类推。若最终仍然无法判断的，由评标委员会随机确定1位该情形评委的技术打分不纳入投标人得分计算。</w:t>
      </w:r>
    </w:p>
    <w:p w14:paraId="619ED72A">
      <w:pPr>
        <w:spacing w:line="360" w:lineRule="auto"/>
        <w:ind w:firstLine="480" w:firstLineChars="200"/>
        <w:rPr>
          <w:rFonts w:ascii="Times New Roman"/>
          <w:szCs w:val="24"/>
          <w:highlight w:val="none"/>
        </w:rPr>
      </w:pPr>
      <w:r>
        <w:rPr>
          <w:rFonts w:hint="eastAsia" w:ascii="Times New Roman"/>
          <w:szCs w:val="24"/>
          <w:highlight w:val="none"/>
        </w:rPr>
        <w:t>注：技术打分相同的，一并纳入同情形差值计算（见示例标示）。</w:t>
      </w:r>
    </w:p>
    <w:p w14:paraId="123C43AD">
      <w:pPr>
        <w:spacing w:line="360" w:lineRule="auto"/>
        <w:ind w:firstLine="480" w:firstLineChars="200"/>
        <w:rPr>
          <w:rFonts w:ascii="Times New Roman"/>
          <w:szCs w:val="24"/>
          <w:highlight w:val="none"/>
        </w:rPr>
      </w:pPr>
      <w:r>
        <w:rPr>
          <w:rFonts w:ascii="Times New Roman"/>
          <w:szCs w:val="24"/>
          <w:highlight w:val="none"/>
        </w:rPr>
        <w:t>b.</w:t>
      </w:r>
      <w:r>
        <w:rPr>
          <w:rFonts w:hint="eastAsia" w:ascii="Times New Roman"/>
          <w:szCs w:val="24"/>
          <w:highlight w:val="none"/>
        </w:rPr>
        <w:t>当出现上述①中评委的技术打分不纳入投标人得分计算的情形时，不再计算技术打分最大差值，直接进入下一步计算。</w:t>
      </w:r>
    </w:p>
    <w:p w14:paraId="5ED86C80">
      <w:pPr>
        <w:spacing w:line="360" w:lineRule="auto"/>
        <w:ind w:firstLine="480" w:firstLineChars="200"/>
        <w:rPr>
          <w:rFonts w:ascii="Times New Roman"/>
          <w:szCs w:val="24"/>
          <w:highlight w:val="none"/>
        </w:rPr>
      </w:pPr>
      <w:r>
        <w:rPr>
          <w:rFonts w:hint="eastAsia" w:ascii="Times New Roman"/>
          <w:szCs w:val="24"/>
          <w:highlight w:val="none"/>
        </w:rPr>
        <w:t>③再次，计算技术文件详细评审得分</w:t>
      </w:r>
    </w:p>
    <w:p w14:paraId="758204E1">
      <w:pPr>
        <w:spacing w:line="360" w:lineRule="auto"/>
        <w:ind w:firstLine="480" w:firstLineChars="200"/>
        <w:rPr>
          <w:rFonts w:ascii="Times New Roman"/>
          <w:szCs w:val="24"/>
          <w:highlight w:val="none"/>
        </w:rPr>
      </w:pPr>
      <w:r>
        <w:rPr>
          <w:rFonts w:hint="eastAsia" w:ascii="Times New Roman"/>
          <w:szCs w:val="24"/>
          <w:highlight w:val="none"/>
        </w:rPr>
        <w:t>依据上述①②的判断，按照剩余各评委的技术文件详细评审（本章第2.2.2（1）目）中对应的各评分（评审）因素的打分，去掉一个最高分和一个最低分后计算算术平均值，为该评分（评审）因素的得分；</w:t>
      </w:r>
    </w:p>
    <w:p w14:paraId="2DC601CD">
      <w:pPr>
        <w:spacing w:line="360" w:lineRule="auto"/>
        <w:ind w:firstLine="480" w:firstLineChars="200"/>
        <w:rPr>
          <w:rFonts w:ascii="Times New Roman"/>
          <w:szCs w:val="24"/>
          <w:highlight w:val="none"/>
        </w:rPr>
      </w:pPr>
      <w:r>
        <w:rPr>
          <w:rFonts w:hint="eastAsia" w:ascii="Times New Roman"/>
          <w:szCs w:val="24"/>
          <w:highlight w:val="none"/>
        </w:rPr>
        <w:t>投标人第2.2.2（1）目得分A为该目中对应各评分（评审）因素得分的和；</w:t>
      </w:r>
    </w:p>
    <w:p w14:paraId="22EA0163">
      <w:pPr>
        <w:spacing w:line="360" w:lineRule="auto"/>
        <w:ind w:firstLine="480" w:firstLineChars="200"/>
        <w:rPr>
          <w:rFonts w:ascii="Times New Roman"/>
          <w:szCs w:val="24"/>
          <w:highlight w:val="none"/>
        </w:rPr>
      </w:pPr>
      <w:r>
        <w:rPr>
          <w:rFonts w:hint="eastAsia" w:ascii="Times New Roman"/>
          <w:szCs w:val="24"/>
          <w:highlight w:val="none"/>
        </w:rPr>
        <w:t>投标人技术文件详细评审得分=A。</w:t>
      </w:r>
    </w:p>
    <w:p w14:paraId="102B586C">
      <w:pPr>
        <w:snapToGrid w:val="0"/>
        <w:spacing w:line="360" w:lineRule="auto"/>
        <w:ind w:firstLine="480" w:firstLineChars="200"/>
        <w:rPr>
          <w:rFonts w:hAnsi="宋体" w:cs="宋体"/>
          <w:highlight w:val="none"/>
        </w:rPr>
      </w:pPr>
    </w:p>
    <w:p w14:paraId="531BD2B8">
      <w:pPr>
        <w:snapToGrid w:val="0"/>
        <w:spacing w:line="360" w:lineRule="auto"/>
        <w:ind w:firstLine="480" w:firstLineChars="200"/>
        <w:jc w:val="center"/>
        <w:outlineLvl w:val="0"/>
        <w:rPr>
          <w:rFonts w:hAnsi="宋体" w:cs="宋体"/>
          <w:highlight w:val="none"/>
        </w:rPr>
      </w:pPr>
      <w:r>
        <w:rPr>
          <w:rFonts w:hint="eastAsia" w:hAnsi="宋体" w:cs="宋体"/>
          <w:highlight w:val="none"/>
        </w:rPr>
        <w:br w:type="page"/>
      </w:r>
      <w:bookmarkStart w:id="469" w:name="_Toc140069423"/>
      <w:bookmarkStart w:id="470" w:name="_Toc27164"/>
      <w:bookmarkStart w:id="471" w:name="_Toc23597"/>
      <w:r>
        <w:rPr>
          <w:rFonts w:hint="eastAsia" w:ascii="黑体" w:hAnsi="黑体" w:eastAsia="黑体" w:cs="黑体"/>
          <w:highlight w:val="none"/>
        </w:rPr>
        <w:t>附件2：否决投标的其他情形</w:t>
      </w:r>
      <w:bookmarkEnd w:id="469"/>
      <w:bookmarkEnd w:id="470"/>
      <w:bookmarkEnd w:id="471"/>
    </w:p>
    <w:p w14:paraId="60EE87E8">
      <w:pPr>
        <w:pStyle w:val="19"/>
        <w:spacing w:line="360" w:lineRule="auto"/>
        <w:ind w:firstLine="420" w:firstLineChars="200"/>
        <w:rPr>
          <w:rFonts w:hAnsi="宋体" w:cs="宋体"/>
          <w:highlight w:val="none"/>
        </w:rPr>
      </w:pPr>
      <w:r>
        <w:rPr>
          <w:rFonts w:hint="eastAsia" w:hAnsi="宋体" w:cs="宋体"/>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14:paraId="05B5346F">
      <w:pPr>
        <w:pStyle w:val="19"/>
        <w:spacing w:line="360" w:lineRule="auto"/>
        <w:ind w:firstLine="420" w:firstLineChars="200"/>
        <w:outlineLvl w:val="0"/>
        <w:rPr>
          <w:rFonts w:hAnsi="宋体" w:cs="宋体"/>
          <w:highlight w:val="none"/>
        </w:rPr>
      </w:pPr>
      <w:bookmarkStart w:id="472" w:name="_Toc140069424"/>
      <w:bookmarkStart w:id="473" w:name="_Toc26542"/>
      <w:bookmarkStart w:id="474" w:name="_Toc21810"/>
      <w:bookmarkStart w:id="475" w:name="_Toc9829"/>
      <w:r>
        <w:rPr>
          <w:rFonts w:hint="eastAsia" w:hAnsi="宋体" w:cs="宋体"/>
          <w:highlight w:val="none"/>
        </w:rPr>
        <w:t>（1）有下列情形之一的，属于投标人相互串通投标：</w:t>
      </w:r>
      <w:bookmarkEnd w:id="472"/>
      <w:bookmarkEnd w:id="473"/>
      <w:bookmarkEnd w:id="474"/>
      <w:bookmarkEnd w:id="475"/>
    </w:p>
    <w:p w14:paraId="304D4D3A">
      <w:pPr>
        <w:pStyle w:val="19"/>
        <w:spacing w:line="360" w:lineRule="auto"/>
        <w:ind w:firstLine="420" w:firstLineChars="200"/>
        <w:rPr>
          <w:rFonts w:hAnsi="宋体" w:cs="宋体"/>
          <w:highlight w:val="none"/>
        </w:rPr>
      </w:pPr>
      <w:r>
        <w:rPr>
          <w:rFonts w:hint="eastAsia" w:hAnsi="宋体" w:cs="宋体"/>
          <w:highlight w:val="none"/>
        </w:rPr>
        <w:t>①投标人之间协商投标报价等投标文件的实质性内容；</w:t>
      </w:r>
    </w:p>
    <w:p w14:paraId="0152FB1C">
      <w:pPr>
        <w:pStyle w:val="19"/>
        <w:spacing w:line="360" w:lineRule="auto"/>
        <w:ind w:firstLine="420" w:firstLineChars="200"/>
        <w:rPr>
          <w:rFonts w:hAnsi="宋体" w:cs="宋体"/>
          <w:highlight w:val="none"/>
        </w:rPr>
      </w:pPr>
      <w:r>
        <w:rPr>
          <w:rFonts w:hint="eastAsia" w:hAnsi="宋体" w:cs="宋体"/>
          <w:highlight w:val="none"/>
        </w:rPr>
        <w:t>②投标人之间约定中标人；</w:t>
      </w:r>
    </w:p>
    <w:p w14:paraId="3BCFAABF">
      <w:pPr>
        <w:pStyle w:val="19"/>
        <w:spacing w:line="360" w:lineRule="auto"/>
        <w:ind w:firstLine="420" w:firstLineChars="200"/>
        <w:rPr>
          <w:rFonts w:hAnsi="宋体" w:cs="宋体"/>
          <w:highlight w:val="none"/>
        </w:rPr>
      </w:pPr>
      <w:r>
        <w:rPr>
          <w:rFonts w:hint="eastAsia" w:hAnsi="宋体" w:cs="宋体"/>
          <w:highlight w:val="none"/>
        </w:rPr>
        <w:t>③投标人之间约定部分投标人放弃投标或中标；</w:t>
      </w:r>
    </w:p>
    <w:p w14:paraId="0B6FCE91">
      <w:pPr>
        <w:pStyle w:val="19"/>
        <w:spacing w:line="360" w:lineRule="auto"/>
        <w:ind w:firstLine="420" w:firstLineChars="200"/>
        <w:rPr>
          <w:rFonts w:hAnsi="宋体" w:cs="宋体"/>
          <w:highlight w:val="none"/>
        </w:rPr>
      </w:pPr>
      <w:r>
        <w:rPr>
          <w:rFonts w:hint="eastAsia" w:hAnsi="宋体" w:cs="宋体"/>
          <w:highlight w:val="none"/>
        </w:rPr>
        <w:t>④属于同一集团、协会、商会等组织成员的投标人按照该组织要求协同投标；</w:t>
      </w:r>
    </w:p>
    <w:p w14:paraId="7F66EED4">
      <w:pPr>
        <w:pStyle w:val="19"/>
        <w:spacing w:line="360" w:lineRule="auto"/>
        <w:ind w:firstLine="420" w:firstLineChars="200"/>
        <w:rPr>
          <w:rFonts w:hAnsi="宋体" w:cs="宋体"/>
          <w:highlight w:val="none"/>
        </w:rPr>
      </w:pPr>
      <w:r>
        <w:rPr>
          <w:rFonts w:hint="eastAsia" w:hAnsi="宋体" w:cs="宋体"/>
          <w:highlight w:val="none"/>
        </w:rPr>
        <w:t>⑤投标人之间为谋取中标或排斥特定投标人而采取的其他联合行动。</w:t>
      </w:r>
    </w:p>
    <w:p w14:paraId="41DB6053">
      <w:pPr>
        <w:pStyle w:val="19"/>
        <w:spacing w:line="360" w:lineRule="auto"/>
        <w:ind w:firstLine="420" w:firstLineChars="200"/>
        <w:outlineLvl w:val="0"/>
        <w:rPr>
          <w:rFonts w:hAnsi="宋体" w:cs="宋体"/>
          <w:highlight w:val="none"/>
        </w:rPr>
      </w:pPr>
      <w:bookmarkStart w:id="476" w:name="_Toc140069425"/>
      <w:bookmarkStart w:id="477" w:name="_Toc15871"/>
      <w:bookmarkStart w:id="478" w:name="_Toc2488"/>
      <w:bookmarkStart w:id="479" w:name="_Toc1679"/>
      <w:r>
        <w:rPr>
          <w:rFonts w:hint="eastAsia" w:hAnsi="宋体" w:cs="宋体"/>
          <w:highlight w:val="none"/>
        </w:rPr>
        <w:t>（2）有下列情形之一的，视为投标人相互串通投标：</w:t>
      </w:r>
      <w:bookmarkEnd w:id="476"/>
      <w:bookmarkEnd w:id="477"/>
      <w:bookmarkEnd w:id="478"/>
      <w:bookmarkEnd w:id="479"/>
    </w:p>
    <w:p w14:paraId="418090AA">
      <w:pPr>
        <w:pStyle w:val="19"/>
        <w:spacing w:line="360" w:lineRule="auto"/>
        <w:ind w:firstLine="420" w:firstLineChars="200"/>
        <w:rPr>
          <w:rFonts w:hAnsi="宋体" w:cs="宋体"/>
          <w:highlight w:val="none"/>
        </w:rPr>
      </w:pPr>
      <w:r>
        <w:rPr>
          <w:rFonts w:hint="eastAsia" w:hAnsi="宋体" w:cs="宋体"/>
          <w:highlight w:val="none"/>
        </w:rPr>
        <w:t>①不同投标人的投标文件由同一单位或个人编制；</w:t>
      </w:r>
    </w:p>
    <w:p w14:paraId="7112E3F3">
      <w:pPr>
        <w:pStyle w:val="19"/>
        <w:spacing w:line="360" w:lineRule="auto"/>
        <w:ind w:firstLine="420" w:firstLineChars="200"/>
        <w:rPr>
          <w:rFonts w:hAnsi="宋体" w:cs="宋体"/>
          <w:highlight w:val="none"/>
        </w:rPr>
      </w:pPr>
      <w:r>
        <w:rPr>
          <w:rFonts w:hint="eastAsia" w:hAnsi="宋体" w:cs="宋体"/>
          <w:highlight w:val="none"/>
        </w:rPr>
        <w:t>②不同投标人委托同一单位或个人办理投标事宜；</w:t>
      </w:r>
    </w:p>
    <w:p w14:paraId="1AD5BF8A">
      <w:pPr>
        <w:pStyle w:val="19"/>
        <w:spacing w:line="360" w:lineRule="auto"/>
        <w:ind w:firstLine="420" w:firstLineChars="200"/>
        <w:rPr>
          <w:rFonts w:hAnsi="宋体" w:cs="宋体"/>
          <w:highlight w:val="none"/>
        </w:rPr>
      </w:pPr>
      <w:r>
        <w:rPr>
          <w:rFonts w:hint="eastAsia" w:hAnsi="宋体" w:cs="宋体"/>
          <w:highlight w:val="none"/>
        </w:rPr>
        <w:t>③不同投标人的投标文件载明的项目管理成员为同一人；</w:t>
      </w:r>
    </w:p>
    <w:p w14:paraId="24629069">
      <w:pPr>
        <w:pStyle w:val="19"/>
        <w:spacing w:line="360" w:lineRule="auto"/>
        <w:ind w:firstLine="420" w:firstLineChars="200"/>
        <w:rPr>
          <w:rFonts w:hAnsi="宋体" w:cs="宋体"/>
          <w:highlight w:val="none"/>
        </w:rPr>
      </w:pPr>
      <w:r>
        <w:rPr>
          <w:rFonts w:hint="eastAsia" w:hAnsi="宋体" w:cs="宋体"/>
          <w:highlight w:val="none"/>
        </w:rPr>
        <w:t>④不同投标人的投标文件异常一致或投标报价呈规律性差异；</w:t>
      </w:r>
    </w:p>
    <w:p w14:paraId="00D4C0B8">
      <w:pPr>
        <w:pStyle w:val="19"/>
        <w:spacing w:line="360" w:lineRule="auto"/>
        <w:ind w:firstLine="420" w:firstLineChars="200"/>
        <w:rPr>
          <w:rFonts w:hAnsi="宋体" w:cs="宋体"/>
          <w:highlight w:val="none"/>
        </w:rPr>
      </w:pPr>
      <w:r>
        <w:rPr>
          <w:rFonts w:hint="eastAsia" w:hAnsi="宋体" w:cs="宋体"/>
          <w:highlight w:val="none"/>
        </w:rPr>
        <w:t>⑤不同投标人的投标文件相互混装；</w:t>
      </w:r>
    </w:p>
    <w:p w14:paraId="35916C8F">
      <w:pPr>
        <w:pStyle w:val="19"/>
        <w:spacing w:line="360" w:lineRule="auto"/>
        <w:ind w:firstLine="420" w:firstLineChars="200"/>
        <w:rPr>
          <w:rFonts w:hAnsi="宋体" w:cs="宋体"/>
          <w:highlight w:val="none"/>
        </w:rPr>
      </w:pPr>
      <w:r>
        <w:rPr>
          <w:rFonts w:hint="eastAsia" w:hAnsi="宋体" w:cs="宋体"/>
          <w:highlight w:val="none"/>
        </w:rPr>
        <w:t>⑥不同投标人的投标保证金从同一单位或个人的账户转出。</w:t>
      </w:r>
    </w:p>
    <w:p w14:paraId="68DDFA7B">
      <w:pPr>
        <w:pStyle w:val="19"/>
        <w:spacing w:line="360" w:lineRule="auto"/>
        <w:ind w:firstLine="420" w:firstLineChars="200"/>
        <w:outlineLvl w:val="0"/>
        <w:rPr>
          <w:rFonts w:hAnsi="宋体" w:cs="宋体"/>
          <w:highlight w:val="none"/>
        </w:rPr>
      </w:pPr>
      <w:bookmarkStart w:id="480" w:name="_Toc140069426"/>
      <w:bookmarkStart w:id="481" w:name="_Toc176"/>
      <w:bookmarkStart w:id="482" w:name="_Toc15041"/>
      <w:bookmarkStart w:id="483" w:name="_Toc26278"/>
      <w:r>
        <w:rPr>
          <w:rFonts w:hint="eastAsia" w:hAnsi="宋体" w:cs="宋体"/>
          <w:highlight w:val="none"/>
        </w:rPr>
        <w:t>（3）有下列情形之一的，属于招标人与投标人串通投标：</w:t>
      </w:r>
      <w:bookmarkEnd w:id="480"/>
      <w:bookmarkEnd w:id="481"/>
      <w:bookmarkEnd w:id="482"/>
      <w:bookmarkEnd w:id="483"/>
    </w:p>
    <w:p w14:paraId="1094C979">
      <w:pPr>
        <w:pStyle w:val="19"/>
        <w:spacing w:line="360" w:lineRule="auto"/>
        <w:ind w:firstLine="420" w:firstLineChars="200"/>
        <w:rPr>
          <w:rFonts w:hAnsi="宋体" w:cs="宋体"/>
          <w:highlight w:val="none"/>
        </w:rPr>
      </w:pPr>
      <w:r>
        <w:rPr>
          <w:rFonts w:hint="eastAsia" w:hAnsi="宋体" w:cs="宋体"/>
          <w:highlight w:val="none"/>
        </w:rPr>
        <w:t>①招标人在开标前开启投标文件并将有关信息泄露给其他投标人；</w:t>
      </w:r>
    </w:p>
    <w:p w14:paraId="13A834BB">
      <w:pPr>
        <w:pStyle w:val="19"/>
        <w:spacing w:line="360" w:lineRule="auto"/>
        <w:ind w:firstLine="420" w:firstLineChars="200"/>
        <w:rPr>
          <w:rFonts w:hAnsi="宋体" w:cs="宋体"/>
          <w:highlight w:val="none"/>
        </w:rPr>
      </w:pPr>
      <w:r>
        <w:rPr>
          <w:rFonts w:hint="eastAsia" w:hAnsi="宋体" w:cs="宋体"/>
          <w:highlight w:val="none"/>
        </w:rPr>
        <w:t>②招标人直接或间接向投标人泄露标底、评标委员会成员等信息；</w:t>
      </w:r>
    </w:p>
    <w:p w14:paraId="6B57BF6B">
      <w:pPr>
        <w:pStyle w:val="19"/>
        <w:spacing w:line="360" w:lineRule="auto"/>
        <w:ind w:firstLine="420" w:firstLineChars="200"/>
        <w:rPr>
          <w:rFonts w:hAnsi="宋体" w:cs="宋体"/>
          <w:highlight w:val="none"/>
        </w:rPr>
      </w:pPr>
      <w:r>
        <w:rPr>
          <w:rFonts w:hint="eastAsia" w:hAnsi="宋体" w:cs="宋体"/>
          <w:highlight w:val="none"/>
        </w:rPr>
        <w:t>③招标人明示或暗示投标人压低或抬高投标报价；</w:t>
      </w:r>
    </w:p>
    <w:p w14:paraId="754E18C5">
      <w:pPr>
        <w:pStyle w:val="19"/>
        <w:spacing w:line="360" w:lineRule="auto"/>
        <w:ind w:firstLine="420" w:firstLineChars="200"/>
        <w:rPr>
          <w:rFonts w:hAnsi="宋体" w:cs="宋体"/>
          <w:highlight w:val="none"/>
        </w:rPr>
      </w:pPr>
      <w:r>
        <w:rPr>
          <w:rFonts w:hint="eastAsia" w:hAnsi="宋体" w:cs="宋体"/>
          <w:highlight w:val="none"/>
        </w:rPr>
        <w:t>④招标人授意投标人撤换、修改投标文件；</w:t>
      </w:r>
    </w:p>
    <w:p w14:paraId="623E510C">
      <w:pPr>
        <w:pStyle w:val="19"/>
        <w:spacing w:line="360" w:lineRule="auto"/>
        <w:ind w:firstLine="420" w:firstLineChars="200"/>
        <w:rPr>
          <w:rFonts w:hAnsi="宋体" w:cs="宋体"/>
          <w:highlight w:val="none"/>
        </w:rPr>
      </w:pPr>
      <w:r>
        <w:rPr>
          <w:rFonts w:hint="eastAsia" w:hAnsi="宋体" w:cs="宋体"/>
          <w:highlight w:val="none"/>
        </w:rPr>
        <w:t>⑤招标人明示或暗示投标人为特定投标人中标提供方便；</w:t>
      </w:r>
    </w:p>
    <w:p w14:paraId="722A40EF">
      <w:pPr>
        <w:pStyle w:val="19"/>
        <w:spacing w:line="360" w:lineRule="auto"/>
        <w:ind w:firstLine="420" w:firstLineChars="200"/>
        <w:rPr>
          <w:rFonts w:hAnsi="宋体" w:cs="宋体"/>
          <w:highlight w:val="none"/>
        </w:rPr>
      </w:pPr>
      <w:r>
        <w:rPr>
          <w:rFonts w:hint="eastAsia" w:hAnsi="宋体" w:cs="宋体"/>
          <w:highlight w:val="none"/>
        </w:rPr>
        <w:t>⑥招标人与投标人为谋求特定投标人中标而采取的其他串通行为。</w:t>
      </w:r>
    </w:p>
    <w:p w14:paraId="6A881AFC">
      <w:pPr>
        <w:pStyle w:val="19"/>
        <w:spacing w:line="360" w:lineRule="auto"/>
        <w:ind w:firstLine="420" w:firstLineChars="200"/>
        <w:outlineLvl w:val="0"/>
        <w:rPr>
          <w:rFonts w:hAnsi="宋体" w:cs="宋体"/>
          <w:highlight w:val="none"/>
        </w:rPr>
      </w:pPr>
      <w:bookmarkStart w:id="484" w:name="_Toc140069427"/>
      <w:bookmarkStart w:id="485" w:name="_Toc5291"/>
      <w:bookmarkStart w:id="486" w:name="_Toc16123"/>
      <w:bookmarkStart w:id="487" w:name="_Toc13009"/>
      <w:r>
        <w:rPr>
          <w:rFonts w:hint="eastAsia" w:hAnsi="宋体" w:cs="宋体"/>
          <w:highlight w:val="none"/>
        </w:rPr>
        <w:t>（4）投标人有下列情形之一的，属于弄虚作假的行为：</w:t>
      </w:r>
      <w:bookmarkEnd w:id="484"/>
      <w:bookmarkEnd w:id="485"/>
      <w:bookmarkEnd w:id="486"/>
      <w:bookmarkEnd w:id="487"/>
    </w:p>
    <w:p w14:paraId="6F4C017E">
      <w:pPr>
        <w:pStyle w:val="19"/>
        <w:spacing w:line="360" w:lineRule="auto"/>
        <w:ind w:firstLine="420" w:firstLineChars="200"/>
        <w:rPr>
          <w:rFonts w:hAnsi="宋体" w:cs="宋体"/>
          <w:highlight w:val="none"/>
        </w:rPr>
      </w:pPr>
      <w:r>
        <w:rPr>
          <w:rFonts w:hint="eastAsia" w:hAnsi="宋体" w:cs="宋体"/>
          <w:highlight w:val="none"/>
        </w:rPr>
        <w:t>①使用通过受让或租借等方式获取的资格、资质证书投标；</w:t>
      </w:r>
    </w:p>
    <w:p w14:paraId="5651CAF4">
      <w:pPr>
        <w:pStyle w:val="19"/>
        <w:spacing w:line="360" w:lineRule="auto"/>
        <w:ind w:firstLine="420" w:firstLineChars="200"/>
        <w:rPr>
          <w:rFonts w:hAnsi="宋体" w:cs="宋体"/>
          <w:highlight w:val="none"/>
        </w:rPr>
      </w:pPr>
      <w:r>
        <w:rPr>
          <w:rFonts w:hint="eastAsia" w:hAnsi="宋体" w:cs="宋体"/>
          <w:highlight w:val="none"/>
        </w:rPr>
        <w:t>②使用伪造、变造的许可证件；</w:t>
      </w:r>
    </w:p>
    <w:p w14:paraId="714A7205">
      <w:pPr>
        <w:pStyle w:val="19"/>
        <w:spacing w:line="360" w:lineRule="auto"/>
        <w:ind w:firstLine="420" w:firstLineChars="200"/>
        <w:rPr>
          <w:rFonts w:hAnsi="宋体" w:cs="宋体"/>
          <w:highlight w:val="none"/>
        </w:rPr>
      </w:pPr>
      <w:r>
        <w:rPr>
          <w:rFonts w:hint="eastAsia" w:hAnsi="宋体" w:cs="宋体"/>
          <w:highlight w:val="none"/>
        </w:rPr>
        <w:t>③提供虚假的财务状况或业绩；</w:t>
      </w:r>
    </w:p>
    <w:p w14:paraId="1ED34E62">
      <w:pPr>
        <w:pStyle w:val="19"/>
        <w:spacing w:line="360" w:lineRule="auto"/>
        <w:ind w:firstLine="420" w:firstLineChars="200"/>
        <w:rPr>
          <w:rFonts w:hAnsi="宋体" w:cs="宋体"/>
          <w:highlight w:val="none"/>
        </w:rPr>
      </w:pPr>
      <w:r>
        <w:rPr>
          <w:rFonts w:hint="eastAsia" w:hAnsi="宋体" w:cs="宋体"/>
          <w:highlight w:val="none"/>
        </w:rPr>
        <w:t>④提供虚假的项目负责人或主要技术人员简历、劳动关系证明；</w:t>
      </w:r>
    </w:p>
    <w:p w14:paraId="0E7630A1">
      <w:pPr>
        <w:pStyle w:val="19"/>
        <w:spacing w:line="360" w:lineRule="auto"/>
        <w:ind w:firstLine="420" w:firstLineChars="200"/>
        <w:rPr>
          <w:rFonts w:hAnsi="宋体" w:cs="宋体"/>
          <w:highlight w:val="none"/>
        </w:rPr>
      </w:pPr>
      <w:r>
        <w:rPr>
          <w:rFonts w:hint="eastAsia" w:hAnsi="宋体" w:cs="宋体"/>
          <w:highlight w:val="none"/>
        </w:rPr>
        <w:t>⑤提供虚假的信用状况；</w:t>
      </w:r>
    </w:p>
    <w:p w14:paraId="13EF8A5F">
      <w:pPr>
        <w:pStyle w:val="19"/>
        <w:spacing w:line="360" w:lineRule="auto"/>
        <w:ind w:firstLine="420" w:firstLineChars="200"/>
        <w:rPr>
          <w:rFonts w:hAnsi="宋体" w:cs="宋体"/>
          <w:highlight w:val="none"/>
        </w:rPr>
      </w:pPr>
      <w:r>
        <w:rPr>
          <w:rFonts w:hint="eastAsia" w:hAnsi="宋体" w:cs="宋体"/>
          <w:highlight w:val="none"/>
        </w:rPr>
        <w:t>⑥其他弄虚作假的行为。</w:t>
      </w:r>
    </w:p>
    <w:p w14:paraId="60E886E2">
      <w:pPr>
        <w:keepNext/>
        <w:keepLines/>
        <w:spacing w:line="360" w:lineRule="auto"/>
        <w:outlineLvl w:val="1"/>
        <w:rPr>
          <w:rFonts w:hAnsi="宋体" w:cs="宋体"/>
          <w:highlight w:val="none"/>
        </w:rPr>
      </w:pPr>
      <w:r>
        <w:rPr>
          <w:rFonts w:hint="eastAsia" w:eastAsia="黑体" w:cs="宋体"/>
          <w:sz w:val="28"/>
          <w:highlight w:val="none"/>
        </w:rPr>
        <w:br w:type="page"/>
      </w:r>
      <w:bookmarkStart w:id="488" w:name="_Toc140069428"/>
      <w:bookmarkStart w:id="489" w:name="_Toc13114"/>
      <w:bookmarkStart w:id="490" w:name="_Toc6479"/>
      <w:bookmarkStart w:id="491" w:name="_Toc21086"/>
      <w:r>
        <w:rPr>
          <w:rFonts w:hint="eastAsia" w:ascii="黑体" w:hAnsi="黑体" w:eastAsia="黑体" w:cs="黑体"/>
          <w:sz w:val="32"/>
          <w:szCs w:val="32"/>
          <w:highlight w:val="none"/>
        </w:rPr>
        <w:t>1.评标方法</w:t>
      </w:r>
      <w:bookmarkEnd w:id="488"/>
      <w:bookmarkEnd w:id="489"/>
      <w:bookmarkEnd w:id="490"/>
      <w:bookmarkEnd w:id="491"/>
    </w:p>
    <w:p w14:paraId="19194EFE">
      <w:pPr>
        <w:snapToGrid w:val="0"/>
        <w:spacing w:line="360" w:lineRule="auto"/>
        <w:ind w:firstLine="480" w:firstLineChars="200"/>
        <w:rPr>
          <w:rFonts w:hAnsi="宋体" w:cs="宋体"/>
          <w:highlight w:val="none"/>
        </w:rPr>
      </w:pPr>
      <w:r>
        <w:rPr>
          <w:rFonts w:hint="eastAsia" w:hAnsi="宋体" w:cs="宋体"/>
          <w:highlight w:val="none"/>
        </w:rPr>
        <w:t>1.1本次评标采用综合评估法（一次平均）。</w:t>
      </w:r>
    </w:p>
    <w:p w14:paraId="4B2A9C4F">
      <w:pPr>
        <w:snapToGrid w:val="0"/>
        <w:spacing w:line="360" w:lineRule="auto"/>
        <w:ind w:firstLine="480" w:firstLineChars="200"/>
        <w:rPr>
          <w:rFonts w:hAnsi="宋体" w:cs="宋体"/>
          <w:highlight w:val="none"/>
        </w:rPr>
      </w:pPr>
      <w:r>
        <w:rPr>
          <w:rFonts w:hint="eastAsia" w:hAnsi="宋体" w:cs="宋体"/>
          <w:highlight w:val="none"/>
        </w:rPr>
        <w:t>1.2评标委员会对所有按规定递交并成功导入评标系统的投标文件进行评审，评标委员会对投标文件按照规定的评审标准和评标程序进行评审，并按综合得分由高到低顺序推荐中标候选人，综合得分相等时，中标候选人排序方法见评标办法前附表；或根据招标人授权直接确定中标人。不得推荐为中标候选人、确定为中标人的情形见本章第3.7款、第3.8.1项。</w:t>
      </w:r>
    </w:p>
    <w:p w14:paraId="71183E35">
      <w:pPr>
        <w:snapToGrid w:val="0"/>
        <w:spacing w:line="360" w:lineRule="auto"/>
        <w:ind w:firstLine="480" w:firstLineChars="200"/>
        <w:rPr>
          <w:rFonts w:hAnsi="宋体" w:cs="宋体"/>
          <w:highlight w:val="none"/>
        </w:rPr>
      </w:pPr>
      <w:r>
        <w:rPr>
          <w:rFonts w:hint="eastAsia" w:hAnsi="宋体" w:cs="宋体"/>
          <w:highlight w:val="none"/>
        </w:rPr>
        <w:t>1.3本次推荐中标候选人的先后顺序及最多可中标段数量见评标办法前附表。被推荐为第一中标候选人的标段个数已达到最多允许中标的标段个数的投标人，在后续标段不再被推荐为中标候选人，但仍参与评审。</w:t>
      </w:r>
    </w:p>
    <w:p w14:paraId="041E6F96">
      <w:pPr>
        <w:snapToGrid w:val="0"/>
        <w:spacing w:line="360" w:lineRule="auto"/>
        <w:ind w:firstLine="480" w:firstLineChars="200"/>
        <w:rPr>
          <w:rFonts w:hAnsi="宋体" w:cs="宋体"/>
          <w:highlight w:val="none"/>
        </w:rPr>
      </w:pPr>
      <w:r>
        <w:rPr>
          <w:rFonts w:hint="eastAsia" w:hAnsi="宋体" w:cs="宋体"/>
          <w:highlight w:val="none"/>
        </w:rPr>
        <w:t>1.4评标结束后如有某标段的第一中标候选人发生变化的情况，不影响其他标段排序。</w:t>
      </w:r>
    </w:p>
    <w:p w14:paraId="31640962">
      <w:pPr>
        <w:snapToGrid w:val="0"/>
        <w:spacing w:line="360" w:lineRule="auto"/>
        <w:ind w:firstLine="480" w:firstLineChars="200"/>
        <w:rPr>
          <w:rFonts w:hAnsi="宋体" w:cs="宋体"/>
          <w:highlight w:val="none"/>
        </w:rPr>
      </w:pPr>
      <w:r>
        <w:rPr>
          <w:rFonts w:hint="eastAsia" w:hAnsi="宋体" w:cs="宋体"/>
          <w:highlight w:val="none"/>
        </w:rPr>
        <w:t>1.5招标人应当根据项目的实际情况，在评标办法正文及前附表中列明所有否决投标的情形；第三章“评标办法”没有列明的否决投标的情形，一律不得作为评审依据。</w:t>
      </w:r>
    </w:p>
    <w:p w14:paraId="417D91D4">
      <w:pPr>
        <w:keepNext/>
        <w:keepLines/>
        <w:spacing w:line="360" w:lineRule="auto"/>
        <w:outlineLvl w:val="1"/>
        <w:rPr>
          <w:rFonts w:ascii="黑体" w:hAnsi="黑体" w:eastAsia="黑体" w:cs="黑体"/>
          <w:sz w:val="32"/>
          <w:szCs w:val="32"/>
          <w:highlight w:val="none"/>
        </w:rPr>
      </w:pPr>
      <w:bookmarkStart w:id="492" w:name="_Toc16242"/>
      <w:bookmarkStart w:id="493" w:name="_Toc31234"/>
      <w:bookmarkStart w:id="494" w:name="_Toc5088"/>
      <w:bookmarkStart w:id="495" w:name="_Toc140069429"/>
      <w:bookmarkStart w:id="496" w:name="_Toc17001"/>
      <w:r>
        <w:rPr>
          <w:rFonts w:hint="eastAsia" w:ascii="黑体" w:hAnsi="黑体" w:eastAsia="黑体" w:cs="黑体"/>
          <w:sz w:val="32"/>
          <w:szCs w:val="32"/>
          <w:highlight w:val="none"/>
        </w:rPr>
        <w:t>2.评审标准</w:t>
      </w:r>
      <w:bookmarkEnd w:id="492"/>
      <w:bookmarkEnd w:id="493"/>
      <w:bookmarkEnd w:id="494"/>
      <w:bookmarkEnd w:id="495"/>
      <w:bookmarkEnd w:id="496"/>
    </w:p>
    <w:p w14:paraId="7130253B">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2.1初步评审标准</w:t>
      </w:r>
    </w:p>
    <w:p w14:paraId="3C2C36C1">
      <w:pPr>
        <w:snapToGrid w:val="0"/>
        <w:spacing w:line="360" w:lineRule="auto"/>
        <w:ind w:firstLine="480" w:firstLineChars="200"/>
        <w:rPr>
          <w:rFonts w:hAnsi="宋体" w:cs="宋体"/>
          <w:highlight w:val="none"/>
        </w:rPr>
      </w:pPr>
      <w:r>
        <w:rPr>
          <w:rFonts w:hint="eastAsia" w:hAnsi="宋体" w:cs="宋体"/>
          <w:highlight w:val="none"/>
        </w:rPr>
        <w:t>2.1.1 形式评审标准：见评标办法前附表。</w:t>
      </w:r>
    </w:p>
    <w:p w14:paraId="54419EF9">
      <w:pPr>
        <w:snapToGrid w:val="0"/>
        <w:spacing w:line="360" w:lineRule="auto"/>
        <w:ind w:firstLine="480" w:firstLineChars="200"/>
        <w:rPr>
          <w:rFonts w:hAnsi="宋体" w:cs="宋体"/>
          <w:highlight w:val="none"/>
        </w:rPr>
      </w:pPr>
      <w:r>
        <w:rPr>
          <w:rFonts w:hint="eastAsia" w:hAnsi="宋体" w:cs="宋体"/>
          <w:highlight w:val="none"/>
        </w:rPr>
        <w:t>2.1.2 资格评审标准：见评标办法前附表。</w:t>
      </w:r>
    </w:p>
    <w:p w14:paraId="533A5B06">
      <w:pPr>
        <w:snapToGrid w:val="0"/>
        <w:spacing w:line="360" w:lineRule="auto"/>
        <w:ind w:firstLine="480" w:firstLineChars="200"/>
        <w:rPr>
          <w:rFonts w:hAnsi="宋体" w:cs="宋体"/>
          <w:highlight w:val="none"/>
        </w:rPr>
      </w:pPr>
      <w:r>
        <w:rPr>
          <w:rFonts w:hint="eastAsia" w:hAnsi="宋体" w:cs="宋体"/>
          <w:highlight w:val="none"/>
        </w:rPr>
        <w:t>2.1.3 响应性评审标准：见评标办法前附表。</w:t>
      </w:r>
    </w:p>
    <w:p w14:paraId="7EFC0DCA">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2.2</w:t>
      </w:r>
      <w:r>
        <w:rPr>
          <w:rFonts w:hint="eastAsia" w:cs="黑体"/>
          <w:snapToGrid w:val="0"/>
          <w:highlight w:val="none"/>
          <w:shd w:val="clear" w:color="auto" w:fill="FFFFFF"/>
        </w:rPr>
        <w:t>详细评审</w:t>
      </w:r>
      <w:r>
        <w:rPr>
          <w:rFonts w:hint="eastAsia" w:cs="黑体"/>
          <w:snapToGrid w:val="0"/>
          <w:highlight w:val="none"/>
          <w:shd w:val="clear" w:color="auto" w:fill="FFFFFF"/>
          <w:lang w:val="zh-CN"/>
        </w:rPr>
        <w:t>标准</w:t>
      </w:r>
    </w:p>
    <w:p w14:paraId="1282EA87">
      <w:pPr>
        <w:snapToGrid w:val="0"/>
        <w:spacing w:line="360" w:lineRule="auto"/>
        <w:ind w:firstLine="480" w:firstLineChars="200"/>
        <w:rPr>
          <w:rFonts w:hAnsi="宋体" w:cs="宋体"/>
          <w:highlight w:val="none"/>
        </w:rPr>
      </w:pPr>
      <w:r>
        <w:rPr>
          <w:rFonts w:hint="eastAsia" w:hAnsi="宋体" w:cs="宋体"/>
          <w:highlight w:val="none"/>
        </w:rPr>
        <w:t>2.2.1</w:t>
      </w:r>
      <w:r>
        <w:rPr>
          <w:rFonts w:hint="eastAsia" w:ascii="Times New Roman" w:cs="宋体"/>
          <w:szCs w:val="24"/>
          <w:highlight w:val="none"/>
        </w:rPr>
        <w:t>商务、技术和报价文件</w:t>
      </w:r>
      <w:r>
        <w:rPr>
          <w:rFonts w:hint="eastAsia" w:hAnsi="宋体" w:cs="宋体"/>
          <w:highlight w:val="none"/>
        </w:rPr>
        <w:t>分值构成：见评标办法前附表。</w:t>
      </w:r>
    </w:p>
    <w:p w14:paraId="5C03F7FA">
      <w:pPr>
        <w:snapToGrid w:val="0"/>
        <w:spacing w:line="360" w:lineRule="auto"/>
        <w:ind w:firstLine="480" w:firstLineChars="200"/>
        <w:rPr>
          <w:rFonts w:hAnsi="宋体" w:cs="宋体"/>
          <w:highlight w:val="none"/>
        </w:rPr>
      </w:pPr>
      <w:r>
        <w:rPr>
          <w:rFonts w:hint="eastAsia" w:hAnsi="宋体" w:cs="宋体"/>
          <w:highlight w:val="none"/>
        </w:rPr>
        <w:t>2.2.2评分标准</w:t>
      </w:r>
    </w:p>
    <w:p w14:paraId="4C77FBB6">
      <w:pPr>
        <w:snapToGrid w:val="0"/>
        <w:spacing w:line="360" w:lineRule="auto"/>
        <w:ind w:firstLine="480" w:firstLineChars="200"/>
        <w:rPr>
          <w:rFonts w:hAnsi="宋体" w:cs="宋体"/>
          <w:highlight w:val="none"/>
        </w:rPr>
      </w:pPr>
      <w:r>
        <w:rPr>
          <w:rFonts w:hint="eastAsia" w:hAnsi="宋体" w:cs="宋体"/>
          <w:highlight w:val="none"/>
        </w:rPr>
        <w:t>（1）技术</w:t>
      </w:r>
      <w:r>
        <w:rPr>
          <w:rFonts w:hint="eastAsia" w:ascii="Times New Roman" w:cs="宋体"/>
          <w:szCs w:val="24"/>
          <w:highlight w:val="none"/>
        </w:rPr>
        <w:t>文件评分</w:t>
      </w:r>
      <w:r>
        <w:rPr>
          <w:rFonts w:hint="eastAsia" w:hAnsi="宋体" w:cs="宋体"/>
          <w:highlight w:val="none"/>
        </w:rPr>
        <w:t>标准：见评标办法前附表；</w:t>
      </w:r>
    </w:p>
    <w:p w14:paraId="20ABF920">
      <w:pPr>
        <w:snapToGrid w:val="0"/>
        <w:spacing w:line="360" w:lineRule="auto"/>
        <w:ind w:firstLine="480" w:firstLineChars="200"/>
        <w:rPr>
          <w:rFonts w:hAnsi="宋体" w:cs="宋体"/>
          <w:highlight w:val="none"/>
        </w:rPr>
      </w:pPr>
      <w:r>
        <w:rPr>
          <w:rFonts w:hint="eastAsia" w:hAnsi="宋体" w:cs="宋体"/>
          <w:highlight w:val="none"/>
        </w:rPr>
        <w:t>（2）商务</w:t>
      </w:r>
      <w:r>
        <w:rPr>
          <w:rFonts w:hint="eastAsia" w:ascii="Times New Roman" w:cs="宋体"/>
          <w:szCs w:val="24"/>
          <w:highlight w:val="none"/>
        </w:rPr>
        <w:t>文件评分</w:t>
      </w:r>
      <w:r>
        <w:rPr>
          <w:rFonts w:hint="eastAsia" w:hAnsi="宋体" w:cs="宋体"/>
          <w:highlight w:val="none"/>
        </w:rPr>
        <w:t>标准：见评标办法前附表；</w:t>
      </w:r>
    </w:p>
    <w:p w14:paraId="36869A3C">
      <w:pPr>
        <w:snapToGrid w:val="0"/>
        <w:spacing w:line="360" w:lineRule="auto"/>
        <w:ind w:firstLine="480" w:firstLineChars="200"/>
        <w:rPr>
          <w:rFonts w:hAnsi="宋体" w:cs="宋体"/>
          <w:highlight w:val="none"/>
        </w:rPr>
      </w:pPr>
      <w:r>
        <w:rPr>
          <w:rFonts w:hint="eastAsia" w:hAnsi="宋体" w:cs="宋体"/>
          <w:highlight w:val="none"/>
        </w:rPr>
        <w:t>（3）报价文件评分标准：见评标办法前附表。</w:t>
      </w:r>
    </w:p>
    <w:p w14:paraId="3E165653">
      <w:pPr>
        <w:keepNext/>
        <w:keepLines/>
        <w:spacing w:line="360" w:lineRule="auto"/>
        <w:outlineLvl w:val="1"/>
        <w:rPr>
          <w:rFonts w:ascii="黑体" w:hAnsi="黑体" w:eastAsia="黑体" w:cs="黑体"/>
          <w:sz w:val="32"/>
          <w:szCs w:val="32"/>
          <w:highlight w:val="none"/>
        </w:rPr>
      </w:pPr>
      <w:bookmarkStart w:id="497" w:name="_Toc27368"/>
      <w:bookmarkStart w:id="498" w:name="_Toc140069430"/>
      <w:bookmarkStart w:id="499" w:name="_Toc17672"/>
      <w:bookmarkStart w:id="500" w:name="_Toc27642"/>
      <w:bookmarkStart w:id="501" w:name="_Toc19804"/>
      <w:r>
        <w:rPr>
          <w:rFonts w:hint="eastAsia" w:ascii="黑体" w:hAnsi="黑体" w:eastAsia="黑体" w:cs="黑体"/>
          <w:sz w:val="32"/>
          <w:szCs w:val="32"/>
          <w:highlight w:val="none"/>
        </w:rPr>
        <w:t>3.评标程序</w:t>
      </w:r>
      <w:bookmarkEnd w:id="497"/>
      <w:bookmarkEnd w:id="498"/>
      <w:bookmarkEnd w:id="499"/>
      <w:bookmarkEnd w:id="500"/>
      <w:bookmarkEnd w:id="501"/>
    </w:p>
    <w:p w14:paraId="78B616FE">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3.1商务及技术文件初步评审</w:t>
      </w:r>
    </w:p>
    <w:p w14:paraId="1FE69A56">
      <w:pPr>
        <w:spacing w:line="360" w:lineRule="auto"/>
        <w:ind w:firstLine="480" w:firstLineChars="200"/>
        <w:rPr>
          <w:rFonts w:hAnsi="宋体" w:cs="宋体"/>
          <w:highlight w:val="none"/>
        </w:rPr>
      </w:pPr>
      <w:r>
        <w:rPr>
          <w:rFonts w:hint="eastAsia" w:hAnsi="宋体" w:cs="宋体"/>
          <w:highlight w:val="none"/>
        </w:rPr>
        <w:t>评标委员会依据本章第2.1.1项、第2.1.2项、第2.1.3项规定的评审标准对商务及技术文件进行初步评审。有一项不符合评审标准的，评标委员会应否决其投标。</w:t>
      </w:r>
    </w:p>
    <w:p w14:paraId="42814D9C">
      <w:pPr>
        <w:pStyle w:val="2"/>
        <w:spacing w:beforeLines="100" w:afterLines="100" w:line="240" w:lineRule="auto"/>
        <w:rPr>
          <w:rFonts w:cs="黑体"/>
          <w:snapToGrid w:val="0"/>
          <w:highlight w:val="none"/>
          <w:shd w:val="clear" w:color="auto" w:fill="FFFFFF"/>
          <w:lang w:val="zh-CN"/>
        </w:rPr>
      </w:pPr>
      <w:bookmarkStart w:id="502" w:name="_Toc501460719"/>
      <w:r>
        <w:rPr>
          <w:rFonts w:hint="eastAsia" w:cs="黑体"/>
          <w:snapToGrid w:val="0"/>
          <w:highlight w:val="none"/>
          <w:shd w:val="clear" w:color="auto" w:fill="FFFFFF"/>
          <w:lang w:val="zh-CN"/>
        </w:rPr>
        <w:t>3.2商务及技术文件详细评审</w:t>
      </w:r>
      <w:bookmarkEnd w:id="502"/>
    </w:p>
    <w:p w14:paraId="2AB0A893">
      <w:pPr>
        <w:spacing w:line="360" w:lineRule="auto"/>
        <w:ind w:firstLine="480" w:firstLineChars="200"/>
        <w:rPr>
          <w:rFonts w:hAnsi="宋体" w:cs="宋体"/>
          <w:highlight w:val="none"/>
        </w:rPr>
      </w:pPr>
      <w:r>
        <w:rPr>
          <w:rFonts w:hint="eastAsia" w:hAnsi="宋体" w:cs="宋体"/>
          <w:highlight w:val="none"/>
        </w:rPr>
        <w:t>3.2.1</w:t>
      </w:r>
      <w:r>
        <w:rPr>
          <w:rFonts w:hint="eastAsia" w:ascii="Times New Roman" w:cs="宋体"/>
          <w:szCs w:val="24"/>
          <w:highlight w:val="none"/>
        </w:rPr>
        <w:t>评标委员会按照本章第2.2款规定的量化因素和分值对商务及技术文件进行打分，并计算出各投标人商务及技术文件综合评估得分。</w:t>
      </w:r>
    </w:p>
    <w:p w14:paraId="32CE4CB3">
      <w:pPr>
        <w:spacing w:line="360" w:lineRule="auto"/>
        <w:ind w:firstLine="480" w:firstLineChars="200"/>
        <w:rPr>
          <w:rFonts w:hAnsi="宋体" w:cs="宋体"/>
          <w:highlight w:val="none"/>
        </w:rPr>
      </w:pPr>
      <w:r>
        <w:rPr>
          <w:rFonts w:hint="eastAsia" w:hAnsi="宋体" w:cs="宋体"/>
          <w:highlight w:val="none"/>
        </w:rPr>
        <w:t>（1）按照本章第</w:t>
      </w:r>
      <w:r>
        <w:rPr>
          <w:rFonts w:hint="eastAsia" w:ascii="Times New Roman"/>
          <w:szCs w:val="24"/>
          <w:highlight w:val="none"/>
        </w:rPr>
        <w:t>2.2.2（1）</w:t>
      </w:r>
      <w:r>
        <w:rPr>
          <w:rFonts w:hint="eastAsia" w:hAnsi="宋体" w:cs="宋体"/>
          <w:highlight w:val="none"/>
        </w:rPr>
        <w:t>目规定的评审因素和分值</w:t>
      </w:r>
      <w:r>
        <w:rPr>
          <w:rFonts w:hint="eastAsia" w:ascii="Times New Roman" w:cs="宋体"/>
          <w:szCs w:val="24"/>
          <w:highlight w:val="none"/>
        </w:rPr>
        <w:t>计算出</w:t>
      </w:r>
      <w:r>
        <w:rPr>
          <w:rFonts w:hint="eastAsia" w:hAnsi="宋体" w:cs="宋体"/>
          <w:highlight w:val="none"/>
        </w:rPr>
        <w:t>技术文件得分A；</w:t>
      </w:r>
    </w:p>
    <w:p w14:paraId="514F98F2">
      <w:pPr>
        <w:spacing w:line="360" w:lineRule="auto"/>
        <w:ind w:firstLine="480" w:firstLineChars="200"/>
        <w:rPr>
          <w:rFonts w:hAnsi="宋体" w:cs="宋体"/>
          <w:highlight w:val="none"/>
        </w:rPr>
      </w:pPr>
      <w:r>
        <w:rPr>
          <w:rFonts w:hint="eastAsia" w:hAnsi="宋体" w:cs="宋体"/>
          <w:highlight w:val="none"/>
        </w:rPr>
        <w:t>（2）按照本章第</w:t>
      </w:r>
      <w:r>
        <w:rPr>
          <w:rFonts w:hint="eastAsia" w:ascii="Times New Roman"/>
          <w:szCs w:val="24"/>
          <w:highlight w:val="none"/>
        </w:rPr>
        <w:t>2.2.2（2）</w:t>
      </w:r>
      <w:r>
        <w:rPr>
          <w:rFonts w:hint="eastAsia" w:hAnsi="宋体" w:cs="宋体"/>
          <w:highlight w:val="none"/>
        </w:rPr>
        <w:t>目规定的评审因素和分值</w:t>
      </w:r>
      <w:r>
        <w:rPr>
          <w:rFonts w:hint="eastAsia" w:ascii="Times New Roman" w:cs="宋体"/>
          <w:szCs w:val="24"/>
          <w:highlight w:val="none"/>
        </w:rPr>
        <w:t>计算出</w:t>
      </w:r>
      <w:r>
        <w:rPr>
          <w:rFonts w:hint="eastAsia" w:hAnsi="宋体" w:cs="宋体"/>
          <w:highlight w:val="none"/>
        </w:rPr>
        <w:t>商务文件得分B</w:t>
      </w:r>
      <w:bookmarkStart w:id="503" w:name="_Toc384308279"/>
      <w:bookmarkStart w:id="504" w:name="_Toc152045605"/>
      <w:bookmarkStart w:id="505" w:name="_Toc18141"/>
      <w:bookmarkStart w:id="506" w:name="_Toc247514029"/>
      <w:bookmarkStart w:id="507" w:name="_Toc300835015"/>
      <w:bookmarkStart w:id="508" w:name="_Toc369531584"/>
      <w:bookmarkStart w:id="509" w:name="_Toc352691540"/>
      <w:bookmarkStart w:id="510" w:name="_Toc361508653"/>
      <w:bookmarkStart w:id="511" w:name="_Toc247527630"/>
      <w:bookmarkStart w:id="512" w:name="_Toc144974572"/>
      <w:bookmarkStart w:id="513" w:name="_Toc152042382"/>
      <w:r>
        <w:rPr>
          <w:rFonts w:hint="eastAsia" w:hAnsi="宋体" w:cs="宋体"/>
          <w:highlight w:val="none"/>
        </w:rPr>
        <w:t>。</w:t>
      </w:r>
    </w:p>
    <w:bookmarkEnd w:id="503"/>
    <w:bookmarkEnd w:id="504"/>
    <w:bookmarkEnd w:id="505"/>
    <w:bookmarkEnd w:id="506"/>
    <w:bookmarkEnd w:id="507"/>
    <w:bookmarkEnd w:id="508"/>
    <w:bookmarkEnd w:id="509"/>
    <w:bookmarkEnd w:id="510"/>
    <w:bookmarkEnd w:id="511"/>
    <w:bookmarkEnd w:id="512"/>
    <w:bookmarkEnd w:id="513"/>
    <w:p w14:paraId="0F5502DD">
      <w:pPr>
        <w:snapToGrid w:val="0"/>
        <w:spacing w:line="360" w:lineRule="auto"/>
        <w:ind w:firstLine="480" w:firstLineChars="200"/>
        <w:rPr>
          <w:rFonts w:hAnsi="宋体" w:cs="宋体"/>
          <w:highlight w:val="none"/>
        </w:rPr>
      </w:pPr>
      <w:r>
        <w:rPr>
          <w:rFonts w:hint="eastAsia" w:hAnsi="宋体" w:cs="宋体"/>
          <w:highlight w:val="none"/>
        </w:rPr>
        <w:t>3.2.2 得分计算的确定</w:t>
      </w:r>
    </w:p>
    <w:p w14:paraId="75FB8A0A">
      <w:pPr>
        <w:spacing w:line="360" w:lineRule="auto"/>
        <w:ind w:firstLine="480" w:firstLineChars="200"/>
        <w:rPr>
          <w:rFonts w:ascii="Times New Roman"/>
          <w:szCs w:val="24"/>
          <w:highlight w:val="none"/>
        </w:rPr>
      </w:pPr>
      <w:r>
        <w:rPr>
          <w:rFonts w:hint="eastAsia" w:ascii="Times New Roman"/>
          <w:szCs w:val="24"/>
          <w:highlight w:val="none"/>
        </w:rPr>
        <w:t>（1）技术文件详细评审得分计算</w:t>
      </w:r>
    </w:p>
    <w:p w14:paraId="1D5A63A6">
      <w:pPr>
        <w:spacing w:line="360" w:lineRule="auto"/>
        <w:ind w:firstLine="480" w:firstLineChars="200"/>
        <w:rPr>
          <w:rFonts w:ascii="Times New Roman"/>
          <w:szCs w:val="24"/>
          <w:highlight w:val="none"/>
        </w:rPr>
      </w:pPr>
      <w:r>
        <w:rPr>
          <w:rFonts w:hint="eastAsia" w:ascii="Times New Roman"/>
          <w:szCs w:val="24"/>
          <w:highlight w:val="none"/>
        </w:rPr>
        <w:t>本章第2.2.2（1）目属于技术文件详细评审内容，技术文件详细评审得分计算规则见评标办法前附表。</w:t>
      </w:r>
    </w:p>
    <w:p w14:paraId="78CD0EF1">
      <w:pPr>
        <w:spacing w:line="360" w:lineRule="auto"/>
        <w:ind w:firstLine="480" w:firstLineChars="200"/>
        <w:rPr>
          <w:rFonts w:ascii="Times New Roman"/>
          <w:szCs w:val="24"/>
          <w:highlight w:val="none"/>
        </w:rPr>
      </w:pPr>
      <w:r>
        <w:rPr>
          <w:rFonts w:hint="eastAsia" w:ascii="Times New Roman"/>
          <w:szCs w:val="24"/>
          <w:highlight w:val="none"/>
        </w:rPr>
        <w:t>（2）商务文件详细评审得分计算</w:t>
      </w:r>
    </w:p>
    <w:p w14:paraId="6A5C6514">
      <w:pPr>
        <w:spacing w:line="360" w:lineRule="auto"/>
        <w:ind w:firstLine="480" w:firstLineChars="200"/>
        <w:rPr>
          <w:rFonts w:ascii="Times New Roman"/>
          <w:szCs w:val="24"/>
          <w:highlight w:val="none"/>
        </w:rPr>
      </w:pPr>
      <w:r>
        <w:rPr>
          <w:rFonts w:hint="eastAsia" w:ascii="Times New Roman"/>
          <w:szCs w:val="24"/>
          <w:highlight w:val="none"/>
        </w:rPr>
        <w:t>本章第2.2.2（2）目属于商务文件详细评审内容，投标人第2.2.2（2）目的得分以评标委员会各成员对该目的打分平均值确定。</w:t>
      </w:r>
    </w:p>
    <w:p w14:paraId="086F4464">
      <w:pPr>
        <w:snapToGrid w:val="0"/>
        <w:spacing w:line="360" w:lineRule="auto"/>
        <w:ind w:firstLine="480" w:firstLineChars="200"/>
        <w:rPr>
          <w:rFonts w:hAnsi="宋体" w:cs="宋体"/>
          <w:highlight w:val="none"/>
        </w:rPr>
      </w:pPr>
      <w:r>
        <w:rPr>
          <w:rFonts w:hint="eastAsia" w:hAnsi="宋体" w:cs="宋体"/>
          <w:highlight w:val="none"/>
        </w:rPr>
        <w:t>3.2.3评委对技术文件打分在招标文件第2.2.2（1）目规定评审总分的90%以上（含）、60%以下（含）的投标人，评委应提出充足的理由，该理由在评标委员会集体讨论并确认后记入评标报告，否则该评委应当且仅就评分理由重新提出充足的理由。</w:t>
      </w:r>
    </w:p>
    <w:p w14:paraId="6CBA89BD">
      <w:pPr>
        <w:spacing w:line="360" w:lineRule="auto"/>
        <w:ind w:firstLine="480" w:firstLineChars="200"/>
        <w:rPr>
          <w:rFonts w:hAnsi="宋体" w:cs="宋体"/>
          <w:highlight w:val="none"/>
        </w:rPr>
      </w:pPr>
      <w:r>
        <w:rPr>
          <w:rFonts w:hint="eastAsia" w:hAnsi="宋体" w:cs="宋体"/>
          <w:highlight w:val="none"/>
        </w:rPr>
        <w:t>3.2.4投标人商务及技术文件综合得分=A+B。</w:t>
      </w:r>
    </w:p>
    <w:p w14:paraId="69E3A6DF">
      <w:pPr>
        <w:pStyle w:val="2"/>
        <w:spacing w:beforeLines="100" w:afterLines="100" w:line="240" w:lineRule="auto"/>
        <w:rPr>
          <w:rFonts w:cs="黑体"/>
          <w:snapToGrid w:val="0"/>
          <w:highlight w:val="none"/>
          <w:shd w:val="clear" w:color="auto" w:fill="FFFFFF"/>
          <w:lang w:val="zh-CN"/>
        </w:rPr>
      </w:pPr>
      <w:bookmarkStart w:id="514" w:name="_Toc26657036"/>
      <w:bookmarkStart w:id="515" w:name="_Toc14808"/>
      <w:r>
        <w:rPr>
          <w:rFonts w:hint="eastAsia" w:cs="黑体"/>
          <w:snapToGrid w:val="0"/>
          <w:highlight w:val="none"/>
          <w:shd w:val="clear" w:color="auto" w:fill="FFFFFF"/>
          <w:lang w:val="zh-CN"/>
        </w:rPr>
        <w:t>3.3报价文件</w:t>
      </w:r>
      <w:bookmarkEnd w:id="514"/>
      <w:r>
        <w:rPr>
          <w:rFonts w:hint="eastAsia" w:cs="黑体"/>
          <w:snapToGrid w:val="0"/>
          <w:highlight w:val="none"/>
          <w:shd w:val="clear" w:color="auto" w:fill="FFFFFF"/>
          <w:lang w:val="zh-CN"/>
        </w:rPr>
        <w:t>公布</w:t>
      </w:r>
      <w:bookmarkEnd w:id="515"/>
    </w:p>
    <w:p w14:paraId="003F3DA5">
      <w:pPr>
        <w:spacing w:line="360" w:lineRule="auto"/>
        <w:ind w:firstLine="480" w:firstLineChars="200"/>
        <w:rPr>
          <w:highlight w:val="none"/>
        </w:rPr>
      </w:pPr>
      <w:r>
        <w:rPr>
          <w:rFonts w:hint="eastAsia"/>
          <w:highlight w:val="none"/>
        </w:rPr>
        <w:t>商务及技术文件评审结束后，招标人公布所有投标人的</w:t>
      </w:r>
      <w:r>
        <w:rPr>
          <w:rFonts w:hint="eastAsia" w:ascii="Times New Roman" w:cs="宋体"/>
          <w:szCs w:val="24"/>
          <w:highlight w:val="none"/>
        </w:rPr>
        <w:t>投标报价</w:t>
      </w:r>
      <w:r>
        <w:rPr>
          <w:rFonts w:hint="eastAsia"/>
          <w:highlight w:val="none"/>
        </w:rPr>
        <w:t>。</w:t>
      </w:r>
    </w:p>
    <w:p w14:paraId="223549FA">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3.4报价文件初步评审</w:t>
      </w:r>
    </w:p>
    <w:p w14:paraId="74BDD6E1">
      <w:pPr>
        <w:snapToGrid w:val="0"/>
        <w:spacing w:line="360" w:lineRule="auto"/>
        <w:ind w:firstLine="480" w:firstLineChars="200"/>
        <w:rPr>
          <w:rFonts w:hAnsi="宋体" w:cs="宋体"/>
          <w:highlight w:val="none"/>
        </w:rPr>
      </w:pPr>
      <w:r>
        <w:rPr>
          <w:rFonts w:hint="eastAsia" w:hAnsi="宋体" w:cs="宋体"/>
          <w:highlight w:val="none"/>
        </w:rPr>
        <w:t>3.4.1 评标委员会依据本章第2.1.1款、第2.1.3款规定的评审标准对报价文件进行初步评审。有一项不符合评审标准的，评标委员会应否决其投标。</w:t>
      </w:r>
    </w:p>
    <w:p w14:paraId="0F5C2AF0">
      <w:pPr>
        <w:snapToGrid w:val="0"/>
        <w:spacing w:line="360" w:lineRule="auto"/>
        <w:ind w:firstLine="480" w:firstLineChars="200"/>
        <w:rPr>
          <w:rFonts w:hAnsi="宋体" w:cs="宋体"/>
          <w:highlight w:val="none"/>
        </w:rPr>
      </w:pPr>
      <w:r>
        <w:rPr>
          <w:rFonts w:hint="eastAsia" w:hAnsi="宋体" w:cs="宋体"/>
          <w:highlight w:val="none"/>
        </w:rPr>
        <w:t xml:space="preserve">3.4.2 投标报价有算术错误及其他错误的，评标委员会按照以下原则对投标报价进行修正，并要求投标人澄清确认。投标人拒不澄清确认的，评标委员会应当否决其投标： </w:t>
      </w:r>
    </w:p>
    <w:p w14:paraId="4B051D05">
      <w:pPr>
        <w:snapToGrid w:val="0"/>
        <w:spacing w:line="360" w:lineRule="auto"/>
        <w:ind w:firstLine="480" w:firstLineChars="200"/>
        <w:rPr>
          <w:rFonts w:hAnsi="宋体" w:cs="宋体"/>
          <w:highlight w:val="none"/>
        </w:rPr>
      </w:pPr>
      <w:r>
        <w:rPr>
          <w:rFonts w:hint="eastAsia" w:hAnsi="宋体" w:cs="宋体"/>
          <w:highlight w:val="none"/>
        </w:rPr>
        <w:t>（1）投标文件中的大写金额与小写金额不一致的，以大写金额为准；</w:t>
      </w:r>
    </w:p>
    <w:p w14:paraId="63B81888">
      <w:pPr>
        <w:snapToGrid w:val="0"/>
        <w:spacing w:line="360" w:lineRule="auto"/>
        <w:ind w:firstLine="480" w:firstLineChars="200"/>
        <w:rPr>
          <w:rFonts w:hAnsi="宋体" w:cs="宋体"/>
          <w:highlight w:val="none"/>
        </w:rPr>
      </w:pPr>
      <w:r>
        <w:rPr>
          <w:rFonts w:hint="eastAsia" w:hAnsi="宋体" w:cs="宋体"/>
          <w:highlight w:val="none"/>
        </w:rPr>
        <w:t>（2）总价金额与单价金额不一致的，以单价金额为准，但单价金额小数点有明显错误的除外；</w:t>
      </w:r>
    </w:p>
    <w:p w14:paraId="783F748E">
      <w:pPr>
        <w:snapToGrid w:val="0"/>
        <w:spacing w:line="360" w:lineRule="auto"/>
        <w:ind w:firstLine="480" w:firstLineChars="200"/>
        <w:rPr>
          <w:rFonts w:hAnsi="宋体" w:cs="宋体"/>
          <w:highlight w:val="none"/>
        </w:rPr>
      </w:pPr>
      <w:r>
        <w:rPr>
          <w:rFonts w:hint="eastAsia" w:hAnsi="宋体" w:cs="宋体"/>
          <w:highlight w:val="none"/>
        </w:rPr>
        <w:t>（3）投标报价为各分项报价金额之和，投标报价与分项报价的合价不一致的，应以各分项合价累计数为准，修正投标报价；</w:t>
      </w:r>
    </w:p>
    <w:p w14:paraId="243859A9">
      <w:pPr>
        <w:snapToGrid w:val="0"/>
        <w:spacing w:line="360" w:lineRule="auto"/>
        <w:ind w:firstLine="480" w:firstLineChars="200"/>
        <w:rPr>
          <w:rFonts w:hAnsi="宋体" w:cs="宋体"/>
          <w:highlight w:val="none"/>
        </w:rPr>
      </w:pPr>
      <w:r>
        <w:rPr>
          <w:rFonts w:hint="eastAsia" w:hAnsi="宋体" w:cs="宋体"/>
          <w:highlight w:val="none"/>
        </w:rPr>
        <w:t>（4）如果分项报价中存在缺漏项，则视为缺漏项价格已包含在其他分项报价之中。</w:t>
      </w:r>
    </w:p>
    <w:p w14:paraId="13C2C8B0">
      <w:pPr>
        <w:snapToGrid w:val="0"/>
        <w:spacing w:line="360" w:lineRule="auto"/>
        <w:ind w:firstLine="480" w:firstLineChars="200"/>
        <w:rPr>
          <w:rFonts w:hAnsi="宋体" w:cs="宋体"/>
          <w:highlight w:val="none"/>
        </w:rPr>
      </w:pPr>
      <w:r>
        <w:rPr>
          <w:rFonts w:hint="eastAsia" w:hAnsi="宋体" w:cs="宋体"/>
          <w:highlight w:val="none"/>
        </w:rPr>
        <w:t>3.4.3投标人投标报价明显缺乏竞争性的，评标委员会可以否决所有投标。</w:t>
      </w:r>
    </w:p>
    <w:p w14:paraId="08FBB423">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3.5报价文件详细评审</w:t>
      </w:r>
    </w:p>
    <w:p w14:paraId="06E8BD51">
      <w:pPr>
        <w:spacing w:line="360" w:lineRule="auto"/>
        <w:ind w:firstLine="480" w:firstLineChars="200"/>
        <w:rPr>
          <w:rFonts w:ascii="Times New Roman" w:cs="宋体"/>
          <w:szCs w:val="24"/>
          <w:highlight w:val="none"/>
        </w:rPr>
      </w:pPr>
      <w:r>
        <w:rPr>
          <w:rFonts w:hint="eastAsia" w:ascii="Times New Roman" w:cs="宋体"/>
          <w:szCs w:val="24"/>
          <w:highlight w:val="none"/>
        </w:rPr>
        <w:t>3.5.</w:t>
      </w:r>
      <w:r>
        <w:rPr>
          <w:rFonts w:ascii="Times New Roman" w:cs="宋体"/>
          <w:szCs w:val="24"/>
          <w:highlight w:val="none"/>
        </w:rPr>
        <w:t>1</w:t>
      </w:r>
      <w:r>
        <w:rPr>
          <w:rFonts w:hint="eastAsia" w:ascii="Times New Roman" w:cs="宋体"/>
          <w:szCs w:val="24"/>
          <w:highlight w:val="none"/>
        </w:rPr>
        <w:t>评标委员会按照本章第2.2.2（3）目规定的评审因素和分值计算出投标报价得分C。</w:t>
      </w:r>
    </w:p>
    <w:p w14:paraId="63814D0C">
      <w:pPr>
        <w:spacing w:line="360" w:lineRule="auto"/>
        <w:ind w:firstLine="480" w:firstLineChars="200"/>
        <w:rPr>
          <w:rFonts w:ascii="Times New Roman" w:cs="宋体"/>
          <w:szCs w:val="24"/>
          <w:highlight w:val="none"/>
        </w:rPr>
      </w:pPr>
      <w:r>
        <w:rPr>
          <w:rFonts w:hint="eastAsia" w:ascii="Times New Roman" w:cs="宋体"/>
          <w:szCs w:val="24"/>
          <w:highlight w:val="none"/>
        </w:rPr>
        <w:t>3.5.</w:t>
      </w:r>
      <w:r>
        <w:rPr>
          <w:rFonts w:ascii="Times New Roman" w:cs="宋体"/>
          <w:szCs w:val="24"/>
          <w:highlight w:val="none"/>
        </w:rPr>
        <w:t>2</w:t>
      </w:r>
      <w:r>
        <w:rPr>
          <w:rFonts w:hint="eastAsia" w:ascii="Times New Roman" w:cs="宋体"/>
          <w:szCs w:val="24"/>
          <w:highlight w:val="none"/>
        </w:rPr>
        <w:t>评分分值计算保留小数点后两位，小数点后第三位“四舍五入”。</w:t>
      </w:r>
    </w:p>
    <w:p w14:paraId="3ED8869C">
      <w:pPr>
        <w:spacing w:line="360" w:lineRule="auto"/>
        <w:ind w:firstLine="480" w:firstLineChars="200"/>
        <w:rPr>
          <w:rFonts w:ascii="Times New Roman" w:cs="宋体"/>
          <w:szCs w:val="24"/>
          <w:highlight w:val="none"/>
        </w:rPr>
      </w:pPr>
      <w:r>
        <w:rPr>
          <w:rFonts w:hint="eastAsia" w:ascii="Times New Roman" w:cs="宋体"/>
          <w:szCs w:val="24"/>
          <w:highlight w:val="none"/>
        </w:rPr>
        <w:t>3.5.</w:t>
      </w:r>
      <w:r>
        <w:rPr>
          <w:rFonts w:ascii="Times New Roman" w:cs="宋体"/>
          <w:szCs w:val="24"/>
          <w:highlight w:val="none"/>
        </w:rPr>
        <w:t>3</w:t>
      </w:r>
      <w:r>
        <w:rPr>
          <w:rFonts w:hint="eastAsia" w:ascii="Times New Roman" w:cs="宋体"/>
          <w:szCs w:val="24"/>
          <w:highlight w:val="none"/>
        </w:rPr>
        <w:t>投标人综合得分=A+B+C。</w:t>
      </w:r>
    </w:p>
    <w:p w14:paraId="069ED3D2">
      <w:pPr>
        <w:spacing w:line="360" w:lineRule="auto"/>
        <w:ind w:firstLine="480" w:firstLineChars="200"/>
        <w:rPr>
          <w:rFonts w:ascii="Times New Roman" w:cs="宋体"/>
          <w:szCs w:val="24"/>
          <w:highlight w:val="none"/>
        </w:rPr>
      </w:pPr>
      <w:r>
        <w:rPr>
          <w:rFonts w:hint="eastAsia" w:ascii="Times New Roman" w:cs="宋体"/>
          <w:szCs w:val="24"/>
          <w:highlight w:val="none"/>
        </w:rPr>
        <w:t>3.5.</w:t>
      </w:r>
      <w:r>
        <w:rPr>
          <w:rFonts w:ascii="Times New Roman" w:cs="宋体"/>
          <w:szCs w:val="24"/>
          <w:highlight w:val="none"/>
        </w:rPr>
        <w:t>4</w:t>
      </w:r>
      <w:r>
        <w:rPr>
          <w:rFonts w:hint="eastAsia" w:ascii="Times New Roman" w:cs="宋体"/>
          <w:szCs w:val="24"/>
          <w:highlight w:val="none"/>
        </w:rPr>
        <w:t>评标委员会发现投标人的报价明显低于其他投标报价，使得其投标报价可能低于其个别成本的，应当要求该投标人作出说明并提供相应的证明材料。投标人不能合理说明或者不能提供相应证明材料的，评标委员会应当认定该投标人以低于成本报价竞标，否决其投标。</w:t>
      </w:r>
    </w:p>
    <w:p w14:paraId="2F99AAB0">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3.6投标文件的澄清、说明或补正</w:t>
      </w:r>
    </w:p>
    <w:p w14:paraId="0C216638">
      <w:pPr>
        <w:adjustRightInd w:val="0"/>
        <w:snapToGrid w:val="0"/>
        <w:spacing w:line="360" w:lineRule="auto"/>
        <w:ind w:firstLine="480" w:firstLineChars="200"/>
        <w:rPr>
          <w:rFonts w:hAnsi="宋体" w:cs="宋体"/>
          <w:highlight w:val="none"/>
        </w:rPr>
      </w:pPr>
      <w:r>
        <w:rPr>
          <w:rFonts w:hint="eastAsia" w:hAnsi="宋体" w:cs="宋体"/>
          <w:highlight w:val="none"/>
        </w:rPr>
        <w:t>3.6.1 在评标过程中，评标委员会可以要求投标人对投标文件中含义不明确、对同类问题表述不一致或者有明显文字和计算错误的内容作必要的澄清、说明或补正。评标委员会不接受投标人主动提出的澄清、说明或补正。</w:t>
      </w:r>
    </w:p>
    <w:p w14:paraId="05940A63">
      <w:pPr>
        <w:spacing w:line="360" w:lineRule="auto"/>
        <w:ind w:firstLine="480" w:firstLineChars="200"/>
        <w:rPr>
          <w:rFonts w:hAnsi="宋体" w:cs="宋体"/>
          <w:highlight w:val="none"/>
        </w:rPr>
      </w:pPr>
      <w:r>
        <w:rPr>
          <w:rFonts w:hint="eastAsia" w:hAnsi="宋体" w:cs="宋体"/>
          <w:highlight w:val="none"/>
        </w:rPr>
        <w:t>3.6.2 澄清、说明或补正不得超出投标文件的范围且不得改变投标文件的实质性内容，并构成投标文件的组成部分。</w:t>
      </w:r>
    </w:p>
    <w:p w14:paraId="0F7CFDF0">
      <w:pPr>
        <w:spacing w:line="360" w:lineRule="auto"/>
        <w:ind w:firstLine="480" w:firstLineChars="200"/>
        <w:rPr>
          <w:rFonts w:hAnsi="宋体" w:cs="宋体"/>
          <w:highlight w:val="none"/>
        </w:rPr>
      </w:pPr>
      <w:r>
        <w:rPr>
          <w:rFonts w:hint="eastAsia" w:hAnsi="宋体" w:cs="宋体"/>
          <w:highlight w:val="none"/>
        </w:rPr>
        <w:t>3.6.3 评标委员会对投标人提交的澄清、说明或补正有疑问的，可以要求投标人进一步澄清、说明或补正，直至满足评标委员会的要求。</w:t>
      </w:r>
    </w:p>
    <w:p w14:paraId="459F620D">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3.7否决投标的情形</w:t>
      </w:r>
    </w:p>
    <w:p w14:paraId="7D7C5C19">
      <w:pPr>
        <w:adjustRightInd w:val="0"/>
        <w:snapToGrid w:val="0"/>
        <w:spacing w:line="360" w:lineRule="auto"/>
        <w:ind w:firstLine="480" w:firstLineChars="200"/>
        <w:jc w:val="left"/>
        <w:rPr>
          <w:rFonts w:hAnsi="宋体" w:cs="宋体"/>
          <w:highlight w:val="none"/>
        </w:rPr>
      </w:pPr>
      <w:r>
        <w:rPr>
          <w:rFonts w:hint="eastAsia" w:hAnsi="宋体" w:cs="宋体"/>
          <w:highlight w:val="none"/>
        </w:rPr>
        <w:t>3.7.1 投标人不符合本章第3.1款、第3.4款的，评标委员会应否决其投标。</w:t>
      </w:r>
    </w:p>
    <w:p w14:paraId="18083972">
      <w:pPr>
        <w:adjustRightInd w:val="0"/>
        <w:snapToGrid w:val="0"/>
        <w:spacing w:line="360" w:lineRule="auto"/>
        <w:ind w:firstLine="480" w:firstLineChars="200"/>
        <w:jc w:val="left"/>
        <w:rPr>
          <w:rFonts w:hAnsi="宋体" w:cs="宋体"/>
          <w:highlight w:val="none"/>
        </w:rPr>
      </w:pPr>
      <w:r>
        <w:rPr>
          <w:rFonts w:hint="eastAsia" w:hAnsi="宋体" w:cs="宋体"/>
          <w:highlight w:val="none"/>
        </w:rPr>
        <w:t>3.7.2 否决投标的其他情形，见评标办法前附表。</w:t>
      </w:r>
    </w:p>
    <w:p w14:paraId="3FA78B56">
      <w:pPr>
        <w:adjustRightInd w:val="0"/>
        <w:snapToGrid w:val="0"/>
        <w:spacing w:line="360" w:lineRule="auto"/>
        <w:ind w:firstLine="480" w:firstLineChars="200"/>
        <w:jc w:val="left"/>
        <w:rPr>
          <w:rFonts w:hAnsi="宋体" w:cs="宋体"/>
          <w:highlight w:val="none"/>
        </w:rPr>
      </w:pPr>
      <w:r>
        <w:rPr>
          <w:rFonts w:hint="eastAsia" w:hAnsi="宋体" w:cs="宋体"/>
          <w:highlight w:val="none"/>
        </w:rPr>
        <w:t>3.7.3 投标人未通过本章第3.5.4项评审的，评标委员会应否决其投标。</w:t>
      </w:r>
    </w:p>
    <w:p w14:paraId="6C993ABA">
      <w:pPr>
        <w:pStyle w:val="2"/>
        <w:spacing w:beforeLines="100" w:afterLines="100" w:line="240" w:lineRule="auto"/>
        <w:rPr>
          <w:rFonts w:cs="黑体"/>
          <w:snapToGrid w:val="0"/>
          <w:highlight w:val="none"/>
          <w:shd w:val="clear" w:color="auto" w:fill="FFFFFF"/>
          <w:lang w:val="zh-CN"/>
        </w:rPr>
      </w:pPr>
      <w:r>
        <w:rPr>
          <w:rFonts w:hint="eastAsia" w:cs="黑体"/>
          <w:snapToGrid w:val="0"/>
          <w:highlight w:val="none"/>
          <w:shd w:val="clear" w:color="auto" w:fill="FFFFFF"/>
          <w:lang w:val="zh-CN"/>
        </w:rPr>
        <w:t>3.8评标结果</w:t>
      </w:r>
    </w:p>
    <w:p w14:paraId="16BC0072">
      <w:pPr>
        <w:spacing w:line="360" w:lineRule="auto"/>
        <w:ind w:firstLine="480" w:firstLineChars="200"/>
        <w:rPr>
          <w:rFonts w:hAnsi="宋体" w:cs="宋体"/>
          <w:szCs w:val="24"/>
          <w:highlight w:val="none"/>
        </w:rPr>
      </w:pPr>
      <w:r>
        <w:rPr>
          <w:rFonts w:hint="eastAsia" w:hAnsi="宋体" w:cs="宋体"/>
          <w:szCs w:val="24"/>
          <w:highlight w:val="none"/>
        </w:rPr>
        <w:t>3.8.1评标委员会对拟推荐的中标候选人进行查询，存在投标人须知第1.4.4项规定情形的，不得推荐为中标候选人，查询要求如下：</w:t>
      </w:r>
    </w:p>
    <w:p w14:paraId="6D33801E">
      <w:pPr>
        <w:spacing w:line="360" w:lineRule="auto"/>
        <w:ind w:firstLine="480" w:firstLineChars="200"/>
        <w:rPr>
          <w:rFonts w:hAnsi="宋体" w:cs="宋体"/>
          <w:szCs w:val="24"/>
          <w:highlight w:val="none"/>
        </w:rPr>
      </w:pPr>
      <w:r>
        <w:rPr>
          <w:rFonts w:hint="eastAsia" w:hAnsi="宋体" w:cs="宋体"/>
          <w:szCs w:val="24"/>
          <w:highlight w:val="none"/>
        </w:rPr>
        <w:t>（1）评标委员会仅通过“国家企业信用信息公示系统”查询拟推荐中标候选人是否被列入严重违法失信名单，并将查询截图及查询结果在评标报告中予以记录；</w:t>
      </w:r>
    </w:p>
    <w:p w14:paraId="622F5F68">
      <w:pPr>
        <w:spacing w:line="360" w:lineRule="auto"/>
        <w:ind w:firstLine="480" w:firstLineChars="200"/>
        <w:rPr>
          <w:rFonts w:hAnsi="宋体" w:cs="宋体"/>
          <w:szCs w:val="24"/>
          <w:highlight w:val="none"/>
        </w:rPr>
      </w:pPr>
      <w:r>
        <w:rPr>
          <w:rFonts w:hint="eastAsia" w:hAnsi="宋体" w:cs="宋体"/>
          <w:szCs w:val="24"/>
          <w:highlight w:val="none"/>
        </w:rPr>
        <w:t>（2）评标委员会仅通过“信用中国”查询拟推荐中标候选人是否被列为失信被执行人、确定为重大税收违法失信主体，并将查询截图及查询结果在评标报告中予以记录；</w:t>
      </w:r>
    </w:p>
    <w:p w14:paraId="483E88E1">
      <w:pPr>
        <w:spacing w:line="360" w:lineRule="auto"/>
        <w:ind w:firstLine="480" w:firstLineChars="200"/>
        <w:rPr>
          <w:rFonts w:hAnsi="宋体" w:cs="宋体"/>
          <w:szCs w:val="24"/>
          <w:highlight w:val="none"/>
        </w:rPr>
      </w:pPr>
      <w:r>
        <w:rPr>
          <w:rFonts w:hint="eastAsia" w:hAnsi="宋体" w:cs="宋体"/>
          <w:szCs w:val="24"/>
          <w:highlight w:val="none"/>
        </w:rPr>
        <w:t>（3）其他要求见投标人须知前附表第1.4.4（4）目。</w:t>
      </w:r>
    </w:p>
    <w:p w14:paraId="38BF0AC5">
      <w:pPr>
        <w:spacing w:line="360" w:lineRule="auto"/>
        <w:ind w:firstLine="480" w:firstLineChars="200"/>
        <w:rPr>
          <w:rFonts w:hAnsi="宋体" w:cs="宋体"/>
          <w:szCs w:val="24"/>
          <w:highlight w:val="none"/>
        </w:rPr>
      </w:pPr>
      <w:r>
        <w:rPr>
          <w:rFonts w:hint="eastAsia" w:hAnsi="宋体" w:cs="宋体"/>
          <w:szCs w:val="24"/>
          <w:highlight w:val="none"/>
        </w:rPr>
        <w:t>除第二章投标人须知前附表授权直接确定中标人外，评标委员会按照评标办法的规定推荐中标候选人，并标明排列排序。</w:t>
      </w:r>
    </w:p>
    <w:p w14:paraId="694A1306">
      <w:pPr>
        <w:spacing w:line="360" w:lineRule="auto"/>
        <w:ind w:firstLine="480" w:firstLineChars="200"/>
        <w:rPr>
          <w:rFonts w:ascii="Times New Roman" w:cs="宋体"/>
          <w:szCs w:val="24"/>
          <w:highlight w:val="none"/>
        </w:rPr>
      </w:pPr>
      <w:r>
        <w:rPr>
          <w:rFonts w:hint="eastAsia" w:hAnsi="宋体" w:cs="宋体"/>
          <w:szCs w:val="24"/>
          <w:highlight w:val="none"/>
        </w:rPr>
        <w:t>3.8.2 评标委员会完成评标后，应当向招标人提交评标报告</w:t>
      </w:r>
      <w:r>
        <w:rPr>
          <w:rFonts w:hint="eastAsia" w:ascii="Times New Roman"/>
          <w:szCs w:val="24"/>
          <w:highlight w:val="none"/>
        </w:rPr>
        <w:t>。</w:t>
      </w:r>
    </w:p>
    <w:p w14:paraId="7EB9472A">
      <w:pPr>
        <w:spacing w:line="360" w:lineRule="auto"/>
        <w:ind w:firstLine="480" w:firstLineChars="200"/>
        <w:rPr>
          <w:rFonts w:hint="eastAsia" w:ascii="Times New Roman"/>
          <w:color w:val="auto"/>
          <w:szCs w:val="24"/>
          <w:highlight w:val="none"/>
        </w:rPr>
      </w:pPr>
    </w:p>
    <w:p w14:paraId="0E127B16">
      <w:pPr>
        <w:spacing w:line="360" w:lineRule="auto"/>
        <w:ind w:firstLine="480" w:firstLineChars="200"/>
        <w:rPr>
          <w:rFonts w:ascii="Times New Roman" w:cs="宋体"/>
          <w:szCs w:val="24"/>
          <w:highlight w:val="none"/>
        </w:rPr>
      </w:pPr>
    </w:p>
    <w:p w14:paraId="7EB7646B">
      <w:pPr>
        <w:pStyle w:val="3"/>
        <w:spacing w:beforeLines="100" w:afterLines="100" w:line="240" w:lineRule="auto"/>
        <w:jc w:val="center"/>
        <w:rPr>
          <w:b w:val="0"/>
          <w:highlight w:val="none"/>
        </w:rPr>
      </w:pPr>
      <w:r>
        <w:rPr>
          <w:rFonts w:hint="eastAsia"/>
          <w:b w:val="0"/>
          <w:highlight w:val="none"/>
        </w:rPr>
        <w:br w:type="page"/>
      </w:r>
      <w:bookmarkStart w:id="516" w:name="_Toc96"/>
      <w:bookmarkStart w:id="517" w:name="_Toc29954"/>
      <w:bookmarkStart w:id="518" w:name="_Toc3357"/>
      <w:bookmarkStart w:id="519" w:name="_Toc15390"/>
      <w:bookmarkStart w:id="520" w:name="_Toc300835032"/>
      <w:bookmarkStart w:id="521" w:name="_Toc247514035"/>
      <w:bookmarkStart w:id="522" w:name="_Toc26721536"/>
      <w:bookmarkStart w:id="523" w:name="_Toc17100667"/>
      <w:bookmarkStart w:id="524" w:name="_Toc26700477"/>
      <w:bookmarkStart w:id="525" w:name="_Toc369531601"/>
      <w:bookmarkStart w:id="526" w:name="_Toc15753903"/>
      <w:bookmarkStart w:id="527" w:name="_Toc24965147"/>
      <w:bookmarkStart w:id="528" w:name="_Toc30942"/>
      <w:bookmarkStart w:id="529" w:name="_Toc26700647"/>
      <w:bookmarkStart w:id="530" w:name="_Toc26721381"/>
      <w:bookmarkStart w:id="531" w:name="_Toc247527636"/>
      <w:bookmarkStart w:id="532" w:name="_Toc501460735"/>
      <w:r>
        <w:rPr>
          <w:rFonts w:hint="eastAsia" w:hAnsi="宋体" w:cs="宋体"/>
          <w:b w:val="0"/>
          <w:bCs w:val="0"/>
          <w:highlight w:val="none"/>
        </w:rPr>
        <w:t>第四章  合同条款及格式</w:t>
      </w:r>
      <w:bookmarkEnd w:id="516"/>
      <w:bookmarkEnd w:id="517"/>
      <w:bookmarkEnd w:id="518"/>
      <w:bookmarkEnd w:id="519"/>
    </w:p>
    <w:p w14:paraId="3173205C">
      <w:pPr>
        <w:pStyle w:val="4"/>
        <w:spacing w:before="0" w:after="0" w:line="360" w:lineRule="auto"/>
        <w:jc w:val="center"/>
        <w:rPr>
          <w:rFonts w:ascii="Times New Roman" w:hAnsi="Times New Roman"/>
          <w:b w:val="0"/>
          <w:highlight w:val="none"/>
        </w:rPr>
      </w:pPr>
      <w:bookmarkStart w:id="533" w:name="_Toc17871"/>
      <w:bookmarkStart w:id="534" w:name="_Toc15928646"/>
      <w:bookmarkStart w:id="535" w:name="_Toc501460683"/>
      <w:bookmarkStart w:id="536" w:name="_Toc18101"/>
      <w:bookmarkStart w:id="537" w:name="_Toc26781085"/>
      <w:bookmarkStart w:id="538" w:name="_Toc5773"/>
      <w:bookmarkStart w:id="539" w:name="_Toc17575"/>
      <w:bookmarkStart w:id="540" w:name="_Toc140069432"/>
      <w:bookmarkStart w:id="541" w:name="_Toc24489"/>
      <w:r>
        <w:rPr>
          <w:rFonts w:ascii="Times New Roman" w:hAnsi="Times New Roman"/>
          <w:b w:val="0"/>
          <w:highlight w:val="none"/>
        </w:rPr>
        <w:t>第一节通用合同条款</w:t>
      </w:r>
      <w:bookmarkEnd w:id="533"/>
      <w:bookmarkEnd w:id="534"/>
      <w:bookmarkEnd w:id="535"/>
      <w:bookmarkEnd w:id="536"/>
      <w:bookmarkEnd w:id="537"/>
      <w:bookmarkEnd w:id="538"/>
      <w:bookmarkEnd w:id="539"/>
      <w:bookmarkEnd w:id="540"/>
      <w:bookmarkEnd w:id="541"/>
    </w:p>
    <w:bookmarkEnd w:id="520"/>
    <w:bookmarkEnd w:id="521"/>
    <w:bookmarkEnd w:id="522"/>
    <w:bookmarkEnd w:id="523"/>
    <w:bookmarkEnd w:id="524"/>
    <w:bookmarkEnd w:id="525"/>
    <w:bookmarkEnd w:id="526"/>
    <w:bookmarkEnd w:id="527"/>
    <w:bookmarkEnd w:id="528"/>
    <w:bookmarkEnd w:id="529"/>
    <w:bookmarkEnd w:id="530"/>
    <w:bookmarkEnd w:id="531"/>
    <w:bookmarkEnd w:id="532"/>
    <w:p w14:paraId="12947FAC">
      <w:pPr>
        <w:spacing w:line="360" w:lineRule="auto"/>
        <w:ind w:firstLine="105"/>
        <w:outlineLvl w:val="2"/>
        <w:rPr>
          <w:rFonts w:ascii="黑体" w:hAnsi="黑体" w:eastAsia="黑体" w:cs="黑体"/>
          <w:bCs/>
          <w:sz w:val="28"/>
          <w:szCs w:val="28"/>
          <w:highlight w:val="none"/>
        </w:rPr>
      </w:pPr>
      <w:r>
        <w:rPr>
          <w:rFonts w:hint="eastAsia" w:ascii="黑体" w:hAnsi="黑体" w:eastAsia="黑体" w:cs="黑体"/>
          <w:sz w:val="28"/>
          <w:szCs w:val="28"/>
          <w:highlight w:val="none"/>
        </w:rPr>
        <w:t>1. 一般约定</w:t>
      </w:r>
    </w:p>
    <w:p w14:paraId="6911A7EE">
      <w:pPr>
        <w:spacing w:line="360" w:lineRule="auto"/>
        <w:ind w:firstLine="137"/>
        <w:outlineLvl w:val="3"/>
        <w:rPr>
          <w:rFonts w:ascii="黑体" w:hAnsi="黑体" w:eastAsia="黑体" w:cs="黑体"/>
          <w:highlight w:val="none"/>
        </w:rPr>
      </w:pPr>
      <w:bookmarkStart w:id="542" w:name="_Toc246996998"/>
      <w:bookmarkStart w:id="543" w:name="_Toc246996255"/>
      <w:bookmarkStart w:id="544" w:name="_Toc501460736"/>
      <w:bookmarkStart w:id="545" w:name="_Toc369531602"/>
      <w:bookmarkStart w:id="546" w:name="_Toc247085770"/>
      <w:bookmarkStart w:id="547" w:name="_Toc296602500"/>
      <w:bookmarkStart w:id="548" w:name="_Toc3381"/>
      <w:r>
        <w:rPr>
          <w:rFonts w:hint="eastAsia" w:ascii="黑体" w:hAnsi="黑体" w:eastAsia="黑体" w:cs="黑体"/>
          <w:highlight w:val="none"/>
        </w:rPr>
        <w:t>1.1 词语定义</w:t>
      </w:r>
      <w:bookmarkEnd w:id="542"/>
      <w:bookmarkEnd w:id="543"/>
      <w:bookmarkEnd w:id="544"/>
      <w:bookmarkEnd w:id="545"/>
      <w:bookmarkEnd w:id="546"/>
      <w:bookmarkEnd w:id="547"/>
      <w:bookmarkEnd w:id="548"/>
    </w:p>
    <w:p w14:paraId="4EF931F1">
      <w:pPr>
        <w:spacing w:line="360" w:lineRule="auto"/>
        <w:ind w:firstLine="480" w:firstLineChars="200"/>
        <w:rPr>
          <w:rFonts w:hAnsi="宋体" w:cs="宋体"/>
          <w:highlight w:val="none"/>
        </w:rPr>
      </w:pPr>
      <w:r>
        <w:rPr>
          <w:rFonts w:hint="eastAsia" w:hAnsi="宋体" w:cs="宋体"/>
          <w:highlight w:val="none"/>
        </w:rPr>
        <w:t>除专用合同条款另有约定外，合同中的下列词语应具有本款所赋予的含义。</w:t>
      </w:r>
    </w:p>
    <w:p w14:paraId="12A24F18">
      <w:pPr>
        <w:spacing w:line="360" w:lineRule="auto"/>
        <w:ind w:firstLine="480" w:firstLineChars="200"/>
        <w:rPr>
          <w:rFonts w:hAnsi="宋体" w:cs="宋体"/>
          <w:highlight w:val="none"/>
        </w:rPr>
      </w:pPr>
      <w:r>
        <w:rPr>
          <w:rFonts w:hint="eastAsia" w:hAnsi="宋体" w:cs="宋体"/>
          <w:highlight w:val="none"/>
        </w:rPr>
        <w:t>1.1.1 合同</w:t>
      </w:r>
    </w:p>
    <w:p w14:paraId="66072F47">
      <w:pPr>
        <w:spacing w:line="360" w:lineRule="auto"/>
        <w:ind w:firstLine="480" w:firstLineChars="200"/>
        <w:rPr>
          <w:rFonts w:hAnsi="宋体" w:cs="宋体"/>
          <w:highlight w:val="none"/>
        </w:rPr>
      </w:pPr>
      <w:r>
        <w:rPr>
          <w:rFonts w:hint="eastAsia" w:hAnsi="宋体" w:cs="宋体"/>
          <w:highlight w:val="none"/>
        </w:rPr>
        <w:t>1.1.1.1 合同文件（或称合同）：指合同协议书、中标通知书、投标函、商务和技术偏离表、专用合同条款、通用合同条款、供货要求、分项报价表、中标货物技术性能指标的详细描述、技术服务和质保期服务计划，以及其他构成合同组成部分的文件。</w:t>
      </w:r>
    </w:p>
    <w:p w14:paraId="70D9BEBC">
      <w:pPr>
        <w:spacing w:line="360" w:lineRule="auto"/>
        <w:ind w:firstLine="480" w:firstLineChars="200"/>
        <w:rPr>
          <w:rFonts w:hAnsi="宋体" w:cs="宋体"/>
          <w:highlight w:val="none"/>
        </w:rPr>
      </w:pPr>
      <w:r>
        <w:rPr>
          <w:rFonts w:hint="eastAsia" w:hAnsi="宋体" w:cs="宋体"/>
          <w:highlight w:val="none"/>
        </w:rPr>
        <w:t>1.1.1.2 合同协议书：指买方和卖方共同签署的合同协议书。</w:t>
      </w:r>
    </w:p>
    <w:p w14:paraId="41767F99">
      <w:pPr>
        <w:spacing w:line="360" w:lineRule="auto"/>
        <w:ind w:firstLine="480" w:firstLineChars="200"/>
        <w:rPr>
          <w:rFonts w:hAnsi="宋体" w:cs="宋体"/>
          <w:highlight w:val="none"/>
        </w:rPr>
      </w:pPr>
      <w:r>
        <w:rPr>
          <w:rFonts w:hint="eastAsia" w:hAnsi="宋体" w:cs="宋体"/>
          <w:highlight w:val="none"/>
        </w:rPr>
        <w:t>1.1.1.3 中标通知书：指买方通知卖方中标的函件。</w:t>
      </w:r>
    </w:p>
    <w:p w14:paraId="416818A2">
      <w:pPr>
        <w:spacing w:line="360" w:lineRule="auto"/>
        <w:ind w:firstLine="480" w:firstLineChars="200"/>
        <w:rPr>
          <w:rFonts w:hAnsi="宋体" w:cs="宋体"/>
          <w:highlight w:val="none"/>
        </w:rPr>
      </w:pPr>
      <w:r>
        <w:rPr>
          <w:rFonts w:hint="eastAsia" w:hAnsi="宋体" w:cs="宋体"/>
          <w:highlight w:val="none"/>
        </w:rPr>
        <w:t>1.1.1.4 投标函：指由卖方填写并签署的，名为“投标函”的函件。</w:t>
      </w:r>
    </w:p>
    <w:p w14:paraId="0F3CB634">
      <w:pPr>
        <w:spacing w:line="360" w:lineRule="auto"/>
        <w:ind w:firstLine="480" w:firstLineChars="200"/>
        <w:rPr>
          <w:rFonts w:hAnsi="宋体" w:cs="宋体"/>
          <w:highlight w:val="none"/>
        </w:rPr>
      </w:pPr>
      <w:r>
        <w:rPr>
          <w:rFonts w:hint="eastAsia" w:hAnsi="宋体" w:cs="宋体"/>
          <w:highlight w:val="none"/>
        </w:rPr>
        <w:t>1.1.1.5 商务和技术偏离表：指卖方投标文件中的商务和技术偏离表。</w:t>
      </w:r>
    </w:p>
    <w:p w14:paraId="2FED9E4B">
      <w:pPr>
        <w:spacing w:line="360" w:lineRule="auto"/>
        <w:ind w:firstLine="480" w:firstLineChars="200"/>
        <w:rPr>
          <w:rFonts w:hAnsi="宋体" w:cs="宋体"/>
          <w:highlight w:val="none"/>
        </w:rPr>
      </w:pPr>
      <w:r>
        <w:rPr>
          <w:rFonts w:hint="eastAsia" w:hAnsi="宋体" w:cs="宋体"/>
          <w:highlight w:val="none"/>
        </w:rPr>
        <w:t>1.1.1.6 供货要求：指合同文件中名为“供货要求”的文件。</w:t>
      </w:r>
    </w:p>
    <w:p w14:paraId="1408647F">
      <w:pPr>
        <w:spacing w:line="360" w:lineRule="auto"/>
        <w:ind w:firstLine="480" w:firstLineChars="200"/>
        <w:rPr>
          <w:rFonts w:hAnsi="宋体" w:cs="宋体"/>
          <w:highlight w:val="none"/>
        </w:rPr>
      </w:pPr>
      <w:r>
        <w:rPr>
          <w:rFonts w:hint="eastAsia" w:hAnsi="宋体" w:cs="宋体"/>
          <w:highlight w:val="none"/>
        </w:rPr>
        <w:t>1.1.1.7 中标货物技术性能指标的详细描述：指卖方投标文件中的投标货物技术性能指标的详细描述。</w:t>
      </w:r>
    </w:p>
    <w:p w14:paraId="53B8347B">
      <w:pPr>
        <w:spacing w:line="360" w:lineRule="auto"/>
        <w:ind w:firstLine="480" w:firstLineChars="200"/>
        <w:rPr>
          <w:rFonts w:hAnsi="宋体" w:cs="宋体"/>
          <w:highlight w:val="none"/>
        </w:rPr>
      </w:pPr>
      <w:r>
        <w:rPr>
          <w:rFonts w:hint="eastAsia" w:hAnsi="宋体" w:cs="宋体"/>
          <w:highlight w:val="none"/>
        </w:rPr>
        <w:t>1.1.1.8 技术服务和质保期服务计划：指卖方投标文件中的技术服务和质保期服务计划。</w:t>
      </w:r>
    </w:p>
    <w:p w14:paraId="1352BE74">
      <w:pPr>
        <w:spacing w:line="360" w:lineRule="auto"/>
        <w:ind w:firstLine="480" w:firstLineChars="200"/>
        <w:rPr>
          <w:rFonts w:hAnsi="宋体" w:cs="宋体"/>
          <w:highlight w:val="none"/>
        </w:rPr>
      </w:pPr>
      <w:r>
        <w:rPr>
          <w:rFonts w:hint="eastAsia" w:hAnsi="宋体" w:cs="宋体"/>
          <w:highlight w:val="none"/>
        </w:rPr>
        <w:t>1.1.1.9 分项报价表：指卖方投标文件中的分项报价表。</w:t>
      </w:r>
    </w:p>
    <w:p w14:paraId="49F7ECE3">
      <w:pPr>
        <w:spacing w:line="360" w:lineRule="auto"/>
        <w:ind w:firstLine="480" w:firstLineChars="200"/>
        <w:rPr>
          <w:rFonts w:hAnsi="宋体" w:cs="宋体"/>
          <w:highlight w:val="none"/>
        </w:rPr>
      </w:pPr>
      <w:r>
        <w:rPr>
          <w:rFonts w:hint="eastAsia" w:hAnsi="宋体" w:cs="宋体"/>
          <w:highlight w:val="none"/>
        </w:rPr>
        <w:t>1.1.1.10 其他合同文件：指经合同双方当事人确认构成合同文件的其他文件。</w:t>
      </w:r>
    </w:p>
    <w:p w14:paraId="0B45D126">
      <w:pPr>
        <w:spacing w:line="360" w:lineRule="auto"/>
        <w:ind w:firstLine="480" w:firstLineChars="200"/>
        <w:rPr>
          <w:rFonts w:hAnsi="宋体" w:cs="宋体"/>
          <w:bCs/>
          <w:highlight w:val="none"/>
        </w:rPr>
      </w:pPr>
      <w:r>
        <w:rPr>
          <w:rFonts w:hint="eastAsia" w:hAnsi="宋体" w:cs="宋体"/>
          <w:bCs/>
          <w:highlight w:val="none"/>
        </w:rPr>
        <w:t>1.1.2 合同当事人</w:t>
      </w:r>
    </w:p>
    <w:p w14:paraId="41A9FA2E">
      <w:pPr>
        <w:spacing w:line="360" w:lineRule="auto"/>
        <w:ind w:firstLine="480" w:firstLineChars="200"/>
        <w:rPr>
          <w:rFonts w:hAnsi="宋体" w:cs="宋体"/>
          <w:bCs/>
          <w:highlight w:val="none"/>
        </w:rPr>
      </w:pPr>
      <w:r>
        <w:rPr>
          <w:rFonts w:hint="eastAsia" w:hAnsi="宋体" w:cs="宋体"/>
          <w:bCs/>
          <w:highlight w:val="none"/>
        </w:rPr>
        <w:t>1.1.2.1 合同当事人：指买方和（或）卖方。</w:t>
      </w:r>
    </w:p>
    <w:p w14:paraId="65D72F7D">
      <w:pPr>
        <w:spacing w:line="360" w:lineRule="auto"/>
        <w:ind w:firstLine="480" w:firstLineChars="200"/>
        <w:rPr>
          <w:rFonts w:hAnsi="宋体" w:cs="宋体"/>
          <w:bCs/>
          <w:highlight w:val="none"/>
        </w:rPr>
      </w:pPr>
      <w:r>
        <w:rPr>
          <w:rFonts w:hint="eastAsia" w:hAnsi="宋体" w:cs="宋体"/>
          <w:bCs/>
          <w:highlight w:val="none"/>
        </w:rPr>
        <w:t>1.1.2.2 买方：指与卖方签订合同协议书，购买合同货物和技术服务和质保期服务的当事人，及其合法继承人。</w:t>
      </w:r>
    </w:p>
    <w:p w14:paraId="2BB58E5A">
      <w:pPr>
        <w:spacing w:line="360" w:lineRule="auto"/>
        <w:ind w:firstLine="480" w:firstLineChars="200"/>
        <w:rPr>
          <w:rFonts w:hAnsi="宋体" w:cs="宋体"/>
          <w:bCs/>
          <w:highlight w:val="none"/>
        </w:rPr>
      </w:pPr>
      <w:r>
        <w:rPr>
          <w:rFonts w:hint="eastAsia" w:hAnsi="宋体" w:cs="宋体"/>
          <w:bCs/>
          <w:highlight w:val="none"/>
        </w:rPr>
        <w:t>1.1.2.3 卖方：指与买方签订合同协议书，提供合同货物和技术服务和质保期服务的当事人，及其合法继承人。</w:t>
      </w:r>
    </w:p>
    <w:p w14:paraId="667FE36E">
      <w:pPr>
        <w:spacing w:line="360" w:lineRule="auto"/>
        <w:ind w:firstLine="480" w:firstLineChars="200"/>
        <w:rPr>
          <w:rFonts w:hAnsi="宋体" w:cs="宋体"/>
          <w:bCs/>
          <w:highlight w:val="none"/>
        </w:rPr>
      </w:pPr>
      <w:r>
        <w:rPr>
          <w:rFonts w:hint="eastAsia" w:hAnsi="宋体" w:cs="宋体"/>
          <w:bCs/>
          <w:highlight w:val="none"/>
        </w:rPr>
        <w:t>1.1.3 合同价格</w:t>
      </w:r>
    </w:p>
    <w:p w14:paraId="6FB7595C">
      <w:pPr>
        <w:spacing w:line="360" w:lineRule="auto"/>
        <w:ind w:firstLine="480" w:firstLineChars="200"/>
        <w:rPr>
          <w:rFonts w:hAnsi="宋体" w:cs="宋体"/>
          <w:bCs/>
          <w:highlight w:val="none"/>
        </w:rPr>
      </w:pPr>
      <w:r>
        <w:rPr>
          <w:rFonts w:hint="eastAsia" w:hAnsi="宋体" w:cs="宋体"/>
          <w:bCs/>
          <w:highlight w:val="none"/>
        </w:rPr>
        <w:t>1.1.3.1 签约合同价：是签订合同时合同协议书中写明的合同总金额。</w:t>
      </w:r>
    </w:p>
    <w:p w14:paraId="651E20B4">
      <w:pPr>
        <w:spacing w:line="360" w:lineRule="auto"/>
        <w:ind w:firstLine="480" w:firstLineChars="200"/>
        <w:rPr>
          <w:rFonts w:hAnsi="宋体" w:cs="宋体"/>
          <w:bCs/>
          <w:highlight w:val="none"/>
        </w:rPr>
      </w:pPr>
      <w:r>
        <w:rPr>
          <w:rFonts w:hint="eastAsia" w:hAnsi="宋体" w:cs="宋体"/>
          <w:bCs/>
          <w:highlight w:val="none"/>
        </w:rPr>
        <w:t>1.1.3.2 合同价格：指卖方按合同约定履行了全部合同义务后，买方应付给卖方的金额。</w:t>
      </w:r>
    </w:p>
    <w:p w14:paraId="4C05C459">
      <w:pPr>
        <w:spacing w:line="360" w:lineRule="auto"/>
        <w:ind w:firstLine="480" w:firstLineChars="200"/>
        <w:rPr>
          <w:rFonts w:hAnsi="宋体" w:cs="宋体"/>
          <w:highlight w:val="none"/>
        </w:rPr>
      </w:pPr>
      <w:r>
        <w:rPr>
          <w:rFonts w:hint="eastAsia" w:hAnsi="宋体" w:cs="宋体"/>
          <w:highlight w:val="none"/>
        </w:rPr>
        <w:t>1.1.4 合同货物：指卖方按合同约定应向买方提供的设备、装置、备品、备件、易损易耗件、配套使用的软件或其他辅助电子应用程序及技术资料，或其中任何一部分。</w:t>
      </w:r>
    </w:p>
    <w:p w14:paraId="43DF057E">
      <w:pPr>
        <w:spacing w:line="360" w:lineRule="auto"/>
        <w:ind w:firstLine="480" w:firstLineChars="200"/>
        <w:rPr>
          <w:rFonts w:hAnsi="宋体" w:cs="宋体"/>
          <w:highlight w:val="none"/>
        </w:rPr>
      </w:pPr>
      <w:r>
        <w:rPr>
          <w:rFonts w:hint="eastAsia" w:hAnsi="宋体" w:cs="宋体"/>
          <w:highlight w:val="none"/>
        </w:rPr>
        <w:t>1.1.5 技术资料：指各种纸质及电子载体的与合同货物的设计、检验、安装、调试、考核、操作、维修以及保养等有关的技术指标、规格、图纸和说明文件。</w:t>
      </w:r>
    </w:p>
    <w:p w14:paraId="4E9164A2">
      <w:pPr>
        <w:spacing w:line="360" w:lineRule="auto"/>
        <w:ind w:firstLine="480" w:firstLineChars="200"/>
        <w:rPr>
          <w:rFonts w:hAnsi="宋体" w:cs="宋体"/>
          <w:highlight w:val="none"/>
        </w:rPr>
      </w:pPr>
      <w:r>
        <w:rPr>
          <w:rFonts w:hint="eastAsia" w:hAnsi="宋体" w:cs="宋体"/>
          <w:highlight w:val="none"/>
        </w:rPr>
        <w:t>1.1.6 安装：指对合同货物进行的组装、连接以</w:t>
      </w:r>
      <w:bookmarkStart w:id="549" w:name="_Toc15914"/>
      <w:r>
        <w:rPr>
          <w:rFonts w:hint="eastAsia" w:hAnsi="宋体" w:cs="宋体"/>
          <w:highlight w:val="none"/>
        </w:rPr>
        <w:t>及根据需要将合同货物固定在施</w:t>
      </w:r>
      <w:bookmarkEnd w:id="549"/>
      <w:r>
        <w:rPr>
          <w:rFonts w:hint="eastAsia" w:hAnsi="宋体" w:cs="宋体"/>
          <w:highlight w:val="none"/>
        </w:rPr>
        <w:t>工场地内一定的位置上，使其就位并与相关设备、工程实现连接。</w:t>
      </w:r>
    </w:p>
    <w:p w14:paraId="5EAB6F85">
      <w:pPr>
        <w:spacing w:line="360" w:lineRule="auto"/>
        <w:ind w:firstLine="480" w:firstLineChars="200"/>
        <w:rPr>
          <w:rFonts w:hAnsi="宋体" w:cs="宋体"/>
          <w:highlight w:val="none"/>
        </w:rPr>
      </w:pPr>
      <w:r>
        <w:rPr>
          <w:rFonts w:hint="eastAsia" w:hAnsi="宋体" w:cs="宋体"/>
          <w:highlight w:val="none"/>
        </w:rPr>
        <w:t>1.1.7 调试：指在合同货物安装完成后，对合同货物所进行的调校和测试。</w:t>
      </w:r>
    </w:p>
    <w:p w14:paraId="47A237C3">
      <w:pPr>
        <w:spacing w:line="360" w:lineRule="auto"/>
        <w:ind w:firstLine="480" w:firstLineChars="200"/>
        <w:rPr>
          <w:rFonts w:hAnsi="宋体" w:cs="宋体"/>
          <w:highlight w:val="none"/>
        </w:rPr>
      </w:pPr>
      <w:r>
        <w:rPr>
          <w:rFonts w:hint="eastAsia" w:hAnsi="宋体" w:cs="宋体"/>
          <w:highlight w:val="none"/>
        </w:rPr>
        <w:t>1.1.8 考核：指在合同货物调试完成后，对合同货物进行的用于确定其是否达到合同约定的技术性能考核指标的考核。</w:t>
      </w:r>
    </w:p>
    <w:p w14:paraId="34FE63F9">
      <w:pPr>
        <w:spacing w:line="360" w:lineRule="auto"/>
        <w:ind w:firstLine="480" w:firstLineChars="200"/>
        <w:rPr>
          <w:rFonts w:hAnsi="宋体" w:cs="宋体"/>
          <w:highlight w:val="none"/>
        </w:rPr>
      </w:pPr>
      <w:r>
        <w:rPr>
          <w:rFonts w:hint="eastAsia" w:hAnsi="宋体" w:cs="宋体"/>
          <w:highlight w:val="none"/>
        </w:rPr>
        <w:t>1.1.9 验收：指合同货物通过考核达到合同约定的技术性能考核指标后，买方作出接受合同货物的确认。</w:t>
      </w:r>
    </w:p>
    <w:p w14:paraId="4D1A2E6F">
      <w:pPr>
        <w:spacing w:line="360" w:lineRule="auto"/>
        <w:ind w:firstLine="480" w:firstLineChars="200"/>
        <w:rPr>
          <w:rFonts w:hAnsi="宋体" w:cs="宋体"/>
          <w:highlight w:val="none"/>
        </w:rPr>
      </w:pPr>
      <w:r>
        <w:rPr>
          <w:rFonts w:hint="eastAsia" w:hAnsi="宋体" w:cs="宋体"/>
          <w:highlight w:val="none"/>
        </w:rPr>
        <w:t>1.1.10 技术服务：指卖方按合同约定，在合同货物验收前，向买方提供的安装、调试、培训等，或者在由买方负责的安装、调试、考核中对买方进行的技术指导、协助、监督和培训等。</w:t>
      </w:r>
    </w:p>
    <w:p w14:paraId="21B4F87F">
      <w:pPr>
        <w:spacing w:line="360" w:lineRule="auto"/>
        <w:ind w:firstLine="480" w:firstLineChars="200"/>
        <w:rPr>
          <w:rFonts w:hAnsi="宋体" w:cs="宋体"/>
          <w:highlight w:val="none"/>
        </w:rPr>
      </w:pPr>
      <w:r>
        <w:rPr>
          <w:rFonts w:hint="eastAsia" w:hAnsi="宋体" w:cs="宋体"/>
          <w:highlight w:val="none"/>
        </w:rPr>
        <w:t>1.1.11</w:t>
      </w:r>
      <w:bookmarkStart w:id="550" w:name="_Toc17041"/>
      <w:r>
        <w:rPr>
          <w:rFonts w:hint="eastAsia" w:hAnsi="宋体" w:cs="宋体"/>
          <w:highlight w:val="none"/>
        </w:rPr>
        <w:t xml:space="preserve"> 质量保证期：指合</w:t>
      </w:r>
      <w:bookmarkEnd w:id="550"/>
      <w:r>
        <w:rPr>
          <w:rFonts w:hint="eastAsia" w:hAnsi="宋体" w:cs="宋体"/>
          <w:highlight w:val="none"/>
        </w:rPr>
        <w:t>同货物验收后，卖方按合同约定保证合同货物适当、稳定运行，并负责消除合同货物故障的期限。</w:t>
      </w:r>
    </w:p>
    <w:p w14:paraId="569C1408">
      <w:pPr>
        <w:spacing w:line="360" w:lineRule="auto"/>
        <w:ind w:firstLine="480" w:firstLineChars="200"/>
        <w:rPr>
          <w:rFonts w:hAnsi="宋体" w:cs="宋体"/>
          <w:highlight w:val="none"/>
        </w:rPr>
      </w:pPr>
      <w:r>
        <w:rPr>
          <w:rFonts w:hint="eastAsia" w:hAnsi="宋体" w:cs="宋体"/>
          <w:highlight w:val="none"/>
        </w:rPr>
        <w:t>1.1.12 质保期服务：指在质量保证期内，卖方向买方提供的合同货物维护服务、咨询服务、技术指导、协助以及对出现故障的合同货物进行修理或更换的服务。</w:t>
      </w:r>
    </w:p>
    <w:p w14:paraId="14F2B58A">
      <w:pPr>
        <w:spacing w:line="360" w:lineRule="auto"/>
        <w:ind w:firstLine="480" w:firstLineChars="200"/>
        <w:rPr>
          <w:rFonts w:hAnsi="宋体" w:cs="宋体"/>
          <w:highlight w:val="none"/>
        </w:rPr>
      </w:pPr>
      <w:r>
        <w:rPr>
          <w:rFonts w:hint="eastAsia" w:hAnsi="宋体" w:cs="宋体"/>
          <w:highlight w:val="none"/>
        </w:rPr>
        <w:t>1.1.13 工程</w:t>
      </w:r>
    </w:p>
    <w:p w14:paraId="5F137454">
      <w:pPr>
        <w:spacing w:line="360" w:lineRule="auto"/>
        <w:ind w:firstLine="480" w:firstLineChars="200"/>
        <w:rPr>
          <w:rFonts w:hAnsi="宋体" w:cs="宋体"/>
          <w:highlight w:val="none"/>
        </w:rPr>
      </w:pPr>
      <w:bookmarkStart w:id="551" w:name="_Toc30842"/>
      <w:bookmarkStart w:id="552" w:name="_Toc247514033"/>
      <w:bookmarkStart w:id="553" w:name="_Toc247527634"/>
      <w:bookmarkStart w:id="554" w:name="_Toc152045609"/>
      <w:bookmarkStart w:id="555" w:name="_Toc384308283"/>
      <w:bookmarkStart w:id="556" w:name="_Toc369531599"/>
      <w:bookmarkStart w:id="557" w:name="_Toc144974577"/>
      <w:bookmarkStart w:id="558" w:name="_Toc361508657"/>
      <w:bookmarkStart w:id="559" w:name="_Toc300835030"/>
      <w:bookmarkStart w:id="560" w:name="_Toc152042387"/>
      <w:bookmarkStart w:id="561" w:name="_Toc296602499"/>
      <w:bookmarkStart w:id="562" w:name="_Toc246996254"/>
      <w:bookmarkStart w:id="563" w:name="_Toc247085769"/>
      <w:bookmarkStart w:id="564" w:name="_Toc184635098"/>
      <w:bookmarkStart w:id="565" w:name="_Toc246996997"/>
      <w:r>
        <w:rPr>
          <w:rFonts w:hint="eastAsia" w:hAnsi="宋体" w:cs="宋体"/>
          <w:highlight w:val="none"/>
        </w:rPr>
        <w:t>1.1.13.1 工程：</w:t>
      </w:r>
      <w:bookmarkEnd w:id="551"/>
      <w:bookmarkEnd w:id="552"/>
      <w:bookmarkEnd w:id="553"/>
      <w:bookmarkEnd w:id="554"/>
      <w:bookmarkEnd w:id="555"/>
      <w:bookmarkEnd w:id="556"/>
      <w:bookmarkEnd w:id="557"/>
      <w:bookmarkEnd w:id="558"/>
      <w:bookmarkEnd w:id="559"/>
      <w:bookmarkEnd w:id="560"/>
      <w:r>
        <w:rPr>
          <w:rFonts w:hint="eastAsia" w:hAnsi="宋体" w:cs="宋体"/>
          <w:highlight w:val="none"/>
        </w:rPr>
        <w:t>指在专用合同条款中指明的，安装运行</w:t>
      </w:r>
      <w:bookmarkEnd w:id="561"/>
      <w:bookmarkEnd w:id="562"/>
      <w:bookmarkEnd w:id="563"/>
      <w:bookmarkEnd w:id="564"/>
      <w:bookmarkEnd w:id="565"/>
      <w:bookmarkStart w:id="566" w:name="_Toc9002"/>
      <w:r>
        <w:rPr>
          <w:rFonts w:hint="eastAsia" w:hAnsi="宋体" w:cs="宋体"/>
          <w:highlight w:val="none"/>
        </w:rPr>
        <w:t>合同货物</w:t>
      </w:r>
      <w:bookmarkEnd w:id="566"/>
      <w:bookmarkStart w:id="567" w:name="_Toc6626"/>
      <w:r>
        <w:rPr>
          <w:rFonts w:hint="eastAsia" w:hAnsi="宋体" w:cs="宋体"/>
          <w:highlight w:val="none"/>
        </w:rPr>
        <w:t>的工程。</w:t>
      </w:r>
    </w:p>
    <w:p w14:paraId="38AA990E">
      <w:pPr>
        <w:spacing w:line="360" w:lineRule="auto"/>
        <w:ind w:firstLine="480" w:firstLineChars="200"/>
        <w:rPr>
          <w:rFonts w:hAnsi="宋体" w:cs="宋体"/>
          <w:highlight w:val="none"/>
        </w:rPr>
      </w:pPr>
      <w:r>
        <w:rPr>
          <w:rFonts w:hint="eastAsia" w:hAnsi="宋体" w:cs="宋体"/>
          <w:highlight w:val="none"/>
        </w:rPr>
        <w:t>1.1</w:t>
      </w:r>
      <w:bookmarkEnd w:id="567"/>
      <w:r>
        <w:rPr>
          <w:rFonts w:hint="eastAsia" w:hAnsi="宋体" w:cs="宋体"/>
          <w:highlight w:val="none"/>
        </w:rPr>
        <w:t>.13.2 施工场地（或称工地、施工现场）：指专用合同条款中指明的工程所在场所。</w:t>
      </w:r>
    </w:p>
    <w:p w14:paraId="4B881543">
      <w:pPr>
        <w:spacing w:line="360" w:lineRule="auto"/>
        <w:ind w:firstLine="480" w:firstLineChars="200"/>
        <w:rPr>
          <w:rFonts w:hAnsi="宋体" w:cs="宋体"/>
          <w:highlight w:val="none"/>
        </w:rPr>
      </w:pPr>
      <w:r>
        <w:rPr>
          <w:rFonts w:hint="eastAsia" w:hAnsi="宋体" w:cs="宋体"/>
          <w:highlight w:val="none"/>
        </w:rPr>
        <w:t>1.1.14 天（或称日）：除特别指明外，指日历天。合同中按天计算时间的，开始当天不计入，从次日开始计算。合同约定的期间的最后一天是星期日或者其他法定休假日的，以休假日的次日为期间的最后一天。</w:t>
      </w:r>
    </w:p>
    <w:p w14:paraId="4B6708F9">
      <w:pPr>
        <w:spacing w:line="360" w:lineRule="auto"/>
        <w:ind w:firstLine="480" w:firstLineChars="200"/>
        <w:rPr>
          <w:rFonts w:hAnsi="宋体" w:cs="宋体"/>
          <w:highlight w:val="none"/>
        </w:rPr>
      </w:pPr>
      <w:r>
        <w:rPr>
          <w:rFonts w:hint="eastAsia" w:hAnsi="宋体" w:cs="宋体"/>
          <w:highlight w:val="none"/>
        </w:rPr>
        <w:t>1.1.15 月：按照公历月计算。合同中按月计算时间的，开始当天不计入，从次日开始计算。合同约定的期间的最后一天是星期日或者其他法定休假日的，以休假日的次日为期间的最后一天。</w:t>
      </w:r>
    </w:p>
    <w:p w14:paraId="0AC28A2C">
      <w:pPr>
        <w:spacing w:line="360" w:lineRule="auto"/>
        <w:ind w:firstLine="480" w:firstLineChars="200"/>
        <w:rPr>
          <w:rFonts w:hAnsi="宋体" w:cs="宋体"/>
          <w:highlight w:val="none"/>
        </w:rPr>
      </w:pPr>
      <w:r>
        <w:rPr>
          <w:rFonts w:hint="eastAsia" w:hAnsi="宋体" w:cs="宋体"/>
          <w:highlight w:val="none"/>
        </w:rPr>
        <w:t>1.1.16 书面形式：指合同文件、信件和数据电文（包括电报、电传、传真、电子数据交换和电子邮件）等可以有形地表现所载内容的形式。</w:t>
      </w:r>
    </w:p>
    <w:p w14:paraId="55F16230">
      <w:pPr>
        <w:spacing w:line="360" w:lineRule="auto"/>
        <w:ind w:firstLine="137"/>
        <w:outlineLvl w:val="3"/>
        <w:rPr>
          <w:rFonts w:ascii="黑体" w:hAnsi="黑体" w:eastAsia="黑体" w:cs="黑体"/>
          <w:highlight w:val="none"/>
        </w:rPr>
      </w:pPr>
      <w:bookmarkStart w:id="568" w:name="_Toc482188728"/>
      <w:bookmarkStart w:id="569" w:name="_Toc501460737"/>
      <w:r>
        <w:rPr>
          <w:rFonts w:hint="eastAsia" w:ascii="黑体" w:hAnsi="黑体" w:eastAsia="黑体" w:cs="黑体"/>
          <w:highlight w:val="none"/>
        </w:rPr>
        <w:t>1.2 语言文字</w:t>
      </w:r>
      <w:bookmarkEnd w:id="568"/>
      <w:bookmarkEnd w:id="569"/>
    </w:p>
    <w:p w14:paraId="4BF907F3">
      <w:pPr>
        <w:spacing w:line="360" w:lineRule="auto"/>
        <w:ind w:firstLine="480" w:firstLineChars="200"/>
        <w:rPr>
          <w:rFonts w:hAnsi="宋体" w:cs="宋体"/>
          <w:highlight w:val="none"/>
        </w:rPr>
      </w:pPr>
      <w:r>
        <w:rPr>
          <w:rFonts w:hint="eastAsia" w:hAnsi="宋体" w:cs="宋体"/>
          <w:highlight w:val="none"/>
        </w:rPr>
        <w:t>合同使用的语言文字为中文。专用术语使用外文的，应附有中文注释。</w:t>
      </w:r>
    </w:p>
    <w:p w14:paraId="578E7BF3">
      <w:pPr>
        <w:spacing w:line="360" w:lineRule="auto"/>
        <w:ind w:firstLine="137"/>
        <w:outlineLvl w:val="3"/>
        <w:rPr>
          <w:rFonts w:ascii="黑体" w:hAnsi="黑体" w:eastAsia="黑体" w:cs="黑体"/>
          <w:highlight w:val="none"/>
        </w:rPr>
      </w:pPr>
      <w:bookmarkStart w:id="570" w:name="_Toc501460738"/>
      <w:bookmarkStart w:id="571" w:name="_Toc482188729"/>
      <w:r>
        <w:rPr>
          <w:rFonts w:hint="eastAsia" w:ascii="黑体" w:hAnsi="黑体" w:eastAsia="黑体" w:cs="黑体"/>
          <w:highlight w:val="none"/>
        </w:rPr>
        <w:t>1.3合同文件的优先顺序</w:t>
      </w:r>
      <w:bookmarkEnd w:id="570"/>
      <w:bookmarkEnd w:id="571"/>
    </w:p>
    <w:p w14:paraId="28F92CEA">
      <w:pPr>
        <w:spacing w:line="360" w:lineRule="auto"/>
        <w:ind w:firstLine="480" w:firstLineChars="200"/>
        <w:rPr>
          <w:rFonts w:hAnsi="宋体" w:cs="宋体"/>
          <w:highlight w:val="none"/>
        </w:rPr>
      </w:pPr>
      <w:r>
        <w:rPr>
          <w:rFonts w:hint="eastAsia" w:hAnsi="宋体" w:cs="宋体"/>
          <w:highlight w:val="none"/>
        </w:rPr>
        <w:t>组成合同的各项文件应互相解释，互为说明。除专用合同条款另有约定外，解释合同文件的优先顺序如下：</w:t>
      </w:r>
    </w:p>
    <w:p w14:paraId="795C08B7">
      <w:pPr>
        <w:spacing w:line="360" w:lineRule="auto"/>
        <w:ind w:firstLine="480" w:firstLineChars="200"/>
        <w:rPr>
          <w:rFonts w:hAnsi="宋体" w:cs="宋体"/>
          <w:highlight w:val="none"/>
        </w:rPr>
      </w:pPr>
      <w:r>
        <w:rPr>
          <w:rFonts w:hint="eastAsia" w:hAnsi="宋体" w:cs="宋体"/>
          <w:highlight w:val="none"/>
        </w:rPr>
        <w:t>（1）合同协议书；</w:t>
      </w:r>
    </w:p>
    <w:p w14:paraId="5AA6DBE5">
      <w:pPr>
        <w:spacing w:line="360" w:lineRule="auto"/>
        <w:ind w:firstLine="480" w:firstLineChars="200"/>
        <w:rPr>
          <w:rFonts w:hAnsi="宋体" w:cs="宋体"/>
          <w:highlight w:val="none"/>
        </w:rPr>
      </w:pPr>
      <w:r>
        <w:rPr>
          <w:rFonts w:hint="eastAsia" w:hAnsi="宋体" w:cs="宋体"/>
          <w:highlight w:val="none"/>
        </w:rPr>
        <w:t>（2）中标通知书；</w:t>
      </w:r>
    </w:p>
    <w:p w14:paraId="22C7B56D">
      <w:pPr>
        <w:spacing w:line="360" w:lineRule="auto"/>
        <w:ind w:firstLine="480" w:firstLineChars="200"/>
        <w:rPr>
          <w:rFonts w:hAnsi="宋体" w:cs="宋体"/>
          <w:highlight w:val="none"/>
        </w:rPr>
      </w:pPr>
      <w:r>
        <w:rPr>
          <w:rFonts w:hint="eastAsia" w:hAnsi="宋体" w:cs="宋体"/>
          <w:highlight w:val="none"/>
        </w:rPr>
        <w:t>（3）投标函；</w:t>
      </w:r>
    </w:p>
    <w:p w14:paraId="13B5E848">
      <w:pPr>
        <w:spacing w:line="360" w:lineRule="auto"/>
        <w:ind w:firstLine="480" w:firstLineChars="200"/>
        <w:rPr>
          <w:rFonts w:hAnsi="宋体" w:cs="宋体"/>
          <w:highlight w:val="none"/>
        </w:rPr>
      </w:pPr>
      <w:r>
        <w:rPr>
          <w:rFonts w:hint="eastAsia" w:hAnsi="宋体" w:cs="宋体"/>
          <w:highlight w:val="none"/>
        </w:rPr>
        <w:t>（4）商务和技术偏差表；</w:t>
      </w:r>
    </w:p>
    <w:p w14:paraId="45B2320B">
      <w:pPr>
        <w:spacing w:line="360" w:lineRule="auto"/>
        <w:ind w:firstLine="480" w:firstLineChars="200"/>
        <w:rPr>
          <w:rFonts w:hAnsi="宋体" w:cs="宋体"/>
          <w:highlight w:val="none"/>
        </w:rPr>
      </w:pPr>
      <w:r>
        <w:rPr>
          <w:rFonts w:hint="eastAsia" w:hAnsi="宋体" w:cs="宋体"/>
          <w:highlight w:val="none"/>
        </w:rPr>
        <w:t>（5）专用合同条款；</w:t>
      </w:r>
    </w:p>
    <w:p w14:paraId="0FD008A1">
      <w:pPr>
        <w:spacing w:line="360" w:lineRule="auto"/>
        <w:ind w:firstLine="480" w:firstLineChars="200"/>
        <w:rPr>
          <w:rFonts w:hAnsi="宋体" w:cs="宋体"/>
          <w:highlight w:val="none"/>
        </w:rPr>
      </w:pPr>
      <w:r>
        <w:rPr>
          <w:rFonts w:hint="eastAsia" w:hAnsi="宋体" w:cs="宋体"/>
          <w:highlight w:val="none"/>
        </w:rPr>
        <w:t>（6）通用合同条款；</w:t>
      </w:r>
    </w:p>
    <w:p w14:paraId="0D8768CD">
      <w:pPr>
        <w:spacing w:line="360" w:lineRule="auto"/>
        <w:ind w:firstLine="480" w:firstLineChars="200"/>
        <w:rPr>
          <w:rFonts w:hAnsi="宋体" w:cs="宋体"/>
          <w:highlight w:val="none"/>
        </w:rPr>
      </w:pPr>
      <w:r>
        <w:rPr>
          <w:rFonts w:hint="eastAsia" w:hAnsi="宋体" w:cs="宋体"/>
          <w:highlight w:val="none"/>
        </w:rPr>
        <w:t>（7）供货要求；</w:t>
      </w:r>
    </w:p>
    <w:p w14:paraId="6BC12637">
      <w:pPr>
        <w:spacing w:line="360" w:lineRule="auto"/>
        <w:ind w:firstLine="480" w:firstLineChars="200"/>
        <w:rPr>
          <w:rFonts w:hAnsi="宋体" w:cs="宋体"/>
          <w:highlight w:val="none"/>
        </w:rPr>
      </w:pPr>
      <w:r>
        <w:rPr>
          <w:rFonts w:hint="eastAsia" w:hAnsi="宋体" w:cs="宋体"/>
          <w:highlight w:val="none"/>
        </w:rPr>
        <w:t>（8）分项报价表；</w:t>
      </w:r>
    </w:p>
    <w:p w14:paraId="2745E50A">
      <w:pPr>
        <w:spacing w:line="360" w:lineRule="auto"/>
        <w:ind w:firstLine="480" w:firstLineChars="200"/>
        <w:rPr>
          <w:rFonts w:hAnsi="宋体" w:cs="宋体"/>
          <w:highlight w:val="none"/>
        </w:rPr>
      </w:pPr>
      <w:r>
        <w:rPr>
          <w:rFonts w:hint="eastAsia" w:hAnsi="宋体" w:cs="宋体"/>
          <w:highlight w:val="none"/>
        </w:rPr>
        <w:t>（9）中标货物技术性能指标的详细描述；</w:t>
      </w:r>
    </w:p>
    <w:p w14:paraId="04A407EF">
      <w:pPr>
        <w:spacing w:line="360" w:lineRule="auto"/>
        <w:ind w:firstLine="480" w:firstLineChars="200"/>
        <w:rPr>
          <w:rFonts w:hAnsi="宋体" w:cs="宋体"/>
          <w:highlight w:val="none"/>
        </w:rPr>
      </w:pPr>
      <w:r>
        <w:rPr>
          <w:rFonts w:hint="eastAsia" w:hAnsi="宋体" w:cs="宋体"/>
          <w:highlight w:val="none"/>
        </w:rPr>
        <w:t>（10）技术服务和质保期服务计划；</w:t>
      </w:r>
    </w:p>
    <w:p w14:paraId="7863F61B">
      <w:pPr>
        <w:spacing w:line="360" w:lineRule="auto"/>
        <w:ind w:firstLine="480" w:firstLineChars="200"/>
        <w:rPr>
          <w:rFonts w:hAnsi="宋体" w:cs="宋体"/>
          <w:highlight w:val="none"/>
        </w:rPr>
      </w:pPr>
      <w:r>
        <w:rPr>
          <w:rFonts w:hint="eastAsia" w:hAnsi="宋体" w:cs="宋体"/>
          <w:highlight w:val="none"/>
        </w:rPr>
        <w:t>（11）其他合同文件。</w:t>
      </w:r>
    </w:p>
    <w:p w14:paraId="2A823C33">
      <w:pPr>
        <w:spacing w:line="360" w:lineRule="auto"/>
        <w:ind w:firstLine="137"/>
        <w:outlineLvl w:val="3"/>
        <w:rPr>
          <w:rFonts w:ascii="黑体" w:hAnsi="黑体" w:eastAsia="黑体" w:cs="黑体"/>
          <w:highlight w:val="none"/>
        </w:rPr>
      </w:pPr>
      <w:bookmarkStart w:id="572" w:name="_Toc501460739"/>
      <w:bookmarkStart w:id="573" w:name="_Toc482188730"/>
      <w:r>
        <w:rPr>
          <w:rFonts w:hint="eastAsia" w:ascii="黑体" w:hAnsi="黑体" w:eastAsia="黑体" w:cs="黑体"/>
          <w:highlight w:val="none"/>
        </w:rPr>
        <w:t>1.4 合同的生效及变更</w:t>
      </w:r>
      <w:bookmarkEnd w:id="572"/>
      <w:bookmarkEnd w:id="573"/>
    </w:p>
    <w:p w14:paraId="1BC976D1">
      <w:pPr>
        <w:spacing w:line="360" w:lineRule="auto"/>
        <w:ind w:firstLine="480" w:firstLineChars="200"/>
        <w:rPr>
          <w:rFonts w:hAnsi="宋体" w:cs="宋体"/>
          <w:highlight w:val="none"/>
        </w:rPr>
      </w:pPr>
      <w:r>
        <w:rPr>
          <w:rFonts w:hint="eastAsia" w:hAnsi="宋体" w:cs="宋体"/>
          <w:highlight w:val="none"/>
        </w:rPr>
        <w:t>1.4.1 除专用合同条款另有约定外，买方和卖方的法定代表人（单位负责人）或其授权代表在合同协议书上签字并加盖单位章后，合同生效。</w:t>
      </w:r>
    </w:p>
    <w:p w14:paraId="271B1A42">
      <w:pPr>
        <w:spacing w:line="360" w:lineRule="auto"/>
        <w:ind w:firstLine="480" w:firstLineChars="200"/>
        <w:rPr>
          <w:rFonts w:hAnsi="宋体" w:cs="宋体"/>
          <w:highlight w:val="none"/>
        </w:rPr>
      </w:pPr>
      <w:r>
        <w:rPr>
          <w:rFonts w:hint="eastAsia" w:hAnsi="宋体" w:cs="宋体"/>
          <w:highlight w:val="none"/>
        </w:rPr>
        <w:t>1.4.2 除专用合同条款另有约定外，在合同履行过程中，如需对合同进行变更，双方应签订书面协议，并经双方法定代表人（单位负责人）或其授权代表签字并加盖单位章后生效。</w:t>
      </w:r>
    </w:p>
    <w:p w14:paraId="2534025E">
      <w:pPr>
        <w:spacing w:line="360" w:lineRule="auto"/>
        <w:ind w:firstLine="137"/>
        <w:outlineLvl w:val="3"/>
        <w:rPr>
          <w:rFonts w:ascii="黑体" w:hAnsi="黑体" w:eastAsia="黑体" w:cs="黑体"/>
          <w:highlight w:val="none"/>
        </w:rPr>
      </w:pPr>
      <w:bookmarkStart w:id="574" w:name="_Toc482188731"/>
      <w:bookmarkStart w:id="575" w:name="_Toc501460740"/>
      <w:r>
        <w:rPr>
          <w:rFonts w:hint="eastAsia" w:ascii="黑体" w:hAnsi="黑体" w:eastAsia="黑体" w:cs="黑体"/>
          <w:highlight w:val="none"/>
        </w:rPr>
        <w:t>1.5联络</w:t>
      </w:r>
      <w:bookmarkEnd w:id="574"/>
      <w:bookmarkEnd w:id="575"/>
    </w:p>
    <w:p w14:paraId="3CAE1ED1">
      <w:pPr>
        <w:spacing w:line="360" w:lineRule="auto"/>
        <w:ind w:firstLine="480" w:firstLineChars="200"/>
        <w:rPr>
          <w:rFonts w:hAnsi="宋体" w:cs="宋体"/>
          <w:highlight w:val="none"/>
        </w:rPr>
      </w:pPr>
      <w:r>
        <w:rPr>
          <w:rFonts w:hint="eastAsia" w:hAnsi="宋体" w:cs="宋体"/>
          <w:highlight w:val="none"/>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0108E54E">
      <w:pPr>
        <w:spacing w:line="360" w:lineRule="auto"/>
        <w:ind w:firstLine="480" w:firstLineChars="200"/>
        <w:rPr>
          <w:rFonts w:hAnsi="宋体" w:cs="宋体"/>
          <w:highlight w:val="none"/>
        </w:rPr>
      </w:pPr>
      <w:r>
        <w:rPr>
          <w:rFonts w:hint="eastAsia" w:hAnsi="宋体" w:cs="宋体"/>
          <w:highlight w:val="none"/>
        </w:rPr>
        <w:t>1.5.2 合同履行中或与合同有关的任何联络，送达到第1.5.1项指定的联系人即视为送达。</w:t>
      </w:r>
    </w:p>
    <w:p w14:paraId="5AF65609">
      <w:pPr>
        <w:spacing w:line="360" w:lineRule="auto"/>
        <w:ind w:firstLine="480" w:firstLineChars="200"/>
        <w:rPr>
          <w:rFonts w:hAnsi="宋体" w:cs="宋体"/>
          <w:highlight w:val="none"/>
        </w:rPr>
      </w:pPr>
      <w:r>
        <w:rPr>
          <w:rFonts w:hint="eastAsia" w:hAnsi="宋体" w:cs="宋体"/>
          <w:highlight w:val="none"/>
        </w:rPr>
        <w:t>1.5.3 买方可以安排监理等相关人员作为买方人员，与卖方进行联络或参加合同货物的监造（如有）、交货前检验（如有）、开箱检验、安装、调试、考核、验收等，但应按照第1.5.1项的约定事先书面通知卖方。</w:t>
      </w:r>
    </w:p>
    <w:p w14:paraId="5FE172C6">
      <w:pPr>
        <w:spacing w:line="360" w:lineRule="auto"/>
        <w:ind w:firstLine="137"/>
        <w:outlineLvl w:val="3"/>
        <w:rPr>
          <w:rFonts w:ascii="黑体" w:hAnsi="黑体" w:eastAsia="黑体" w:cs="黑体"/>
          <w:highlight w:val="none"/>
        </w:rPr>
      </w:pPr>
      <w:bookmarkStart w:id="576" w:name="_Toc501460741"/>
      <w:bookmarkStart w:id="577" w:name="_Toc482188732"/>
      <w:r>
        <w:rPr>
          <w:rFonts w:hint="eastAsia" w:ascii="黑体" w:hAnsi="黑体" w:eastAsia="黑体" w:cs="黑体"/>
          <w:highlight w:val="none"/>
        </w:rPr>
        <w:t>1.6 联合体</w:t>
      </w:r>
      <w:bookmarkEnd w:id="576"/>
      <w:bookmarkEnd w:id="577"/>
    </w:p>
    <w:p w14:paraId="431EE9AA">
      <w:pPr>
        <w:spacing w:line="360" w:lineRule="auto"/>
        <w:ind w:firstLine="480" w:firstLineChars="200"/>
        <w:rPr>
          <w:rFonts w:hAnsi="宋体" w:cs="宋体"/>
          <w:highlight w:val="none"/>
        </w:rPr>
      </w:pPr>
      <w:r>
        <w:rPr>
          <w:rFonts w:hint="eastAsia" w:hAnsi="宋体" w:cs="宋体"/>
          <w:highlight w:val="none"/>
        </w:rPr>
        <w:t>1.6.1 卖方为联合体的，联合体各方应当共同与买方签订合同，并向买方为履行合同承担连带责任。</w:t>
      </w:r>
    </w:p>
    <w:p w14:paraId="0C24A517">
      <w:pPr>
        <w:spacing w:line="360" w:lineRule="auto"/>
        <w:ind w:firstLine="480" w:firstLineChars="200"/>
        <w:rPr>
          <w:rFonts w:hAnsi="宋体" w:cs="宋体"/>
          <w:highlight w:val="none"/>
        </w:rPr>
      </w:pPr>
      <w:r>
        <w:rPr>
          <w:rFonts w:hint="eastAsia" w:hAnsi="宋体" w:cs="宋体"/>
          <w:highlight w:val="none"/>
        </w:rPr>
        <w:t>1.6.2 在合同履行过程中，未经买方同意，不得修改联合体协议。联合体协议中关于联合体成员间权利义务的划分，并不影响或减损联合体各方应就履行合同向买方承担的连带责任。</w:t>
      </w:r>
    </w:p>
    <w:p w14:paraId="7D2796C0">
      <w:pPr>
        <w:spacing w:line="360" w:lineRule="auto"/>
        <w:ind w:firstLine="480" w:firstLineChars="200"/>
        <w:rPr>
          <w:rFonts w:hAnsi="宋体" w:cs="宋体"/>
          <w:highlight w:val="none"/>
        </w:rPr>
      </w:pPr>
      <w:r>
        <w:rPr>
          <w:rFonts w:hint="eastAsia" w:hAnsi="宋体" w:cs="宋体"/>
          <w:highlight w:val="none"/>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703C86A9">
      <w:pPr>
        <w:spacing w:line="360" w:lineRule="auto"/>
        <w:ind w:firstLine="137"/>
        <w:outlineLvl w:val="3"/>
        <w:rPr>
          <w:rFonts w:ascii="黑体" w:hAnsi="黑体" w:eastAsia="黑体" w:cs="黑体"/>
          <w:highlight w:val="none"/>
        </w:rPr>
      </w:pPr>
      <w:bookmarkStart w:id="578" w:name="_Toc501460742"/>
      <w:bookmarkStart w:id="579" w:name="_Toc482188733"/>
      <w:r>
        <w:rPr>
          <w:rFonts w:hint="eastAsia" w:ascii="黑体" w:hAnsi="黑体" w:eastAsia="黑体" w:cs="黑体"/>
          <w:highlight w:val="none"/>
        </w:rPr>
        <w:t>1.7 转让</w:t>
      </w:r>
      <w:bookmarkEnd w:id="578"/>
      <w:bookmarkEnd w:id="579"/>
    </w:p>
    <w:p w14:paraId="6AA3218A">
      <w:pPr>
        <w:spacing w:line="360" w:lineRule="auto"/>
        <w:ind w:firstLine="480" w:firstLineChars="200"/>
        <w:rPr>
          <w:rFonts w:hAnsi="宋体" w:cs="宋体"/>
          <w:highlight w:val="none"/>
        </w:rPr>
      </w:pPr>
      <w:r>
        <w:rPr>
          <w:rFonts w:hint="eastAsia" w:hAnsi="宋体" w:cs="宋体"/>
          <w:highlight w:val="none"/>
        </w:rPr>
        <w:t>未经对方当事人书面同意，合同任何一方均不得转让其在合同项下的权利和（或）义务。</w:t>
      </w:r>
    </w:p>
    <w:p w14:paraId="7A88182F">
      <w:pPr>
        <w:spacing w:line="360" w:lineRule="auto"/>
        <w:ind w:firstLine="137"/>
        <w:outlineLvl w:val="2"/>
        <w:rPr>
          <w:rFonts w:ascii="黑体" w:hAnsi="黑体" w:eastAsia="黑体" w:cs="黑体"/>
          <w:sz w:val="28"/>
          <w:szCs w:val="28"/>
          <w:highlight w:val="none"/>
        </w:rPr>
      </w:pPr>
      <w:bookmarkStart w:id="580" w:name="_Toc482188734"/>
      <w:bookmarkStart w:id="581" w:name="_Toc26721537"/>
      <w:bookmarkStart w:id="582" w:name="_Toc15753904"/>
      <w:bookmarkStart w:id="583" w:name="_Toc17100668"/>
      <w:bookmarkStart w:id="584" w:name="_Toc26721382"/>
      <w:bookmarkStart w:id="585" w:name="_Toc26700478"/>
      <w:bookmarkStart w:id="586" w:name="_Toc24965148"/>
      <w:bookmarkStart w:id="587" w:name="_Toc26700648"/>
      <w:bookmarkStart w:id="588" w:name="_Toc501460743"/>
      <w:r>
        <w:rPr>
          <w:rFonts w:hint="eastAsia" w:ascii="黑体" w:hAnsi="黑体" w:eastAsia="黑体" w:cs="黑体"/>
          <w:sz w:val="28"/>
          <w:szCs w:val="28"/>
          <w:highlight w:val="none"/>
        </w:rPr>
        <w:t>2. 合同范围</w:t>
      </w:r>
      <w:bookmarkEnd w:id="580"/>
      <w:bookmarkEnd w:id="581"/>
      <w:bookmarkEnd w:id="582"/>
      <w:bookmarkEnd w:id="583"/>
      <w:bookmarkEnd w:id="584"/>
      <w:bookmarkEnd w:id="585"/>
      <w:bookmarkEnd w:id="586"/>
      <w:bookmarkEnd w:id="587"/>
      <w:bookmarkEnd w:id="588"/>
    </w:p>
    <w:p w14:paraId="16CB8435">
      <w:pPr>
        <w:spacing w:line="360" w:lineRule="auto"/>
        <w:ind w:firstLine="480" w:firstLineChars="200"/>
        <w:rPr>
          <w:rFonts w:hAnsi="宋体" w:cs="宋体"/>
          <w:highlight w:val="none"/>
        </w:rPr>
      </w:pPr>
      <w:r>
        <w:rPr>
          <w:rFonts w:hint="eastAsia" w:hAnsi="宋体" w:cs="宋体"/>
          <w:highlight w:val="none"/>
        </w:rPr>
        <w:t>卖方应根据供货要求、中标货物技术性能指标的详细描述、技术服务和质保期服务计划等合同文件的约定向买方提供合同货物、技术服务和质保期服务。</w:t>
      </w:r>
    </w:p>
    <w:p w14:paraId="7384F852">
      <w:pPr>
        <w:spacing w:line="360" w:lineRule="auto"/>
        <w:ind w:firstLine="137"/>
        <w:outlineLvl w:val="2"/>
        <w:rPr>
          <w:rFonts w:ascii="黑体" w:hAnsi="黑体" w:eastAsia="黑体" w:cs="黑体"/>
          <w:sz w:val="28"/>
          <w:szCs w:val="28"/>
          <w:highlight w:val="none"/>
        </w:rPr>
      </w:pPr>
      <w:bookmarkStart w:id="589" w:name="_Toc26700649"/>
      <w:bookmarkStart w:id="590" w:name="_Toc24965149"/>
      <w:bookmarkStart w:id="591" w:name="_Toc15753905"/>
      <w:bookmarkStart w:id="592" w:name="_Toc482188735"/>
      <w:bookmarkStart w:id="593" w:name="_Toc17100669"/>
      <w:bookmarkStart w:id="594" w:name="_Toc26721538"/>
      <w:bookmarkStart w:id="595" w:name="_Toc26700479"/>
      <w:bookmarkStart w:id="596" w:name="_Toc501460744"/>
      <w:bookmarkStart w:id="597" w:name="_Toc26721383"/>
      <w:r>
        <w:rPr>
          <w:rFonts w:hint="eastAsia" w:ascii="黑体" w:hAnsi="黑体" w:eastAsia="黑体" w:cs="黑体"/>
          <w:sz w:val="28"/>
          <w:szCs w:val="28"/>
          <w:highlight w:val="none"/>
        </w:rPr>
        <w:t>3. 合同价格与支付</w:t>
      </w:r>
      <w:bookmarkEnd w:id="589"/>
      <w:bookmarkEnd w:id="590"/>
      <w:bookmarkEnd w:id="591"/>
      <w:bookmarkEnd w:id="592"/>
      <w:bookmarkEnd w:id="593"/>
      <w:bookmarkEnd w:id="594"/>
      <w:bookmarkEnd w:id="595"/>
      <w:bookmarkEnd w:id="596"/>
      <w:bookmarkEnd w:id="597"/>
    </w:p>
    <w:p w14:paraId="4F0F6BCE">
      <w:pPr>
        <w:spacing w:line="360" w:lineRule="auto"/>
        <w:ind w:firstLine="137"/>
        <w:outlineLvl w:val="3"/>
        <w:rPr>
          <w:rFonts w:ascii="黑体" w:hAnsi="黑体" w:eastAsia="黑体" w:cs="黑体"/>
          <w:highlight w:val="none"/>
        </w:rPr>
      </w:pPr>
      <w:bookmarkStart w:id="598" w:name="_Toc482188736"/>
      <w:bookmarkStart w:id="599" w:name="_Toc501460745"/>
      <w:r>
        <w:rPr>
          <w:rFonts w:hint="eastAsia" w:ascii="黑体" w:hAnsi="黑体" w:eastAsia="黑体" w:cs="黑体"/>
          <w:highlight w:val="none"/>
        </w:rPr>
        <w:t>3.1 合同价格</w:t>
      </w:r>
      <w:bookmarkEnd w:id="598"/>
      <w:bookmarkEnd w:id="599"/>
    </w:p>
    <w:p w14:paraId="3ED5F1B9">
      <w:pPr>
        <w:spacing w:line="360" w:lineRule="auto"/>
        <w:ind w:firstLine="480" w:firstLineChars="200"/>
        <w:rPr>
          <w:rFonts w:hAnsi="宋体" w:cs="宋体"/>
          <w:highlight w:val="none"/>
        </w:rPr>
      </w:pPr>
      <w:r>
        <w:rPr>
          <w:rFonts w:hint="eastAsia" w:hAnsi="宋体" w:cs="宋体"/>
          <w:highlight w:val="none"/>
        </w:rPr>
        <w:t>3.1.1 合同协议书中载明的签约合同价包括卖方为完成合同全部义务应承担的一切成本、费用和支出以及卖方的合理利润。</w:t>
      </w:r>
    </w:p>
    <w:p w14:paraId="5DDD0A8C">
      <w:pPr>
        <w:spacing w:line="360" w:lineRule="auto"/>
        <w:ind w:firstLine="480" w:firstLineChars="200"/>
        <w:rPr>
          <w:rFonts w:hAnsi="宋体" w:cs="宋体"/>
          <w:highlight w:val="none"/>
        </w:rPr>
      </w:pPr>
      <w:r>
        <w:rPr>
          <w:rFonts w:hint="eastAsia" w:hAnsi="宋体" w:cs="宋体"/>
          <w:highlight w:val="none"/>
        </w:rPr>
        <w:t>3.1.2 除专用合同条款另有约定外，签约合同价为固定价格。</w:t>
      </w:r>
    </w:p>
    <w:p w14:paraId="59518AF3">
      <w:pPr>
        <w:spacing w:line="360" w:lineRule="auto"/>
        <w:ind w:firstLine="137"/>
        <w:outlineLvl w:val="3"/>
        <w:rPr>
          <w:rFonts w:ascii="黑体" w:hAnsi="黑体" w:eastAsia="黑体" w:cs="黑体"/>
          <w:highlight w:val="none"/>
        </w:rPr>
      </w:pPr>
      <w:bookmarkStart w:id="600" w:name="_Toc501460746"/>
      <w:bookmarkStart w:id="601" w:name="_Toc482188737"/>
      <w:r>
        <w:rPr>
          <w:rFonts w:hint="eastAsia" w:ascii="黑体" w:hAnsi="黑体" w:eastAsia="黑体" w:cs="黑体"/>
          <w:highlight w:val="none"/>
        </w:rPr>
        <w:t>3.2合同价款的支付</w:t>
      </w:r>
      <w:bookmarkEnd w:id="600"/>
      <w:bookmarkEnd w:id="601"/>
    </w:p>
    <w:p w14:paraId="43E95B5F">
      <w:pPr>
        <w:spacing w:line="360" w:lineRule="auto"/>
        <w:ind w:firstLine="480" w:firstLineChars="200"/>
        <w:rPr>
          <w:rFonts w:hAnsi="宋体" w:cs="宋体"/>
          <w:highlight w:val="none"/>
        </w:rPr>
      </w:pPr>
      <w:r>
        <w:rPr>
          <w:rFonts w:hint="eastAsia" w:hAnsi="宋体" w:cs="宋体"/>
          <w:highlight w:val="none"/>
        </w:rPr>
        <w:t>除专用合同条款另有约定外，买方应通过以下方式和比例向卖方支付合同价款：</w:t>
      </w:r>
    </w:p>
    <w:p w14:paraId="36E10F76">
      <w:pPr>
        <w:spacing w:line="360" w:lineRule="auto"/>
        <w:ind w:firstLine="480" w:firstLineChars="200"/>
        <w:rPr>
          <w:rFonts w:hAnsi="宋体" w:cs="宋体"/>
          <w:szCs w:val="24"/>
          <w:highlight w:val="none"/>
        </w:rPr>
      </w:pPr>
      <w:bookmarkStart w:id="602" w:name="_Toc501460747"/>
      <w:bookmarkStart w:id="603" w:name="_Toc482188738"/>
      <w:r>
        <w:rPr>
          <w:rFonts w:hint="eastAsia" w:hAnsi="宋体" w:cs="宋体"/>
          <w:szCs w:val="24"/>
          <w:highlight w:val="none"/>
        </w:rPr>
        <w:t>3.2.1 预付款</w:t>
      </w:r>
    </w:p>
    <w:p w14:paraId="16908D82">
      <w:pPr>
        <w:spacing w:line="360" w:lineRule="auto"/>
        <w:ind w:firstLine="480" w:firstLineChars="200"/>
        <w:rPr>
          <w:rStyle w:val="65"/>
          <w:rFonts w:hAnsi="宋体" w:cs="宋体"/>
          <w:sz w:val="24"/>
          <w:szCs w:val="24"/>
          <w:highlight w:val="none"/>
        </w:rPr>
      </w:pPr>
      <w:bookmarkStart w:id="604" w:name="_Toc369531604"/>
      <w:bookmarkStart w:id="605" w:name="_Toc296602502"/>
      <w:bookmarkStart w:id="606" w:name="_Toc8892"/>
      <w:r>
        <w:rPr>
          <w:rFonts w:hint="eastAsia" w:hAnsi="宋体" w:cs="宋体"/>
          <w:szCs w:val="24"/>
          <w:highlight w:val="none"/>
        </w:rPr>
        <w:t>合同生</w:t>
      </w:r>
      <w:bookmarkEnd w:id="604"/>
      <w:bookmarkEnd w:id="605"/>
      <w:bookmarkEnd w:id="606"/>
      <w:r>
        <w:rPr>
          <w:rFonts w:hint="eastAsia" w:hAnsi="宋体" w:cs="宋体"/>
          <w:szCs w:val="24"/>
          <w:highlight w:val="none"/>
        </w:rPr>
        <w:t>效后，买方在收到卖方</w:t>
      </w:r>
      <w:r>
        <w:rPr>
          <w:rFonts w:hint="eastAsia" w:hAnsi="宋体" w:cs="宋体"/>
          <w:szCs w:val="24"/>
          <w:highlight w:val="none"/>
          <w:lang w:val="zh-CN"/>
        </w:rPr>
        <w:t>开具的注明应付预付款金</w:t>
      </w:r>
      <w:bookmarkStart w:id="607" w:name="_Toc14602"/>
      <w:r>
        <w:rPr>
          <w:rFonts w:hint="eastAsia" w:hAnsi="宋体" w:cs="宋体"/>
          <w:szCs w:val="24"/>
          <w:highlight w:val="none"/>
          <w:lang w:val="zh-CN"/>
        </w:rPr>
        <w:t>额的财务收据正本一份</w:t>
      </w:r>
      <w:r>
        <w:rPr>
          <w:rFonts w:hint="eastAsia" w:hAnsi="宋体" w:cs="宋体"/>
          <w:szCs w:val="24"/>
          <w:highlight w:val="none"/>
        </w:rPr>
        <w:t>并经审核无</w:t>
      </w:r>
      <w:bookmarkEnd w:id="607"/>
      <w:r>
        <w:rPr>
          <w:rFonts w:hint="eastAsia" w:hAnsi="宋体" w:cs="宋体"/>
          <w:szCs w:val="24"/>
          <w:highlight w:val="none"/>
        </w:rPr>
        <w:t>误后28日内，向卖方支付签约合同价的10%</w:t>
      </w:r>
      <w:r>
        <w:rPr>
          <w:rStyle w:val="65"/>
          <w:rFonts w:hint="eastAsia" w:hAnsi="宋体" w:cs="宋体"/>
          <w:sz w:val="24"/>
          <w:szCs w:val="24"/>
          <w:highlight w:val="none"/>
        </w:rPr>
        <w:t>作为预付款。</w:t>
      </w:r>
    </w:p>
    <w:p w14:paraId="01483002">
      <w:pPr>
        <w:spacing w:line="360" w:lineRule="auto"/>
        <w:ind w:firstLine="480" w:firstLineChars="200"/>
        <w:rPr>
          <w:rFonts w:hAnsi="宋体" w:cs="宋体"/>
          <w:szCs w:val="24"/>
          <w:highlight w:val="none"/>
        </w:rPr>
      </w:pPr>
      <w:r>
        <w:rPr>
          <w:rStyle w:val="65"/>
          <w:rFonts w:hint="eastAsia" w:hAnsi="宋体" w:cs="宋体"/>
          <w:sz w:val="24"/>
          <w:szCs w:val="24"/>
          <w:highlight w:val="none"/>
        </w:rPr>
        <w:t>买方支付预付款后，如卖方未履行合同义务，则买方有权收回预付款；如卖方依约履行了合同义务，则预付款抵作合同价款。</w:t>
      </w:r>
    </w:p>
    <w:p w14:paraId="59DC5341">
      <w:pPr>
        <w:spacing w:line="360" w:lineRule="auto"/>
        <w:ind w:firstLine="480" w:firstLineChars="200"/>
        <w:rPr>
          <w:rFonts w:hAnsi="宋体" w:cs="宋体"/>
          <w:szCs w:val="24"/>
          <w:highlight w:val="none"/>
        </w:rPr>
      </w:pPr>
      <w:r>
        <w:rPr>
          <w:rFonts w:hint="eastAsia" w:hAnsi="宋体" w:cs="宋体"/>
          <w:szCs w:val="24"/>
          <w:highlight w:val="none"/>
        </w:rPr>
        <w:t>3.2.2 交货款</w:t>
      </w:r>
    </w:p>
    <w:p w14:paraId="7F8A7098">
      <w:pPr>
        <w:spacing w:line="360" w:lineRule="auto"/>
        <w:ind w:firstLine="480" w:firstLineChars="200"/>
        <w:rPr>
          <w:rFonts w:hAnsi="宋体" w:cs="宋体"/>
          <w:szCs w:val="24"/>
          <w:highlight w:val="none"/>
        </w:rPr>
      </w:pPr>
      <w:r>
        <w:rPr>
          <w:rFonts w:hint="eastAsia" w:hAnsi="宋体" w:cs="宋体"/>
          <w:szCs w:val="24"/>
          <w:highlight w:val="none"/>
        </w:rPr>
        <w:t>卖方按合同约定交付全部合同货物后，买方在收到卖方</w:t>
      </w:r>
      <w:bookmarkStart w:id="608" w:name="_Toc16718"/>
      <w:r>
        <w:rPr>
          <w:rFonts w:hint="eastAsia" w:hAnsi="宋体" w:cs="宋体"/>
          <w:szCs w:val="24"/>
          <w:highlight w:val="none"/>
        </w:rPr>
        <w:t>提交的下列全部单据并经</w:t>
      </w:r>
      <w:bookmarkEnd w:id="608"/>
      <w:r>
        <w:rPr>
          <w:rFonts w:hint="eastAsia" w:hAnsi="宋体" w:cs="宋体"/>
          <w:szCs w:val="24"/>
          <w:highlight w:val="none"/>
        </w:rPr>
        <w:t>审核无误后28日内，向卖方支付合同价格的60%：</w:t>
      </w:r>
    </w:p>
    <w:p w14:paraId="3C156F3D">
      <w:pPr>
        <w:spacing w:line="360" w:lineRule="auto"/>
        <w:ind w:firstLine="480" w:firstLineChars="200"/>
        <w:rPr>
          <w:rFonts w:hAnsi="宋体" w:cs="宋体"/>
          <w:szCs w:val="24"/>
          <w:highlight w:val="none"/>
        </w:rPr>
      </w:pPr>
      <w:r>
        <w:rPr>
          <w:rFonts w:hint="eastAsia" w:hAnsi="宋体" w:cs="宋体"/>
          <w:szCs w:val="24"/>
          <w:highlight w:val="none"/>
        </w:rPr>
        <w:t>（1）卖方出具的交货清单正本一份；</w:t>
      </w:r>
    </w:p>
    <w:p w14:paraId="1DD5FA70">
      <w:pPr>
        <w:spacing w:line="360" w:lineRule="auto"/>
        <w:ind w:firstLine="480" w:firstLineChars="200"/>
        <w:rPr>
          <w:rFonts w:hAnsi="宋体" w:cs="宋体"/>
          <w:szCs w:val="24"/>
          <w:highlight w:val="none"/>
        </w:rPr>
      </w:pPr>
      <w:r>
        <w:rPr>
          <w:rFonts w:hint="eastAsia" w:hAnsi="宋体" w:cs="宋体"/>
          <w:szCs w:val="24"/>
          <w:highlight w:val="none"/>
        </w:rPr>
        <w:t>（2）买方签署的收货清单正本一份；</w:t>
      </w:r>
    </w:p>
    <w:p w14:paraId="016B55A4">
      <w:pPr>
        <w:spacing w:line="360" w:lineRule="auto"/>
        <w:ind w:firstLine="480" w:firstLineChars="200"/>
        <w:rPr>
          <w:rFonts w:hAnsi="宋体" w:cs="宋体"/>
          <w:szCs w:val="24"/>
          <w:highlight w:val="none"/>
        </w:rPr>
      </w:pPr>
      <w:r>
        <w:rPr>
          <w:rFonts w:hint="eastAsia" w:hAnsi="宋体" w:cs="宋体"/>
          <w:szCs w:val="24"/>
          <w:highlight w:val="none"/>
        </w:rPr>
        <w:t>（3）制造商出具的出厂质量合格证正本一份；</w:t>
      </w:r>
    </w:p>
    <w:p w14:paraId="7E303788">
      <w:pPr>
        <w:tabs>
          <w:tab w:val="left" w:pos="0"/>
          <w:tab w:val="decimal" w:pos="6240"/>
          <w:tab w:val="right" w:leader="dot" w:pos="10800"/>
        </w:tabs>
        <w:autoSpaceDE w:val="0"/>
        <w:autoSpaceDN w:val="0"/>
        <w:adjustRightInd w:val="0"/>
        <w:spacing w:line="360" w:lineRule="auto"/>
        <w:ind w:firstLine="480" w:firstLineChars="200"/>
        <w:rPr>
          <w:rFonts w:hAnsi="宋体" w:cs="宋体"/>
          <w:szCs w:val="24"/>
          <w:highlight w:val="none"/>
        </w:rPr>
      </w:pPr>
      <w:r>
        <w:rPr>
          <w:rFonts w:hint="eastAsia" w:hAnsi="宋体" w:cs="宋体"/>
          <w:szCs w:val="24"/>
          <w:highlight w:val="none"/>
        </w:rPr>
        <w:t>（4）合同价格100%金额的增值税发票正本一份。</w:t>
      </w:r>
    </w:p>
    <w:p w14:paraId="46241EAA">
      <w:pPr>
        <w:spacing w:line="360" w:lineRule="auto"/>
        <w:ind w:firstLine="480" w:firstLineChars="200"/>
        <w:rPr>
          <w:rFonts w:hAnsi="宋体" w:cs="宋体"/>
          <w:szCs w:val="24"/>
          <w:highlight w:val="none"/>
        </w:rPr>
      </w:pPr>
      <w:r>
        <w:rPr>
          <w:rFonts w:hint="eastAsia" w:hAnsi="宋体" w:cs="宋体"/>
          <w:szCs w:val="24"/>
          <w:highlight w:val="none"/>
        </w:rPr>
        <w:t>3.2.3 验收款</w:t>
      </w:r>
    </w:p>
    <w:p w14:paraId="157FD4A6">
      <w:pPr>
        <w:spacing w:line="360" w:lineRule="auto"/>
        <w:ind w:firstLine="480" w:firstLineChars="200"/>
        <w:rPr>
          <w:rFonts w:hAnsi="宋体" w:cs="宋体"/>
          <w:szCs w:val="24"/>
          <w:highlight w:val="none"/>
        </w:rPr>
      </w:pPr>
      <w:r>
        <w:rPr>
          <w:rFonts w:hint="eastAsia" w:hAnsi="宋体" w:cs="宋体"/>
          <w:szCs w:val="24"/>
          <w:highlight w:val="none"/>
        </w:rPr>
        <w:t>买方在收到卖方提交的买卖双方签署的合同货物验收证书</w:t>
      </w:r>
      <w:r>
        <w:rPr>
          <w:rStyle w:val="65"/>
          <w:rFonts w:hint="eastAsia" w:hAnsi="宋体" w:cs="宋体"/>
          <w:sz w:val="24"/>
          <w:szCs w:val="24"/>
          <w:highlight w:val="none"/>
        </w:rPr>
        <w:t>或已生效的验收款支付函</w:t>
      </w:r>
      <w:r>
        <w:rPr>
          <w:rFonts w:hint="eastAsia" w:hAnsi="宋体" w:cs="宋体"/>
          <w:szCs w:val="24"/>
          <w:highlight w:val="none"/>
        </w:rPr>
        <w:t>正本一份并经审核无误后28日内，向卖方支付合同价格的25%。</w:t>
      </w:r>
    </w:p>
    <w:p w14:paraId="26BF7E2E">
      <w:pPr>
        <w:spacing w:line="360" w:lineRule="auto"/>
        <w:ind w:firstLine="480" w:firstLineChars="200"/>
        <w:rPr>
          <w:rFonts w:hAnsi="宋体" w:cs="宋体"/>
          <w:szCs w:val="24"/>
          <w:highlight w:val="none"/>
        </w:rPr>
      </w:pPr>
      <w:r>
        <w:rPr>
          <w:rFonts w:hint="eastAsia" w:hAnsi="宋体" w:cs="宋体"/>
          <w:szCs w:val="24"/>
          <w:highlight w:val="none"/>
        </w:rPr>
        <w:t>3.2.4 结清款</w:t>
      </w:r>
    </w:p>
    <w:p w14:paraId="631BD8A1">
      <w:pPr>
        <w:spacing w:line="360" w:lineRule="auto"/>
        <w:ind w:firstLine="480" w:firstLineChars="200"/>
        <w:rPr>
          <w:rFonts w:hAnsi="宋体" w:cs="宋体"/>
          <w:szCs w:val="24"/>
          <w:highlight w:val="none"/>
        </w:rPr>
      </w:pPr>
      <w:r>
        <w:rPr>
          <w:rFonts w:hint="eastAsia" w:hAnsi="宋体" w:cs="宋体"/>
          <w:szCs w:val="24"/>
          <w:highlight w:val="none"/>
        </w:rPr>
        <w:t>买方在收到卖方提交的买方签署的质量保证期届满证书或已生效的</w:t>
      </w:r>
      <w:r>
        <w:rPr>
          <w:rStyle w:val="65"/>
          <w:rFonts w:hint="eastAsia" w:hAnsi="宋体" w:cs="宋体"/>
          <w:sz w:val="24"/>
          <w:szCs w:val="24"/>
          <w:highlight w:val="none"/>
        </w:rPr>
        <w:t>结清款支付函</w:t>
      </w:r>
      <w:r>
        <w:rPr>
          <w:rFonts w:hint="eastAsia" w:hAnsi="宋体" w:cs="宋体"/>
          <w:szCs w:val="24"/>
          <w:highlight w:val="none"/>
        </w:rPr>
        <w:t>正本一份并经审核无误后28日内，向卖方支付合同价格的5%。</w:t>
      </w:r>
    </w:p>
    <w:p w14:paraId="1B81F7AE">
      <w:pPr>
        <w:spacing w:line="360" w:lineRule="auto"/>
        <w:ind w:firstLine="480" w:firstLineChars="200"/>
        <w:rPr>
          <w:rFonts w:hAnsi="宋体" w:cs="宋体"/>
          <w:szCs w:val="24"/>
          <w:highlight w:val="none"/>
        </w:rPr>
      </w:pPr>
      <w:r>
        <w:rPr>
          <w:rFonts w:hint="eastAsia" w:hAnsi="宋体" w:cs="宋体"/>
          <w:szCs w:val="24"/>
          <w:highlight w:val="none"/>
        </w:rPr>
        <w:t>如果依照合同第9.1项，卖方应向买方支付费用的，买方有权从结清款中直接扣除该笔费用。</w:t>
      </w:r>
      <w:bookmarkStart w:id="609" w:name="_Toc27927"/>
    </w:p>
    <w:bookmarkEnd w:id="609"/>
    <w:p w14:paraId="36B5B5B1">
      <w:pPr>
        <w:spacing w:line="360" w:lineRule="auto"/>
        <w:ind w:firstLine="480" w:firstLineChars="200"/>
        <w:rPr>
          <w:rFonts w:hAnsi="宋体" w:cs="宋体"/>
          <w:szCs w:val="24"/>
          <w:highlight w:val="none"/>
        </w:rPr>
      </w:pPr>
      <w:r>
        <w:rPr>
          <w:rFonts w:hint="eastAsia" w:hAnsi="宋体" w:cs="宋体"/>
          <w:szCs w:val="24"/>
          <w:highlight w:val="none"/>
        </w:rPr>
        <w:t>除专用合同条款另有约定外，在买方向卖方支付验收款的同时或其后的任何时间内，卖方可在向买方提交买方可接受的金额为合同价格5%的合同结清款保函的前提下，要求买方支付合同结清款，买方不得拒绝。</w:t>
      </w:r>
    </w:p>
    <w:p w14:paraId="3DC8D839">
      <w:pPr>
        <w:spacing w:line="360" w:lineRule="auto"/>
        <w:ind w:firstLine="137"/>
        <w:outlineLvl w:val="3"/>
        <w:rPr>
          <w:rFonts w:ascii="黑体" w:hAnsi="黑体" w:eastAsia="黑体" w:cs="黑体"/>
          <w:highlight w:val="none"/>
        </w:rPr>
      </w:pPr>
      <w:r>
        <w:rPr>
          <w:rFonts w:hint="eastAsia" w:ascii="黑体" w:hAnsi="黑体" w:eastAsia="黑体" w:cs="黑体"/>
          <w:highlight w:val="none"/>
        </w:rPr>
        <w:t>3.3 买方扣款的权利</w:t>
      </w:r>
      <w:bookmarkEnd w:id="602"/>
      <w:bookmarkEnd w:id="603"/>
    </w:p>
    <w:p w14:paraId="17827922">
      <w:pPr>
        <w:spacing w:line="360" w:lineRule="auto"/>
        <w:ind w:firstLine="480" w:firstLineChars="200"/>
        <w:rPr>
          <w:rFonts w:hAnsi="宋体" w:cs="宋体"/>
          <w:highlight w:val="none"/>
        </w:rPr>
      </w:pPr>
      <w:r>
        <w:rPr>
          <w:rFonts w:hint="eastAsia" w:hAnsi="宋体" w:cs="宋体"/>
          <w:highlight w:val="none"/>
        </w:rPr>
        <w:t>当卖方应向买方支付合同项下的违约金或赔偿金时，买方有权从上述任何一笔应付款中予以直接扣除和（或）兑付履约保证金。</w:t>
      </w:r>
    </w:p>
    <w:p w14:paraId="344963F1">
      <w:pPr>
        <w:spacing w:line="360" w:lineRule="auto"/>
        <w:ind w:firstLine="137"/>
        <w:outlineLvl w:val="2"/>
        <w:rPr>
          <w:rFonts w:ascii="黑体" w:hAnsi="黑体" w:eastAsia="黑体" w:cs="黑体"/>
          <w:sz w:val="28"/>
          <w:szCs w:val="28"/>
          <w:highlight w:val="none"/>
        </w:rPr>
      </w:pPr>
      <w:bookmarkStart w:id="610" w:name="_Toc24965150"/>
      <w:bookmarkStart w:id="611" w:name="_Toc26700650"/>
      <w:bookmarkStart w:id="612" w:name="_Toc26721539"/>
      <w:bookmarkStart w:id="613" w:name="_Toc482188739"/>
      <w:bookmarkStart w:id="614" w:name="_Toc26700480"/>
      <w:bookmarkStart w:id="615" w:name="_Toc26721384"/>
      <w:bookmarkStart w:id="616" w:name="_Toc17100670"/>
      <w:bookmarkStart w:id="617" w:name="_Toc501460748"/>
      <w:bookmarkStart w:id="618" w:name="_Toc15753906"/>
      <w:r>
        <w:rPr>
          <w:rFonts w:hint="eastAsia" w:ascii="黑体" w:hAnsi="黑体" w:eastAsia="黑体" w:cs="黑体"/>
          <w:sz w:val="28"/>
          <w:szCs w:val="28"/>
          <w:highlight w:val="none"/>
        </w:rPr>
        <w:t>4. 监造及交货前检验</w:t>
      </w:r>
      <w:bookmarkEnd w:id="610"/>
      <w:bookmarkEnd w:id="611"/>
      <w:bookmarkEnd w:id="612"/>
      <w:bookmarkEnd w:id="613"/>
      <w:bookmarkEnd w:id="614"/>
      <w:bookmarkEnd w:id="615"/>
      <w:bookmarkEnd w:id="616"/>
      <w:bookmarkEnd w:id="617"/>
      <w:bookmarkEnd w:id="618"/>
    </w:p>
    <w:p w14:paraId="7BDBAC27">
      <w:pPr>
        <w:spacing w:line="360" w:lineRule="auto"/>
        <w:ind w:firstLine="137"/>
        <w:outlineLvl w:val="3"/>
        <w:rPr>
          <w:rFonts w:ascii="黑体" w:hAnsi="黑体" w:eastAsia="黑体" w:cs="黑体"/>
          <w:highlight w:val="none"/>
        </w:rPr>
      </w:pPr>
      <w:bookmarkStart w:id="619" w:name="_Toc501460749"/>
      <w:bookmarkStart w:id="620" w:name="_Toc482188740"/>
      <w:r>
        <w:rPr>
          <w:rFonts w:hint="eastAsia" w:ascii="黑体" w:hAnsi="黑体" w:eastAsia="黑体" w:cs="黑体"/>
          <w:highlight w:val="none"/>
        </w:rPr>
        <w:t>4.1 监造</w:t>
      </w:r>
      <w:bookmarkEnd w:id="619"/>
      <w:bookmarkEnd w:id="620"/>
    </w:p>
    <w:p w14:paraId="3DFDAEC7">
      <w:pPr>
        <w:spacing w:line="360" w:lineRule="auto"/>
        <w:ind w:firstLine="480" w:firstLineChars="200"/>
        <w:rPr>
          <w:rFonts w:hAnsi="宋体" w:cs="宋体"/>
          <w:highlight w:val="none"/>
        </w:rPr>
      </w:pPr>
      <w:r>
        <w:rPr>
          <w:rFonts w:hint="eastAsia" w:hAnsi="宋体" w:cs="宋体"/>
          <w:highlight w:val="none"/>
        </w:rPr>
        <w:t>专用合同条款约定买方对合同货物进行监造的，双方应按本款及专用合同条款约定履行。</w:t>
      </w:r>
    </w:p>
    <w:p w14:paraId="2DBC693D">
      <w:pPr>
        <w:spacing w:line="360" w:lineRule="auto"/>
        <w:ind w:firstLine="480" w:firstLineChars="200"/>
        <w:rPr>
          <w:rFonts w:hAnsi="宋体" w:cs="宋体"/>
          <w:highlight w:val="none"/>
        </w:rPr>
      </w:pPr>
      <w:r>
        <w:rPr>
          <w:rFonts w:hint="eastAsia" w:hAnsi="宋体" w:cs="宋体"/>
          <w:highlight w:val="none"/>
        </w:rPr>
        <w:t>4.1.1 在合同货物的制造过程中，买方可派出监造人员，对合同货物的生产制造进行监造，监督合同货物制造、检验等情况。监造的范围、方式等应符合专用合同条款和（或）供货要求等合同文件的约定。</w:t>
      </w:r>
    </w:p>
    <w:p w14:paraId="23632AC2">
      <w:pPr>
        <w:spacing w:line="360" w:lineRule="auto"/>
        <w:ind w:firstLine="480" w:firstLineChars="200"/>
        <w:rPr>
          <w:rFonts w:hAnsi="宋体" w:cs="宋体"/>
          <w:highlight w:val="none"/>
        </w:rPr>
      </w:pPr>
      <w:r>
        <w:rPr>
          <w:rFonts w:hint="eastAsia" w:hAnsi="宋体" w:cs="宋体"/>
          <w:highlight w:val="none"/>
        </w:rPr>
        <w:t>4.1</w:t>
      </w:r>
      <w:bookmarkStart w:id="621" w:name="_Toc14217"/>
      <w:r>
        <w:rPr>
          <w:rFonts w:hint="eastAsia" w:hAnsi="宋体" w:cs="宋体"/>
          <w:highlight w:val="none"/>
        </w:rPr>
        <w:t>.2 除</w:t>
      </w:r>
      <w:bookmarkEnd w:id="621"/>
      <w:r>
        <w:rPr>
          <w:rFonts w:hint="eastAsia" w:hAnsi="宋体" w:cs="宋体"/>
          <w:highlight w:val="none"/>
        </w:rPr>
        <w:t>专用合同条款和（或）供货要求等合同文件另有约定外，买方监造人员可到合同货物及其关键部件的</w:t>
      </w:r>
      <w:bookmarkStart w:id="622" w:name="_Toc15205"/>
      <w:r>
        <w:rPr>
          <w:rFonts w:hint="eastAsia" w:hAnsi="宋体" w:cs="宋体"/>
          <w:highlight w:val="none"/>
        </w:rPr>
        <w:t>生产制造现</w:t>
      </w:r>
      <w:bookmarkEnd w:id="622"/>
      <w:r>
        <w:rPr>
          <w:rFonts w:hint="eastAsia" w:hAnsi="宋体" w:cs="宋体"/>
          <w:highlight w:val="none"/>
        </w:rPr>
        <w:t>场进行监造，卖方应予配合。卖方应免费为买方监造人员提供工作条件及便利，包括但不限于必要的办</w:t>
      </w:r>
      <w:bookmarkStart w:id="623" w:name="_Toc29415"/>
      <w:r>
        <w:rPr>
          <w:rFonts w:hint="eastAsia" w:hAnsi="宋体" w:cs="宋体"/>
          <w:highlight w:val="none"/>
        </w:rPr>
        <w:t>公场所、技术资料、检</w:t>
      </w:r>
      <w:bookmarkEnd w:id="623"/>
      <w:r>
        <w:rPr>
          <w:rFonts w:hint="eastAsia" w:hAnsi="宋体" w:cs="宋体"/>
          <w:highlight w:val="none"/>
        </w:rPr>
        <w:t>测</w:t>
      </w:r>
      <w:bookmarkStart w:id="624" w:name="_Toc32016"/>
      <w:r>
        <w:rPr>
          <w:rFonts w:hint="eastAsia" w:hAnsi="宋体" w:cs="宋体"/>
          <w:highlight w:val="none"/>
        </w:rPr>
        <w:t>工具及出入许可等</w:t>
      </w:r>
      <w:bookmarkEnd w:id="624"/>
      <w:r>
        <w:rPr>
          <w:rFonts w:hint="eastAsia" w:hAnsi="宋体" w:cs="宋体"/>
          <w:highlight w:val="none"/>
        </w:rPr>
        <w:t>。除专用合同条款另有约定外，买方监造人员的交通、食宿费用由买方承担。</w:t>
      </w:r>
    </w:p>
    <w:p w14:paraId="11A032A4">
      <w:pPr>
        <w:spacing w:line="360" w:lineRule="auto"/>
        <w:ind w:firstLine="480" w:firstLineChars="200"/>
        <w:rPr>
          <w:rFonts w:hAnsi="宋体" w:cs="宋体"/>
          <w:highlight w:val="none"/>
        </w:rPr>
      </w:pPr>
      <w:r>
        <w:rPr>
          <w:rFonts w:hint="eastAsia" w:hAnsi="宋体" w:cs="宋体"/>
          <w:highlight w:val="none"/>
        </w:rPr>
        <w:t>4.1.3 卖方制订生产制造合同货物的进度计划时，应将买方监造纳入计划安排，并提前通知买方；买方进行监造不应影响合同货物的正常生产。除专用合同条款和（或）供货要求等合同文件另有约定外，卖方应提前7日将需要买方监造人员现场监造事项通知买方；如买方监造人员未按通知出席</w:t>
      </w:r>
      <w:bookmarkStart w:id="625" w:name="_Toc7864"/>
      <w:bookmarkStart w:id="626" w:name="_Toc369531649"/>
      <w:r>
        <w:rPr>
          <w:rFonts w:hint="eastAsia" w:hAnsi="宋体" w:cs="宋体"/>
          <w:highlight w:val="none"/>
        </w:rPr>
        <w:t>，不影响合</w:t>
      </w:r>
      <w:bookmarkEnd w:id="625"/>
      <w:bookmarkEnd w:id="626"/>
      <w:r>
        <w:rPr>
          <w:rFonts w:hint="eastAsia" w:hAnsi="宋体" w:cs="宋体"/>
          <w:highlight w:val="none"/>
        </w:rPr>
        <w:t>同货物及其关键部件的制造或检验，但买方监造人员有权事后了解、查阅、复制相关制造或检验记录。</w:t>
      </w:r>
    </w:p>
    <w:p w14:paraId="5EEC7CED">
      <w:pPr>
        <w:spacing w:line="360" w:lineRule="auto"/>
        <w:ind w:firstLine="480" w:firstLineChars="200"/>
        <w:rPr>
          <w:rFonts w:hAnsi="宋体" w:cs="宋体"/>
          <w:highlight w:val="none"/>
        </w:rPr>
      </w:pPr>
      <w:r>
        <w:rPr>
          <w:rFonts w:hint="eastAsia" w:hAnsi="宋体" w:cs="宋体"/>
          <w:highlight w:val="none"/>
        </w:rPr>
        <w:t>4.1.4 买方监造人员在监造中如发现合同货物及其关键部件不符合合同约定的标准，则有权提出意见和建议。卖方应采取必要措施消除合同货物的不符，由此增加的费用和（或）造成的延误由卖方负责。</w:t>
      </w:r>
    </w:p>
    <w:p w14:paraId="092685C6">
      <w:pPr>
        <w:spacing w:line="360" w:lineRule="auto"/>
        <w:ind w:firstLine="480" w:firstLineChars="200"/>
        <w:rPr>
          <w:rFonts w:hAnsi="宋体" w:cs="宋体"/>
          <w:highlight w:val="none"/>
        </w:rPr>
      </w:pPr>
      <w:r>
        <w:rPr>
          <w:rFonts w:hint="eastAsia" w:hAnsi="宋体" w:cs="宋体"/>
          <w:highlight w:val="none"/>
        </w:rPr>
        <w:t>4.1.5 买方监造人员对合同货物的监造，不视为对合同货物质量的确认，不影响卖方交货后买方依照合同约定对合同货物提出质量异议和（或）退货的权利，也不免除卖方依照合同约定对合同货物所应承担的任何义务或责任。</w:t>
      </w:r>
    </w:p>
    <w:p w14:paraId="46B84A26">
      <w:pPr>
        <w:spacing w:line="360" w:lineRule="auto"/>
        <w:ind w:firstLine="137"/>
        <w:outlineLvl w:val="3"/>
        <w:rPr>
          <w:rFonts w:ascii="黑体" w:hAnsi="黑体" w:eastAsia="黑体" w:cs="黑体"/>
          <w:highlight w:val="none"/>
        </w:rPr>
      </w:pPr>
      <w:bookmarkStart w:id="627" w:name="_Toc482188741"/>
      <w:bookmarkStart w:id="628" w:name="_Toc501460750"/>
      <w:r>
        <w:rPr>
          <w:rFonts w:hint="eastAsia" w:ascii="黑体" w:hAnsi="黑体" w:eastAsia="黑体" w:cs="黑体"/>
          <w:highlight w:val="none"/>
        </w:rPr>
        <w:t>4.2 交货前检验</w:t>
      </w:r>
      <w:bookmarkEnd w:id="627"/>
      <w:bookmarkEnd w:id="628"/>
    </w:p>
    <w:p w14:paraId="1E27505F">
      <w:pPr>
        <w:spacing w:line="360" w:lineRule="auto"/>
        <w:ind w:firstLine="480" w:firstLineChars="200"/>
        <w:rPr>
          <w:rFonts w:hAnsi="宋体" w:cs="宋体"/>
          <w:highlight w:val="none"/>
        </w:rPr>
      </w:pPr>
      <w:r>
        <w:rPr>
          <w:rFonts w:hint="eastAsia" w:hAnsi="宋体" w:cs="宋体"/>
          <w:highlight w:val="none"/>
        </w:rPr>
        <w:t>专用合同条款约定买方参与交货前检验的，双方应按本款及专用合同条款约定履行。</w:t>
      </w:r>
    </w:p>
    <w:p w14:paraId="6009A5A5">
      <w:pPr>
        <w:spacing w:line="360" w:lineRule="auto"/>
        <w:ind w:firstLine="480" w:firstLineChars="200"/>
        <w:rPr>
          <w:rFonts w:hAnsi="宋体" w:cs="宋体"/>
          <w:highlight w:val="none"/>
        </w:rPr>
      </w:pPr>
      <w:r>
        <w:rPr>
          <w:rFonts w:hint="eastAsia" w:hAnsi="宋体" w:cs="宋体"/>
          <w:highlight w:val="none"/>
        </w:rPr>
        <w:t>4.2.1 合同货物交货前，卖方应会同买方代表根据合同约定对合同货物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03B8F199">
      <w:pPr>
        <w:spacing w:line="360" w:lineRule="auto"/>
        <w:ind w:firstLine="420"/>
        <w:rPr>
          <w:rFonts w:hAnsi="宋体" w:cs="宋体"/>
          <w:highlight w:val="none"/>
        </w:rPr>
      </w:pPr>
      <w:r>
        <w:rPr>
          <w:rFonts w:hint="eastAsia" w:hAnsi="宋体" w:cs="宋体"/>
          <w:highlight w:val="none"/>
        </w:rPr>
        <w:t>4.2.2 除</w:t>
      </w:r>
      <w:bookmarkStart w:id="629" w:name="_Toc17093"/>
      <w:r>
        <w:rPr>
          <w:rFonts w:hint="eastAsia" w:hAnsi="宋体" w:cs="宋体"/>
          <w:highlight w:val="none"/>
        </w:rPr>
        <w:t>专用合同条款和（或）供</w:t>
      </w:r>
      <w:bookmarkEnd w:id="629"/>
      <w:r>
        <w:rPr>
          <w:rFonts w:hint="eastAsia" w:hAnsi="宋体" w:cs="宋体"/>
          <w:highlight w:val="none"/>
        </w:rPr>
        <w:t>货要求等合同文件另有约定外，卖方应提前7日将需要买方代表检验事项通知买方；如买方代表未按通知出席</w:t>
      </w:r>
      <w:bookmarkStart w:id="630" w:name="_Toc8000"/>
      <w:bookmarkStart w:id="631" w:name="_Toc369531653"/>
      <w:r>
        <w:rPr>
          <w:rFonts w:hint="eastAsia" w:hAnsi="宋体" w:cs="宋体"/>
          <w:highlight w:val="none"/>
        </w:rPr>
        <w:t>，不影响合同货物的</w:t>
      </w:r>
      <w:bookmarkEnd w:id="630"/>
      <w:bookmarkEnd w:id="631"/>
      <w:r>
        <w:rPr>
          <w:rFonts w:hint="eastAsia" w:hAnsi="宋体" w:cs="宋体"/>
          <w:highlight w:val="none"/>
        </w:rPr>
        <w:t>检验。若卖方未依照合同约定提前通知买方而自行检验，则买</w:t>
      </w:r>
      <w:bookmarkStart w:id="632" w:name="_Toc17628"/>
      <w:r>
        <w:rPr>
          <w:rFonts w:hint="eastAsia" w:hAnsi="宋体" w:cs="宋体"/>
          <w:highlight w:val="none"/>
        </w:rPr>
        <w:t>方有权要求卖方暂停发货</w:t>
      </w:r>
      <w:bookmarkEnd w:id="632"/>
      <w:r>
        <w:rPr>
          <w:rFonts w:hint="eastAsia" w:hAnsi="宋体" w:cs="宋体"/>
          <w:highlight w:val="none"/>
        </w:rPr>
        <w:t>并</w:t>
      </w:r>
      <w:bookmarkStart w:id="633" w:name="_Toc9228"/>
      <w:r>
        <w:rPr>
          <w:rFonts w:hint="eastAsia" w:hAnsi="宋体" w:cs="宋体"/>
          <w:highlight w:val="none"/>
        </w:rPr>
        <w:t>重新进行检验</w:t>
      </w:r>
      <w:bookmarkEnd w:id="633"/>
      <w:r>
        <w:rPr>
          <w:rFonts w:hint="eastAsia" w:hAnsi="宋体" w:cs="宋体"/>
          <w:highlight w:val="none"/>
        </w:rPr>
        <w:t>，由此增加的费用和（或）造成的延误由卖方负责。</w:t>
      </w:r>
    </w:p>
    <w:p w14:paraId="725C4FB0">
      <w:pPr>
        <w:spacing w:line="360" w:lineRule="auto"/>
        <w:ind w:firstLine="480" w:firstLineChars="200"/>
        <w:rPr>
          <w:rFonts w:hAnsi="宋体" w:cs="宋体"/>
          <w:highlight w:val="none"/>
        </w:rPr>
      </w:pPr>
      <w:r>
        <w:rPr>
          <w:rFonts w:hint="eastAsia" w:hAnsi="宋体" w:cs="宋体"/>
          <w:highlight w:val="none"/>
        </w:rPr>
        <w:t>4.2.3 买方代表在检验中如发现合同货物不符合合同约定的标准，则有权提出异议。卖方应采取必要措施消除合同货物的不符，由此增加的费用和（或）造成的延误由卖方负责。</w:t>
      </w:r>
    </w:p>
    <w:p w14:paraId="2DA095DF">
      <w:pPr>
        <w:spacing w:line="360" w:lineRule="auto"/>
        <w:ind w:firstLine="480" w:firstLineChars="200"/>
        <w:rPr>
          <w:rFonts w:hAnsi="宋体" w:cs="宋体"/>
          <w:highlight w:val="none"/>
        </w:rPr>
      </w:pPr>
      <w:r>
        <w:rPr>
          <w:rFonts w:hint="eastAsia" w:hAnsi="宋体" w:cs="宋体"/>
          <w:highlight w:val="none"/>
        </w:rPr>
        <w:t>4.2.4 买方代表参与交货前检验及签署交货前检验记录的行为，不视为对合同货物质量的确认，不影响卖方交货后买方依照合同约定对合同货物提出质量异议和（或）退货的权利，也不免除卖方依照合同约定对合同货物所应承担的任何义务或责任。</w:t>
      </w:r>
    </w:p>
    <w:p w14:paraId="21163DF8">
      <w:pPr>
        <w:spacing w:line="360" w:lineRule="auto"/>
        <w:ind w:firstLine="137"/>
        <w:outlineLvl w:val="2"/>
        <w:rPr>
          <w:rFonts w:ascii="黑体" w:hAnsi="黑体" w:eastAsia="黑体" w:cs="黑体"/>
          <w:sz w:val="28"/>
          <w:szCs w:val="28"/>
          <w:highlight w:val="none"/>
        </w:rPr>
      </w:pPr>
      <w:bookmarkStart w:id="634" w:name="_Toc501460751"/>
      <w:bookmarkStart w:id="635" w:name="_Toc26700481"/>
      <w:bookmarkStart w:id="636" w:name="_Toc17100671"/>
      <w:bookmarkStart w:id="637" w:name="_Toc15753907"/>
      <w:bookmarkStart w:id="638" w:name="_Toc24965151"/>
      <w:bookmarkStart w:id="639" w:name="_Toc26721540"/>
      <w:bookmarkStart w:id="640" w:name="_Toc26700651"/>
      <w:bookmarkStart w:id="641" w:name="_Toc482188742"/>
      <w:bookmarkStart w:id="642" w:name="_Toc26721385"/>
      <w:r>
        <w:rPr>
          <w:rFonts w:hint="eastAsia" w:ascii="黑体" w:hAnsi="黑体" w:eastAsia="黑体" w:cs="黑体"/>
          <w:sz w:val="28"/>
          <w:szCs w:val="28"/>
          <w:highlight w:val="none"/>
        </w:rPr>
        <w:t>5. 包装、标记、运输和交付</w:t>
      </w:r>
      <w:bookmarkEnd w:id="634"/>
      <w:bookmarkEnd w:id="635"/>
      <w:bookmarkEnd w:id="636"/>
      <w:bookmarkEnd w:id="637"/>
      <w:bookmarkEnd w:id="638"/>
      <w:bookmarkEnd w:id="639"/>
      <w:bookmarkEnd w:id="640"/>
      <w:bookmarkEnd w:id="641"/>
      <w:bookmarkEnd w:id="642"/>
    </w:p>
    <w:p w14:paraId="4B9CD4E5">
      <w:pPr>
        <w:spacing w:line="360" w:lineRule="auto"/>
        <w:ind w:firstLine="137"/>
        <w:outlineLvl w:val="3"/>
        <w:rPr>
          <w:rFonts w:ascii="黑体" w:hAnsi="黑体" w:eastAsia="黑体" w:cs="黑体"/>
          <w:highlight w:val="none"/>
        </w:rPr>
      </w:pPr>
      <w:bookmarkStart w:id="643" w:name="_Toc501460752"/>
      <w:bookmarkStart w:id="644" w:name="_Toc482188743"/>
      <w:r>
        <w:rPr>
          <w:rFonts w:hint="eastAsia" w:ascii="黑体" w:hAnsi="黑体" w:eastAsia="黑体" w:cs="黑体"/>
          <w:highlight w:val="none"/>
        </w:rPr>
        <w:t>5.1 包装</w:t>
      </w:r>
      <w:bookmarkEnd w:id="643"/>
      <w:bookmarkEnd w:id="644"/>
    </w:p>
    <w:p w14:paraId="7C12322F">
      <w:pPr>
        <w:spacing w:line="360" w:lineRule="auto"/>
        <w:ind w:firstLine="480" w:firstLineChars="200"/>
        <w:rPr>
          <w:rFonts w:hAnsi="宋体" w:cs="宋体"/>
          <w:highlight w:val="none"/>
        </w:rPr>
      </w:pPr>
      <w:r>
        <w:rPr>
          <w:rFonts w:hint="eastAsia" w:hAnsi="宋体" w:cs="宋体"/>
          <w:highlight w:val="none"/>
        </w:rPr>
        <w:t>5.1.1 卖方应对合同货物进行妥善包装，以满足合同货物运至施工场地及在施工场地保管的需要。包装应采取防潮、防晒、防锈、防腐蚀、防震动及防止其他损坏的必要保护措施，从而保护合同货物能够经受多次搬运、装卸、长途运输并适宜保管。</w:t>
      </w:r>
    </w:p>
    <w:p w14:paraId="4231D228">
      <w:pPr>
        <w:spacing w:line="360" w:lineRule="auto"/>
        <w:ind w:firstLine="480" w:firstLineChars="200"/>
        <w:rPr>
          <w:rFonts w:hAnsi="宋体" w:cs="宋体"/>
          <w:highlight w:val="none"/>
        </w:rPr>
      </w:pPr>
      <w:r>
        <w:rPr>
          <w:rFonts w:hint="eastAsia" w:hAnsi="宋体" w:cs="宋体"/>
          <w:highlight w:val="none"/>
        </w:rPr>
        <w:t>5.1.2 每个独立包装箱内应附装箱清单、质量合格证、装配图、说明书、操作指南等资料。</w:t>
      </w:r>
    </w:p>
    <w:p w14:paraId="535032E5">
      <w:pPr>
        <w:spacing w:line="360" w:lineRule="auto"/>
        <w:ind w:firstLine="480" w:firstLineChars="200"/>
        <w:rPr>
          <w:rFonts w:hAnsi="宋体" w:cs="宋体"/>
          <w:highlight w:val="none"/>
        </w:rPr>
      </w:pPr>
      <w:r>
        <w:rPr>
          <w:rFonts w:hint="eastAsia" w:hAnsi="宋体" w:cs="宋体"/>
          <w:highlight w:val="none"/>
        </w:rPr>
        <w:t>5.1.3 除专用合同条款另有约定外，买方无需将包装物退还给卖方。</w:t>
      </w:r>
    </w:p>
    <w:p w14:paraId="44728C96">
      <w:pPr>
        <w:spacing w:line="360" w:lineRule="auto"/>
        <w:ind w:firstLine="137"/>
        <w:outlineLvl w:val="3"/>
        <w:rPr>
          <w:rFonts w:ascii="黑体" w:hAnsi="黑体" w:eastAsia="黑体" w:cs="黑体"/>
          <w:highlight w:val="none"/>
        </w:rPr>
      </w:pPr>
      <w:bookmarkStart w:id="645" w:name="_Toc501460753"/>
      <w:bookmarkStart w:id="646" w:name="_Toc482188744"/>
      <w:r>
        <w:rPr>
          <w:rFonts w:hint="eastAsia" w:ascii="黑体" w:hAnsi="黑体" w:eastAsia="黑体" w:cs="黑体"/>
          <w:highlight w:val="none"/>
        </w:rPr>
        <w:t>5.2 标记</w:t>
      </w:r>
      <w:bookmarkEnd w:id="645"/>
      <w:bookmarkEnd w:id="646"/>
    </w:p>
    <w:p w14:paraId="7BC9CABC">
      <w:pPr>
        <w:spacing w:line="360" w:lineRule="auto"/>
        <w:ind w:firstLine="480" w:firstLineChars="200"/>
        <w:rPr>
          <w:rFonts w:hAnsi="宋体" w:cs="宋体"/>
          <w:highlight w:val="none"/>
        </w:rPr>
      </w:pPr>
      <w:r>
        <w:rPr>
          <w:rFonts w:hint="eastAsia" w:hAnsi="宋体" w:cs="宋体"/>
          <w:highlight w:val="none"/>
        </w:rPr>
        <w:t>5.2.1 除专用合同条款另有约定外，卖方应在每一包装箱相邻的四个侧面以不可擦除的、明显的方式标记必要的装运信息和标记，以满足合同货物运输和保管的需要。</w:t>
      </w:r>
    </w:p>
    <w:p w14:paraId="33E9CDDC">
      <w:pPr>
        <w:spacing w:line="360" w:lineRule="auto"/>
        <w:ind w:firstLine="480" w:firstLineChars="200"/>
        <w:rPr>
          <w:rFonts w:hAnsi="宋体" w:cs="宋体"/>
          <w:highlight w:val="none"/>
        </w:rPr>
      </w:pPr>
      <w:r>
        <w:rPr>
          <w:rFonts w:hint="eastAsia" w:hAnsi="宋体" w:cs="宋体"/>
          <w:highlight w:val="none"/>
        </w:rPr>
        <w:t>5.2.2 根据合同货物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货物中含有易燃易爆物品、腐蚀物品、放射性物质等危险品，则应在包装箱上标明危险品标志。</w:t>
      </w:r>
    </w:p>
    <w:p w14:paraId="75157745">
      <w:pPr>
        <w:spacing w:line="360" w:lineRule="auto"/>
        <w:ind w:firstLine="137"/>
        <w:outlineLvl w:val="3"/>
        <w:rPr>
          <w:rFonts w:ascii="黑体" w:hAnsi="黑体" w:eastAsia="黑体" w:cs="黑体"/>
          <w:highlight w:val="none"/>
        </w:rPr>
      </w:pPr>
      <w:bookmarkStart w:id="647" w:name="_Toc501460754"/>
      <w:bookmarkStart w:id="648" w:name="_Toc482188745"/>
      <w:r>
        <w:rPr>
          <w:rFonts w:hint="eastAsia" w:ascii="黑体" w:hAnsi="黑体" w:eastAsia="黑体" w:cs="黑体"/>
          <w:highlight w:val="none"/>
        </w:rPr>
        <w:t>5.3运输</w:t>
      </w:r>
      <w:bookmarkEnd w:id="647"/>
      <w:bookmarkEnd w:id="648"/>
    </w:p>
    <w:p w14:paraId="4B7C39EA">
      <w:pPr>
        <w:spacing w:line="360" w:lineRule="auto"/>
        <w:ind w:firstLine="480" w:firstLineChars="200"/>
        <w:rPr>
          <w:rFonts w:hAnsi="宋体" w:cs="宋体"/>
          <w:highlight w:val="none"/>
        </w:rPr>
      </w:pPr>
      <w:r>
        <w:rPr>
          <w:rFonts w:hint="eastAsia" w:hAnsi="宋体" w:cs="宋体"/>
          <w:highlight w:val="none"/>
        </w:rPr>
        <w:t>5.3.1 卖方应自行选择适宜的运输工具及线路安排合同货物运输。</w:t>
      </w:r>
    </w:p>
    <w:p w14:paraId="7BB91016">
      <w:pPr>
        <w:spacing w:line="360" w:lineRule="auto"/>
        <w:ind w:firstLine="480" w:firstLineChars="200"/>
        <w:rPr>
          <w:rFonts w:hAnsi="宋体" w:cs="宋体"/>
          <w:highlight w:val="none"/>
        </w:rPr>
      </w:pPr>
      <w:r>
        <w:rPr>
          <w:rFonts w:hint="eastAsia" w:hAnsi="宋体" w:cs="宋体"/>
          <w:highlight w:val="none"/>
        </w:rPr>
        <w:t>5.3.2 除专用合同条款另有约定外，每件能够独立运行的货物应整套装运。该货物安装、调试、考核和运行所使用的备品、备件、易损易耗件等应随相关的主机一起装运。</w:t>
      </w:r>
    </w:p>
    <w:p w14:paraId="304A976A">
      <w:pPr>
        <w:spacing w:line="360" w:lineRule="auto"/>
        <w:ind w:firstLine="480" w:firstLineChars="200"/>
        <w:rPr>
          <w:rFonts w:hAnsi="宋体" w:cs="宋体"/>
          <w:highlight w:val="none"/>
        </w:rPr>
      </w:pPr>
      <w:r>
        <w:rPr>
          <w:rFonts w:hint="eastAsia" w:hAnsi="宋体" w:cs="宋体"/>
          <w:highlight w:val="none"/>
        </w:rPr>
        <w:t>5</w:t>
      </w:r>
      <w:bookmarkStart w:id="649" w:name="_Toc21215"/>
      <w:r>
        <w:rPr>
          <w:rFonts w:hint="eastAsia" w:hAnsi="宋体" w:cs="宋体"/>
          <w:highlight w:val="none"/>
        </w:rPr>
        <w:t>.3.3 除</w:t>
      </w:r>
      <w:bookmarkEnd w:id="649"/>
      <w:r>
        <w:rPr>
          <w:rFonts w:hint="eastAsia" w:hAnsi="宋体" w:cs="宋体"/>
          <w:highlight w:val="none"/>
        </w:rPr>
        <w:t>专用合同条款另有约定外，卖方应在合同货物预计启运7日前，将合同货物名称、数量、箱数、总毛重、总体积（用m</w:t>
      </w:r>
      <w:r>
        <w:rPr>
          <w:rFonts w:hint="eastAsia" w:hAnsi="宋体" w:cs="宋体"/>
          <w:position w:val="6"/>
          <w:highlight w:val="none"/>
        </w:rPr>
        <w:t>3</w:t>
      </w:r>
      <w:r>
        <w:rPr>
          <w:rFonts w:hint="eastAsia" w:hAnsi="宋体" w:cs="宋体"/>
          <w:highlight w:val="none"/>
        </w:rPr>
        <w:t>表示）、每箱尺寸（长×宽×高）、装运合同货物总金额、运输方式、预计交付日期和合同货物在运输、装卸、保管中的注意事项等预通知买方，并在合同货物启运后24小时之内正式通知买方。</w:t>
      </w:r>
    </w:p>
    <w:p w14:paraId="65D0B092">
      <w:pPr>
        <w:spacing w:line="360" w:lineRule="auto"/>
        <w:ind w:firstLine="480" w:firstLineChars="200"/>
        <w:rPr>
          <w:rFonts w:hAnsi="宋体" w:cs="宋体"/>
          <w:highlight w:val="none"/>
        </w:rPr>
      </w:pPr>
      <w:r>
        <w:rPr>
          <w:rFonts w:hint="eastAsia" w:hAnsi="宋体" w:cs="宋体"/>
          <w:highlight w:val="none"/>
        </w:rPr>
        <w:t>5.3.4 卖方在根据第5.3.3项进行通知时，如果发运合同货物中包括专用合同条款约定的超大超重包装，则卖方应将超大和（或）超重的每个包装箱的重量和尺寸通知买方；如果发运合同货物中包括易燃易爆物品、腐蚀物品、放射性物质等危险品，则危险品的品名、性质、在运输、装卸、保管方面的特殊要求、注意事项和处理意外情况的方法等，也应一并通知买方。</w:t>
      </w:r>
    </w:p>
    <w:p w14:paraId="3F1C588C">
      <w:pPr>
        <w:spacing w:line="360" w:lineRule="auto"/>
        <w:ind w:firstLine="137"/>
        <w:outlineLvl w:val="3"/>
        <w:rPr>
          <w:rFonts w:ascii="黑体" w:hAnsi="黑体" w:eastAsia="黑体" w:cs="黑体"/>
          <w:highlight w:val="none"/>
        </w:rPr>
      </w:pPr>
      <w:bookmarkStart w:id="650" w:name="_Toc501460755"/>
      <w:bookmarkStart w:id="651" w:name="_Toc482188746"/>
      <w:r>
        <w:rPr>
          <w:rFonts w:hint="eastAsia" w:ascii="黑体" w:hAnsi="黑体" w:eastAsia="黑体" w:cs="黑体"/>
          <w:highlight w:val="none"/>
        </w:rPr>
        <w:t>5.4 交付</w:t>
      </w:r>
      <w:bookmarkEnd w:id="650"/>
      <w:bookmarkEnd w:id="651"/>
    </w:p>
    <w:p w14:paraId="15C99C58">
      <w:pPr>
        <w:spacing w:line="360" w:lineRule="auto"/>
        <w:ind w:firstLine="480" w:firstLineChars="200"/>
        <w:rPr>
          <w:rFonts w:hAnsi="宋体" w:cs="宋体"/>
          <w:highlight w:val="none"/>
        </w:rPr>
      </w:pPr>
      <w:r>
        <w:rPr>
          <w:rFonts w:hint="eastAsia" w:hAnsi="宋体" w:cs="宋体"/>
          <w:highlight w:val="none"/>
        </w:rPr>
        <w:t>5.4.1 除专用合同条款另有约定外，卖方应根据合同约定的交付时间和批次在施工场地车面上将合同货物交付给买方。买方对卖方交付的包装的合同货物的外观及件数进行清点核验后应签发收货清单，并自负风险和费用进行卸货。买方签发收货清单不代表对合同货物的接受，双方还应按合同约定进行后续的检验和验收。</w:t>
      </w:r>
    </w:p>
    <w:p w14:paraId="41B0FAEB">
      <w:pPr>
        <w:spacing w:line="360" w:lineRule="auto"/>
        <w:ind w:firstLine="480" w:firstLineChars="200"/>
        <w:rPr>
          <w:rFonts w:hAnsi="宋体" w:cs="宋体"/>
          <w:highlight w:val="none"/>
        </w:rPr>
      </w:pPr>
      <w:r>
        <w:rPr>
          <w:rFonts w:hint="eastAsia" w:hAnsi="宋体" w:cs="宋体"/>
          <w:highlight w:val="none"/>
        </w:rPr>
        <w:t>5.4.2 合同货物的所有权和风险自交付时起由卖方转移至买方，合同货物交付给买方之前包括运输在内的所有风险均由卖方承担。</w:t>
      </w:r>
    </w:p>
    <w:p w14:paraId="6CAD75BB">
      <w:pPr>
        <w:spacing w:line="360" w:lineRule="auto"/>
        <w:ind w:firstLine="480" w:firstLineChars="200"/>
        <w:rPr>
          <w:rFonts w:hAnsi="宋体" w:cs="宋体"/>
          <w:szCs w:val="24"/>
          <w:highlight w:val="none"/>
        </w:rPr>
      </w:pPr>
      <w:r>
        <w:rPr>
          <w:rFonts w:hint="eastAsia" w:hAnsi="宋体" w:cs="宋体"/>
          <w:szCs w:val="24"/>
          <w:highlight w:val="none"/>
        </w:rPr>
        <w:t>5.4.3 除专用合同条款另有约定外，买方如果发现技术资料存在短缺和（或）损坏，卖方应在收到买方的通知后7日内免费补齐短缺和（或）损坏的部分</w:t>
      </w:r>
      <w:bookmarkStart w:id="652" w:name="_Toc179632686"/>
      <w:bookmarkStart w:id="653" w:name="_Toc152045668"/>
      <w:bookmarkStart w:id="654" w:name="_Toc152042446"/>
      <w:bookmarkStart w:id="655" w:name="_Toc144974636"/>
      <w:bookmarkStart w:id="656" w:name="_Toc296602528"/>
      <w:bookmarkStart w:id="657" w:name="_Toc369531621"/>
      <w:bookmarkStart w:id="658" w:name="_Toc27630"/>
      <w:r>
        <w:rPr>
          <w:rFonts w:hint="eastAsia" w:hAnsi="宋体" w:cs="宋体"/>
          <w:szCs w:val="24"/>
          <w:highlight w:val="none"/>
        </w:rPr>
        <w:t>。如果买方发现卖方提供的</w:t>
      </w:r>
      <w:bookmarkEnd w:id="652"/>
      <w:bookmarkEnd w:id="653"/>
      <w:bookmarkEnd w:id="654"/>
      <w:bookmarkEnd w:id="655"/>
      <w:bookmarkEnd w:id="656"/>
      <w:r>
        <w:rPr>
          <w:rFonts w:hint="eastAsia" w:hAnsi="宋体" w:cs="宋体"/>
          <w:szCs w:val="24"/>
          <w:highlight w:val="none"/>
        </w:rPr>
        <w:t>技术</w:t>
      </w:r>
      <w:bookmarkEnd w:id="657"/>
      <w:bookmarkEnd w:id="658"/>
      <w:r>
        <w:rPr>
          <w:rFonts w:hint="eastAsia" w:hAnsi="宋体" w:cs="宋体"/>
          <w:szCs w:val="24"/>
          <w:highlight w:val="none"/>
        </w:rPr>
        <w:t>资</w:t>
      </w:r>
      <w:bookmarkStart w:id="659" w:name="_Toc20508"/>
      <w:r>
        <w:rPr>
          <w:rFonts w:hint="eastAsia" w:hAnsi="宋体" w:cs="宋体"/>
          <w:szCs w:val="24"/>
          <w:highlight w:val="none"/>
        </w:rPr>
        <w:t>料有误，卖方</w:t>
      </w:r>
      <w:bookmarkEnd w:id="659"/>
      <w:r>
        <w:rPr>
          <w:rFonts w:hint="eastAsia" w:hAnsi="宋体" w:cs="宋体"/>
          <w:szCs w:val="24"/>
          <w:highlight w:val="none"/>
        </w:rPr>
        <w:t>应在收到买方通知后7日内免费替换。如由于买方原因导致技术资料丢失和（或）损坏，卖方应在收到买方的通知后7日内补齐丢失和（或）损坏的部分，但买方应向卖方支付合理的复制、邮寄费用。</w:t>
      </w:r>
    </w:p>
    <w:p w14:paraId="577167C6">
      <w:pPr>
        <w:spacing w:line="360" w:lineRule="auto"/>
        <w:ind w:firstLine="137"/>
        <w:outlineLvl w:val="2"/>
        <w:rPr>
          <w:rFonts w:ascii="黑体" w:hAnsi="黑体" w:eastAsia="黑体" w:cs="黑体"/>
          <w:sz w:val="28"/>
          <w:szCs w:val="28"/>
          <w:highlight w:val="none"/>
        </w:rPr>
      </w:pPr>
      <w:bookmarkStart w:id="660" w:name="_Toc24965152"/>
      <w:bookmarkStart w:id="661" w:name="_Toc17100672"/>
      <w:bookmarkStart w:id="662" w:name="_Toc26721386"/>
      <w:bookmarkStart w:id="663" w:name="_Toc26700482"/>
      <w:bookmarkStart w:id="664" w:name="_Toc26700652"/>
      <w:bookmarkStart w:id="665" w:name="_Toc26721541"/>
      <w:bookmarkStart w:id="666" w:name="_Toc482188747"/>
      <w:bookmarkStart w:id="667" w:name="_Toc501460756"/>
      <w:bookmarkStart w:id="668" w:name="_Toc15753908"/>
      <w:r>
        <w:rPr>
          <w:rFonts w:hint="eastAsia" w:ascii="黑体" w:hAnsi="黑体" w:eastAsia="黑体" w:cs="黑体"/>
          <w:sz w:val="28"/>
          <w:szCs w:val="28"/>
          <w:highlight w:val="none"/>
        </w:rPr>
        <w:t>6. 开箱检验、安装、调试、考核、验收</w:t>
      </w:r>
      <w:bookmarkEnd w:id="660"/>
      <w:bookmarkEnd w:id="661"/>
      <w:bookmarkEnd w:id="662"/>
      <w:bookmarkEnd w:id="663"/>
      <w:bookmarkEnd w:id="664"/>
      <w:bookmarkEnd w:id="665"/>
      <w:bookmarkEnd w:id="666"/>
      <w:bookmarkEnd w:id="667"/>
      <w:bookmarkEnd w:id="668"/>
    </w:p>
    <w:p w14:paraId="4FEA95D9">
      <w:pPr>
        <w:spacing w:line="360" w:lineRule="auto"/>
        <w:ind w:firstLine="137"/>
        <w:outlineLvl w:val="3"/>
        <w:rPr>
          <w:rFonts w:ascii="黑体" w:hAnsi="黑体" w:eastAsia="黑体" w:cs="黑体"/>
          <w:highlight w:val="none"/>
        </w:rPr>
      </w:pPr>
      <w:bookmarkStart w:id="669" w:name="_Toc501460757"/>
      <w:bookmarkStart w:id="670" w:name="_Toc482188748"/>
      <w:r>
        <w:rPr>
          <w:rFonts w:hint="eastAsia" w:ascii="黑体" w:hAnsi="黑体" w:eastAsia="黑体" w:cs="黑体"/>
          <w:highlight w:val="none"/>
        </w:rPr>
        <w:t>6.1 开箱检验</w:t>
      </w:r>
      <w:bookmarkEnd w:id="669"/>
      <w:bookmarkEnd w:id="670"/>
    </w:p>
    <w:p w14:paraId="53A563C7">
      <w:pPr>
        <w:spacing w:line="360" w:lineRule="auto"/>
        <w:ind w:firstLine="480" w:firstLineChars="200"/>
        <w:rPr>
          <w:rFonts w:hAnsi="宋体" w:cs="宋体"/>
          <w:highlight w:val="none"/>
        </w:rPr>
      </w:pPr>
      <w:r>
        <w:rPr>
          <w:rFonts w:hint="eastAsia" w:hAnsi="宋体" w:cs="宋体"/>
          <w:highlight w:val="none"/>
        </w:rPr>
        <w:t>6.1.1 合同货物交付后应进行开箱检验，即合同货物数量及外观检验。开箱检验在专用合同条款约定的下列任一种时间进行：</w:t>
      </w:r>
    </w:p>
    <w:p w14:paraId="03410D19">
      <w:pPr>
        <w:spacing w:line="360" w:lineRule="auto"/>
        <w:ind w:firstLine="480" w:firstLineChars="200"/>
        <w:rPr>
          <w:rFonts w:hAnsi="宋体" w:cs="宋体"/>
          <w:highlight w:val="none"/>
        </w:rPr>
      </w:pPr>
      <w:r>
        <w:rPr>
          <w:rFonts w:hint="eastAsia" w:hAnsi="宋体" w:cs="宋体"/>
          <w:highlight w:val="none"/>
        </w:rPr>
        <w:t>（1）合同货物交付时；</w:t>
      </w:r>
    </w:p>
    <w:p w14:paraId="667CA5B4">
      <w:pPr>
        <w:spacing w:line="360" w:lineRule="auto"/>
        <w:ind w:firstLine="480" w:firstLineChars="200"/>
        <w:rPr>
          <w:rFonts w:hAnsi="宋体" w:cs="宋体"/>
          <w:highlight w:val="none"/>
        </w:rPr>
      </w:pPr>
      <w:r>
        <w:rPr>
          <w:rFonts w:hint="eastAsia" w:hAnsi="宋体" w:cs="宋体"/>
          <w:highlight w:val="none"/>
        </w:rPr>
        <w:t>（2）合同货物交付后的一定期限内。</w:t>
      </w:r>
    </w:p>
    <w:p w14:paraId="7A445BAC">
      <w:pPr>
        <w:spacing w:line="360" w:lineRule="auto"/>
        <w:ind w:firstLine="480" w:firstLineChars="200"/>
        <w:rPr>
          <w:rFonts w:hAnsi="宋体" w:cs="宋体"/>
          <w:highlight w:val="none"/>
        </w:rPr>
      </w:pPr>
      <w:r>
        <w:rPr>
          <w:rFonts w:hint="eastAsia" w:hAnsi="宋体" w:cs="宋体"/>
          <w:highlight w:val="none"/>
        </w:rPr>
        <w:t>如开箱检验不在合同货物交付时进行，买方应在开箱检验3日前将开箱检验的时间和地点通知卖方。</w:t>
      </w:r>
    </w:p>
    <w:p w14:paraId="6F7589C1">
      <w:pPr>
        <w:spacing w:line="360" w:lineRule="auto"/>
        <w:ind w:firstLine="480" w:firstLineChars="200"/>
        <w:rPr>
          <w:rFonts w:hAnsi="宋体" w:cs="宋体"/>
          <w:highlight w:val="none"/>
        </w:rPr>
      </w:pPr>
      <w:r>
        <w:rPr>
          <w:rFonts w:hint="eastAsia" w:hAnsi="宋体" w:cs="宋体"/>
          <w:highlight w:val="none"/>
        </w:rPr>
        <w:t>6.1.2 除专用合同条款另有约定外，合同货物的开箱检验应在施工场地进行。</w:t>
      </w:r>
    </w:p>
    <w:p w14:paraId="6DAEDDA6">
      <w:pPr>
        <w:spacing w:line="360" w:lineRule="auto"/>
        <w:ind w:firstLine="480" w:firstLineChars="200"/>
        <w:rPr>
          <w:rFonts w:hAnsi="宋体" w:cs="宋体"/>
          <w:highlight w:val="none"/>
        </w:rPr>
      </w:pPr>
      <w:r>
        <w:rPr>
          <w:rFonts w:hint="eastAsia" w:hAnsi="宋体" w:cs="宋体"/>
          <w:highlight w:val="none"/>
        </w:rPr>
        <w:t>6.1.3 开箱检验由买卖双方共同进行，卖方应自负费用派遣代表到场参加开箱检验。</w:t>
      </w:r>
    </w:p>
    <w:p w14:paraId="485FF89C">
      <w:pPr>
        <w:spacing w:line="360" w:lineRule="auto"/>
        <w:ind w:firstLine="480" w:firstLineChars="200"/>
        <w:rPr>
          <w:rFonts w:hAnsi="宋体" w:cs="宋体"/>
          <w:highlight w:val="none"/>
        </w:rPr>
      </w:pPr>
      <w:r>
        <w:rPr>
          <w:rFonts w:hint="eastAsia" w:hAnsi="宋体" w:cs="宋体"/>
          <w:highlight w:val="none"/>
        </w:rPr>
        <w:t>6.1.4 在开箱检验中，买方和卖方应共同签署数量、外观检验报告，报告应列明检验结果，包括检验合格或发现的任何短缺、损坏或其他与合同约定不符的情形。</w:t>
      </w:r>
    </w:p>
    <w:p w14:paraId="477D56EA">
      <w:pPr>
        <w:spacing w:line="360" w:lineRule="auto"/>
        <w:ind w:firstLine="480" w:firstLineChars="200"/>
        <w:rPr>
          <w:rFonts w:hAnsi="宋体" w:cs="宋体"/>
          <w:highlight w:val="none"/>
        </w:rPr>
      </w:pPr>
      <w:r>
        <w:rPr>
          <w:rFonts w:hint="eastAsia" w:hAnsi="宋体" w:cs="宋体"/>
          <w:highlight w:val="none"/>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6DC3689D">
      <w:pPr>
        <w:spacing w:line="360" w:lineRule="auto"/>
        <w:ind w:firstLine="480" w:firstLineChars="200"/>
        <w:rPr>
          <w:rFonts w:hAnsi="宋体" w:cs="宋体"/>
          <w:highlight w:val="none"/>
        </w:rPr>
      </w:pPr>
      <w:r>
        <w:rPr>
          <w:rFonts w:hint="eastAsia" w:hAnsi="宋体" w:cs="宋体"/>
          <w:highlight w:val="none"/>
        </w:rPr>
        <w:t>6.1.6 如开箱检验不在合同货物交付时进行，则合同货物交付以后到开箱检验之前，应由买方负责按交货时外包装原样对合同货物进行妥善保管。除专用合同条款另有约定外，在开箱检验时如果合同货物外包装与交货时一致，则开箱检验中发现的合同货物的短缺、损坏或其他与合同约定不符的情形，由卖方负责，卖方应补齐、更换及采取其他补救措施。如果在开箱检验时合同货物外包装不是交货时的包装或虽是交货时的包装但与交货时不一致且出现很可能导致合同货物短缺或损坏的包装破损，则开箱检验中发现合同货物短缺、损坏或其他与合同约定不符的情形的风险，由买方承担，但买方能够证明是由于卖方原因或合同货物交付前非买方原因导致的除外。</w:t>
      </w:r>
    </w:p>
    <w:p w14:paraId="48E952A5">
      <w:pPr>
        <w:spacing w:line="360" w:lineRule="auto"/>
        <w:ind w:firstLine="480" w:firstLineChars="200"/>
        <w:rPr>
          <w:rFonts w:hAnsi="宋体" w:cs="宋体"/>
          <w:highlight w:val="none"/>
        </w:rPr>
      </w:pPr>
      <w:r>
        <w:rPr>
          <w:rFonts w:hint="eastAsia" w:hAnsi="宋体" w:cs="宋体"/>
          <w:highlight w:val="none"/>
        </w:rPr>
        <w:t>6.1.7 如双方在专用合同条款和（或）供货要求等合同文件中约定由第三方检测机构对合同货物进行开箱检验或在开箱检验过程中另行约定由第三方检验的，则第三方检测机构的检验结果对双方均具有约束力。</w:t>
      </w:r>
    </w:p>
    <w:p w14:paraId="28EFDD82">
      <w:pPr>
        <w:spacing w:line="360" w:lineRule="auto"/>
        <w:ind w:firstLine="420"/>
        <w:rPr>
          <w:rFonts w:hAnsi="宋体" w:cs="宋体"/>
          <w:highlight w:val="none"/>
        </w:rPr>
      </w:pPr>
      <w:r>
        <w:rPr>
          <w:rFonts w:hint="eastAsia" w:hAnsi="宋体" w:cs="宋体"/>
          <w:highlight w:val="none"/>
        </w:rPr>
        <w:t>6.1.8 开箱检验的检验结果不能对抗在合同货物的安装、调试、考核、验收中及质量保证期内发现的合同货物质</w:t>
      </w:r>
      <w:bookmarkStart w:id="671" w:name="_Toc27556"/>
      <w:r>
        <w:rPr>
          <w:rFonts w:hint="eastAsia" w:hAnsi="宋体" w:cs="宋体"/>
          <w:highlight w:val="none"/>
        </w:rPr>
        <w:t>量问题，也不</w:t>
      </w:r>
      <w:bookmarkEnd w:id="671"/>
      <w:r>
        <w:rPr>
          <w:rFonts w:hint="eastAsia" w:hAnsi="宋体" w:cs="宋体"/>
          <w:highlight w:val="none"/>
        </w:rPr>
        <w:t>能免除或影响卖方依照合同约定对买方负有的包括合同货物质量在内的任何义务或责任。</w:t>
      </w:r>
    </w:p>
    <w:p w14:paraId="159C3720">
      <w:pPr>
        <w:spacing w:line="360" w:lineRule="auto"/>
        <w:ind w:firstLine="137"/>
        <w:outlineLvl w:val="3"/>
        <w:rPr>
          <w:rFonts w:ascii="黑体" w:hAnsi="黑体" w:eastAsia="黑体" w:cs="黑体"/>
          <w:highlight w:val="none"/>
        </w:rPr>
      </w:pPr>
      <w:bookmarkStart w:id="672" w:name="_Toc482188749"/>
      <w:bookmarkStart w:id="673" w:name="_Toc501460758"/>
      <w:r>
        <w:rPr>
          <w:rFonts w:hint="eastAsia" w:ascii="黑体" w:hAnsi="黑体" w:eastAsia="黑体" w:cs="黑体"/>
          <w:highlight w:val="none"/>
        </w:rPr>
        <w:t>6.2 安装、调试</w:t>
      </w:r>
      <w:bookmarkEnd w:id="672"/>
      <w:bookmarkEnd w:id="673"/>
    </w:p>
    <w:p w14:paraId="64B7085D">
      <w:pPr>
        <w:spacing w:line="360" w:lineRule="auto"/>
        <w:ind w:firstLine="480" w:firstLineChars="200"/>
        <w:rPr>
          <w:rFonts w:hAnsi="宋体" w:cs="宋体"/>
          <w:highlight w:val="none"/>
        </w:rPr>
      </w:pPr>
      <w:r>
        <w:rPr>
          <w:rFonts w:hint="eastAsia" w:hAnsi="宋体" w:cs="宋体"/>
          <w:highlight w:val="none"/>
        </w:rPr>
        <w:t>6.2.1 开箱检验完成后，双方应对合同货物进行安装、调试，以使其具备考核的状态。安装、调试应按照专用合同条款约定的下列任一种方式进行：</w:t>
      </w:r>
    </w:p>
    <w:p w14:paraId="2CFCC367">
      <w:pPr>
        <w:spacing w:line="360" w:lineRule="auto"/>
        <w:ind w:firstLine="480" w:firstLineChars="200"/>
        <w:rPr>
          <w:rFonts w:hAnsi="宋体" w:cs="宋体"/>
          <w:highlight w:val="none"/>
        </w:rPr>
      </w:pPr>
      <w:r>
        <w:rPr>
          <w:rFonts w:hint="eastAsia" w:hAnsi="宋体" w:cs="宋体"/>
          <w:highlight w:val="none"/>
        </w:rPr>
        <w:t>（1）卖方按照合同约定完成合同货物的安装、调试工作；</w:t>
      </w:r>
    </w:p>
    <w:p w14:paraId="57F8FACF">
      <w:pPr>
        <w:spacing w:line="360" w:lineRule="auto"/>
        <w:ind w:firstLine="480" w:firstLineChars="200"/>
        <w:rPr>
          <w:rFonts w:hAnsi="宋体" w:cs="宋体"/>
          <w:highlight w:val="none"/>
        </w:rPr>
      </w:pPr>
      <w:r>
        <w:rPr>
          <w:rFonts w:hint="eastAsia" w:hAnsi="宋体" w:cs="宋体"/>
          <w:highlight w:val="none"/>
        </w:rPr>
        <w:t>（2）买方或买方安排第三方负责合同货物的安装、调试工作，卖方提供技术服务。</w:t>
      </w:r>
    </w:p>
    <w:p w14:paraId="2FD5FF01">
      <w:pPr>
        <w:spacing w:line="360" w:lineRule="auto"/>
        <w:ind w:firstLine="480" w:firstLineChars="200"/>
        <w:rPr>
          <w:rFonts w:hAnsi="宋体" w:cs="宋体"/>
          <w:highlight w:val="none"/>
          <w:lang w:val="zh-CN"/>
        </w:rPr>
      </w:pPr>
      <w:r>
        <w:rPr>
          <w:rFonts w:hint="eastAsia" w:hAnsi="宋体" w:cs="宋体"/>
          <w:highlight w:val="none"/>
        </w:rPr>
        <w:t>除专用合同条款另有约定外，</w:t>
      </w:r>
      <w:r>
        <w:rPr>
          <w:rFonts w:hint="eastAsia" w:hAnsi="宋体" w:cs="宋体"/>
          <w:highlight w:val="none"/>
          <w:lang w:val="zh-CN"/>
        </w:rPr>
        <w:t>在安装、调试过程中，如由于买方</w:t>
      </w:r>
      <w:r>
        <w:rPr>
          <w:rFonts w:hint="eastAsia" w:hAnsi="宋体" w:cs="宋体"/>
          <w:highlight w:val="none"/>
        </w:rPr>
        <w:t>或买方安排的第三方</w:t>
      </w:r>
      <w:r>
        <w:rPr>
          <w:rFonts w:hint="eastAsia" w:hAnsi="宋体" w:cs="宋体"/>
          <w:highlight w:val="none"/>
          <w:lang w:val="zh-CN"/>
        </w:rPr>
        <w:t>未按照卖方现场服务人员的指导导致安装、调试不成功和（或）出现合同货物损坏，买方应自行承担责任。如在买方</w:t>
      </w:r>
      <w:r>
        <w:rPr>
          <w:rFonts w:hint="eastAsia" w:hAnsi="宋体" w:cs="宋体"/>
          <w:highlight w:val="none"/>
        </w:rPr>
        <w:t>或买方安排的第三方</w:t>
      </w:r>
      <w:r>
        <w:rPr>
          <w:rFonts w:hint="eastAsia" w:hAnsi="宋体" w:cs="宋体"/>
          <w:highlight w:val="none"/>
          <w:lang w:val="zh-CN"/>
        </w:rPr>
        <w:t>按照卖方现场服务人员的指导进行安装、调试的情况下出现安装、调试不成功和（或）</w:t>
      </w:r>
      <w:r>
        <w:rPr>
          <w:rFonts w:hint="eastAsia" w:hAnsi="宋体" w:cs="宋体"/>
          <w:highlight w:val="none"/>
        </w:rPr>
        <w:t>造成</w:t>
      </w:r>
      <w:r>
        <w:rPr>
          <w:rFonts w:hint="eastAsia" w:hAnsi="宋体" w:cs="宋体"/>
          <w:highlight w:val="none"/>
          <w:lang w:val="zh-CN"/>
        </w:rPr>
        <w:t>合同货物损坏的情况，卖方应承担责任。</w:t>
      </w:r>
    </w:p>
    <w:p w14:paraId="60CAA3EE">
      <w:pPr>
        <w:spacing w:line="360" w:lineRule="auto"/>
        <w:ind w:firstLine="480" w:firstLineChars="200"/>
        <w:rPr>
          <w:rFonts w:hAnsi="宋体" w:cs="宋体"/>
          <w:highlight w:val="none"/>
          <w:lang w:val="zh-CN"/>
        </w:rPr>
      </w:pPr>
      <w:r>
        <w:rPr>
          <w:rFonts w:hint="eastAsia" w:hAnsi="宋体" w:cs="宋体"/>
          <w:highlight w:val="none"/>
          <w:lang w:val="zh-CN"/>
        </w:rPr>
        <w:t xml:space="preserve">6.2.2 </w:t>
      </w:r>
      <w:r>
        <w:rPr>
          <w:rFonts w:hint="eastAsia" w:hAnsi="宋体" w:cs="宋体"/>
          <w:highlight w:val="none"/>
        </w:rPr>
        <w:t>除专用合同条款另有约定外，安装、调试中合同货物运行需要的用水、用电、其他动力和原材料（如需要）等均由买方承担。</w:t>
      </w:r>
    </w:p>
    <w:p w14:paraId="0036A638">
      <w:pPr>
        <w:spacing w:line="360" w:lineRule="auto"/>
        <w:ind w:firstLine="480" w:firstLineChars="200"/>
        <w:rPr>
          <w:rFonts w:hAnsi="宋体" w:cs="宋体"/>
          <w:highlight w:val="none"/>
        </w:rPr>
      </w:pPr>
      <w:r>
        <w:rPr>
          <w:rFonts w:hint="eastAsia" w:hAnsi="宋体" w:cs="宋体"/>
          <w:highlight w:val="none"/>
        </w:rPr>
        <w:t>6.2.3 双方应对合同货物的安装、调试情况共同及时进行记录。</w:t>
      </w:r>
    </w:p>
    <w:p w14:paraId="145B4F75">
      <w:pPr>
        <w:spacing w:line="360" w:lineRule="auto"/>
        <w:ind w:firstLine="137"/>
        <w:outlineLvl w:val="3"/>
        <w:rPr>
          <w:rFonts w:ascii="黑体" w:hAnsi="黑体" w:eastAsia="黑体" w:cs="黑体"/>
          <w:highlight w:val="none"/>
        </w:rPr>
      </w:pPr>
      <w:bookmarkStart w:id="674" w:name="_Toc482188750"/>
      <w:bookmarkStart w:id="675" w:name="_Toc501460759"/>
      <w:r>
        <w:rPr>
          <w:rFonts w:hint="eastAsia" w:ascii="黑体" w:hAnsi="黑体" w:eastAsia="黑体" w:cs="黑体"/>
          <w:highlight w:val="none"/>
        </w:rPr>
        <w:t>6.3 考核</w:t>
      </w:r>
      <w:bookmarkEnd w:id="674"/>
      <w:bookmarkEnd w:id="675"/>
    </w:p>
    <w:p w14:paraId="690CD8ED">
      <w:pPr>
        <w:spacing w:line="360" w:lineRule="auto"/>
        <w:ind w:firstLine="480" w:firstLineChars="200"/>
        <w:rPr>
          <w:rFonts w:hAnsi="宋体" w:cs="宋体"/>
          <w:highlight w:val="none"/>
        </w:rPr>
      </w:pPr>
      <w:r>
        <w:rPr>
          <w:rFonts w:hint="eastAsia" w:hAnsi="宋体" w:cs="宋体"/>
          <w:highlight w:val="none"/>
        </w:rPr>
        <w:t>6.3.1 安装、调试完成后，双方应对合同货物进行</w:t>
      </w:r>
      <w:bookmarkStart w:id="676" w:name="_Toc6658"/>
      <w:r>
        <w:rPr>
          <w:rFonts w:hint="eastAsia" w:hAnsi="宋体" w:cs="宋体"/>
          <w:highlight w:val="none"/>
        </w:rPr>
        <w:t>考核，以确定合同货物是否达到合同约定的</w:t>
      </w:r>
      <w:bookmarkEnd w:id="676"/>
      <w:bookmarkStart w:id="677" w:name="_Toc18466"/>
      <w:r>
        <w:rPr>
          <w:rFonts w:hint="eastAsia" w:hAnsi="宋体" w:cs="宋体"/>
          <w:highlight w:val="none"/>
        </w:rPr>
        <w:t>技术性能考核指标。除专用合同条款另有约定外，考核中合同货物运行需要的用水、用电、其他动力和原材料（如需要）等均由买方承担。</w:t>
      </w:r>
    </w:p>
    <w:p w14:paraId="6AD8DBC4">
      <w:pPr>
        <w:spacing w:line="360" w:lineRule="auto"/>
        <w:ind w:firstLine="480" w:firstLineChars="200"/>
        <w:rPr>
          <w:rFonts w:hAnsi="宋体" w:cs="宋体"/>
          <w:highlight w:val="none"/>
        </w:rPr>
      </w:pPr>
      <w:r>
        <w:rPr>
          <w:rFonts w:hint="eastAsia" w:hAnsi="宋体" w:cs="宋体"/>
          <w:highlight w:val="none"/>
        </w:rPr>
        <w:t>6.3.2</w:t>
      </w:r>
      <w:bookmarkEnd w:id="677"/>
      <w:r>
        <w:rPr>
          <w:rFonts w:hint="eastAsia" w:hAnsi="宋体" w:cs="宋体"/>
          <w:highlight w:val="none"/>
        </w:rPr>
        <w:t xml:space="preserve"> 如由于卖方原因合同货物在考核中未能达到合同约定的技术性能考核指标，则卖方应在双方同意的期限内采取措施消除合同货物中存在的缺陷，并在缺陷消除以后，尽快进行再次考核。</w:t>
      </w:r>
    </w:p>
    <w:p w14:paraId="1C89BCCE">
      <w:pPr>
        <w:spacing w:line="360" w:lineRule="auto"/>
        <w:ind w:firstLine="480" w:firstLineChars="200"/>
        <w:rPr>
          <w:rFonts w:hAnsi="宋体" w:cs="宋体"/>
          <w:highlight w:val="none"/>
        </w:rPr>
      </w:pPr>
      <w:r>
        <w:rPr>
          <w:rFonts w:hint="eastAsia" w:hAnsi="宋体" w:cs="宋体"/>
          <w:highlight w:val="none"/>
        </w:rPr>
        <w:t>6.3.3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货物的最低技术性能考核指标，且合同货物达到了最低技术性能考核指标的，视为合同货物已达到技术性能考核指标，买方无权解除合同，且应接受合同货物，但卖方应按专用合同条款的约定进行减价或向买方支付补偿金。</w:t>
      </w:r>
    </w:p>
    <w:p w14:paraId="522D824A">
      <w:pPr>
        <w:spacing w:line="360" w:lineRule="auto"/>
        <w:ind w:firstLine="480" w:firstLineChars="200"/>
        <w:rPr>
          <w:rFonts w:hAnsi="宋体" w:cs="宋体"/>
          <w:highlight w:val="none"/>
        </w:rPr>
      </w:pPr>
      <w:r>
        <w:rPr>
          <w:rFonts w:hint="eastAsia" w:hAnsi="宋体" w:cs="宋体"/>
          <w:highlight w:val="none"/>
        </w:rPr>
        <w:t>6.3.4 如由于买方原因合同货物在考核中未能达到合同约定的技术性能考核指标，则卖方应协助买方安排再次考核。由于买方原因未能达到技术性能考核指标时，为买方进行考核的机会不超过三次。</w:t>
      </w:r>
    </w:p>
    <w:p w14:paraId="3C106F3C">
      <w:pPr>
        <w:spacing w:line="360" w:lineRule="auto"/>
        <w:ind w:firstLine="480" w:firstLineChars="200"/>
        <w:rPr>
          <w:rFonts w:hAnsi="宋体" w:cs="宋体"/>
          <w:highlight w:val="none"/>
        </w:rPr>
      </w:pPr>
      <w:r>
        <w:rPr>
          <w:rFonts w:hint="eastAsia" w:hAnsi="宋体" w:cs="宋体"/>
          <w:highlight w:val="none"/>
        </w:rPr>
        <w:t>6.3.5 考核期间，双方应及时共同记录合同货物的用水、用电、其他动力和原材料（如有）的使用及货物考核情况。对于未达到技术性能考核指标的，应如实记录货物表现、可能原因及处理情况等。</w:t>
      </w:r>
    </w:p>
    <w:p w14:paraId="46DC70AB">
      <w:pPr>
        <w:spacing w:line="360" w:lineRule="auto"/>
        <w:ind w:firstLine="137"/>
        <w:outlineLvl w:val="3"/>
        <w:rPr>
          <w:rFonts w:ascii="黑体" w:hAnsi="黑体" w:eastAsia="黑体" w:cs="黑体"/>
          <w:highlight w:val="none"/>
        </w:rPr>
      </w:pPr>
      <w:bookmarkStart w:id="678" w:name="_Toc482188751"/>
      <w:bookmarkStart w:id="679" w:name="_Toc501460760"/>
      <w:r>
        <w:rPr>
          <w:rFonts w:hint="eastAsia" w:ascii="黑体" w:hAnsi="黑体" w:eastAsia="黑体" w:cs="黑体"/>
          <w:highlight w:val="none"/>
        </w:rPr>
        <w:t>6.4 验收</w:t>
      </w:r>
      <w:bookmarkEnd w:id="678"/>
      <w:bookmarkEnd w:id="679"/>
    </w:p>
    <w:p w14:paraId="5BB491AA">
      <w:pPr>
        <w:spacing w:line="360" w:lineRule="auto"/>
        <w:ind w:firstLine="480" w:firstLineChars="200"/>
        <w:rPr>
          <w:rFonts w:hAnsi="宋体" w:cs="宋体"/>
          <w:highlight w:val="none"/>
        </w:rPr>
      </w:pPr>
      <w:r>
        <w:rPr>
          <w:rFonts w:hint="eastAsia" w:hAnsi="宋体" w:cs="宋体"/>
          <w:highlight w:val="none"/>
        </w:rPr>
        <w:t>6.4.1 如合同货物在考核中达到或视为达到技术性能考核指标，则买卖双方应在考核完成后7日内或专用合同条款另行约定的时间内签署合同货物验收证书一式二份，双方各持一份。验收日期应为合同货物达到或视为达到技术性能考核指标的日期。</w:t>
      </w:r>
    </w:p>
    <w:p w14:paraId="1C172301">
      <w:pPr>
        <w:spacing w:line="360" w:lineRule="auto"/>
        <w:ind w:firstLine="480" w:firstLineChars="200"/>
        <w:rPr>
          <w:rFonts w:hAnsi="宋体" w:cs="宋体"/>
          <w:highlight w:val="none"/>
        </w:rPr>
      </w:pPr>
      <w:r>
        <w:rPr>
          <w:rFonts w:hint="eastAsia" w:hAnsi="宋体" w:cs="宋体"/>
          <w:highlight w:val="none"/>
        </w:rPr>
        <w:t>6.4.2 如由于买方原因合同货物在三次考核中均未能达到技术性能考核指标，买卖双方应在考核结束后7日内或专用合同条款另行约定的时间内签署</w:t>
      </w:r>
      <w:r>
        <w:rPr>
          <w:rStyle w:val="65"/>
          <w:rFonts w:hint="eastAsia" w:hAnsi="宋体" w:cs="宋体"/>
          <w:sz w:val="24"/>
          <w:highlight w:val="none"/>
        </w:rPr>
        <w:t>验收款支付函</w:t>
      </w:r>
      <w:r>
        <w:rPr>
          <w:rFonts w:hint="eastAsia" w:hAnsi="宋体" w:cs="宋体"/>
          <w:highlight w:val="none"/>
        </w:rPr>
        <w:t>。</w:t>
      </w:r>
    </w:p>
    <w:p w14:paraId="026AC9D8">
      <w:pPr>
        <w:spacing w:line="360" w:lineRule="auto"/>
        <w:ind w:firstLine="480" w:firstLineChars="200"/>
        <w:rPr>
          <w:rFonts w:hAnsi="宋体" w:cs="宋体"/>
          <w:highlight w:val="none"/>
        </w:rPr>
      </w:pPr>
      <w:r>
        <w:rPr>
          <w:rFonts w:hint="eastAsia" w:hAnsi="宋体" w:cs="宋体"/>
          <w:highlight w:val="none"/>
        </w:rPr>
        <w:t>除专用合同条款另有约定</w:t>
      </w:r>
      <w:bookmarkStart w:id="680" w:name="_Toc1157"/>
      <w:bookmarkStart w:id="681" w:name="_Toc369531639"/>
      <w:r>
        <w:rPr>
          <w:rFonts w:hint="eastAsia" w:hAnsi="宋体" w:cs="宋体"/>
          <w:highlight w:val="none"/>
        </w:rPr>
        <w:t>外，卖方有义务在</w:t>
      </w:r>
      <w:bookmarkEnd w:id="680"/>
      <w:bookmarkEnd w:id="681"/>
      <w:r>
        <w:rPr>
          <w:rStyle w:val="65"/>
          <w:rFonts w:hint="eastAsia" w:hAnsi="宋体" w:cs="宋体"/>
          <w:sz w:val="24"/>
          <w:highlight w:val="none"/>
        </w:rPr>
        <w:t>验收款支付函</w:t>
      </w:r>
      <w:r>
        <w:rPr>
          <w:rFonts w:hint="eastAsia" w:hAnsi="宋体" w:cs="宋体"/>
          <w:highlight w:val="none"/>
        </w:rPr>
        <w:t>签署后12个月内应买方要求提供相关技术服务，协助买方采取一切必要措施使合同货物达到技术性能考核指标。买方应承</w:t>
      </w:r>
      <w:bookmarkStart w:id="682" w:name="_Toc25543"/>
      <w:r>
        <w:rPr>
          <w:rFonts w:hint="eastAsia" w:hAnsi="宋体" w:cs="宋体"/>
          <w:highlight w:val="none"/>
        </w:rPr>
        <w:t>担卖方因此产生的全部费用</w:t>
      </w:r>
      <w:bookmarkEnd w:id="682"/>
      <w:r>
        <w:rPr>
          <w:rFonts w:hint="eastAsia" w:hAnsi="宋体" w:cs="宋体"/>
          <w:highlight w:val="none"/>
        </w:rPr>
        <w:t>。</w:t>
      </w:r>
    </w:p>
    <w:p w14:paraId="774F45B2">
      <w:pPr>
        <w:spacing w:line="360" w:lineRule="auto"/>
        <w:ind w:firstLine="480" w:firstLineChars="200"/>
        <w:rPr>
          <w:rFonts w:hAnsi="宋体" w:cs="宋体"/>
          <w:highlight w:val="none"/>
        </w:rPr>
      </w:pPr>
      <w:r>
        <w:rPr>
          <w:rFonts w:hint="eastAsia" w:hAnsi="宋体" w:cs="宋体"/>
          <w:highlight w:val="none"/>
        </w:rPr>
        <w:t>在上述12个月的期限内，如合同货物经过考核达到或视为达到技术性能考核指标，则买卖双方应按照第6.4.1项的约定签署合同货物验收证书。</w:t>
      </w:r>
    </w:p>
    <w:p w14:paraId="48DB0D2E">
      <w:pPr>
        <w:spacing w:line="360" w:lineRule="auto"/>
        <w:ind w:firstLine="480" w:firstLineChars="200"/>
        <w:rPr>
          <w:rFonts w:hAnsi="宋体" w:cs="宋体"/>
          <w:szCs w:val="24"/>
          <w:highlight w:val="none"/>
        </w:rPr>
      </w:pPr>
      <w:r>
        <w:rPr>
          <w:rFonts w:hint="eastAsia" w:hAnsi="宋体" w:cs="宋体"/>
          <w:szCs w:val="24"/>
          <w:highlight w:val="none"/>
        </w:rPr>
        <w:t>6.4.3 除专用合同条款另有约定外，如由于买方原因在最后一批合同货物交货后6个月内未能开始考核，则买卖双方应在上述期限</w:t>
      </w:r>
      <w:bookmarkStart w:id="683" w:name="_Toc3766"/>
      <w:r>
        <w:rPr>
          <w:rFonts w:hint="eastAsia" w:hAnsi="宋体" w:cs="宋体"/>
          <w:szCs w:val="24"/>
          <w:highlight w:val="none"/>
        </w:rPr>
        <w:t>届满后7日内或专用合同条款另行约定的时间内签署验收款支付函。</w:t>
      </w:r>
      <w:bookmarkEnd w:id="683"/>
    </w:p>
    <w:p w14:paraId="256512DA">
      <w:pPr>
        <w:spacing w:line="360" w:lineRule="auto"/>
        <w:ind w:firstLine="480" w:firstLineChars="200"/>
        <w:rPr>
          <w:rFonts w:hAnsi="宋体" w:cs="宋体"/>
          <w:szCs w:val="24"/>
          <w:highlight w:val="none"/>
        </w:rPr>
      </w:pPr>
      <w:r>
        <w:rPr>
          <w:rFonts w:hint="eastAsia" w:hAnsi="宋体" w:cs="宋体"/>
          <w:szCs w:val="24"/>
          <w:highlight w:val="none"/>
        </w:rPr>
        <w:t>除专用合同条款另有约定外，卖方有义务在</w:t>
      </w:r>
      <w:r>
        <w:rPr>
          <w:rStyle w:val="65"/>
          <w:rFonts w:hint="eastAsia" w:hAnsi="宋体" w:cs="宋体"/>
          <w:sz w:val="24"/>
          <w:szCs w:val="24"/>
          <w:highlight w:val="none"/>
        </w:rPr>
        <w:t>验收款支付函</w:t>
      </w:r>
      <w:r>
        <w:rPr>
          <w:rFonts w:hint="eastAsia" w:hAnsi="宋体" w:cs="宋体"/>
          <w:szCs w:val="24"/>
          <w:highlight w:val="none"/>
        </w:rPr>
        <w:t>签署后6个月内应买方要求提供不超出合同范围的技术服务，协助买方采取一切必要措施使合同货物达到技术性能考核指标，且买方无需因此向卖方支付费用。</w:t>
      </w:r>
    </w:p>
    <w:p w14:paraId="0195D7D5">
      <w:pPr>
        <w:spacing w:line="360" w:lineRule="auto"/>
        <w:ind w:firstLine="480" w:firstLineChars="200"/>
        <w:rPr>
          <w:rFonts w:hAnsi="宋体" w:cs="宋体"/>
          <w:szCs w:val="24"/>
          <w:highlight w:val="none"/>
        </w:rPr>
      </w:pPr>
      <w:r>
        <w:rPr>
          <w:rFonts w:hint="eastAsia" w:hAnsi="宋体" w:cs="宋体"/>
          <w:szCs w:val="24"/>
          <w:highlight w:val="none"/>
        </w:rPr>
        <w:t>在上述6个月的期限内，如合同货物经过考核达到或视为达到技术性能考核指标，则买卖双方应按照第6.4.1项的约定签署合同货物验收证书。</w:t>
      </w:r>
    </w:p>
    <w:p w14:paraId="1EA4501E">
      <w:pPr>
        <w:spacing w:line="360" w:lineRule="auto"/>
        <w:ind w:firstLine="480" w:firstLineChars="200"/>
        <w:rPr>
          <w:rFonts w:hAnsi="宋体" w:cs="宋体"/>
          <w:szCs w:val="24"/>
          <w:highlight w:val="none"/>
        </w:rPr>
      </w:pPr>
      <w:r>
        <w:rPr>
          <w:rFonts w:hint="eastAsia" w:hAnsi="宋体" w:cs="宋体"/>
          <w:szCs w:val="24"/>
          <w:highlight w:val="none"/>
        </w:rPr>
        <w:t>6.4.4 在第6.4.2项和第6.4.3项情形下，卖方也可单方签署验收款支付函提交买方，如果买方在收到卖方签署的验收款支付函后14日内未向卖方提出书面异议，则验收款支付函自签署之日起生效。</w:t>
      </w:r>
    </w:p>
    <w:p w14:paraId="4B57188B">
      <w:pPr>
        <w:spacing w:line="360" w:lineRule="auto"/>
        <w:ind w:firstLine="480" w:firstLineChars="200"/>
        <w:rPr>
          <w:rFonts w:hAnsi="宋体" w:cs="宋体"/>
          <w:highlight w:val="none"/>
        </w:rPr>
      </w:pPr>
      <w:r>
        <w:rPr>
          <w:rFonts w:hint="eastAsia" w:hAnsi="宋体" w:cs="宋体"/>
          <w:highlight w:val="none"/>
        </w:rPr>
        <w:t>6.4.5合同货物验收证书的签署不能免除卖方在质量保证期内对合同货物应承担的保证责任。</w:t>
      </w:r>
    </w:p>
    <w:p w14:paraId="2AB65CD8">
      <w:pPr>
        <w:spacing w:line="360" w:lineRule="auto"/>
        <w:ind w:firstLine="137"/>
        <w:outlineLvl w:val="2"/>
        <w:rPr>
          <w:rFonts w:ascii="黑体" w:hAnsi="黑体" w:eastAsia="黑体" w:cs="黑体"/>
          <w:sz w:val="28"/>
          <w:szCs w:val="28"/>
          <w:highlight w:val="none"/>
        </w:rPr>
      </w:pPr>
      <w:bookmarkStart w:id="684" w:name="_Toc24965153"/>
      <w:bookmarkStart w:id="685" w:name="_Toc17100673"/>
      <w:bookmarkStart w:id="686" w:name="_Toc26700653"/>
      <w:bookmarkStart w:id="687" w:name="_Toc26721542"/>
      <w:bookmarkStart w:id="688" w:name="_Toc15753909"/>
      <w:bookmarkStart w:id="689" w:name="_Toc501460761"/>
      <w:bookmarkStart w:id="690" w:name="_Toc482188752"/>
      <w:bookmarkStart w:id="691" w:name="_Toc26700483"/>
      <w:bookmarkStart w:id="692" w:name="_Toc26721387"/>
      <w:r>
        <w:rPr>
          <w:rFonts w:hint="eastAsia" w:ascii="黑体" w:hAnsi="黑体" w:eastAsia="黑体" w:cs="黑体"/>
          <w:sz w:val="28"/>
          <w:szCs w:val="28"/>
          <w:highlight w:val="none"/>
        </w:rPr>
        <w:t>7. 技术服务</w:t>
      </w:r>
      <w:bookmarkEnd w:id="684"/>
      <w:bookmarkEnd w:id="685"/>
      <w:bookmarkEnd w:id="686"/>
      <w:bookmarkEnd w:id="687"/>
      <w:bookmarkEnd w:id="688"/>
      <w:bookmarkEnd w:id="689"/>
      <w:bookmarkEnd w:id="690"/>
      <w:bookmarkEnd w:id="691"/>
      <w:bookmarkEnd w:id="692"/>
    </w:p>
    <w:p w14:paraId="73C7EA5D">
      <w:pPr>
        <w:spacing w:line="360" w:lineRule="auto"/>
        <w:ind w:firstLine="480" w:firstLineChars="200"/>
        <w:rPr>
          <w:rFonts w:hAnsi="宋体" w:cs="宋体"/>
          <w:highlight w:val="none"/>
        </w:rPr>
      </w:pPr>
      <w:r>
        <w:rPr>
          <w:rFonts w:hint="eastAsia" w:hAnsi="宋体" w:cs="宋体"/>
          <w:highlight w:val="none"/>
        </w:rPr>
        <w:t>7.1 卖方应派遣技术熟练、称职的技术人员到施工场地为买方提供技术服务。卖方的技术服务应符合合同的约定。</w:t>
      </w:r>
    </w:p>
    <w:p w14:paraId="4DA2AAAE">
      <w:pPr>
        <w:spacing w:line="360" w:lineRule="auto"/>
        <w:ind w:firstLine="480" w:firstLineChars="200"/>
        <w:rPr>
          <w:rFonts w:hAnsi="宋体" w:cs="宋体"/>
          <w:highlight w:val="none"/>
        </w:rPr>
      </w:pPr>
      <w:r>
        <w:rPr>
          <w:rFonts w:hint="eastAsia" w:hAnsi="宋体" w:cs="宋体"/>
          <w:highlight w:val="none"/>
        </w:rPr>
        <w:t>7.2 买方应免费为卖方技术人员提供工作条件及便利，包括但不限于必要的办公场所、技术资料及出入许可等。除专用合同条款另有约定外，卖方技术人员的交通、食宿费用由卖方承担。</w:t>
      </w:r>
    </w:p>
    <w:p w14:paraId="788C08F4">
      <w:pPr>
        <w:spacing w:line="360" w:lineRule="auto"/>
        <w:ind w:firstLine="480" w:firstLineChars="200"/>
        <w:rPr>
          <w:rFonts w:hAnsi="宋体" w:cs="宋体"/>
          <w:highlight w:val="none"/>
        </w:rPr>
      </w:pPr>
      <w:r>
        <w:rPr>
          <w:rFonts w:hint="eastAsia" w:hAnsi="宋体" w:cs="宋体"/>
          <w:highlight w:val="none"/>
        </w:rPr>
        <w:t>7.3 卖方技术人员应遵守买方施工现场的各项规章制度和安全操作规程，并服从买方的现场管理。</w:t>
      </w:r>
    </w:p>
    <w:p w14:paraId="17B094C7">
      <w:pPr>
        <w:spacing w:line="360" w:lineRule="auto"/>
        <w:ind w:firstLine="480" w:firstLineChars="200"/>
        <w:rPr>
          <w:rFonts w:hAnsi="宋体" w:cs="宋体"/>
          <w:highlight w:val="none"/>
        </w:rPr>
      </w:pPr>
      <w:r>
        <w:rPr>
          <w:rFonts w:hint="eastAsia" w:hAnsi="宋体" w:cs="宋体"/>
          <w:highlight w:val="none"/>
        </w:rPr>
        <w:t>7.4 如果任何技术人员不合格，买方有权要求卖方撤换，因撤换而产生的费用应由卖方承担。在不影响技术服务并且征得买方同意的条件下，卖方也可自负费用更换其技术人员。</w:t>
      </w:r>
    </w:p>
    <w:p w14:paraId="5A260B7F">
      <w:pPr>
        <w:spacing w:line="360" w:lineRule="auto"/>
        <w:ind w:firstLine="137"/>
        <w:outlineLvl w:val="2"/>
        <w:rPr>
          <w:rFonts w:ascii="黑体" w:hAnsi="黑体" w:eastAsia="黑体" w:cs="黑体"/>
          <w:sz w:val="28"/>
          <w:szCs w:val="28"/>
          <w:highlight w:val="none"/>
        </w:rPr>
      </w:pPr>
      <w:bookmarkStart w:id="693" w:name="_Toc26700484"/>
      <w:bookmarkStart w:id="694" w:name="_Toc24965154"/>
      <w:bookmarkStart w:id="695" w:name="_Toc482188753"/>
      <w:bookmarkStart w:id="696" w:name="_Toc26721388"/>
      <w:bookmarkStart w:id="697" w:name="_Toc501460762"/>
      <w:bookmarkStart w:id="698" w:name="_Toc15753910"/>
      <w:bookmarkStart w:id="699" w:name="_Toc26700654"/>
      <w:bookmarkStart w:id="700" w:name="_Toc17100674"/>
      <w:bookmarkStart w:id="701" w:name="_Toc26721543"/>
      <w:r>
        <w:rPr>
          <w:rFonts w:hint="eastAsia" w:ascii="黑体" w:hAnsi="黑体" w:eastAsia="黑体" w:cs="黑体"/>
          <w:sz w:val="28"/>
          <w:szCs w:val="28"/>
          <w:highlight w:val="none"/>
        </w:rPr>
        <w:t>8. 质量保证期</w:t>
      </w:r>
      <w:bookmarkEnd w:id="693"/>
      <w:bookmarkEnd w:id="694"/>
      <w:bookmarkEnd w:id="695"/>
      <w:bookmarkEnd w:id="696"/>
      <w:bookmarkEnd w:id="697"/>
      <w:bookmarkEnd w:id="698"/>
      <w:bookmarkEnd w:id="699"/>
      <w:bookmarkEnd w:id="700"/>
      <w:bookmarkEnd w:id="701"/>
    </w:p>
    <w:p w14:paraId="5DF8D8D4">
      <w:pPr>
        <w:spacing w:line="360" w:lineRule="auto"/>
        <w:ind w:firstLine="480" w:firstLineChars="200"/>
        <w:rPr>
          <w:rFonts w:hAnsi="宋体" w:cs="宋体"/>
          <w:szCs w:val="24"/>
          <w:highlight w:val="none"/>
        </w:rPr>
      </w:pPr>
      <w:bookmarkStart w:id="702" w:name="_Toc26721544"/>
      <w:bookmarkStart w:id="703" w:name="_Toc17100675"/>
      <w:bookmarkStart w:id="704" w:name="_Toc26700655"/>
      <w:bookmarkStart w:id="705" w:name="_Toc482188754"/>
      <w:bookmarkStart w:id="706" w:name="_Toc501460763"/>
      <w:bookmarkStart w:id="707" w:name="_Toc26700485"/>
      <w:bookmarkStart w:id="708" w:name="_Toc26721389"/>
      <w:bookmarkStart w:id="709" w:name="_Toc24965155"/>
      <w:bookmarkStart w:id="710" w:name="_Toc15753911"/>
      <w:r>
        <w:rPr>
          <w:rFonts w:hint="eastAsia" w:hAnsi="宋体" w:cs="宋体"/>
          <w:szCs w:val="24"/>
          <w:highlight w:val="none"/>
        </w:rPr>
        <w:t>8.1 除专用合同条款和（或）供货要求等合同文件另有约定外，合同货物整体质量保证期为验收之日起12个月。如对合同货物中关键部件的质量保证期有特殊要求的，买卖双方可在专用合同条款中约定。在合同第6.4.2项情形下，无论合同货物何时验收，其质量保证期最长为签署</w:t>
      </w:r>
      <w:r>
        <w:rPr>
          <w:rStyle w:val="65"/>
          <w:rFonts w:hint="eastAsia" w:hAnsi="宋体" w:cs="宋体"/>
          <w:sz w:val="24"/>
          <w:szCs w:val="24"/>
          <w:highlight w:val="none"/>
        </w:rPr>
        <w:t>验收款支付函后12个月。</w:t>
      </w:r>
      <w:r>
        <w:rPr>
          <w:rFonts w:hint="eastAsia" w:hAnsi="宋体" w:cs="宋体"/>
          <w:szCs w:val="24"/>
          <w:highlight w:val="none"/>
        </w:rPr>
        <w:t>在合同第6.4.3项情形下，无论合同货物何时验收，其质量保证期最长为签署</w:t>
      </w:r>
      <w:r>
        <w:rPr>
          <w:rStyle w:val="65"/>
          <w:rFonts w:hint="eastAsia" w:hAnsi="宋体" w:cs="宋体"/>
          <w:sz w:val="24"/>
          <w:szCs w:val="24"/>
          <w:highlight w:val="none"/>
        </w:rPr>
        <w:t>验收款支付函后6个月。</w:t>
      </w:r>
    </w:p>
    <w:p w14:paraId="7CF8EEE5">
      <w:pPr>
        <w:spacing w:line="360" w:lineRule="auto"/>
        <w:ind w:firstLine="420"/>
        <w:rPr>
          <w:rFonts w:hAnsi="宋体" w:cs="宋体"/>
          <w:szCs w:val="24"/>
          <w:highlight w:val="none"/>
        </w:rPr>
      </w:pPr>
      <w:r>
        <w:rPr>
          <w:rFonts w:hint="eastAsia" w:hAnsi="宋体" w:cs="宋体"/>
          <w:szCs w:val="24"/>
          <w:highlight w:val="none"/>
        </w:rPr>
        <w:t>8.2 在质量保证期内如果合同货物出现故障，卖方应自负费用提供质保期服务，对相关合同货物进行修理或更换以消除故障。更换的合同货物和（或）关键部件的质量保证期应重新计算。但如果合同货物的故障是由于买方原因造成的，则对合同货物进行修理和更换的费用应由买方承担。</w:t>
      </w:r>
    </w:p>
    <w:p w14:paraId="5B35C545">
      <w:pPr>
        <w:spacing w:line="360" w:lineRule="auto"/>
        <w:ind w:firstLine="480" w:firstLineChars="200"/>
        <w:rPr>
          <w:rFonts w:hAnsi="宋体" w:cs="宋体"/>
          <w:szCs w:val="24"/>
          <w:highlight w:val="none"/>
        </w:rPr>
      </w:pPr>
      <w:r>
        <w:rPr>
          <w:rFonts w:hint="eastAsia" w:hAnsi="宋体" w:cs="宋体"/>
          <w:szCs w:val="24"/>
          <w:highlight w:val="none"/>
        </w:rPr>
        <w:t>8.3 质量保证期届满后，买方应在7日内或专用合同条款另行约定的时间内向卖方出具合同货物的质量保证期届满证书。</w:t>
      </w:r>
    </w:p>
    <w:p w14:paraId="69FA3ADF">
      <w:pPr>
        <w:spacing w:line="360" w:lineRule="auto"/>
        <w:ind w:firstLine="480" w:firstLineChars="200"/>
        <w:rPr>
          <w:rFonts w:hAnsi="宋体" w:cs="宋体"/>
          <w:szCs w:val="24"/>
          <w:highlight w:val="none"/>
        </w:rPr>
      </w:pPr>
      <w:r>
        <w:rPr>
          <w:rFonts w:hint="eastAsia" w:hAnsi="宋体" w:cs="宋体"/>
          <w:szCs w:val="24"/>
          <w:highlight w:val="none"/>
        </w:rPr>
        <w:t>8.4 在合同第6.4.2项情形下，如在</w:t>
      </w:r>
      <w:r>
        <w:rPr>
          <w:rStyle w:val="65"/>
          <w:rFonts w:hint="eastAsia" w:hAnsi="宋体" w:cs="宋体"/>
          <w:sz w:val="24"/>
          <w:szCs w:val="24"/>
          <w:highlight w:val="none"/>
        </w:rPr>
        <w:t>验收款支付函</w:t>
      </w:r>
      <w:r>
        <w:rPr>
          <w:rFonts w:hint="eastAsia" w:hAnsi="宋体" w:cs="宋体"/>
          <w:szCs w:val="24"/>
          <w:highlight w:val="none"/>
        </w:rPr>
        <w:t>签署后12个月内由于买方原因合同货物仍未能达到技术性能考核指标，则买卖双方应在该12个月届满后7日内或专用合同条款另行约定的时间内签署结清款支付函。</w:t>
      </w:r>
    </w:p>
    <w:p w14:paraId="4F1FDD88">
      <w:pPr>
        <w:spacing w:line="360" w:lineRule="auto"/>
        <w:ind w:firstLine="480" w:firstLineChars="200"/>
        <w:rPr>
          <w:rFonts w:hAnsi="宋体" w:cs="宋体"/>
          <w:szCs w:val="24"/>
          <w:highlight w:val="none"/>
        </w:rPr>
      </w:pPr>
      <w:r>
        <w:rPr>
          <w:rFonts w:hint="eastAsia" w:hAnsi="宋体" w:cs="宋体"/>
          <w:szCs w:val="24"/>
          <w:highlight w:val="none"/>
        </w:rPr>
        <w:t>8.5 在合同第6.4.3项情形下，如在</w:t>
      </w:r>
      <w:r>
        <w:rPr>
          <w:rStyle w:val="65"/>
          <w:rFonts w:hint="eastAsia" w:hAnsi="宋体" w:cs="宋体"/>
          <w:sz w:val="24"/>
          <w:szCs w:val="24"/>
          <w:highlight w:val="none"/>
        </w:rPr>
        <w:t>验收款支付函</w:t>
      </w:r>
      <w:r>
        <w:rPr>
          <w:rFonts w:hint="eastAsia" w:hAnsi="宋体" w:cs="宋体"/>
          <w:szCs w:val="24"/>
          <w:highlight w:val="none"/>
        </w:rPr>
        <w:t>签署后6个月内由于买方原因合同货物仍未进行考核或仍未达到技术性能考核指标，则买卖双方应在该6个月届满后7日内或专用合同条款另行约定的时间内签署结清款支付函。</w:t>
      </w:r>
    </w:p>
    <w:p w14:paraId="32AD847E">
      <w:pPr>
        <w:spacing w:line="360" w:lineRule="auto"/>
        <w:ind w:firstLine="480" w:firstLineChars="200"/>
        <w:rPr>
          <w:rFonts w:hAnsi="宋体" w:cs="宋体"/>
          <w:szCs w:val="24"/>
          <w:highlight w:val="none"/>
        </w:rPr>
      </w:pPr>
      <w:r>
        <w:rPr>
          <w:rFonts w:hint="eastAsia" w:hAnsi="宋体" w:cs="宋体"/>
          <w:szCs w:val="24"/>
          <w:highlight w:val="none"/>
        </w:rPr>
        <w:t>8.6 在第8.4款和第8.5款情形下，卖方也可单方签署结清款支付函提交买方，如果买方在收到卖方签署的结清款支付函后14日内未向卖方提出书面异议，则结清款支付函自签署之日起生效。</w:t>
      </w:r>
    </w:p>
    <w:p w14:paraId="11919BFC">
      <w:pPr>
        <w:spacing w:line="360" w:lineRule="auto"/>
        <w:ind w:firstLine="137"/>
        <w:outlineLvl w:val="2"/>
        <w:rPr>
          <w:rFonts w:ascii="黑体" w:hAnsi="黑体" w:eastAsia="黑体" w:cs="黑体"/>
          <w:sz w:val="28"/>
          <w:szCs w:val="28"/>
          <w:highlight w:val="none"/>
        </w:rPr>
      </w:pPr>
      <w:r>
        <w:rPr>
          <w:rFonts w:hint="eastAsia" w:ascii="黑体" w:hAnsi="黑体" w:eastAsia="黑体" w:cs="黑体"/>
          <w:sz w:val="28"/>
          <w:szCs w:val="28"/>
          <w:highlight w:val="none"/>
        </w:rPr>
        <w:t>9. 质保期服务</w:t>
      </w:r>
      <w:bookmarkEnd w:id="702"/>
      <w:bookmarkEnd w:id="703"/>
      <w:bookmarkEnd w:id="704"/>
      <w:bookmarkEnd w:id="705"/>
      <w:bookmarkEnd w:id="706"/>
      <w:bookmarkEnd w:id="707"/>
      <w:bookmarkEnd w:id="708"/>
      <w:bookmarkEnd w:id="709"/>
      <w:bookmarkEnd w:id="710"/>
    </w:p>
    <w:p w14:paraId="53BA75FA">
      <w:pPr>
        <w:spacing w:line="360" w:lineRule="auto"/>
        <w:ind w:firstLine="480" w:firstLineChars="200"/>
        <w:rPr>
          <w:rFonts w:hAnsi="宋体" w:cs="宋体"/>
          <w:highlight w:val="none"/>
        </w:rPr>
      </w:pPr>
      <w:r>
        <w:rPr>
          <w:rFonts w:hint="eastAsia" w:hAnsi="宋体" w:cs="宋体"/>
          <w:highlight w:val="none"/>
        </w:rPr>
        <w:t>9.1 卖方应为质保期服务配备充足的技术人员、工具和备件并保证提供的联系方式畅通。除专用合同条款和（或）供货要求等合同文件另有约定外，卖方应在收到买方通知后24小时内做出响应，如需卖方到合同货物现场，卖方应在收到买方通知后48小时内到达，并在到达后7日内解决合同货物的故障（重大故障除外）。如果卖方未在上述时间内作出响应，则买方有权自行或委托他人解决相关问题或查找和解决合同货物的故障，卖方应承担由此发生的全部费用。</w:t>
      </w:r>
    </w:p>
    <w:p w14:paraId="24031FA3">
      <w:pPr>
        <w:spacing w:line="360" w:lineRule="auto"/>
        <w:ind w:firstLine="480" w:firstLineChars="200"/>
        <w:rPr>
          <w:rFonts w:hAnsi="宋体" w:cs="宋体"/>
          <w:highlight w:val="none"/>
        </w:rPr>
      </w:pPr>
      <w:r>
        <w:rPr>
          <w:rFonts w:hint="eastAsia" w:hAnsi="宋体" w:cs="宋体"/>
          <w:highlight w:val="none"/>
        </w:rPr>
        <w:t>9.2 如卖方技术人员需到合同货物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4A8310C5">
      <w:pPr>
        <w:spacing w:line="360" w:lineRule="auto"/>
        <w:ind w:firstLine="480" w:firstLineChars="200"/>
        <w:rPr>
          <w:rFonts w:hAnsi="宋体" w:cs="宋体"/>
          <w:highlight w:val="none"/>
        </w:rPr>
      </w:pPr>
      <w:r>
        <w:rPr>
          <w:rFonts w:hint="eastAsia" w:hAnsi="宋体" w:cs="宋体"/>
          <w:highlight w:val="none"/>
        </w:rPr>
        <w:t>9.3 如果任何技术人员不合格，买方有权要求卖方撤换，因撤换而产生的费用应由卖方承担。在不影响质保期服务并且征得买方同意的条件下，卖方也可自负费用更换其技术人员。</w:t>
      </w:r>
    </w:p>
    <w:p w14:paraId="5089CD7A">
      <w:pPr>
        <w:spacing w:line="360" w:lineRule="auto"/>
        <w:ind w:firstLine="480" w:firstLineChars="200"/>
        <w:rPr>
          <w:rFonts w:hAnsi="宋体" w:cs="宋体"/>
          <w:highlight w:val="none"/>
        </w:rPr>
      </w:pPr>
      <w:r>
        <w:rPr>
          <w:rFonts w:hint="eastAsia" w:hAnsi="宋体" w:cs="宋体"/>
          <w:highlight w:val="none"/>
        </w:rPr>
        <w:t>9.4 除专用合同条款另有约定外，卖方应就在施工现场进行质保期服务的情况进行记录，记载合同货物故障发生的时间、原因及解决情况等，由买方签字确认，并在质量保证期结束后提交给买方。</w:t>
      </w:r>
    </w:p>
    <w:p w14:paraId="0807F5D8">
      <w:pPr>
        <w:spacing w:line="360" w:lineRule="auto"/>
        <w:outlineLvl w:val="2"/>
        <w:rPr>
          <w:rFonts w:ascii="黑体" w:hAnsi="黑体" w:eastAsia="黑体" w:cs="黑体"/>
          <w:sz w:val="28"/>
          <w:szCs w:val="28"/>
          <w:highlight w:val="none"/>
        </w:rPr>
      </w:pPr>
      <w:bookmarkStart w:id="711" w:name="_Toc482188755"/>
      <w:bookmarkStart w:id="712" w:name="_Toc26700486"/>
      <w:bookmarkStart w:id="713" w:name="_Toc26721545"/>
      <w:bookmarkStart w:id="714" w:name="_Toc26721390"/>
      <w:bookmarkStart w:id="715" w:name="_Toc501460764"/>
      <w:bookmarkStart w:id="716" w:name="_Toc26700656"/>
      <w:bookmarkStart w:id="717" w:name="_Toc24965156"/>
      <w:bookmarkStart w:id="718" w:name="_Toc17100676"/>
      <w:bookmarkStart w:id="719" w:name="_Toc15753912"/>
      <w:r>
        <w:rPr>
          <w:rFonts w:hint="eastAsia" w:ascii="黑体" w:hAnsi="黑体" w:eastAsia="黑体" w:cs="黑体"/>
          <w:sz w:val="28"/>
          <w:szCs w:val="28"/>
          <w:highlight w:val="none"/>
        </w:rPr>
        <w:t xml:space="preserve">10. </w:t>
      </w:r>
      <w:bookmarkEnd w:id="711"/>
      <w:r>
        <w:rPr>
          <w:rFonts w:hint="eastAsia" w:ascii="黑体" w:hAnsi="黑体" w:eastAsia="黑体" w:cs="黑体"/>
          <w:sz w:val="28"/>
          <w:szCs w:val="28"/>
          <w:highlight w:val="none"/>
        </w:rPr>
        <w:t>履约保证金</w:t>
      </w:r>
      <w:bookmarkEnd w:id="712"/>
      <w:bookmarkEnd w:id="713"/>
      <w:bookmarkEnd w:id="714"/>
      <w:bookmarkEnd w:id="715"/>
      <w:bookmarkEnd w:id="716"/>
      <w:bookmarkEnd w:id="717"/>
      <w:bookmarkEnd w:id="718"/>
      <w:bookmarkEnd w:id="719"/>
    </w:p>
    <w:p w14:paraId="64CBC41D">
      <w:pPr>
        <w:spacing w:line="360" w:lineRule="auto"/>
        <w:ind w:firstLine="480" w:firstLineChars="200"/>
        <w:rPr>
          <w:rFonts w:hAnsi="宋体" w:cs="宋体"/>
          <w:highlight w:val="none"/>
        </w:rPr>
      </w:pPr>
      <w:r>
        <w:rPr>
          <w:rFonts w:hint="eastAsia" w:hAnsi="宋体" w:cs="宋体"/>
          <w:highlight w:val="none"/>
        </w:rPr>
        <w:t>除专用合同条款另有约定外，履约保证金自合同生效之日起生效，在合同货物验收证书或</w:t>
      </w:r>
      <w:r>
        <w:rPr>
          <w:rStyle w:val="65"/>
          <w:rFonts w:hint="eastAsia" w:hAnsi="宋体" w:cs="宋体"/>
          <w:sz w:val="24"/>
          <w:highlight w:val="none"/>
        </w:rPr>
        <w:t>验收款支付函</w:t>
      </w:r>
      <w:r>
        <w:rPr>
          <w:rFonts w:hint="eastAsia" w:hAnsi="宋体" w:cs="宋体"/>
          <w:highlight w:val="none"/>
        </w:rPr>
        <w:t>签署之日起28日后失效。如果卖方不履行合同约定的义务或其履行不符合合同的约定，买方有权扣划相应金额的履约保证金。</w:t>
      </w:r>
    </w:p>
    <w:p w14:paraId="7173C126">
      <w:pPr>
        <w:spacing w:line="360" w:lineRule="auto"/>
        <w:ind w:firstLine="137"/>
        <w:outlineLvl w:val="2"/>
        <w:rPr>
          <w:rFonts w:ascii="黑体" w:hAnsi="黑体" w:eastAsia="黑体" w:cs="黑体"/>
          <w:sz w:val="28"/>
          <w:szCs w:val="28"/>
          <w:highlight w:val="none"/>
        </w:rPr>
      </w:pPr>
      <w:bookmarkStart w:id="720" w:name="_Toc15753913"/>
      <w:bookmarkStart w:id="721" w:name="_Toc501460765"/>
      <w:bookmarkStart w:id="722" w:name="_Toc26700487"/>
      <w:bookmarkStart w:id="723" w:name="_Toc482188756"/>
      <w:bookmarkStart w:id="724" w:name="_Toc26721546"/>
      <w:bookmarkStart w:id="725" w:name="_Toc24965157"/>
      <w:bookmarkStart w:id="726" w:name="_Toc26721391"/>
      <w:bookmarkStart w:id="727" w:name="_Toc26700657"/>
      <w:bookmarkStart w:id="728" w:name="_Toc17100677"/>
      <w:r>
        <w:rPr>
          <w:rFonts w:hint="eastAsia" w:ascii="黑体" w:hAnsi="黑体" w:eastAsia="黑体" w:cs="黑体"/>
          <w:sz w:val="28"/>
          <w:szCs w:val="28"/>
          <w:highlight w:val="none"/>
        </w:rPr>
        <w:t>11. 保证</w:t>
      </w:r>
      <w:bookmarkEnd w:id="720"/>
      <w:bookmarkEnd w:id="721"/>
      <w:bookmarkEnd w:id="722"/>
      <w:bookmarkEnd w:id="723"/>
      <w:bookmarkEnd w:id="724"/>
      <w:bookmarkEnd w:id="725"/>
      <w:bookmarkEnd w:id="726"/>
      <w:bookmarkEnd w:id="727"/>
      <w:bookmarkEnd w:id="728"/>
    </w:p>
    <w:p w14:paraId="5A14BA19">
      <w:pPr>
        <w:spacing w:line="360" w:lineRule="auto"/>
        <w:ind w:firstLine="480" w:firstLineChars="200"/>
        <w:rPr>
          <w:rFonts w:hAnsi="宋体" w:cs="宋体"/>
          <w:highlight w:val="none"/>
        </w:rPr>
      </w:pPr>
      <w:r>
        <w:rPr>
          <w:rFonts w:hint="eastAsia" w:hAnsi="宋体" w:cs="宋体"/>
          <w:highlight w:val="none"/>
        </w:rPr>
        <w:t>11.1 卖方保证其具有完全的能力履行本合同项下的全部义务。</w:t>
      </w:r>
    </w:p>
    <w:p w14:paraId="1D968762">
      <w:pPr>
        <w:spacing w:line="360" w:lineRule="auto"/>
        <w:ind w:firstLine="480" w:firstLineChars="200"/>
        <w:rPr>
          <w:rFonts w:hAnsi="宋体" w:cs="宋体"/>
          <w:highlight w:val="none"/>
        </w:rPr>
      </w:pPr>
      <w:r>
        <w:rPr>
          <w:rFonts w:hint="eastAsia" w:hAnsi="宋体" w:cs="宋体"/>
          <w:highlight w:val="none"/>
        </w:rPr>
        <w:t>11.2卖方保证其所提供的合同货物及对合同的履行符合所有应适用的法律、行政法规、地方性法规、自治条例和单行条例、规章及其他规范性文件的强制性规定。</w:t>
      </w:r>
    </w:p>
    <w:p w14:paraId="7DF7A5E6">
      <w:pPr>
        <w:spacing w:line="360" w:lineRule="auto"/>
        <w:ind w:firstLine="480" w:firstLineChars="200"/>
        <w:rPr>
          <w:rFonts w:hAnsi="宋体" w:cs="宋体"/>
          <w:highlight w:val="none"/>
        </w:rPr>
      </w:pPr>
      <w:r>
        <w:rPr>
          <w:rFonts w:hint="eastAsia" w:hAnsi="宋体" w:cs="宋体"/>
          <w:highlight w:val="none"/>
        </w:rPr>
        <w:t>11.3 卖方保证其对合同货物的销售不损害任何第三方的合法权益和社会公众利益。任何第三方不会因卖方原因而基于所有权、抵押权、</w:t>
      </w:r>
      <w:bookmarkStart w:id="729" w:name="_Toc22234"/>
      <w:r>
        <w:rPr>
          <w:rFonts w:hint="eastAsia" w:hAnsi="宋体" w:cs="宋体"/>
          <w:highlight w:val="none"/>
        </w:rPr>
        <w:t>留置权或其他任何权利或事由</w:t>
      </w:r>
      <w:bookmarkEnd w:id="729"/>
      <w:r>
        <w:rPr>
          <w:rFonts w:hint="eastAsia" w:hAnsi="宋体" w:cs="宋体"/>
          <w:highlight w:val="none"/>
        </w:rPr>
        <w:t>对合同货物主张权利。</w:t>
      </w:r>
    </w:p>
    <w:p w14:paraId="6AB0D913">
      <w:pPr>
        <w:spacing w:line="360" w:lineRule="auto"/>
        <w:ind w:firstLine="480" w:firstLineChars="200"/>
        <w:rPr>
          <w:rFonts w:hAnsi="宋体" w:cs="宋体"/>
          <w:highlight w:val="none"/>
        </w:rPr>
      </w:pPr>
      <w:r>
        <w:rPr>
          <w:rFonts w:hint="eastAsia" w:hAnsi="宋体" w:cs="宋体"/>
          <w:highlight w:val="none"/>
        </w:rPr>
        <w:t>11.4 卖方保证合同货物符合合同约定的规格、标准、技术性能考核指标等，能够安全和稳定地运行，且合同货物（包括全部部件）全新、完整、未使用过，除非专用合同条款和（或）供货要求等合同文件另有约定。</w:t>
      </w:r>
    </w:p>
    <w:p w14:paraId="1958F883">
      <w:pPr>
        <w:spacing w:line="360" w:lineRule="auto"/>
        <w:ind w:firstLine="480" w:firstLineChars="200"/>
        <w:rPr>
          <w:rFonts w:hAnsi="宋体" w:cs="宋体"/>
          <w:highlight w:val="none"/>
        </w:rPr>
      </w:pPr>
      <w:r>
        <w:rPr>
          <w:rFonts w:hint="eastAsia" w:hAnsi="宋体" w:cs="宋体"/>
          <w:highlight w:val="none"/>
        </w:rPr>
        <w:t>11.5 卖方保证，卖方所提供的技术资料完整、清晰、准确，符合合同约定并且能够满足合同货物的安装、调试、考核、操作以及维修和保养的需要。</w:t>
      </w:r>
    </w:p>
    <w:p w14:paraId="2B60DFF8">
      <w:pPr>
        <w:spacing w:line="360" w:lineRule="auto"/>
        <w:ind w:firstLine="480" w:firstLineChars="200"/>
        <w:rPr>
          <w:rFonts w:hAnsi="宋体" w:cs="宋体"/>
          <w:highlight w:val="none"/>
        </w:rPr>
      </w:pPr>
      <w:r>
        <w:rPr>
          <w:rFonts w:hint="eastAsia" w:hAnsi="宋体" w:cs="宋体"/>
          <w:highlight w:val="none"/>
        </w:rPr>
        <w:t>11.6 卖方保证合同范围内提供的备品备件能够满足合同货物在质量保证期结束前正常运行及维修的需要，如在质量保证期结束前因卖方原因出现备品备件短缺影响合同货物正常运行的，卖方应免费提供。</w:t>
      </w:r>
    </w:p>
    <w:p w14:paraId="0988FE65">
      <w:pPr>
        <w:spacing w:line="360" w:lineRule="auto"/>
        <w:ind w:firstLine="480" w:firstLineChars="200"/>
        <w:rPr>
          <w:rFonts w:hAnsi="宋体" w:cs="宋体"/>
          <w:highlight w:val="none"/>
        </w:rPr>
      </w:pPr>
      <w:r>
        <w:rPr>
          <w:rFonts w:hint="eastAsia" w:hAnsi="宋体" w:cs="宋体"/>
          <w:highlight w:val="none"/>
        </w:rPr>
        <w:t>11.7 除专用合同条款和（或）供货要求等合同文件另有约定外，如果在合同货物设计使用寿命期内发生合同项下备品备件停止生产的情况，卖方应事先将拟停止生产的计划通知买方，使买方有足够的时间考虑备品备件的需求量。根据买方要求，卖方应：</w:t>
      </w:r>
    </w:p>
    <w:p w14:paraId="7F68ED76">
      <w:pPr>
        <w:spacing w:line="360" w:lineRule="auto"/>
        <w:ind w:firstLine="480" w:firstLineChars="200"/>
        <w:rPr>
          <w:rFonts w:hAnsi="宋体" w:cs="宋体"/>
          <w:highlight w:val="none"/>
        </w:rPr>
      </w:pPr>
      <w:r>
        <w:rPr>
          <w:rFonts w:hint="eastAsia" w:hAnsi="宋体" w:cs="宋体"/>
          <w:highlight w:val="none"/>
        </w:rPr>
        <w:t>（1）以不高于同期市场价格或其向任何第三方销售同类产品的价格提供合同货物正常运行所需的全部备品备件；或</w:t>
      </w:r>
    </w:p>
    <w:p w14:paraId="3E1FA589">
      <w:pPr>
        <w:spacing w:line="360" w:lineRule="auto"/>
        <w:ind w:firstLine="480" w:firstLineChars="200"/>
        <w:rPr>
          <w:rFonts w:hAnsi="宋体" w:cs="宋体"/>
          <w:highlight w:val="none"/>
        </w:rPr>
      </w:pPr>
      <w:r>
        <w:rPr>
          <w:rFonts w:hint="eastAsia" w:hAnsi="宋体" w:cs="宋体"/>
          <w:highlight w:val="none"/>
        </w:rPr>
        <w:t>（2）免费提供可供买方或第三方制造停产备品备件所需的全部技术资料，以便买方持续获得上述备品备件以满足合同货物在寿命期内正常运行的需要。卖方保证买方或买方委托的第三方制造及买方使用这些备品备件不侵犯任何人的知识产权。</w:t>
      </w:r>
    </w:p>
    <w:p w14:paraId="104A6A0C">
      <w:pPr>
        <w:spacing w:line="360" w:lineRule="auto"/>
        <w:ind w:firstLine="480" w:firstLineChars="200"/>
        <w:rPr>
          <w:rFonts w:hAnsi="宋体" w:cs="宋体"/>
          <w:highlight w:val="none"/>
        </w:rPr>
      </w:pPr>
      <w:r>
        <w:rPr>
          <w:rFonts w:hint="eastAsia" w:hAnsi="宋体" w:cs="宋体"/>
          <w:highlight w:val="none"/>
        </w:rPr>
        <w:t>11.8 卖方保证，在合同货物设计使用寿命期内，如果卖方发现合同货物由于设计、制造、标识等原因存在足以危及人身、财产安全的缺陷，卖方将及时通知买方并及时采取修正或者补充标识、修理、更换等措施消除缺陷。</w:t>
      </w:r>
      <w:bookmarkStart w:id="730" w:name="_Toc6654"/>
    </w:p>
    <w:bookmarkEnd w:id="730"/>
    <w:p w14:paraId="61644312">
      <w:pPr>
        <w:spacing w:line="360" w:lineRule="auto"/>
        <w:ind w:firstLine="137"/>
        <w:outlineLvl w:val="2"/>
        <w:rPr>
          <w:rFonts w:ascii="黑体" w:hAnsi="黑体" w:eastAsia="黑体" w:cs="黑体"/>
          <w:sz w:val="28"/>
          <w:szCs w:val="28"/>
          <w:highlight w:val="none"/>
        </w:rPr>
      </w:pPr>
      <w:bookmarkStart w:id="731" w:name="_Toc17100678"/>
      <w:bookmarkStart w:id="732" w:name="_Toc482188757"/>
      <w:bookmarkStart w:id="733" w:name="_Toc15753914"/>
      <w:bookmarkStart w:id="734" w:name="_Toc26700658"/>
      <w:bookmarkStart w:id="735" w:name="_Toc24965158"/>
      <w:bookmarkStart w:id="736" w:name="_Toc26721547"/>
      <w:bookmarkStart w:id="737" w:name="_Toc501460766"/>
      <w:bookmarkStart w:id="738" w:name="_Toc26721392"/>
      <w:bookmarkStart w:id="739" w:name="_Toc26700488"/>
      <w:r>
        <w:rPr>
          <w:rFonts w:hint="eastAsia" w:ascii="黑体" w:hAnsi="黑体" w:eastAsia="黑体" w:cs="黑体"/>
          <w:sz w:val="28"/>
          <w:szCs w:val="28"/>
          <w:highlight w:val="none"/>
        </w:rPr>
        <w:t>12. 知识产权</w:t>
      </w:r>
      <w:bookmarkEnd w:id="731"/>
      <w:bookmarkEnd w:id="732"/>
      <w:bookmarkEnd w:id="733"/>
      <w:bookmarkEnd w:id="734"/>
      <w:bookmarkEnd w:id="735"/>
      <w:bookmarkEnd w:id="736"/>
      <w:bookmarkEnd w:id="737"/>
      <w:bookmarkEnd w:id="738"/>
      <w:bookmarkEnd w:id="739"/>
    </w:p>
    <w:p w14:paraId="4BA3D6F3">
      <w:pPr>
        <w:spacing w:line="360" w:lineRule="auto"/>
        <w:ind w:firstLine="480" w:firstLineChars="200"/>
        <w:rPr>
          <w:rFonts w:hAnsi="宋体" w:cs="宋体"/>
          <w:highlight w:val="none"/>
        </w:rPr>
      </w:pPr>
      <w:r>
        <w:rPr>
          <w:rFonts w:hint="eastAsia" w:hAnsi="宋体" w:cs="宋体"/>
          <w:highlight w:val="none"/>
        </w:rPr>
        <w:t>12.1 买方在履行合同过程中提供给卖方的全部图纸、文件和其他含有数据和信息的资料，其知识产权属于买方。</w:t>
      </w:r>
    </w:p>
    <w:p w14:paraId="0E956250">
      <w:pPr>
        <w:spacing w:line="360" w:lineRule="auto"/>
        <w:ind w:firstLine="480" w:firstLineChars="200"/>
        <w:rPr>
          <w:rFonts w:hAnsi="宋体" w:cs="宋体"/>
          <w:highlight w:val="none"/>
        </w:rPr>
      </w:pPr>
      <w:r>
        <w:rPr>
          <w:rFonts w:hint="eastAsia" w:hAnsi="宋体" w:cs="宋体"/>
          <w:highlight w:val="none"/>
        </w:rPr>
        <w:t xml:space="preserve">12.2 除专用合同条款另有约定外，买方不因签署和履行合同而享有卖方在履行合同过程中提供给买方的图纸、文件、配套软件、电子辅助程序和其他含有数据和信息的资料的知识产权。 </w:t>
      </w:r>
    </w:p>
    <w:p w14:paraId="1E462883">
      <w:pPr>
        <w:spacing w:line="360" w:lineRule="auto"/>
        <w:ind w:firstLine="480" w:firstLineChars="200"/>
        <w:rPr>
          <w:rFonts w:hAnsi="宋体" w:cs="宋体"/>
          <w:highlight w:val="none"/>
        </w:rPr>
      </w:pPr>
      <w:r>
        <w:rPr>
          <w:rFonts w:hint="eastAsia" w:hAnsi="宋体" w:cs="宋体"/>
          <w:highlight w:val="none"/>
        </w:rPr>
        <w:t>12.3 如合同货物涉及知识产权，则卖方保证买方在使用合同货物过程中免于受到第三方提出的有关知识产权侵权的主张、索赔或诉讼的伤害。</w:t>
      </w:r>
    </w:p>
    <w:p w14:paraId="1317ADD1">
      <w:pPr>
        <w:spacing w:line="360" w:lineRule="auto"/>
        <w:ind w:firstLine="480" w:firstLineChars="200"/>
        <w:rPr>
          <w:rFonts w:hAnsi="宋体" w:cs="宋体"/>
          <w:highlight w:val="none"/>
        </w:rPr>
      </w:pPr>
      <w:r>
        <w:rPr>
          <w:rFonts w:hint="eastAsia" w:hAnsi="宋体" w:cs="宋体"/>
          <w:highlight w:val="none"/>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14:paraId="5E97C3A5">
      <w:pPr>
        <w:spacing w:line="360" w:lineRule="auto"/>
        <w:ind w:firstLine="137"/>
        <w:outlineLvl w:val="2"/>
        <w:rPr>
          <w:rFonts w:ascii="黑体" w:hAnsi="黑体" w:eastAsia="黑体" w:cs="黑体"/>
          <w:sz w:val="28"/>
          <w:szCs w:val="28"/>
          <w:highlight w:val="none"/>
        </w:rPr>
      </w:pPr>
      <w:bookmarkStart w:id="740" w:name="_Toc24965159"/>
      <w:bookmarkStart w:id="741" w:name="_Toc26721393"/>
      <w:bookmarkStart w:id="742" w:name="_Toc26700489"/>
      <w:bookmarkStart w:id="743" w:name="_Toc26721548"/>
      <w:bookmarkStart w:id="744" w:name="_Toc482188758"/>
      <w:bookmarkStart w:id="745" w:name="_Toc26700659"/>
      <w:bookmarkStart w:id="746" w:name="_Toc17100679"/>
      <w:bookmarkStart w:id="747" w:name="_Toc501460767"/>
      <w:bookmarkStart w:id="748" w:name="_Toc15753915"/>
      <w:r>
        <w:rPr>
          <w:rFonts w:hint="eastAsia" w:ascii="黑体" w:hAnsi="黑体" w:eastAsia="黑体" w:cs="黑体"/>
          <w:sz w:val="28"/>
          <w:szCs w:val="28"/>
          <w:highlight w:val="none"/>
        </w:rPr>
        <w:t>13. 保密</w:t>
      </w:r>
      <w:bookmarkEnd w:id="740"/>
      <w:bookmarkEnd w:id="741"/>
      <w:bookmarkEnd w:id="742"/>
      <w:bookmarkEnd w:id="743"/>
      <w:bookmarkEnd w:id="744"/>
      <w:bookmarkEnd w:id="745"/>
      <w:bookmarkEnd w:id="746"/>
      <w:bookmarkEnd w:id="747"/>
      <w:bookmarkEnd w:id="748"/>
    </w:p>
    <w:p w14:paraId="3DB6DA67">
      <w:pPr>
        <w:spacing w:line="360" w:lineRule="auto"/>
        <w:ind w:firstLine="480" w:firstLineChars="200"/>
        <w:rPr>
          <w:rFonts w:hAnsi="宋体" w:cs="宋体"/>
          <w:highlight w:val="none"/>
        </w:rPr>
      </w:pPr>
      <w:r>
        <w:rPr>
          <w:rFonts w:hint="eastAsia" w:hAnsi="宋体" w:cs="宋体"/>
          <w:highlight w:val="none"/>
        </w:rPr>
        <w:t>合同双方应对因履行合同而取得的另一方当事人的信息、资料等予以保密。未经另一方当事人书面同意，任何一方均不得为与履行合同无关的目的使用或向第三方披露另一方当事人提供的信息、资料。</w:t>
      </w:r>
    </w:p>
    <w:p w14:paraId="6E395221">
      <w:pPr>
        <w:spacing w:line="360" w:lineRule="auto"/>
        <w:ind w:firstLine="480" w:firstLineChars="200"/>
        <w:rPr>
          <w:rFonts w:hAnsi="宋体" w:cs="宋体"/>
          <w:highlight w:val="none"/>
        </w:rPr>
      </w:pPr>
      <w:r>
        <w:rPr>
          <w:rFonts w:hint="eastAsia" w:hAnsi="宋体" w:cs="宋体"/>
          <w:highlight w:val="none"/>
        </w:rPr>
        <w:t>合同当事人的保密义务不适用于下列信息：</w:t>
      </w:r>
    </w:p>
    <w:p w14:paraId="4EDC1BE7">
      <w:pPr>
        <w:numPr>
          <w:ilvl w:val="0"/>
          <w:numId w:val="5"/>
        </w:numPr>
        <w:spacing w:line="360" w:lineRule="auto"/>
        <w:ind w:firstLine="480" w:firstLineChars="200"/>
        <w:rPr>
          <w:rFonts w:hAnsi="宋体" w:cs="宋体"/>
          <w:highlight w:val="none"/>
        </w:rPr>
      </w:pPr>
      <w:r>
        <w:rPr>
          <w:rFonts w:hint="eastAsia" w:hAnsi="宋体" w:cs="宋体"/>
          <w:highlight w:val="none"/>
        </w:rPr>
        <w:t>非因接受信息一方的过失现在或以后进入公共领域的信息；</w:t>
      </w:r>
    </w:p>
    <w:p w14:paraId="474AF1DA">
      <w:pPr>
        <w:spacing w:line="360" w:lineRule="auto"/>
        <w:ind w:firstLine="480" w:firstLineChars="200"/>
        <w:rPr>
          <w:rFonts w:hAnsi="宋体" w:cs="宋体"/>
          <w:highlight w:val="none"/>
        </w:rPr>
      </w:pPr>
      <w:r>
        <w:rPr>
          <w:rFonts w:hint="eastAsia" w:hAnsi="宋体" w:cs="宋体"/>
          <w:highlight w:val="none"/>
        </w:rPr>
        <w:t>（2）接受信息一方当事人合法地从第三方获得并且据其善意了解第三方也不对此承担保密义务的信息；</w:t>
      </w:r>
    </w:p>
    <w:p w14:paraId="190403F4">
      <w:pPr>
        <w:spacing w:line="360" w:lineRule="auto"/>
        <w:ind w:firstLine="480" w:firstLineChars="200"/>
        <w:rPr>
          <w:rFonts w:hAnsi="宋体" w:cs="宋体"/>
          <w:highlight w:val="none"/>
        </w:rPr>
      </w:pPr>
      <w:r>
        <w:rPr>
          <w:rFonts w:hint="eastAsia" w:hAnsi="宋体" w:cs="宋体"/>
          <w:highlight w:val="none"/>
        </w:rPr>
        <w:t>（3）法律或法律的执行要求披露的信息。</w:t>
      </w:r>
    </w:p>
    <w:p w14:paraId="59B15647">
      <w:pPr>
        <w:spacing w:line="360" w:lineRule="auto"/>
        <w:ind w:firstLine="137"/>
        <w:outlineLvl w:val="2"/>
        <w:rPr>
          <w:rFonts w:ascii="黑体" w:hAnsi="黑体" w:eastAsia="黑体" w:cs="黑体"/>
          <w:sz w:val="28"/>
          <w:szCs w:val="28"/>
          <w:highlight w:val="none"/>
        </w:rPr>
      </w:pPr>
      <w:bookmarkStart w:id="749" w:name="_Toc501460768"/>
      <w:bookmarkStart w:id="750" w:name="_Toc26721394"/>
      <w:bookmarkStart w:id="751" w:name="_Toc17100680"/>
      <w:bookmarkStart w:id="752" w:name="_Toc26700660"/>
      <w:bookmarkStart w:id="753" w:name="_Toc15753916"/>
      <w:bookmarkStart w:id="754" w:name="_Toc26700490"/>
      <w:bookmarkStart w:id="755" w:name="_Toc24965160"/>
      <w:bookmarkStart w:id="756" w:name="_Toc26721549"/>
      <w:bookmarkStart w:id="757" w:name="_Toc482188759"/>
      <w:r>
        <w:rPr>
          <w:rFonts w:hint="eastAsia" w:ascii="黑体" w:hAnsi="黑体" w:eastAsia="黑体" w:cs="黑体"/>
          <w:sz w:val="28"/>
          <w:szCs w:val="28"/>
          <w:highlight w:val="none"/>
        </w:rPr>
        <w:t>14. 违约责任</w:t>
      </w:r>
      <w:bookmarkEnd w:id="749"/>
      <w:bookmarkEnd w:id="750"/>
      <w:bookmarkEnd w:id="751"/>
      <w:bookmarkEnd w:id="752"/>
      <w:bookmarkEnd w:id="753"/>
      <w:bookmarkEnd w:id="754"/>
      <w:bookmarkEnd w:id="755"/>
      <w:bookmarkEnd w:id="756"/>
      <w:bookmarkEnd w:id="757"/>
    </w:p>
    <w:p w14:paraId="2902538D">
      <w:pPr>
        <w:spacing w:line="360" w:lineRule="auto"/>
        <w:ind w:firstLine="480" w:firstLineChars="200"/>
        <w:rPr>
          <w:rFonts w:hAnsi="宋体" w:cs="宋体"/>
          <w:highlight w:val="none"/>
        </w:rPr>
      </w:pPr>
      <w:r>
        <w:rPr>
          <w:rFonts w:hint="eastAsia" w:hAnsi="宋体" w:cs="宋体"/>
          <w:highlight w:val="none"/>
        </w:rPr>
        <w:t>14.1合同一方不履行合同义务、履行合同义务不符合约定或者违反合同项下所作保证的，应向对方承担继续履行、采取修理、更换、退货等补救措施或者赔偿损失等违约责任。</w:t>
      </w:r>
    </w:p>
    <w:p w14:paraId="3232A80B">
      <w:pPr>
        <w:spacing w:line="360" w:lineRule="auto"/>
        <w:ind w:firstLine="480" w:firstLineChars="200"/>
        <w:rPr>
          <w:rFonts w:hAnsi="宋体" w:cs="宋体"/>
          <w:szCs w:val="24"/>
          <w:highlight w:val="none"/>
        </w:rPr>
      </w:pPr>
      <w:bookmarkStart w:id="758" w:name="_Toc501460769"/>
      <w:bookmarkStart w:id="759" w:name="_Toc26721395"/>
      <w:bookmarkStart w:id="760" w:name="_Toc26700661"/>
      <w:bookmarkStart w:id="761" w:name="_Toc17100681"/>
      <w:bookmarkStart w:id="762" w:name="_Toc482188760"/>
      <w:bookmarkStart w:id="763" w:name="_Toc26721550"/>
      <w:bookmarkStart w:id="764" w:name="_Toc15753917"/>
      <w:bookmarkStart w:id="765" w:name="_Toc26700491"/>
      <w:bookmarkStart w:id="766" w:name="_Toc24965161"/>
      <w:r>
        <w:rPr>
          <w:rFonts w:hint="eastAsia" w:hAnsi="宋体" w:cs="宋体"/>
          <w:szCs w:val="24"/>
          <w:highlight w:val="none"/>
        </w:rPr>
        <w:t>14.2 卖方未能按时交付合同货物（包括仅迟延交付技术资料但足以导致合同货物安装、调试、考核、验收工作推迟的）的，应向买方支付迟延交付违约金。除专用合同条款另有约定外，迟延交付违约金的计算方法如下：</w:t>
      </w:r>
    </w:p>
    <w:p w14:paraId="21E826B7">
      <w:pPr>
        <w:spacing w:line="360" w:lineRule="auto"/>
        <w:ind w:left="480" w:leftChars="200"/>
        <w:rPr>
          <w:rFonts w:hAnsi="宋体" w:cs="宋体"/>
          <w:szCs w:val="24"/>
          <w:highlight w:val="none"/>
        </w:rPr>
      </w:pPr>
      <w:r>
        <w:rPr>
          <w:rFonts w:hint="eastAsia" w:hAnsi="宋体" w:cs="宋体"/>
          <w:szCs w:val="24"/>
          <w:highlight w:val="none"/>
        </w:rPr>
        <w:t>（1）从迟交的第一周到第四周，每周迟延交付违约金为迟交合同货物价格的0.5%；</w:t>
      </w:r>
    </w:p>
    <w:p w14:paraId="6BC6CB82">
      <w:pPr>
        <w:spacing w:line="360" w:lineRule="auto"/>
        <w:ind w:left="480" w:leftChars="200"/>
        <w:rPr>
          <w:rFonts w:hAnsi="宋体" w:cs="宋体"/>
          <w:szCs w:val="24"/>
          <w:highlight w:val="none"/>
        </w:rPr>
      </w:pPr>
      <w:r>
        <w:rPr>
          <w:rFonts w:hint="eastAsia" w:hAnsi="宋体" w:cs="宋体"/>
          <w:szCs w:val="24"/>
          <w:highlight w:val="none"/>
        </w:rPr>
        <w:t>（2）从迟交的第五周到第八周，每周迟延交付违约金为迟交合同货物价格的1%；</w:t>
      </w:r>
    </w:p>
    <w:p w14:paraId="15452DBE">
      <w:pPr>
        <w:spacing w:line="360" w:lineRule="auto"/>
        <w:ind w:left="480" w:leftChars="200"/>
        <w:rPr>
          <w:rFonts w:hAnsi="宋体" w:cs="宋体"/>
          <w:szCs w:val="24"/>
          <w:highlight w:val="none"/>
        </w:rPr>
      </w:pPr>
      <w:r>
        <w:rPr>
          <w:rFonts w:hint="eastAsia" w:hAnsi="宋体" w:cs="宋体"/>
          <w:szCs w:val="24"/>
          <w:highlight w:val="none"/>
        </w:rPr>
        <w:t>（3）从迟交第九周起，每周迟延交付违约金为迟交合同货物价格的1.5%。</w:t>
      </w:r>
    </w:p>
    <w:p w14:paraId="13D181A6">
      <w:pPr>
        <w:spacing w:line="360" w:lineRule="auto"/>
        <w:ind w:firstLine="480" w:firstLineChars="200"/>
        <w:rPr>
          <w:rFonts w:hAnsi="宋体" w:cs="宋体"/>
          <w:szCs w:val="24"/>
          <w:highlight w:val="none"/>
        </w:rPr>
      </w:pPr>
      <w:r>
        <w:rPr>
          <w:rFonts w:hint="eastAsia" w:hAnsi="宋体" w:cs="宋体"/>
          <w:szCs w:val="24"/>
          <w:highlight w:val="none"/>
        </w:rPr>
        <w:t>在计算迟延交付违约金时，迟交不足一周的按一周计算。迟延交付违约金的总额不得超过合同价格的10%。</w:t>
      </w:r>
    </w:p>
    <w:p w14:paraId="1B990EAF">
      <w:pPr>
        <w:spacing w:line="360" w:lineRule="auto"/>
        <w:ind w:firstLine="480" w:firstLineChars="200"/>
        <w:rPr>
          <w:rFonts w:hAnsi="宋体" w:cs="宋体"/>
          <w:szCs w:val="24"/>
          <w:highlight w:val="none"/>
        </w:rPr>
      </w:pPr>
      <w:r>
        <w:rPr>
          <w:rFonts w:hint="eastAsia" w:hAnsi="宋体" w:cs="宋体"/>
          <w:szCs w:val="24"/>
          <w:highlight w:val="none"/>
        </w:rPr>
        <w:t>迟延交付违约金的支付不能免除卖方继续交付相关合同货物的义务，但如迟延交付必然导致合同货物安装、调试、考核、验收工作推迟的，相关工作应相应顺延。</w:t>
      </w:r>
    </w:p>
    <w:p w14:paraId="517C5B15">
      <w:pPr>
        <w:spacing w:line="360" w:lineRule="auto"/>
        <w:ind w:firstLine="480" w:firstLineChars="200"/>
        <w:rPr>
          <w:rFonts w:hAnsi="宋体" w:cs="宋体"/>
          <w:szCs w:val="24"/>
          <w:highlight w:val="none"/>
        </w:rPr>
      </w:pPr>
      <w:r>
        <w:rPr>
          <w:rFonts w:hint="eastAsia" w:hAnsi="宋体" w:cs="宋体"/>
          <w:szCs w:val="24"/>
          <w:highlight w:val="none"/>
        </w:rPr>
        <w:t>14.3买方未能按合同约定支付合同价款的，应向卖方支付延迟付款违约金。除专用合同条款另有约定外，迟延付款违约金的计算方法如下：</w:t>
      </w:r>
    </w:p>
    <w:p w14:paraId="500400C9">
      <w:pPr>
        <w:spacing w:line="360" w:lineRule="auto"/>
        <w:ind w:firstLine="480" w:firstLineChars="200"/>
        <w:rPr>
          <w:rFonts w:hAnsi="宋体" w:cs="宋体"/>
          <w:szCs w:val="24"/>
          <w:highlight w:val="none"/>
        </w:rPr>
      </w:pPr>
      <w:r>
        <w:rPr>
          <w:rFonts w:hint="eastAsia" w:hAnsi="宋体" w:cs="宋体"/>
          <w:szCs w:val="24"/>
          <w:highlight w:val="none"/>
        </w:rPr>
        <w:t>（1）从迟付的第一周到第四周，每周迟延付款违约金为迟延付款金额的0.5%；</w:t>
      </w:r>
    </w:p>
    <w:p w14:paraId="40E4F650">
      <w:pPr>
        <w:spacing w:line="360" w:lineRule="auto"/>
        <w:ind w:left="480" w:leftChars="200"/>
        <w:rPr>
          <w:rFonts w:hAnsi="宋体" w:cs="宋体"/>
          <w:szCs w:val="24"/>
          <w:highlight w:val="none"/>
        </w:rPr>
      </w:pPr>
      <w:r>
        <w:rPr>
          <w:rFonts w:hint="eastAsia" w:hAnsi="宋体" w:cs="宋体"/>
          <w:szCs w:val="24"/>
          <w:highlight w:val="none"/>
        </w:rPr>
        <w:t>（2）从迟付的第五周到第八周，每周迟延付款违约金为迟延付款金额的1%；</w:t>
      </w:r>
    </w:p>
    <w:p w14:paraId="20E2B01F">
      <w:pPr>
        <w:spacing w:line="360" w:lineRule="auto"/>
        <w:ind w:left="480" w:leftChars="200"/>
        <w:rPr>
          <w:rFonts w:hAnsi="宋体" w:cs="宋体"/>
          <w:szCs w:val="24"/>
          <w:highlight w:val="none"/>
        </w:rPr>
      </w:pPr>
      <w:r>
        <w:rPr>
          <w:rFonts w:hint="eastAsia" w:hAnsi="宋体" w:cs="宋体"/>
          <w:szCs w:val="24"/>
          <w:highlight w:val="none"/>
        </w:rPr>
        <w:t>（3）从迟付第九周起，每周迟延付款违约金为迟延付款金额的1.5%。</w:t>
      </w:r>
    </w:p>
    <w:p w14:paraId="2C9B639F">
      <w:pPr>
        <w:spacing w:line="360" w:lineRule="auto"/>
        <w:ind w:firstLine="636" w:firstLineChars="265"/>
        <w:rPr>
          <w:rFonts w:hAnsi="宋体" w:cs="宋体"/>
          <w:szCs w:val="24"/>
          <w:highlight w:val="none"/>
        </w:rPr>
      </w:pPr>
      <w:r>
        <w:rPr>
          <w:rFonts w:hint="eastAsia" w:hAnsi="宋体" w:cs="宋体"/>
          <w:szCs w:val="24"/>
          <w:highlight w:val="none"/>
        </w:rPr>
        <w:t>在计算迟延付款违约金时，迟付不足一周的按一周计算。迟延付款违约金的总额不得超过合同价格的10%。</w:t>
      </w:r>
    </w:p>
    <w:p w14:paraId="08DAC0E7">
      <w:pPr>
        <w:spacing w:line="360" w:lineRule="auto"/>
        <w:ind w:firstLine="137"/>
        <w:outlineLvl w:val="2"/>
        <w:rPr>
          <w:rFonts w:ascii="黑体" w:hAnsi="黑体" w:eastAsia="黑体" w:cs="黑体"/>
          <w:sz w:val="28"/>
          <w:szCs w:val="28"/>
          <w:highlight w:val="none"/>
        </w:rPr>
      </w:pPr>
      <w:r>
        <w:rPr>
          <w:rFonts w:hint="eastAsia" w:ascii="黑体" w:hAnsi="黑体" w:eastAsia="黑体" w:cs="黑体"/>
          <w:sz w:val="28"/>
          <w:szCs w:val="28"/>
          <w:highlight w:val="none"/>
        </w:rPr>
        <w:t>15. 合同的解除</w:t>
      </w:r>
      <w:bookmarkEnd w:id="758"/>
      <w:bookmarkEnd w:id="759"/>
      <w:bookmarkEnd w:id="760"/>
      <w:bookmarkEnd w:id="761"/>
      <w:bookmarkEnd w:id="762"/>
      <w:bookmarkEnd w:id="763"/>
      <w:bookmarkEnd w:id="764"/>
      <w:bookmarkEnd w:id="765"/>
      <w:bookmarkEnd w:id="766"/>
    </w:p>
    <w:p w14:paraId="70F0DFD0">
      <w:pPr>
        <w:spacing w:line="360" w:lineRule="auto"/>
        <w:ind w:firstLine="480" w:firstLineChars="200"/>
        <w:rPr>
          <w:rFonts w:hAnsi="宋体" w:cs="宋体"/>
          <w:highlight w:val="none"/>
        </w:rPr>
      </w:pPr>
      <w:r>
        <w:rPr>
          <w:rFonts w:hint="eastAsia" w:hAnsi="宋体" w:cs="宋体"/>
          <w:highlight w:val="none"/>
        </w:rPr>
        <w:t>除专用合同条款另有约定外，有下述情形之一，当事人可发出书面通知全部或部分地解除合同，合同自通知到达对方时全部或部分地解除：</w:t>
      </w:r>
    </w:p>
    <w:p w14:paraId="48E977D0">
      <w:pPr>
        <w:spacing w:line="360" w:lineRule="auto"/>
        <w:ind w:firstLine="480" w:firstLineChars="200"/>
        <w:rPr>
          <w:rFonts w:hAnsi="宋体" w:cs="宋体"/>
          <w:highlight w:val="none"/>
        </w:rPr>
      </w:pPr>
      <w:r>
        <w:rPr>
          <w:rFonts w:hint="eastAsia" w:hAnsi="宋体" w:cs="宋体"/>
          <w:highlight w:val="none"/>
        </w:rPr>
        <w:t>（1）卖方迟延交付合同货物超过3个月；</w:t>
      </w:r>
    </w:p>
    <w:p w14:paraId="09B8351E">
      <w:pPr>
        <w:spacing w:line="360" w:lineRule="auto"/>
        <w:ind w:firstLine="480" w:firstLineChars="200"/>
        <w:rPr>
          <w:rFonts w:hAnsi="宋体" w:cs="宋体"/>
          <w:highlight w:val="none"/>
        </w:rPr>
      </w:pPr>
      <w:r>
        <w:rPr>
          <w:rFonts w:hint="eastAsia" w:hAnsi="宋体" w:cs="宋体"/>
          <w:highlight w:val="none"/>
        </w:rPr>
        <w:t>（2）合同货物由于卖方原因三次考核均未能达到技术性能考核指标或在合同约定了或双方在考核中另行达成了最低技术性能考核指标时均未能达到最低技术性能考核指标，且买卖双方未就合同的后续履行协商达成一致；</w:t>
      </w:r>
    </w:p>
    <w:p w14:paraId="102AF132">
      <w:pPr>
        <w:spacing w:line="360" w:lineRule="auto"/>
        <w:ind w:firstLine="480" w:firstLineChars="200"/>
        <w:rPr>
          <w:rFonts w:hAnsi="宋体" w:cs="宋体"/>
          <w:highlight w:val="none"/>
        </w:rPr>
      </w:pPr>
      <w:r>
        <w:rPr>
          <w:rFonts w:hint="eastAsia" w:hAnsi="宋体" w:cs="宋体"/>
          <w:highlight w:val="none"/>
        </w:rPr>
        <w:t>（3）买方迟延付款超过3个月；</w:t>
      </w:r>
    </w:p>
    <w:p w14:paraId="2DA4C946">
      <w:pPr>
        <w:spacing w:line="360" w:lineRule="auto"/>
        <w:ind w:firstLine="480" w:firstLineChars="200"/>
        <w:rPr>
          <w:rFonts w:hAnsi="宋体" w:cs="宋体"/>
          <w:highlight w:val="none"/>
        </w:rPr>
      </w:pPr>
      <w:r>
        <w:rPr>
          <w:rFonts w:hint="eastAsia" w:hAnsi="宋体" w:cs="宋体"/>
          <w:highlight w:val="none"/>
        </w:rPr>
        <w:t>（4）合同一方当事人未能履行合同项下任何其他义务（细微义务除外），或在未事先征得另一方当事人同意的情况下，从事任何可能在实质上不利影响其履行合同能力的活动，经另一方当事人书面通知后14日内或在专用合同条款约定的其他期限内未能对其行为作出</w:t>
      </w:r>
      <w:bookmarkStart w:id="767" w:name="_Toc369531680"/>
      <w:bookmarkStart w:id="768" w:name="_Toc31629"/>
      <w:r>
        <w:rPr>
          <w:rFonts w:hint="eastAsia" w:hAnsi="宋体" w:cs="宋体"/>
          <w:highlight w:val="none"/>
        </w:rPr>
        <w:t>补救；</w:t>
      </w:r>
    </w:p>
    <w:p w14:paraId="42DDED0D">
      <w:pPr>
        <w:spacing w:line="360" w:lineRule="auto"/>
        <w:ind w:firstLine="480" w:firstLineChars="200"/>
        <w:rPr>
          <w:rFonts w:hAnsi="宋体" w:cs="宋体"/>
          <w:highlight w:val="none"/>
        </w:rPr>
      </w:pPr>
      <w:r>
        <w:rPr>
          <w:rFonts w:hint="eastAsia" w:hAnsi="宋体" w:cs="宋体"/>
          <w:highlight w:val="none"/>
        </w:rPr>
        <w:t>（5）合同一方当事人出现破产、清算、资不抵债、成为失信被执行人等可能丧失履约能力的情形，且未能提供令对方满意的履约保证金。</w:t>
      </w:r>
    </w:p>
    <w:bookmarkEnd w:id="767"/>
    <w:bookmarkEnd w:id="768"/>
    <w:p w14:paraId="031230B3">
      <w:pPr>
        <w:spacing w:line="360" w:lineRule="auto"/>
        <w:ind w:firstLine="137"/>
        <w:outlineLvl w:val="2"/>
        <w:rPr>
          <w:rFonts w:ascii="黑体" w:hAnsi="黑体" w:eastAsia="黑体" w:cs="黑体"/>
          <w:sz w:val="28"/>
          <w:szCs w:val="28"/>
          <w:highlight w:val="none"/>
        </w:rPr>
      </w:pPr>
      <w:bookmarkStart w:id="769" w:name="_Toc26721396"/>
      <w:bookmarkStart w:id="770" w:name="_Toc26721551"/>
      <w:bookmarkStart w:id="771" w:name="_Toc501460770"/>
      <w:bookmarkStart w:id="772" w:name="_Toc26700662"/>
      <w:bookmarkStart w:id="773" w:name="_Toc24965162"/>
      <w:bookmarkStart w:id="774" w:name="_Toc15753918"/>
      <w:bookmarkStart w:id="775" w:name="_Toc26700492"/>
      <w:bookmarkStart w:id="776" w:name="_Toc482188761"/>
      <w:bookmarkStart w:id="777" w:name="_Toc17100682"/>
      <w:r>
        <w:rPr>
          <w:rFonts w:hint="eastAsia" w:ascii="黑体" w:hAnsi="黑体" w:eastAsia="黑体" w:cs="黑体"/>
          <w:sz w:val="28"/>
          <w:szCs w:val="28"/>
          <w:highlight w:val="none"/>
        </w:rPr>
        <w:t>16. 不可抗力</w:t>
      </w:r>
      <w:bookmarkEnd w:id="769"/>
      <w:bookmarkEnd w:id="770"/>
      <w:bookmarkEnd w:id="771"/>
      <w:bookmarkEnd w:id="772"/>
      <w:bookmarkEnd w:id="773"/>
      <w:bookmarkEnd w:id="774"/>
      <w:bookmarkEnd w:id="775"/>
      <w:bookmarkEnd w:id="776"/>
      <w:bookmarkEnd w:id="777"/>
    </w:p>
    <w:p w14:paraId="17653FD4">
      <w:pPr>
        <w:spacing w:line="360" w:lineRule="auto"/>
        <w:ind w:firstLine="480" w:firstLineChars="200"/>
        <w:rPr>
          <w:rFonts w:hAnsi="宋体" w:cs="宋体"/>
          <w:highlight w:val="none"/>
        </w:rPr>
      </w:pPr>
      <w:r>
        <w:rPr>
          <w:rFonts w:hint="eastAsia" w:hAnsi="宋体" w:cs="宋体"/>
          <w:highlight w:val="none"/>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14:paraId="2FEF7208">
      <w:pPr>
        <w:spacing w:line="360" w:lineRule="auto"/>
        <w:ind w:firstLine="480" w:firstLineChars="200"/>
        <w:rPr>
          <w:rFonts w:hAnsi="宋体" w:cs="宋体"/>
          <w:highlight w:val="none"/>
        </w:rPr>
      </w:pPr>
      <w:r>
        <w:rPr>
          <w:rFonts w:hint="eastAsia" w:hAnsi="宋体" w:cs="宋体"/>
          <w:highlight w:val="none"/>
        </w:rPr>
        <w:t>16.2 受不可抗力事件影响的一方当事人对于不可抗力事件导致的任何合同义务的迟延履行或不能履行不承担违</w:t>
      </w:r>
      <w:bookmarkStart w:id="778" w:name="_Toc369531672"/>
      <w:bookmarkStart w:id="779" w:name="_Toc6667"/>
      <w:r>
        <w:rPr>
          <w:rFonts w:hint="eastAsia" w:hAnsi="宋体" w:cs="宋体"/>
          <w:highlight w:val="none"/>
        </w:rPr>
        <w:t>约责任。但该方</w:t>
      </w:r>
      <w:bookmarkEnd w:id="778"/>
      <w:r>
        <w:rPr>
          <w:rFonts w:hint="eastAsia" w:hAnsi="宋体" w:cs="宋体"/>
          <w:highlight w:val="none"/>
        </w:rPr>
        <w:t>当事</w:t>
      </w:r>
      <w:bookmarkEnd w:id="779"/>
      <w:r>
        <w:rPr>
          <w:rFonts w:hint="eastAsia" w:hAnsi="宋体" w:cs="宋体"/>
          <w:highlight w:val="none"/>
        </w:rPr>
        <w:t>人</w:t>
      </w:r>
      <w:bookmarkStart w:id="780" w:name="_Toc369531673"/>
      <w:bookmarkStart w:id="781" w:name="_Toc28096"/>
      <w:r>
        <w:rPr>
          <w:rFonts w:hint="eastAsia" w:hAnsi="宋体" w:cs="宋体"/>
          <w:highlight w:val="none"/>
        </w:rPr>
        <w:t>应尽快将</w:t>
      </w:r>
      <w:bookmarkEnd w:id="780"/>
      <w:r>
        <w:rPr>
          <w:rFonts w:hint="eastAsia" w:hAnsi="宋体" w:cs="宋体"/>
          <w:highlight w:val="none"/>
        </w:rPr>
        <w:t>不可</w:t>
      </w:r>
      <w:bookmarkEnd w:id="781"/>
      <w:r>
        <w:rPr>
          <w:rFonts w:hint="eastAsia" w:hAnsi="宋体" w:cs="宋体"/>
          <w:highlight w:val="none"/>
        </w:rPr>
        <w:t>抗力事件结束或消除的情况通知另一方当事人。</w:t>
      </w:r>
    </w:p>
    <w:p w14:paraId="749C405B">
      <w:pPr>
        <w:spacing w:line="360" w:lineRule="auto"/>
        <w:ind w:firstLine="480" w:firstLineChars="200"/>
        <w:rPr>
          <w:rFonts w:hAnsi="宋体" w:cs="宋体"/>
          <w:highlight w:val="none"/>
        </w:rPr>
      </w:pPr>
      <w:r>
        <w:rPr>
          <w:rFonts w:hint="eastAsia" w:hAnsi="宋体" w:cs="宋体"/>
          <w:highlight w:val="none"/>
        </w:rPr>
        <w:t>16.3 双方当事人应在不可抗力事件结束或其影响消除后立即继续履行其合同义务，合同期限也应相应顺延。除专用合同条款另有约定外，如果不可抗力事件的影响持续超过140日，则任何一方当事人均有权以书面通知解除合同。</w:t>
      </w:r>
    </w:p>
    <w:p w14:paraId="4F877775">
      <w:pPr>
        <w:spacing w:line="360" w:lineRule="auto"/>
        <w:ind w:firstLine="137"/>
        <w:outlineLvl w:val="2"/>
        <w:rPr>
          <w:rFonts w:ascii="黑体" w:hAnsi="黑体" w:eastAsia="黑体" w:cs="黑体"/>
          <w:sz w:val="28"/>
          <w:szCs w:val="28"/>
          <w:highlight w:val="none"/>
        </w:rPr>
      </w:pPr>
      <w:bookmarkStart w:id="782" w:name="_Toc501460771"/>
      <w:bookmarkStart w:id="783" w:name="_Toc24965163"/>
      <w:bookmarkStart w:id="784" w:name="_Toc482188762"/>
      <w:bookmarkStart w:id="785" w:name="_Toc26700493"/>
      <w:bookmarkStart w:id="786" w:name="_Toc26721397"/>
      <w:bookmarkStart w:id="787" w:name="_Toc17100683"/>
      <w:bookmarkStart w:id="788" w:name="_Toc26700663"/>
      <w:bookmarkStart w:id="789" w:name="_Toc15753919"/>
      <w:bookmarkStart w:id="790" w:name="_Toc26721552"/>
      <w:r>
        <w:rPr>
          <w:rFonts w:hint="eastAsia" w:ascii="黑体" w:hAnsi="黑体" w:eastAsia="黑体" w:cs="黑体"/>
          <w:sz w:val="28"/>
          <w:szCs w:val="28"/>
          <w:highlight w:val="none"/>
        </w:rPr>
        <w:t>17. 争议的解决</w:t>
      </w:r>
      <w:bookmarkEnd w:id="782"/>
      <w:bookmarkEnd w:id="783"/>
      <w:bookmarkEnd w:id="784"/>
      <w:bookmarkEnd w:id="785"/>
      <w:bookmarkEnd w:id="786"/>
      <w:bookmarkEnd w:id="787"/>
      <w:bookmarkEnd w:id="788"/>
      <w:bookmarkEnd w:id="789"/>
      <w:bookmarkEnd w:id="790"/>
    </w:p>
    <w:p w14:paraId="400BE78E">
      <w:pPr>
        <w:spacing w:line="360" w:lineRule="auto"/>
        <w:ind w:firstLine="480" w:firstLineChars="200"/>
        <w:rPr>
          <w:rFonts w:hAnsi="宋体" w:cs="宋体"/>
          <w:highlight w:val="none"/>
        </w:rPr>
      </w:pPr>
      <w:r>
        <w:rPr>
          <w:rFonts w:hint="eastAsia" w:hAnsi="宋体" w:cs="宋体"/>
          <w:highlight w:val="none"/>
          <w:shd w:val="clear" w:color="auto" w:fill="FFFFFF"/>
        </w:rPr>
        <w:t>因本合同引起的或与本合同有关的任何争议，</w:t>
      </w:r>
      <w:r>
        <w:rPr>
          <w:rFonts w:hint="eastAsia" w:hAnsi="宋体" w:cs="宋体"/>
          <w:highlight w:val="none"/>
        </w:rPr>
        <w:t>双方可通过友好协商解决。友好协商解决不成的，可在专用合同条款中约定下列一种方式解决：</w:t>
      </w:r>
    </w:p>
    <w:p w14:paraId="5DE8D708">
      <w:pPr>
        <w:spacing w:line="360" w:lineRule="auto"/>
        <w:ind w:firstLine="480" w:firstLineChars="200"/>
        <w:rPr>
          <w:rFonts w:hAnsi="宋体" w:cs="宋体"/>
          <w:highlight w:val="none"/>
        </w:rPr>
      </w:pPr>
      <w:r>
        <w:rPr>
          <w:rFonts w:hint="eastAsia" w:hAnsi="宋体" w:cs="宋体"/>
          <w:highlight w:val="none"/>
        </w:rPr>
        <w:t>（1）向约定的仲裁委员会申请仲裁；</w:t>
      </w:r>
    </w:p>
    <w:p w14:paraId="0BB7B0F5">
      <w:pPr>
        <w:spacing w:line="360" w:lineRule="auto"/>
        <w:ind w:firstLine="480" w:firstLineChars="200"/>
        <w:rPr>
          <w:rFonts w:hAnsi="宋体" w:cs="宋体"/>
          <w:highlight w:val="none"/>
        </w:rPr>
      </w:pPr>
      <w:r>
        <w:rPr>
          <w:rFonts w:hint="eastAsia" w:hAnsi="宋体" w:cs="宋体"/>
          <w:highlight w:val="none"/>
        </w:rPr>
        <w:t>（2）向有管辖权的人民法院提起诉讼。</w:t>
      </w:r>
    </w:p>
    <w:p w14:paraId="0CF5872C">
      <w:pPr>
        <w:spacing w:line="360" w:lineRule="auto"/>
        <w:ind w:firstLine="480" w:firstLineChars="200"/>
        <w:rPr>
          <w:szCs w:val="21"/>
          <w:highlight w:val="none"/>
        </w:rPr>
      </w:pPr>
      <w:r>
        <w:rPr>
          <w:szCs w:val="21"/>
          <w:highlight w:val="none"/>
        </w:rPr>
        <w:br w:type="page"/>
      </w:r>
    </w:p>
    <w:p w14:paraId="2D181FD7">
      <w:pPr>
        <w:pStyle w:val="4"/>
        <w:spacing w:before="0" w:after="0" w:line="360" w:lineRule="auto"/>
        <w:ind w:firstLine="640" w:firstLineChars="200"/>
        <w:jc w:val="center"/>
        <w:rPr>
          <w:rFonts w:ascii="Times New Roman" w:hAnsi="Times New Roman"/>
          <w:b w:val="0"/>
          <w:highlight w:val="none"/>
        </w:rPr>
      </w:pPr>
      <w:bookmarkStart w:id="791" w:name="_Toc140069433"/>
      <w:bookmarkStart w:id="792" w:name="_Toc26556"/>
      <w:bookmarkStart w:id="793" w:name="_Toc25449"/>
      <w:bookmarkStart w:id="794" w:name="_Toc20632"/>
      <w:bookmarkStart w:id="795" w:name="_Toc501460712"/>
      <w:bookmarkStart w:id="796" w:name="_Toc179632785"/>
      <w:bookmarkStart w:id="797" w:name="_Toc144974826"/>
      <w:bookmarkStart w:id="798" w:name="_Toc152042546"/>
      <w:bookmarkStart w:id="799" w:name="_Toc152045767"/>
      <w:r>
        <w:rPr>
          <w:rFonts w:ascii="Times New Roman" w:hAnsi="Times New Roman"/>
          <w:b w:val="0"/>
          <w:highlight w:val="none"/>
        </w:rPr>
        <w:t>第二节专用合同条款</w:t>
      </w:r>
      <w:bookmarkEnd w:id="791"/>
      <w:bookmarkEnd w:id="792"/>
      <w:bookmarkEnd w:id="793"/>
      <w:bookmarkEnd w:id="794"/>
      <w:bookmarkEnd w:id="795"/>
    </w:p>
    <w:p w14:paraId="393C190E">
      <w:pPr>
        <w:spacing w:line="360" w:lineRule="auto"/>
        <w:ind w:firstLine="480" w:firstLineChars="200"/>
        <w:rPr>
          <w:rFonts w:hAnsi="宋体" w:cs="宋体"/>
          <w:highlight w:val="none"/>
          <w:shd w:val="clear" w:color="auto" w:fill="FFFFFF"/>
        </w:rPr>
      </w:pPr>
      <w:r>
        <w:rPr>
          <w:rFonts w:hint="eastAsia" w:hAnsi="宋体" w:cs="宋体"/>
          <w:highlight w:val="none"/>
          <w:shd w:val="clear" w:color="auto" w:fill="FFFFFF"/>
        </w:rPr>
        <w:t>本《专用合同条款》是根据本项目特点对《通用合同条款》的具体补充和细化，如有不一致，以《专用合同条款》为准。</w:t>
      </w:r>
    </w:p>
    <w:p w14:paraId="1692D904">
      <w:pPr>
        <w:spacing w:line="360" w:lineRule="auto"/>
        <w:ind w:firstLine="480" w:firstLineChars="200"/>
        <w:jc w:val="center"/>
        <w:outlineLvl w:val="2"/>
        <w:rPr>
          <w:rFonts w:eastAsia="黑体"/>
          <w:highlight w:val="none"/>
        </w:rPr>
      </w:pPr>
      <w:r>
        <w:rPr>
          <w:rFonts w:hint="eastAsia" w:eastAsia="黑体"/>
          <w:highlight w:val="none"/>
        </w:rPr>
        <w:t>专用合同条款数据表</w:t>
      </w:r>
    </w:p>
    <w:p w14:paraId="0180CF78">
      <w:pPr>
        <w:spacing w:line="360" w:lineRule="auto"/>
        <w:ind w:firstLine="480" w:firstLineChars="200"/>
        <w:rPr>
          <w:rFonts w:hAnsi="宋体" w:cs="宋体"/>
          <w:highlight w:val="none"/>
          <w:shd w:val="clear" w:color="auto" w:fill="FFFFFF"/>
        </w:rPr>
      </w:pPr>
      <w:r>
        <w:rPr>
          <w:rFonts w:hint="eastAsia" w:hAnsi="宋体" w:cs="宋体"/>
          <w:highlight w:val="none"/>
          <w:shd w:val="clear" w:color="auto" w:fill="FFFFFF"/>
        </w:rPr>
        <w:t>说明：本数据表是项目专用合同条款中适用于本项目的信息和数据的归纳与提示，是项目专用合同条款的组成部分。</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21FB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57E94E89">
            <w:pPr>
              <w:snapToGrid w:val="0"/>
              <w:spacing w:line="360" w:lineRule="auto"/>
              <w:ind w:left="-120" w:leftChars="-50" w:right="-120" w:rightChars="-50"/>
              <w:jc w:val="center"/>
              <w:rPr>
                <w:rFonts w:hAnsi="宋体" w:cs="宋体"/>
                <w:highlight w:val="none"/>
              </w:rPr>
            </w:pPr>
            <w:r>
              <w:rPr>
                <w:rFonts w:hint="eastAsia" w:hAnsi="宋体" w:cs="宋体"/>
                <w:highlight w:val="none"/>
              </w:rPr>
              <w:t>序号</w:t>
            </w:r>
          </w:p>
        </w:tc>
        <w:tc>
          <w:tcPr>
            <w:tcW w:w="1111" w:type="dxa"/>
            <w:vAlign w:val="center"/>
          </w:tcPr>
          <w:p w14:paraId="726BB68D">
            <w:pPr>
              <w:snapToGrid w:val="0"/>
              <w:spacing w:line="360" w:lineRule="auto"/>
              <w:ind w:left="-120" w:leftChars="-50" w:right="-120" w:rightChars="-50"/>
              <w:jc w:val="center"/>
              <w:rPr>
                <w:rFonts w:hAnsi="宋体" w:cs="宋体"/>
                <w:highlight w:val="none"/>
              </w:rPr>
            </w:pPr>
            <w:r>
              <w:rPr>
                <w:rFonts w:hint="eastAsia" w:hAnsi="宋体" w:cs="宋体"/>
                <w:highlight w:val="none"/>
              </w:rPr>
              <w:t>条目号</w:t>
            </w:r>
          </w:p>
        </w:tc>
        <w:tc>
          <w:tcPr>
            <w:tcW w:w="7304" w:type="dxa"/>
            <w:vAlign w:val="center"/>
          </w:tcPr>
          <w:p w14:paraId="38A5A34E">
            <w:pPr>
              <w:snapToGrid w:val="0"/>
              <w:spacing w:line="360" w:lineRule="auto"/>
              <w:jc w:val="center"/>
              <w:rPr>
                <w:rFonts w:hAnsi="宋体" w:cs="宋体"/>
                <w:highlight w:val="none"/>
              </w:rPr>
            </w:pPr>
            <w:r>
              <w:rPr>
                <w:rFonts w:hint="eastAsia" w:hAnsi="宋体" w:cs="宋体"/>
                <w:highlight w:val="none"/>
              </w:rPr>
              <w:t>信息或数据</w:t>
            </w:r>
          </w:p>
        </w:tc>
      </w:tr>
      <w:tr w14:paraId="7E8D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D2849F4">
            <w:pPr>
              <w:numPr>
                <w:ilvl w:val="0"/>
                <w:numId w:val="6"/>
              </w:numPr>
              <w:snapToGrid w:val="0"/>
              <w:spacing w:line="360" w:lineRule="auto"/>
              <w:jc w:val="center"/>
              <w:rPr>
                <w:rFonts w:hAnsi="宋体" w:cs="宋体"/>
                <w:bCs/>
                <w:highlight w:val="none"/>
              </w:rPr>
            </w:pPr>
          </w:p>
        </w:tc>
        <w:tc>
          <w:tcPr>
            <w:tcW w:w="1111" w:type="dxa"/>
            <w:vAlign w:val="center"/>
          </w:tcPr>
          <w:p w14:paraId="5BB0ABCD">
            <w:pPr>
              <w:snapToGrid w:val="0"/>
              <w:spacing w:line="360" w:lineRule="auto"/>
              <w:jc w:val="center"/>
              <w:rPr>
                <w:rFonts w:hAnsi="宋体" w:cs="宋体"/>
                <w:bCs/>
                <w:highlight w:val="none"/>
              </w:rPr>
            </w:pPr>
            <w:r>
              <w:rPr>
                <w:rFonts w:hint="eastAsia" w:hAnsi="宋体" w:cs="宋体"/>
                <w:bCs/>
                <w:highlight w:val="none"/>
              </w:rPr>
              <w:t>3.2.1</w:t>
            </w:r>
          </w:p>
        </w:tc>
        <w:tc>
          <w:tcPr>
            <w:tcW w:w="7304" w:type="dxa"/>
            <w:vAlign w:val="center"/>
          </w:tcPr>
          <w:p w14:paraId="0E7A4CEC">
            <w:pPr>
              <w:snapToGrid w:val="0"/>
              <w:spacing w:line="360" w:lineRule="auto"/>
              <w:rPr>
                <w:rFonts w:hAnsi="宋体" w:cs="宋体"/>
                <w:bCs/>
                <w:highlight w:val="none"/>
              </w:rPr>
            </w:pPr>
            <w:r>
              <w:rPr>
                <w:rFonts w:hint="eastAsia" w:hAnsi="宋体" w:cs="宋体"/>
                <w:bCs/>
                <w:highlight w:val="none"/>
              </w:rPr>
              <w:t>预付款</w:t>
            </w:r>
          </w:p>
          <w:p w14:paraId="0C0DF7C6">
            <w:pPr>
              <w:snapToGrid w:val="0"/>
              <w:spacing w:line="360" w:lineRule="auto"/>
              <w:rPr>
                <w:rFonts w:hAnsi="宋体" w:cs="宋体"/>
                <w:bCs/>
                <w:highlight w:val="none"/>
              </w:rPr>
            </w:pPr>
            <w:r>
              <w:rPr>
                <w:rFonts w:hint="eastAsia" w:hAnsi="宋体" w:cs="宋体"/>
                <w:bCs/>
                <w:highlight w:val="none"/>
              </w:rPr>
              <w:t>支付时间：</w:t>
            </w:r>
            <w:r>
              <w:rPr>
                <w:rFonts w:hint="eastAsia" w:hAnsi="宋体" w:cs="宋体"/>
                <w:bCs/>
                <w:highlight w:val="none"/>
                <w:u w:val="single"/>
              </w:rPr>
              <w:t>合同、担保措施生效以及具备实施条件后28日内支付给承包人</w:t>
            </w:r>
            <w:r>
              <w:rPr>
                <w:rFonts w:hint="eastAsia" w:hAnsi="宋体" w:cs="宋体"/>
                <w:bCs/>
                <w:highlight w:val="none"/>
              </w:rPr>
              <w:t>；</w:t>
            </w:r>
          </w:p>
          <w:p w14:paraId="0592F158">
            <w:pPr>
              <w:snapToGrid w:val="0"/>
              <w:spacing w:line="360" w:lineRule="auto"/>
              <w:rPr>
                <w:rFonts w:hAnsi="宋体" w:cs="宋体"/>
                <w:bCs/>
                <w:highlight w:val="none"/>
              </w:rPr>
            </w:pPr>
            <w:r>
              <w:rPr>
                <w:rFonts w:hint="eastAsia" w:hAnsi="宋体" w:cs="宋体"/>
                <w:bCs/>
                <w:highlight w:val="none"/>
              </w:rPr>
              <w:t>支付比例或金额：</w:t>
            </w:r>
            <w:r>
              <w:rPr>
                <w:rFonts w:hint="eastAsia" w:hAnsi="宋体" w:cs="宋体"/>
                <w:bCs/>
                <w:highlight w:val="none"/>
                <w:u w:val="single"/>
              </w:rPr>
              <w:t>签约合同价（不含暂列金）的</w:t>
            </w:r>
            <w:r>
              <w:rPr>
                <w:rFonts w:hint="eastAsia" w:hAnsi="宋体" w:cs="宋体"/>
                <w:bCs/>
                <w:highlight w:val="none"/>
                <w:u w:val="single"/>
                <w:lang w:val="en-US" w:eastAsia="zh-CN"/>
              </w:rPr>
              <w:t>3</w:t>
            </w:r>
            <w:r>
              <w:rPr>
                <w:rFonts w:hint="eastAsia" w:hAnsi="宋体" w:cs="宋体"/>
                <w:bCs/>
                <w:highlight w:val="none"/>
                <w:u w:val="single"/>
              </w:rPr>
              <w:t xml:space="preserve">0% </w:t>
            </w:r>
            <w:r>
              <w:rPr>
                <w:rFonts w:hint="eastAsia" w:hAnsi="宋体" w:cs="宋体"/>
                <w:bCs/>
                <w:highlight w:val="none"/>
              </w:rPr>
              <w:t>；</w:t>
            </w:r>
          </w:p>
          <w:p w14:paraId="3B810434">
            <w:pPr>
              <w:snapToGrid w:val="0"/>
              <w:spacing w:line="360" w:lineRule="auto"/>
              <w:rPr>
                <w:rFonts w:hAnsi="宋体" w:cs="宋体"/>
                <w:bCs/>
                <w:highlight w:val="none"/>
              </w:rPr>
            </w:pPr>
            <w:r>
              <w:rPr>
                <w:rFonts w:hint="eastAsia" w:hAnsi="宋体" w:cs="宋体"/>
                <w:bCs/>
                <w:highlight w:val="none"/>
              </w:rPr>
              <w:t>支付单据：承包人应提交银行、保险公司、担保公司等金融机构出具的电子保函、纸质保函等担保措施;如承包人在签订合同时书面明确表示无需预付款的,可不提供电子保函、纸质保函等担保措施，发包人将按照合同约定根据实际工程量按月支付工程款项。</w:t>
            </w:r>
          </w:p>
        </w:tc>
      </w:tr>
      <w:tr w14:paraId="2E6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89B9D95">
            <w:pPr>
              <w:numPr>
                <w:ilvl w:val="0"/>
                <w:numId w:val="6"/>
              </w:numPr>
              <w:snapToGrid w:val="0"/>
              <w:spacing w:line="360" w:lineRule="auto"/>
              <w:jc w:val="center"/>
              <w:rPr>
                <w:rFonts w:hAnsi="宋体" w:cs="宋体"/>
                <w:bCs/>
                <w:highlight w:val="none"/>
              </w:rPr>
            </w:pPr>
          </w:p>
        </w:tc>
        <w:tc>
          <w:tcPr>
            <w:tcW w:w="1111" w:type="dxa"/>
            <w:vAlign w:val="center"/>
          </w:tcPr>
          <w:p w14:paraId="167FB970">
            <w:pPr>
              <w:snapToGrid w:val="0"/>
              <w:spacing w:line="360" w:lineRule="auto"/>
              <w:jc w:val="center"/>
              <w:rPr>
                <w:rFonts w:hAnsi="宋体" w:cs="宋体"/>
                <w:bCs/>
                <w:highlight w:val="none"/>
              </w:rPr>
            </w:pPr>
            <w:r>
              <w:rPr>
                <w:rFonts w:hint="eastAsia" w:hAnsi="宋体" w:cs="宋体"/>
                <w:bCs/>
                <w:highlight w:val="none"/>
              </w:rPr>
              <w:t>8.1</w:t>
            </w:r>
          </w:p>
        </w:tc>
        <w:tc>
          <w:tcPr>
            <w:tcW w:w="7304" w:type="dxa"/>
            <w:vAlign w:val="center"/>
          </w:tcPr>
          <w:p w14:paraId="57E204AD">
            <w:pPr>
              <w:snapToGrid w:val="0"/>
              <w:spacing w:line="360" w:lineRule="auto"/>
              <w:rPr>
                <w:rFonts w:hAnsi="宋体" w:cs="宋体"/>
                <w:bCs/>
                <w:highlight w:val="none"/>
              </w:rPr>
            </w:pPr>
            <w:r>
              <w:rPr>
                <w:rFonts w:hint="eastAsia" w:hAnsi="宋体" w:cs="宋体"/>
                <w:bCs/>
                <w:highlight w:val="none"/>
              </w:rPr>
              <w:t>合同设备整体质量保证期：</w:t>
            </w:r>
            <w:r>
              <w:rPr>
                <w:rFonts w:hint="eastAsia" w:hAnsi="宋体" w:cs="宋体"/>
                <w:bCs/>
                <w:highlight w:val="none"/>
                <w:u w:val="single"/>
              </w:rPr>
              <w:t xml:space="preserve"> </w:t>
            </w:r>
            <w:r>
              <w:rPr>
                <w:rFonts w:hint="eastAsia" w:hAnsi="宋体" w:cs="宋体"/>
                <w:bCs/>
                <w:highlight w:val="none"/>
                <w:u w:val="single"/>
                <w:lang w:val="en-US" w:eastAsia="zh-CN"/>
              </w:rPr>
              <w:t>36</w:t>
            </w:r>
            <w:r>
              <w:rPr>
                <w:rFonts w:hint="eastAsia" w:hAnsi="宋体" w:cs="宋体"/>
                <w:bCs/>
                <w:highlight w:val="none"/>
                <w:u w:val="single"/>
              </w:rPr>
              <w:t xml:space="preserve">个月 </w:t>
            </w:r>
          </w:p>
        </w:tc>
      </w:tr>
      <w:tr w14:paraId="3545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B542546">
            <w:pPr>
              <w:numPr>
                <w:ilvl w:val="0"/>
                <w:numId w:val="6"/>
              </w:numPr>
              <w:snapToGrid w:val="0"/>
              <w:spacing w:line="360" w:lineRule="auto"/>
              <w:jc w:val="center"/>
              <w:rPr>
                <w:rFonts w:hAnsi="宋体" w:cs="宋体"/>
                <w:bCs/>
                <w:highlight w:val="none"/>
              </w:rPr>
            </w:pPr>
          </w:p>
        </w:tc>
        <w:tc>
          <w:tcPr>
            <w:tcW w:w="1111" w:type="dxa"/>
            <w:vAlign w:val="center"/>
          </w:tcPr>
          <w:p w14:paraId="115E5AA6">
            <w:pPr>
              <w:snapToGrid w:val="0"/>
              <w:spacing w:line="360" w:lineRule="auto"/>
              <w:jc w:val="center"/>
              <w:rPr>
                <w:rFonts w:hAnsi="宋体" w:cs="宋体"/>
                <w:bCs/>
                <w:highlight w:val="none"/>
              </w:rPr>
            </w:pPr>
            <w:r>
              <w:rPr>
                <w:rFonts w:hint="eastAsia" w:hAnsi="宋体" w:cs="宋体"/>
                <w:bCs/>
                <w:highlight w:val="none"/>
              </w:rPr>
              <w:t>10</w:t>
            </w:r>
          </w:p>
        </w:tc>
        <w:tc>
          <w:tcPr>
            <w:tcW w:w="7304" w:type="dxa"/>
            <w:vAlign w:val="center"/>
          </w:tcPr>
          <w:p w14:paraId="1506E309">
            <w:pPr>
              <w:snapToGrid w:val="0"/>
              <w:spacing w:line="360" w:lineRule="auto"/>
              <w:rPr>
                <w:rFonts w:hAnsi="宋体" w:cs="宋体"/>
                <w:bCs/>
                <w:highlight w:val="none"/>
                <w:u w:val="single"/>
              </w:rPr>
            </w:pPr>
            <w:r>
              <w:rPr>
                <w:rFonts w:hint="eastAsia" w:hAnsi="宋体" w:cs="宋体"/>
                <w:bCs/>
                <w:highlight w:val="none"/>
              </w:rPr>
              <w:t>履约保证金：</w:t>
            </w:r>
            <w:r>
              <w:rPr>
                <w:rFonts w:hint="eastAsia" w:hAnsi="宋体" w:cs="宋体"/>
                <w:bCs/>
                <w:highlight w:val="none"/>
                <w:u w:val="single"/>
              </w:rPr>
              <w:t xml:space="preserve">  见投标人须知前附表。</w:t>
            </w:r>
          </w:p>
          <w:p w14:paraId="685C498E">
            <w:pPr>
              <w:snapToGrid w:val="0"/>
              <w:spacing w:line="360" w:lineRule="auto"/>
              <w:rPr>
                <w:rFonts w:hAnsi="宋体" w:cs="宋体"/>
                <w:bCs/>
                <w:highlight w:val="none"/>
                <w:u w:val="single"/>
              </w:rPr>
            </w:pPr>
            <w:r>
              <w:rPr>
                <w:rFonts w:hint="eastAsia" w:hAnsi="宋体" w:cs="宋体"/>
                <w:bCs/>
                <w:highlight w:val="none"/>
              </w:rPr>
              <w:t>履约保证金的形式：</w:t>
            </w:r>
            <w:r>
              <w:rPr>
                <w:rFonts w:hint="eastAsia" w:hAnsi="宋体" w:cs="宋体"/>
                <w:bCs/>
                <w:highlight w:val="none"/>
                <w:u w:val="single"/>
              </w:rPr>
              <w:t xml:space="preserve"> 见投标人须知前附表。</w:t>
            </w:r>
          </w:p>
          <w:p w14:paraId="57C908A5">
            <w:pPr>
              <w:snapToGrid w:val="0"/>
              <w:spacing w:line="360" w:lineRule="auto"/>
              <w:rPr>
                <w:rFonts w:hAnsi="宋体" w:cs="宋体"/>
                <w:bCs/>
                <w:highlight w:val="none"/>
                <w:u w:val="single"/>
              </w:rPr>
            </w:pPr>
            <w:r>
              <w:rPr>
                <w:rFonts w:hint="eastAsia" w:hAnsi="宋体" w:cs="宋体"/>
                <w:bCs/>
                <w:highlight w:val="none"/>
              </w:rPr>
              <w:t>履约保证金的金额：</w:t>
            </w:r>
            <w:r>
              <w:rPr>
                <w:rFonts w:hint="eastAsia" w:hAnsi="宋体" w:cs="宋体"/>
                <w:bCs/>
                <w:highlight w:val="none"/>
                <w:u w:val="single"/>
              </w:rPr>
              <w:t xml:space="preserve">见投标人须知前附表。 </w:t>
            </w:r>
          </w:p>
          <w:p w14:paraId="3435F5E1">
            <w:pPr>
              <w:snapToGrid w:val="0"/>
              <w:spacing w:line="360" w:lineRule="auto"/>
              <w:rPr>
                <w:rFonts w:hAnsi="宋体" w:cs="宋体"/>
                <w:bCs/>
                <w:highlight w:val="none"/>
                <w:u w:val="single"/>
              </w:rPr>
            </w:pPr>
            <w:r>
              <w:rPr>
                <w:rFonts w:hint="eastAsia" w:hAnsi="宋体" w:cs="宋体"/>
                <w:highlight w:val="none"/>
              </w:rPr>
              <w:t>履约保证金</w:t>
            </w:r>
            <w:r>
              <w:rPr>
                <w:rFonts w:hint="eastAsia" w:hAnsi="宋体" w:cs="宋体"/>
                <w:bCs/>
                <w:highlight w:val="none"/>
              </w:rPr>
              <w:t>的期限：</w:t>
            </w:r>
            <w:r>
              <w:rPr>
                <w:rFonts w:hint="eastAsia" w:hAnsi="宋体" w:cs="宋体"/>
                <w:bCs/>
                <w:highlight w:val="none"/>
                <w:u w:val="single"/>
              </w:rPr>
              <w:t>履约保证金自合同生效之日起生效，在合同货物验收证书或验收款支付函签署之日起28日后失效。</w:t>
            </w:r>
          </w:p>
        </w:tc>
      </w:tr>
      <w:tr w14:paraId="47AA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727CC6A">
            <w:pPr>
              <w:numPr>
                <w:ilvl w:val="0"/>
                <w:numId w:val="6"/>
              </w:numPr>
              <w:snapToGrid w:val="0"/>
              <w:spacing w:line="360" w:lineRule="auto"/>
              <w:jc w:val="center"/>
              <w:rPr>
                <w:rFonts w:hAnsi="宋体" w:cs="宋体"/>
                <w:bCs/>
                <w:highlight w:val="none"/>
              </w:rPr>
            </w:pPr>
          </w:p>
        </w:tc>
        <w:tc>
          <w:tcPr>
            <w:tcW w:w="1111" w:type="dxa"/>
            <w:vAlign w:val="center"/>
          </w:tcPr>
          <w:p w14:paraId="76373D33">
            <w:pPr>
              <w:snapToGrid w:val="0"/>
              <w:spacing w:line="360" w:lineRule="auto"/>
              <w:jc w:val="center"/>
              <w:rPr>
                <w:rFonts w:hAnsi="宋体" w:cs="宋体"/>
                <w:bCs/>
                <w:highlight w:val="none"/>
              </w:rPr>
            </w:pPr>
            <w:r>
              <w:rPr>
                <w:rFonts w:hint="eastAsia" w:hAnsi="宋体" w:cs="宋体"/>
                <w:bCs/>
                <w:highlight w:val="none"/>
              </w:rPr>
              <w:t>/</w:t>
            </w:r>
          </w:p>
        </w:tc>
        <w:tc>
          <w:tcPr>
            <w:tcW w:w="7304" w:type="dxa"/>
            <w:vAlign w:val="center"/>
          </w:tcPr>
          <w:p w14:paraId="2BDCC5DB">
            <w:pPr>
              <w:snapToGrid w:val="0"/>
              <w:spacing w:line="360" w:lineRule="auto"/>
              <w:rPr>
                <w:rFonts w:hAnsi="宋体" w:cs="宋体"/>
                <w:bCs/>
                <w:highlight w:val="none"/>
              </w:rPr>
            </w:pPr>
            <w:r>
              <w:rPr>
                <w:rFonts w:hint="eastAsia" w:hAnsi="宋体" w:cs="宋体"/>
                <w:bCs/>
                <w:highlight w:val="none"/>
              </w:rPr>
              <w:t>项目负责人</w:t>
            </w:r>
          </w:p>
          <w:p w14:paraId="527589E5">
            <w:pPr>
              <w:snapToGrid w:val="0"/>
              <w:spacing w:line="360" w:lineRule="auto"/>
              <w:rPr>
                <w:rFonts w:hAnsi="宋体" w:cs="宋体"/>
                <w:bCs/>
                <w:highlight w:val="none"/>
              </w:rPr>
            </w:pPr>
            <w:r>
              <w:rPr>
                <w:rFonts w:hint="eastAsia" w:hAnsi="宋体" w:cs="宋体"/>
                <w:bCs/>
                <w:highlight w:val="none"/>
              </w:rPr>
              <w:t>姓    名：</w:t>
            </w:r>
          </w:p>
          <w:p w14:paraId="08D7F0FC">
            <w:pPr>
              <w:snapToGrid w:val="0"/>
              <w:spacing w:line="360" w:lineRule="auto"/>
              <w:rPr>
                <w:rFonts w:hAnsi="宋体" w:cs="宋体"/>
                <w:bCs/>
                <w:highlight w:val="none"/>
              </w:rPr>
            </w:pPr>
            <w:r>
              <w:rPr>
                <w:rFonts w:hint="eastAsia" w:hAnsi="宋体" w:cs="宋体"/>
                <w:bCs/>
                <w:highlight w:val="none"/>
              </w:rPr>
              <w:t>身份证号：</w:t>
            </w:r>
          </w:p>
          <w:p w14:paraId="5DC018ED">
            <w:pPr>
              <w:snapToGrid w:val="0"/>
              <w:spacing w:line="360" w:lineRule="auto"/>
              <w:rPr>
                <w:rFonts w:hAnsi="宋体" w:cs="宋体"/>
                <w:bCs/>
                <w:highlight w:val="none"/>
              </w:rPr>
            </w:pPr>
            <w:r>
              <w:rPr>
                <w:rFonts w:hint="eastAsia" w:hAnsi="宋体" w:cs="宋体"/>
                <w:bCs/>
                <w:highlight w:val="none"/>
              </w:rPr>
              <w:t>执业资格等级：</w:t>
            </w:r>
          </w:p>
          <w:p w14:paraId="0B6DC786">
            <w:pPr>
              <w:snapToGrid w:val="0"/>
              <w:spacing w:line="360" w:lineRule="auto"/>
              <w:rPr>
                <w:rFonts w:hAnsi="宋体" w:cs="宋体"/>
                <w:bCs/>
                <w:highlight w:val="none"/>
              </w:rPr>
            </w:pPr>
            <w:r>
              <w:rPr>
                <w:rFonts w:hint="eastAsia" w:hAnsi="宋体" w:cs="宋体"/>
                <w:bCs/>
                <w:highlight w:val="none"/>
              </w:rPr>
              <w:t>注册证书号：</w:t>
            </w:r>
          </w:p>
        </w:tc>
      </w:tr>
    </w:tbl>
    <w:p w14:paraId="79AEB6E7">
      <w:pPr>
        <w:pStyle w:val="21"/>
        <w:spacing w:line="360" w:lineRule="auto"/>
        <w:ind w:firstLine="420"/>
        <w:rPr>
          <w:rFonts w:ascii="Times New Roman" w:hAnsi="Times New Roman" w:cs="宋体"/>
          <w:snapToGrid w:val="0"/>
          <w:sz w:val="21"/>
          <w:szCs w:val="21"/>
          <w:highlight w:val="none"/>
        </w:rPr>
      </w:pPr>
    </w:p>
    <w:p w14:paraId="542403D4">
      <w:pPr>
        <w:pStyle w:val="2"/>
        <w:spacing w:before="0" w:after="0"/>
        <w:ind w:left="240" w:leftChars="100"/>
        <w:rPr>
          <w:rFonts w:cs="黑体"/>
          <w:bCs w:val="0"/>
          <w:highlight w:val="none"/>
        </w:rPr>
      </w:pPr>
      <w:bookmarkStart w:id="800" w:name="_Toc26700665"/>
      <w:bookmarkStart w:id="801" w:name="_Toc26700495"/>
      <w:bookmarkStart w:id="802" w:name="_Toc17100685"/>
      <w:bookmarkStart w:id="803" w:name="_Toc392227867"/>
      <w:bookmarkStart w:id="804" w:name="_Toc24965165"/>
      <w:bookmarkStart w:id="805" w:name="_Toc26721554"/>
      <w:bookmarkStart w:id="806" w:name="_Toc26721399"/>
      <w:bookmarkStart w:id="807" w:name="_Toc15753921"/>
      <w:r>
        <w:rPr>
          <w:rFonts w:hint="eastAsia" w:cs="黑体"/>
          <w:bCs w:val="0"/>
          <w:highlight w:val="none"/>
        </w:rPr>
        <w:t>1. 一般约定</w:t>
      </w:r>
      <w:bookmarkEnd w:id="800"/>
      <w:bookmarkEnd w:id="801"/>
      <w:bookmarkEnd w:id="802"/>
      <w:bookmarkEnd w:id="803"/>
      <w:bookmarkEnd w:id="804"/>
      <w:bookmarkEnd w:id="805"/>
      <w:bookmarkEnd w:id="806"/>
      <w:bookmarkEnd w:id="807"/>
    </w:p>
    <w:p w14:paraId="79D9CCEA">
      <w:pPr>
        <w:pStyle w:val="5"/>
        <w:spacing w:before="0" w:after="0"/>
        <w:rPr>
          <w:rFonts w:ascii="黑体" w:hAnsi="黑体" w:cs="黑体"/>
          <w:szCs w:val="24"/>
          <w:highlight w:val="none"/>
        </w:rPr>
      </w:pPr>
      <w:bookmarkStart w:id="808" w:name="_Toc392227868"/>
      <w:r>
        <w:rPr>
          <w:rFonts w:hint="eastAsia" w:ascii="黑体" w:hAnsi="黑体" w:cs="黑体"/>
          <w:szCs w:val="24"/>
          <w:highlight w:val="none"/>
        </w:rPr>
        <w:t>1.1 词语定义</w:t>
      </w:r>
      <w:bookmarkEnd w:id="808"/>
    </w:p>
    <w:p w14:paraId="40240A1A">
      <w:pPr>
        <w:spacing w:line="360" w:lineRule="auto"/>
        <w:ind w:firstLine="480" w:firstLineChars="200"/>
        <w:rPr>
          <w:rFonts w:hAnsi="宋体" w:cs="宋体"/>
          <w:highlight w:val="none"/>
        </w:rPr>
      </w:pPr>
      <w:r>
        <w:rPr>
          <w:rFonts w:hint="eastAsia" w:hAnsi="宋体" w:cs="宋体"/>
          <w:highlight w:val="none"/>
        </w:rPr>
        <w:t>1.1.1 合同</w:t>
      </w:r>
    </w:p>
    <w:p w14:paraId="6B80BB67">
      <w:pPr>
        <w:spacing w:line="360" w:lineRule="auto"/>
        <w:ind w:firstLine="480" w:firstLineChars="200"/>
        <w:rPr>
          <w:rFonts w:hAnsi="宋体" w:cs="宋体"/>
          <w:highlight w:val="none"/>
        </w:rPr>
      </w:pPr>
      <w:r>
        <w:rPr>
          <w:rFonts w:hint="eastAsia" w:hAnsi="宋体" w:cs="宋体"/>
          <w:highlight w:val="none"/>
        </w:rPr>
        <w:t>1.1.1.10 其他合同文件：</w:t>
      </w:r>
      <w:r>
        <w:rPr>
          <w:rFonts w:hint="eastAsia" w:hAnsi="宋体" w:cs="宋体"/>
          <w:highlight w:val="none"/>
          <w:u w:val="single"/>
        </w:rPr>
        <w:t xml:space="preserve">指经合同双方当事人确认构成合同文件的其他文件。 </w:t>
      </w:r>
      <w:r>
        <w:rPr>
          <w:rFonts w:hint="eastAsia" w:hAnsi="宋体" w:cs="宋体"/>
          <w:highlight w:val="none"/>
        </w:rPr>
        <w:t>。</w:t>
      </w:r>
    </w:p>
    <w:p w14:paraId="761AEAA1">
      <w:pPr>
        <w:spacing w:line="360" w:lineRule="auto"/>
        <w:ind w:firstLine="480" w:firstLineChars="200"/>
        <w:rPr>
          <w:rFonts w:hAnsi="宋体" w:cs="宋体"/>
          <w:highlight w:val="none"/>
        </w:rPr>
      </w:pPr>
      <w:r>
        <w:rPr>
          <w:rFonts w:hint="eastAsia" w:hAnsi="宋体" w:cs="宋体"/>
          <w:highlight w:val="none"/>
        </w:rPr>
        <w:t>1.1.13 工程</w:t>
      </w:r>
    </w:p>
    <w:p w14:paraId="647641C1">
      <w:pPr>
        <w:spacing w:line="360" w:lineRule="auto"/>
        <w:ind w:firstLine="729" w:firstLineChars="304"/>
        <w:rPr>
          <w:rFonts w:hAnsi="宋体" w:cs="宋体"/>
          <w:highlight w:val="none"/>
        </w:rPr>
      </w:pPr>
      <w:r>
        <w:rPr>
          <w:rFonts w:hint="eastAsia" w:hAnsi="宋体" w:cs="宋体"/>
          <w:highlight w:val="none"/>
        </w:rPr>
        <w:t>1.1.13.1工程：。</w:t>
      </w:r>
    </w:p>
    <w:p w14:paraId="5FB599E4">
      <w:pPr>
        <w:spacing w:line="360" w:lineRule="auto"/>
        <w:ind w:firstLine="729" w:firstLineChars="304"/>
        <w:rPr>
          <w:rFonts w:hAnsi="宋体" w:cs="宋体"/>
          <w:highlight w:val="none"/>
        </w:rPr>
      </w:pPr>
      <w:r>
        <w:rPr>
          <w:rFonts w:hint="eastAsia" w:hAnsi="宋体" w:cs="宋体"/>
          <w:highlight w:val="none"/>
        </w:rPr>
        <w:t xml:space="preserve">1.1.13.2 施工场地（或称工地、施工现场）：。 </w:t>
      </w:r>
    </w:p>
    <w:p w14:paraId="5901B76F">
      <w:pPr>
        <w:spacing w:line="360" w:lineRule="auto"/>
        <w:rPr>
          <w:rFonts w:hAnsi="宋体" w:cs="宋体"/>
          <w:highlight w:val="none"/>
        </w:rPr>
      </w:pPr>
      <w:r>
        <w:rPr>
          <w:rFonts w:hint="eastAsia" w:hAnsi="宋体" w:cs="宋体"/>
          <w:highlight w:val="none"/>
        </w:rPr>
        <w:t xml:space="preserve">    对通用合同条款中词语定义的不同约定： 。</w:t>
      </w:r>
    </w:p>
    <w:p w14:paraId="430E1A42">
      <w:pPr>
        <w:spacing w:line="360" w:lineRule="auto"/>
        <w:ind w:firstLine="137"/>
        <w:outlineLvl w:val="3"/>
        <w:rPr>
          <w:rFonts w:hAnsi="宋体" w:cs="宋体"/>
          <w:highlight w:val="none"/>
        </w:rPr>
      </w:pPr>
      <w:bookmarkStart w:id="809" w:name="_Toc392227869"/>
      <w:r>
        <w:rPr>
          <w:rFonts w:hint="eastAsia" w:hAnsi="宋体" w:cs="宋体"/>
          <w:highlight w:val="none"/>
        </w:rPr>
        <w:t>1.3 合同文件的优先顺序</w:t>
      </w:r>
      <w:bookmarkEnd w:id="809"/>
    </w:p>
    <w:p w14:paraId="38864C21">
      <w:pPr>
        <w:spacing w:line="360" w:lineRule="auto"/>
        <w:ind w:firstLine="480" w:firstLineChars="200"/>
        <w:rPr>
          <w:rFonts w:hAnsi="宋体" w:cs="宋体"/>
          <w:highlight w:val="none"/>
        </w:rPr>
      </w:pPr>
      <w:r>
        <w:rPr>
          <w:rFonts w:hint="eastAsia" w:hAnsi="宋体" w:cs="宋体"/>
          <w:highlight w:val="none"/>
        </w:rPr>
        <w:t>解释合同文件的优先顺序：</w:t>
      </w:r>
      <w:r>
        <w:rPr>
          <w:rFonts w:hint="eastAsia" w:hAnsi="宋体" w:cs="宋体"/>
          <w:highlight w:val="none"/>
          <w:u w:val="single"/>
        </w:rPr>
        <w:t>1.本合同协议书；2.中标通知书；3.本合同专用条款及补充条款；4.招标文件；5.本合同通用条款；6.技术标准和要求；7.图纸；8.投标书及其附件；9.已标价工程量清单；10.其他合同文件。</w:t>
      </w:r>
      <w:r>
        <w:rPr>
          <w:rFonts w:hint="eastAsia" w:hAnsi="宋体" w:cs="宋体"/>
          <w:highlight w:val="none"/>
        </w:rPr>
        <w:t>。</w:t>
      </w:r>
    </w:p>
    <w:p w14:paraId="6159666F">
      <w:pPr>
        <w:spacing w:line="360" w:lineRule="auto"/>
        <w:ind w:firstLine="137"/>
        <w:outlineLvl w:val="3"/>
        <w:rPr>
          <w:rFonts w:hAnsi="宋体" w:cs="宋体"/>
          <w:highlight w:val="none"/>
        </w:rPr>
      </w:pPr>
      <w:bookmarkStart w:id="810" w:name="_Toc392227870"/>
      <w:r>
        <w:rPr>
          <w:rFonts w:hint="eastAsia" w:hAnsi="宋体" w:cs="宋体"/>
          <w:highlight w:val="none"/>
        </w:rPr>
        <w:t>1.4 合同的生效及变更</w:t>
      </w:r>
      <w:bookmarkEnd w:id="810"/>
    </w:p>
    <w:p w14:paraId="216DE2CD">
      <w:pPr>
        <w:spacing w:line="360" w:lineRule="auto"/>
        <w:ind w:firstLine="480" w:firstLineChars="200"/>
        <w:rPr>
          <w:rFonts w:hAnsi="宋体" w:cs="宋体"/>
          <w:highlight w:val="none"/>
        </w:rPr>
      </w:pPr>
      <w:r>
        <w:rPr>
          <w:rFonts w:hint="eastAsia" w:hAnsi="宋体" w:cs="宋体"/>
          <w:highlight w:val="none"/>
        </w:rPr>
        <w:t>1.4.1 合同生效条件：</w:t>
      </w:r>
      <w:r>
        <w:rPr>
          <w:rFonts w:hint="eastAsia" w:hAnsi="宋体" w:cs="宋体"/>
          <w:highlight w:val="none"/>
          <w:u w:val="single"/>
        </w:rPr>
        <w:t xml:space="preserve">双方签字并盖章后 </w:t>
      </w:r>
      <w:r>
        <w:rPr>
          <w:rFonts w:hint="eastAsia" w:hAnsi="宋体" w:cs="宋体"/>
          <w:highlight w:val="none"/>
        </w:rPr>
        <w:t>。</w:t>
      </w:r>
    </w:p>
    <w:p w14:paraId="0B2D352F">
      <w:pPr>
        <w:spacing w:line="360" w:lineRule="auto"/>
        <w:ind w:firstLine="480" w:firstLineChars="200"/>
        <w:rPr>
          <w:rFonts w:hAnsi="宋体" w:cs="宋体"/>
          <w:highlight w:val="none"/>
        </w:rPr>
      </w:pPr>
      <w:r>
        <w:rPr>
          <w:rFonts w:hint="eastAsia" w:hAnsi="宋体" w:cs="宋体"/>
          <w:highlight w:val="none"/>
        </w:rPr>
        <w:t>1.4.2 合同变更的方式：</w:t>
      </w:r>
      <w:r>
        <w:rPr>
          <w:rFonts w:hint="eastAsia" w:hAnsi="宋体" w:cs="宋体"/>
          <w:highlight w:val="none"/>
          <w:u w:val="single"/>
        </w:rPr>
        <w:t>执行通用条款</w:t>
      </w:r>
      <w:r>
        <w:rPr>
          <w:rFonts w:hint="eastAsia" w:hAnsi="宋体" w:cs="宋体"/>
          <w:highlight w:val="none"/>
        </w:rPr>
        <w:t>。</w:t>
      </w:r>
    </w:p>
    <w:p w14:paraId="1E615245">
      <w:pPr>
        <w:spacing w:line="360" w:lineRule="auto"/>
        <w:ind w:firstLine="137"/>
        <w:outlineLvl w:val="3"/>
        <w:rPr>
          <w:rFonts w:hAnsi="宋体" w:cs="宋体"/>
          <w:highlight w:val="none"/>
        </w:rPr>
      </w:pPr>
      <w:bookmarkStart w:id="811" w:name="_Toc392227871"/>
      <w:r>
        <w:rPr>
          <w:rFonts w:hint="eastAsia" w:hAnsi="宋体" w:cs="宋体"/>
          <w:highlight w:val="none"/>
        </w:rPr>
        <w:t>1.5 联络</w:t>
      </w:r>
      <w:bookmarkEnd w:id="811"/>
    </w:p>
    <w:p w14:paraId="7D726536">
      <w:pPr>
        <w:spacing w:line="360" w:lineRule="auto"/>
        <w:ind w:firstLine="480" w:firstLineChars="200"/>
        <w:rPr>
          <w:rFonts w:hAnsi="宋体" w:cs="宋体"/>
          <w:highlight w:val="none"/>
          <w:u w:val="single"/>
        </w:rPr>
      </w:pPr>
      <w:r>
        <w:rPr>
          <w:rFonts w:hint="eastAsia" w:hAnsi="宋体" w:cs="宋体"/>
          <w:highlight w:val="none"/>
        </w:rPr>
        <w:t>买方指定的联系人和联系方式；</w:t>
      </w:r>
    </w:p>
    <w:p w14:paraId="2107A653">
      <w:pPr>
        <w:spacing w:line="360" w:lineRule="auto"/>
        <w:ind w:firstLine="480" w:firstLineChars="200"/>
        <w:rPr>
          <w:rFonts w:hAnsi="宋体" w:cs="宋体"/>
          <w:highlight w:val="none"/>
        </w:rPr>
      </w:pPr>
      <w:r>
        <w:rPr>
          <w:rFonts w:hint="eastAsia" w:hAnsi="宋体" w:cs="宋体"/>
          <w:highlight w:val="none"/>
        </w:rPr>
        <w:t>卖方指定的联系人和联系方式。</w:t>
      </w:r>
    </w:p>
    <w:p w14:paraId="4B690B53">
      <w:pPr>
        <w:spacing w:line="360" w:lineRule="auto"/>
        <w:ind w:firstLine="137"/>
        <w:outlineLvl w:val="3"/>
        <w:rPr>
          <w:rFonts w:hAnsi="宋体" w:cs="宋体"/>
          <w:highlight w:val="none"/>
        </w:rPr>
      </w:pPr>
      <w:bookmarkStart w:id="812" w:name="_Toc392227872"/>
      <w:r>
        <w:rPr>
          <w:rFonts w:hint="eastAsia" w:hAnsi="宋体" w:cs="宋体"/>
          <w:highlight w:val="none"/>
        </w:rPr>
        <w:t>1.6 联合体</w:t>
      </w:r>
      <w:bookmarkEnd w:id="812"/>
    </w:p>
    <w:p w14:paraId="396C3A23">
      <w:pPr>
        <w:spacing w:line="360" w:lineRule="auto"/>
        <w:ind w:firstLine="480" w:firstLineChars="200"/>
        <w:rPr>
          <w:rFonts w:hAnsi="宋体" w:cs="宋体"/>
          <w:highlight w:val="none"/>
        </w:rPr>
      </w:pPr>
      <w:r>
        <w:rPr>
          <w:rFonts w:hint="eastAsia" w:hAnsi="宋体" w:cs="宋体"/>
          <w:highlight w:val="none"/>
        </w:rPr>
        <w:t>1.6.3 联合体各方对联合体牵头人的授权范围：。</w:t>
      </w:r>
    </w:p>
    <w:p w14:paraId="16EAC86D">
      <w:pPr>
        <w:pStyle w:val="2"/>
        <w:spacing w:before="0" w:after="0"/>
        <w:ind w:left="240" w:leftChars="100"/>
        <w:rPr>
          <w:rFonts w:cs="黑体"/>
          <w:highlight w:val="none"/>
        </w:rPr>
      </w:pPr>
      <w:bookmarkStart w:id="813" w:name="_Toc24965166"/>
      <w:bookmarkStart w:id="814" w:name="_Toc26721555"/>
      <w:bookmarkStart w:id="815" w:name="_Toc392227873"/>
      <w:bookmarkStart w:id="816" w:name="_Toc15753922"/>
      <w:bookmarkStart w:id="817" w:name="_Toc26700666"/>
      <w:bookmarkStart w:id="818" w:name="_Toc26700496"/>
      <w:bookmarkStart w:id="819" w:name="_Toc26721400"/>
      <w:bookmarkStart w:id="820" w:name="_Toc17100686"/>
      <w:r>
        <w:rPr>
          <w:rFonts w:hint="eastAsia" w:cs="黑体"/>
          <w:highlight w:val="none"/>
        </w:rPr>
        <w:t>3. 合同价格与支付</w:t>
      </w:r>
      <w:bookmarkEnd w:id="813"/>
      <w:bookmarkEnd w:id="814"/>
      <w:bookmarkEnd w:id="815"/>
      <w:bookmarkEnd w:id="816"/>
      <w:bookmarkEnd w:id="817"/>
      <w:bookmarkEnd w:id="818"/>
      <w:bookmarkEnd w:id="819"/>
      <w:bookmarkEnd w:id="820"/>
    </w:p>
    <w:p w14:paraId="661D3E03">
      <w:pPr>
        <w:pStyle w:val="5"/>
        <w:spacing w:before="0" w:after="0"/>
        <w:rPr>
          <w:rFonts w:ascii="黑体" w:hAnsi="黑体" w:cs="黑体"/>
          <w:szCs w:val="24"/>
          <w:highlight w:val="none"/>
        </w:rPr>
      </w:pPr>
      <w:bookmarkStart w:id="821" w:name="_Toc392227874"/>
      <w:r>
        <w:rPr>
          <w:rFonts w:hint="eastAsia" w:ascii="黑体" w:hAnsi="黑体" w:cs="黑体"/>
          <w:szCs w:val="24"/>
          <w:highlight w:val="none"/>
        </w:rPr>
        <w:t>3.1 合同价格</w:t>
      </w:r>
      <w:bookmarkEnd w:id="821"/>
    </w:p>
    <w:p w14:paraId="2806A30C">
      <w:pPr>
        <w:spacing w:line="360" w:lineRule="auto"/>
        <w:ind w:firstLine="480" w:firstLineChars="200"/>
        <w:rPr>
          <w:rFonts w:hAnsi="宋体" w:cs="宋体"/>
          <w:highlight w:val="none"/>
        </w:rPr>
      </w:pPr>
      <w:r>
        <w:rPr>
          <w:rFonts w:hint="eastAsia" w:hAnsi="宋体" w:cs="宋体"/>
          <w:highlight w:val="none"/>
        </w:rPr>
        <w:t xml:space="preserve">3.1.2合同价格形式： </w:t>
      </w:r>
      <w:r>
        <w:rPr>
          <w:rFonts w:hint="eastAsia" w:hAnsi="宋体" w:cs="宋体"/>
          <w:highlight w:val="none"/>
          <w:u w:val="single"/>
        </w:rPr>
        <w:t xml:space="preserve">  </w:t>
      </w:r>
      <w:r>
        <w:rPr>
          <w:rFonts w:hint="eastAsia" w:ascii="MS Mincho" w:hAnsi="MS Mincho" w:eastAsia="MS Mincho" w:cs="MS Mincho"/>
          <w:highlight w:val="none"/>
          <w:u w:val="single"/>
        </w:rPr>
        <w:t>☑</w:t>
      </w:r>
      <w:r>
        <w:rPr>
          <w:rFonts w:hint="eastAsia" w:hAnsi="宋体" w:cs="宋体"/>
          <w:highlight w:val="none"/>
          <w:u w:val="single"/>
        </w:rPr>
        <w:t xml:space="preserve">固定价格  □可调价格   </w:t>
      </w:r>
      <w:r>
        <w:rPr>
          <w:rFonts w:hint="eastAsia" w:hAnsi="宋体" w:cs="宋体"/>
          <w:highlight w:val="none"/>
        </w:rPr>
        <w:t>。</w:t>
      </w:r>
    </w:p>
    <w:p w14:paraId="262513FE">
      <w:pPr>
        <w:spacing w:line="360" w:lineRule="auto"/>
        <w:ind w:firstLine="480" w:firstLineChars="200"/>
        <w:rPr>
          <w:rFonts w:hAnsi="宋体" w:cs="宋体"/>
          <w:highlight w:val="none"/>
        </w:rPr>
      </w:pPr>
      <w:r>
        <w:rPr>
          <w:rFonts w:hint="eastAsia" w:hAnsi="宋体" w:cs="宋体"/>
          <w:highlight w:val="none"/>
        </w:rPr>
        <w:t>采用可调价格合同时，采用以下第种方式对合同价格进行调整：</w:t>
      </w:r>
    </w:p>
    <w:p w14:paraId="5827EC83">
      <w:pPr>
        <w:adjustRightInd w:val="0"/>
        <w:spacing w:line="360" w:lineRule="auto"/>
        <w:ind w:firstLine="480" w:firstLineChars="200"/>
        <w:rPr>
          <w:rFonts w:hAnsi="宋体" w:cs="宋体"/>
          <w:highlight w:val="none"/>
        </w:rPr>
      </w:pPr>
      <w:r>
        <w:rPr>
          <w:rFonts w:hint="eastAsia" w:hAnsi="宋体" w:cs="宋体"/>
          <w:highlight w:val="none"/>
        </w:rPr>
        <w:t>第1种方式：</w:t>
      </w:r>
    </w:p>
    <w:p w14:paraId="7964C1B3">
      <w:pPr>
        <w:adjustRightInd w:val="0"/>
        <w:spacing w:line="360" w:lineRule="auto"/>
        <w:ind w:firstLine="480" w:firstLineChars="200"/>
        <w:rPr>
          <w:rFonts w:hAnsi="宋体" w:cs="宋体"/>
          <w:highlight w:val="none"/>
        </w:rPr>
      </w:pPr>
      <w:r>
        <w:rPr>
          <w:rFonts w:hint="eastAsia" w:hAnsi="宋体" w:cs="宋体"/>
          <w:highlight w:val="none"/>
        </w:rPr>
        <w:t>（1）关于基准价格的约定：。</w:t>
      </w:r>
    </w:p>
    <w:p w14:paraId="212CB187">
      <w:pPr>
        <w:adjustRightInd w:val="0"/>
        <w:spacing w:line="360" w:lineRule="auto"/>
        <w:ind w:firstLine="480" w:firstLineChars="200"/>
        <w:rPr>
          <w:rFonts w:hAnsi="宋体" w:cs="宋体"/>
          <w:highlight w:val="none"/>
        </w:rPr>
      </w:pPr>
      <w:r>
        <w:rPr>
          <w:rFonts w:hint="eastAsia" w:hAnsi="宋体" w:cs="宋体"/>
          <w:highlight w:val="none"/>
        </w:rPr>
        <w:t>①卖方在分项报价表中载明的货物单价低于基准价格的：专用合同条款合同履行期间货物单价涨幅以基准价格为基础超过</w:t>
      </w:r>
      <w:r>
        <w:rPr>
          <w:rFonts w:hint="eastAsia" w:hAnsi="宋体" w:cs="宋体"/>
          <w:highlight w:val="none"/>
          <w:u w:val="single"/>
          <w:lang w:val="en-US" w:eastAsia="zh-CN"/>
        </w:rPr>
        <w:t xml:space="preserve">  </w:t>
      </w:r>
      <w:r>
        <w:rPr>
          <w:rFonts w:hint="eastAsia" w:hAnsi="宋体" w:cs="宋体"/>
          <w:highlight w:val="none"/>
          <w:u w:val="single"/>
        </w:rPr>
        <w:t>%</w:t>
      </w:r>
      <w:r>
        <w:rPr>
          <w:rFonts w:hint="eastAsia" w:hAnsi="宋体" w:cs="宋体"/>
          <w:highlight w:val="none"/>
        </w:rPr>
        <w:t>时，或货物单价跌幅以分项报价表中载明货物单价为基础超过%时，其超过部分据实调整。</w:t>
      </w:r>
    </w:p>
    <w:p w14:paraId="5DECAED4">
      <w:pPr>
        <w:adjustRightInd w:val="0"/>
        <w:spacing w:line="360" w:lineRule="auto"/>
        <w:ind w:firstLine="480" w:firstLineChars="200"/>
        <w:rPr>
          <w:rFonts w:hAnsi="宋体" w:cs="宋体"/>
          <w:highlight w:val="none"/>
        </w:rPr>
      </w:pPr>
      <w:r>
        <w:rPr>
          <w:rFonts w:hint="eastAsia" w:hAnsi="宋体" w:cs="宋体"/>
          <w:highlight w:val="none"/>
        </w:rPr>
        <w:t>②卖方在分项报价表中载明的货物单价高于基准价格的：专用合同条款合同履行期间货物单价跌幅以基准价格为基础超过</w:t>
      </w:r>
      <w:r>
        <w:rPr>
          <w:rFonts w:hint="eastAsia" w:hAnsi="宋体" w:cs="宋体"/>
          <w:highlight w:val="none"/>
          <w:u w:val="single"/>
          <w:lang w:val="en-US" w:eastAsia="zh-CN"/>
        </w:rPr>
        <w:t xml:space="preserve">  </w:t>
      </w:r>
      <w:r>
        <w:rPr>
          <w:rFonts w:hint="eastAsia" w:hAnsi="宋体" w:cs="宋体"/>
          <w:highlight w:val="none"/>
          <w:u w:val="single"/>
        </w:rPr>
        <w:t>%</w:t>
      </w:r>
      <w:r>
        <w:rPr>
          <w:rFonts w:hint="eastAsia" w:hAnsi="宋体" w:cs="宋体"/>
          <w:highlight w:val="none"/>
        </w:rPr>
        <w:t>时，货物单价涨幅以分项报价表中载明货物单价为基础超过%时，其超过部分据实调整。</w:t>
      </w:r>
    </w:p>
    <w:p w14:paraId="197EE8D7">
      <w:pPr>
        <w:adjustRightInd w:val="0"/>
        <w:spacing w:line="360" w:lineRule="auto"/>
        <w:ind w:firstLine="480" w:firstLineChars="200"/>
        <w:rPr>
          <w:rFonts w:hAnsi="宋体" w:cs="宋体"/>
          <w:highlight w:val="none"/>
        </w:rPr>
      </w:pPr>
      <w:r>
        <w:rPr>
          <w:rFonts w:hint="eastAsia" w:hAnsi="宋体" w:cs="宋体"/>
          <w:highlight w:val="none"/>
        </w:rPr>
        <w:t>③卖方在分项报价表中载明的货物单价等于基准单价的：专用合同条款合同履行期间货物单价涨跌幅以基准单价为基础超过±%时，其超过部分据实调整。</w:t>
      </w:r>
    </w:p>
    <w:p w14:paraId="462541FC">
      <w:pPr>
        <w:spacing w:line="360" w:lineRule="auto"/>
        <w:ind w:firstLine="480" w:firstLineChars="200"/>
        <w:rPr>
          <w:rFonts w:hAnsi="宋体" w:cs="宋体"/>
          <w:highlight w:val="none"/>
        </w:rPr>
      </w:pPr>
      <w:r>
        <w:rPr>
          <w:rFonts w:hint="eastAsia" w:hAnsi="宋体" w:cs="宋体"/>
          <w:highlight w:val="none"/>
        </w:rPr>
        <w:t>第2种方式</w:t>
      </w:r>
      <w:r>
        <w:rPr>
          <w:rFonts w:hint="eastAsia" w:hAnsi="宋体" w:cs="宋体"/>
          <w:highlight w:val="none"/>
          <w:u w:val="single"/>
        </w:rPr>
        <w:t>：</w:t>
      </w:r>
      <w:r>
        <w:rPr>
          <w:rFonts w:hint="eastAsia" w:hAnsi="宋体" w:cs="宋体"/>
          <w:highlight w:val="none"/>
          <w:u w:val="single"/>
          <w:lang w:val="en-US" w:eastAsia="zh-CN"/>
        </w:rPr>
        <w:t xml:space="preserve">    </w:t>
      </w:r>
      <w:r>
        <w:rPr>
          <w:rFonts w:hint="eastAsia" w:hAnsi="宋体" w:cs="宋体"/>
          <w:highlight w:val="none"/>
        </w:rPr>
        <w:t>。</w:t>
      </w:r>
    </w:p>
    <w:p w14:paraId="79334176">
      <w:pPr>
        <w:pStyle w:val="5"/>
        <w:spacing w:before="0" w:after="0"/>
        <w:rPr>
          <w:rFonts w:ascii="黑体" w:hAnsi="黑体" w:cs="黑体"/>
          <w:szCs w:val="24"/>
          <w:highlight w:val="none"/>
        </w:rPr>
      </w:pPr>
      <w:bookmarkStart w:id="822" w:name="_Toc392227875"/>
      <w:r>
        <w:rPr>
          <w:rFonts w:hint="eastAsia" w:ascii="黑体" w:hAnsi="黑体" w:cs="黑体"/>
          <w:szCs w:val="24"/>
          <w:highlight w:val="none"/>
        </w:rPr>
        <w:t>3.2 合同价款的支付</w:t>
      </w:r>
      <w:bookmarkEnd w:id="822"/>
    </w:p>
    <w:p w14:paraId="40189528">
      <w:pPr>
        <w:spacing w:line="360" w:lineRule="auto"/>
        <w:ind w:firstLine="480" w:firstLineChars="200"/>
        <w:rPr>
          <w:rFonts w:hAnsi="宋体" w:cs="宋体"/>
          <w:highlight w:val="none"/>
        </w:rPr>
      </w:pPr>
      <w:r>
        <w:rPr>
          <w:rFonts w:hint="eastAsia" w:hAnsi="宋体" w:cs="宋体"/>
          <w:highlight w:val="none"/>
        </w:rPr>
        <w:t>买方应通过以下方式和比例向卖方支付合同价款：</w:t>
      </w:r>
    </w:p>
    <w:p w14:paraId="29EC3638">
      <w:pPr>
        <w:spacing w:line="360" w:lineRule="auto"/>
        <w:ind w:firstLine="480" w:firstLineChars="200"/>
        <w:rPr>
          <w:rFonts w:hAnsi="宋体" w:cs="宋体"/>
          <w:highlight w:val="none"/>
        </w:rPr>
      </w:pPr>
      <w:r>
        <w:rPr>
          <w:rFonts w:hint="eastAsia" w:hAnsi="宋体" w:cs="宋体"/>
          <w:highlight w:val="none"/>
        </w:rPr>
        <w:t>3.2.1 预付款</w:t>
      </w:r>
    </w:p>
    <w:p w14:paraId="3E0A33C2">
      <w:pPr>
        <w:spacing w:line="360" w:lineRule="auto"/>
        <w:ind w:firstLine="960" w:firstLineChars="400"/>
        <w:rPr>
          <w:rFonts w:hAnsi="宋体" w:cs="宋体"/>
          <w:highlight w:val="none"/>
        </w:rPr>
      </w:pPr>
      <w:r>
        <w:rPr>
          <w:rFonts w:hint="eastAsia" w:hAnsi="宋体" w:cs="宋体"/>
          <w:highlight w:val="none"/>
        </w:rPr>
        <w:t>支付时间：</w:t>
      </w:r>
      <w:r>
        <w:rPr>
          <w:rFonts w:hint="eastAsia" w:ascii="Times New Roman"/>
          <w:highlight w:val="none"/>
          <w:u w:val="single"/>
        </w:rPr>
        <w:t>见《</w:t>
      </w:r>
      <w:r>
        <w:rPr>
          <w:rFonts w:hint="eastAsia" w:ascii="Times New Roman"/>
          <w:szCs w:val="21"/>
          <w:highlight w:val="none"/>
          <w:u w:val="single"/>
        </w:rPr>
        <w:t>专用合同条款数据表</w:t>
      </w:r>
      <w:r>
        <w:rPr>
          <w:rFonts w:hint="eastAsia" w:ascii="Times New Roman"/>
          <w:highlight w:val="none"/>
          <w:u w:val="single"/>
        </w:rPr>
        <w:t>》</w:t>
      </w:r>
      <w:r>
        <w:rPr>
          <w:rFonts w:hint="eastAsia" w:hAnsi="宋体" w:cs="宋体"/>
          <w:highlight w:val="none"/>
        </w:rPr>
        <w:t>；</w:t>
      </w:r>
    </w:p>
    <w:p w14:paraId="6AB5455C">
      <w:pPr>
        <w:spacing w:line="360" w:lineRule="auto"/>
        <w:ind w:firstLine="960" w:firstLineChars="400"/>
        <w:rPr>
          <w:rFonts w:hAnsi="宋体" w:cs="宋体"/>
          <w:highlight w:val="none"/>
        </w:rPr>
      </w:pPr>
      <w:r>
        <w:rPr>
          <w:rFonts w:hint="eastAsia" w:hAnsi="宋体" w:cs="宋体"/>
          <w:highlight w:val="none"/>
        </w:rPr>
        <w:t>支付比例或金额：</w:t>
      </w:r>
      <w:r>
        <w:rPr>
          <w:rFonts w:hint="eastAsia" w:ascii="Times New Roman"/>
          <w:highlight w:val="none"/>
          <w:u w:val="single"/>
        </w:rPr>
        <w:t>见《</w:t>
      </w:r>
      <w:r>
        <w:rPr>
          <w:rFonts w:hint="eastAsia" w:ascii="Times New Roman"/>
          <w:szCs w:val="21"/>
          <w:highlight w:val="none"/>
          <w:u w:val="single"/>
        </w:rPr>
        <w:t>专用合同条款数据表</w:t>
      </w:r>
      <w:r>
        <w:rPr>
          <w:rFonts w:hint="eastAsia" w:ascii="Times New Roman"/>
          <w:highlight w:val="none"/>
          <w:u w:val="single"/>
        </w:rPr>
        <w:t>》</w:t>
      </w:r>
      <w:r>
        <w:rPr>
          <w:rFonts w:hint="eastAsia" w:hAnsi="宋体" w:cs="宋体"/>
          <w:highlight w:val="none"/>
        </w:rPr>
        <w:t>；</w:t>
      </w:r>
    </w:p>
    <w:p w14:paraId="4FD628E3">
      <w:pPr>
        <w:spacing w:line="360" w:lineRule="auto"/>
        <w:ind w:firstLine="960" w:firstLineChars="400"/>
        <w:rPr>
          <w:rFonts w:hAnsi="宋体" w:cs="宋体"/>
          <w:highlight w:val="none"/>
        </w:rPr>
      </w:pPr>
      <w:r>
        <w:rPr>
          <w:rFonts w:hint="eastAsia" w:hAnsi="宋体" w:cs="宋体"/>
          <w:highlight w:val="none"/>
        </w:rPr>
        <w:t>支付单据：</w:t>
      </w:r>
      <w:r>
        <w:rPr>
          <w:rFonts w:hint="eastAsia" w:ascii="Times New Roman"/>
          <w:highlight w:val="none"/>
          <w:u w:val="single"/>
        </w:rPr>
        <w:t>见《</w:t>
      </w:r>
      <w:r>
        <w:rPr>
          <w:rFonts w:hint="eastAsia" w:ascii="Times New Roman"/>
          <w:szCs w:val="21"/>
          <w:highlight w:val="none"/>
          <w:u w:val="single"/>
        </w:rPr>
        <w:t>专用合同条款数据表</w:t>
      </w:r>
      <w:r>
        <w:rPr>
          <w:rFonts w:hint="eastAsia" w:ascii="Times New Roman"/>
          <w:highlight w:val="none"/>
          <w:u w:val="single"/>
        </w:rPr>
        <w:t>》</w:t>
      </w:r>
      <w:r>
        <w:rPr>
          <w:rFonts w:hint="eastAsia" w:hAnsi="宋体" w:cs="宋体"/>
          <w:highlight w:val="none"/>
        </w:rPr>
        <w:t>。</w:t>
      </w:r>
    </w:p>
    <w:p w14:paraId="57B5ABFE">
      <w:pPr>
        <w:spacing w:line="360" w:lineRule="auto"/>
        <w:ind w:firstLine="480" w:firstLineChars="200"/>
        <w:rPr>
          <w:rFonts w:hAnsi="宋体" w:cs="宋体"/>
          <w:highlight w:val="none"/>
        </w:rPr>
      </w:pPr>
      <w:r>
        <w:rPr>
          <w:rFonts w:hint="eastAsia" w:hAnsi="宋体" w:cs="宋体"/>
          <w:highlight w:val="none"/>
        </w:rPr>
        <w:t xml:space="preserve">3.2.2 交货款 </w:t>
      </w:r>
    </w:p>
    <w:p w14:paraId="165350BC">
      <w:pPr>
        <w:spacing w:line="360" w:lineRule="auto"/>
        <w:ind w:firstLine="960" w:firstLineChars="400"/>
        <w:rPr>
          <w:rFonts w:hAnsi="宋体" w:cs="宋体"/>
          <w:highlight w:val="none"/>
        </w:rPr>
      </w:pPr>
      <w:r>
        <w:rPr>
          <w:rFonts w:hint="eastAsia" w:hAnsi="宋体" w:cs="宋体"/>
          <w:highlight w:val="none"/>
        </w:rPr>
        <w:t>支付时间：</w:t>
      </w:r>
      <w:r>
        <w:rPr>
          <w:rFonts w:hint="eastAsia" w:hAnsi="宋体" w:cs="宋体"/>
          <w:highlight w:val="none"/>
          <w:u w:val="single"/>
        </w:rPr>
        <w:t xml:space="preserve">      /   </w:t>
      </w:r>
      <w:r>
        <w:rPr>
          <w:rFonts w:hint="eastAsia" w:hAnsi="宋体" w:cs="宋体"/>
          <w:highlight w:val="none"/>
        </w:rPr>
        <w:t>；</w:t>
      </w:r>
    </w:p>
    <w:p w14:paraId="57C4E341">
      <w:pPr>
        <w:spacing w:line="360" w:lineRule="auto"/>
        <w:ind w:firstLine="960" w:firstLineChars="400"/>
        <w:rPr>
          <w:rFonts w:hAnsi="宋体" w:cs="宋体"/>
          <w:highlight w:val="none"/>
        </w:rPr>
      </w:pPr>
      <w:r>
        <w:rPr>
          <w:rFonts w:hint="eastAsia" w:hAnsi="宋体" w:cs="宋体"/>
          <w:highlight w:val="none"/>
        </w:rPr>
        <w:t>支付比例或金额：</w:t>
      </w:r>
      <w:r>
        <w:rPr>
          <w:rFonts w:hint="eastAsia" w:hAnsi="宋体" w:cs="宋体"/>
          <w:highlight w:val="none"/>
          <w:u w:val="single"/>
        </w:rPr>
        <w:t xml:space="preserve">  /   </w:t>
      </w:r>
      <w:r>
        <w:rPr>
          <w:rFonts w:hint="eastAsia" w:hAnsi="宋体" w:cs="宋体"/>
          <w:highlight w:val="none"/>
        </w:rPr>
        <w:t>；</w:t>
      </w:r>
    </w:p>
    <w:p w14:paraId="1725F930">
      <w:pPr>
        <w:spacing w:line="360" w:lineRule="auto"/>
        <w:ind w:firstLine="960" w:firstLineChars="400"/>
        <w:rPr>
          <w:rFonts w:hAnsi="宋体" w:cs="宋体"/>
          <w:highlight w:val="none"/>
        </w:rPr>
      </w:pPr>
      <w:r>
        <w:rPr>
          <w:rFonts w:hint="eastAsia" w:hAnsi="宋体" w:cs="宋体"/>
          <w:highlight w:val="none"/>
        </w:rPr>
        <w:t>支付单据：</w:t>
      </w:r>
      <w:r>
        <w:rPr>
          <w:rFonts w:hint="eastAsia" w:hAnsi="宋体" w:cs="宋体"/>
          <w:highlight w:val="none"/>
          <w:u w:val="single"/>
        </w:rPr>
        <w:t xml:space="preserve">         /    </w:t>
      </w:r>
      <w:r>
        <w:rPr>
          <w:rFonts w:hint="eastAsia" w:hAnsi="宋体" w:cs="宋体"/>
          <w:highlight w:val="none"/>
        </w:rPr>
        <w:t>。</w:t>
      </w:r>
    </w:p>
    <w:p w14:paraId="754F6062">
      <w:pPr>
        <w:spacing w:line="360" w:lineRule="auto"/>
        <w:ind w:firstLine="480" w:firstLineChars="200"/>
        <w:rPr>
          <w:rFonts w:hAnsi="宋体" w:cs="宋体"/>
          <w:highlight w:val="none"/>
        </w:rPr>
      </w:pPr>
      <w:r>
        <w:rPr>
          <w:rFonts w:hint="eastAsia" w:hAnsi="宋体" w:cs="宋体"/>
          <w:highlight w:val="none"/>
        </w:rPr>
        <w:t xml:space="preserve">3.2.3 验收款 </w:t>
      </w:r>
    </w:p>
    <w:p w14:paraId="565CBA91">
      <w:pPr>
        <w:spacing w:line="360" w:lineRule="auto"/>
        <w:ind w:firstLine="960" w:firstLineChars="400"/>
        <w:rPr>
          <w:rFonts w:hAnsi="宋体" w:cs="宋体"/>
          <w:highlight w:val="none"/>
        </w:rPr>
      </w:pPr>
      <w:r>
        <w:rPr>
          <w:rFonts w:hint="eastAsia" w:hAnsi="宋体" w:cs="宋体"/>
          <w:highlight w:val="none"/>
        </w:rPr>
        <w:t>支付时间：</w:t>
      </w:r>
      <w:r>
        <w:rPr>
          <w:rFonts w:hint="eastAsia" w:hAnsi="宋体" w:cs="宋体"/>
          <w:highlight w:val="none"/>
          <w:u w:val="single"/>
        </w:rPr>
        <w:t xml:space="preserve">   /    </w:t>
      </w:r>
      <w:r>
        <w:rPr>
          <w:rFonts w:hint="eastAsia" w:hAnsi="宋体" w:cs="宋体"/>
          <w:highlight w:val="none"/>
        </w:rPr>
        <w:t>；</w:t>
      </w:r>
    </w:p>
    <w:p w14:paraId="0662632C">
      <w:pPr>
        <w:spacing w:line="360" w:lineRule="auto"/>
        <w:ind w:firstLine="960" w:firstLineChars="400"/>
        <w:rPr>
          <w:rFonts w:hAnsi="宋体" w:cs="宋体"/>
          <w:highlight w:val="none"/>
        </w:rPr>
      </w:pPr>
      <w:r>
        <w:rPr>
          <w:rFonts w:hint="eastAsia" w:hAnsi="宋体" w:cs="宋体"/>
          <w:highlight w:val="none"/>
        </w:rPr>
        <w:t>支付比例或金额：</w:t>
      </w:r>
      <w:r>
        <w:rPr>
          <w:rFonts w:hint="eastAsia" w:hAnsi="宋体" w:cs="宋体"/>
          <w:highlight w:val="none"/>
          <w:u w:val="single"/>
        </w:rPr>
        <w:t xml:space="preserve">    /   </w:t>
      </w:r>
      <w:r>
        <w:rPr>
          <w:rFonts w:hint="eastAsia" w:hAnsi="宋体" w:cs="宋体"/>
          <w:highlight w:val="none"/>
        </w:rPr>
        <w:t>；</w:t>
      </w:r>
    </w:p>
    <w:p w14:paraId="03071B4A">
      <w:pPr>
        <w:spacing w:line="360" w:lineRule="auto"/>
        <w:ind w:firstLine="960" w:firstLineChars="400"/>
        <w:rPr>
          <w:rFonts w:hAnsi="宋体" w:cs="宋体"/>
          <w:highlight w:val="none"/>
        </w:rPr>
      </w:pPr>
      <w:r>
        <w:rPr>
          <w:rFonts w:hint="eastAsia" w:hAnsi="宋体" w:cs="宋体"/>
          <w:highlight w:val="none"/>
        </w:rPr>
        <w:t>支付单据：</w:t>
      </w:r>
      <w:r>
        <w:rPr>
          <w:rFonts w:hint="eastAsia" w:hAnsi="宋体" w:cs="宋体"/>
          <w:highlight w:val="none"/>
          <w:u w:val="single"/>
        </w:rPr>
        <w:t xml:space="preserve">  /    </w:t>
      </w:r>
      <w:r>
        <w:rPr>
          <w:rFonts w:hint="eastAsia" w:hAnsi="宋体" w:cs="宋体"/>
          <w:highlight w:val="none"/>
        </w:rPr>
        <w:t>。</w:t>
      </w:r>
    </w:p>
    <w:p w14:paraId="7640A57E">
      <w:pPr>
        <w:spacing w:line="360" w:lineRule="auto"/>
        <w:ind w:firstLine="480" w:firstLineChars="200"/>
        <w:rPr>
          <w:rFonts w:hAnsi="宋体" w:cs="宋体"/>
          <w:highlight w:val="none"/>
        </w:rPr>
      </w:pPr>
      <w:r>
        <w:rPr>
          <w:rFonts w:hint="eastAsia" w:hAnsi="宋体" w:cs="宋体"/>
          <w:highlight w:val="none"/>
        </w:rPr>
        <w:t>3.2.4结清款</w:t>
      </w:r>
    </w:p>
    <w:p w14:paraId="58678B1D">
      <w:pPr>
        <w:spacing w:line="360" w:lineRule="auto"/>
        <w:ind w:firstLine="960" w:firstLineChars="400"/>
        <w:rPr>
          <w:rFonts w:hAnsi="宋体" w:cs="宋体"/>
          <w:highlight w:val="none"/>
        </w:rPr>
      </w:pPr>
      <w:r>
        <w:rPr>
          <w:rFonts w:hint="eastAsia" w:hAnsi="宋体" w:cs="宋体"/>
          <w:highlight w:val="none"/>
        </w:rPr>
        <w:t>支付时间：</w:t>
      </w:r>
      <w:r>
        <w:rPr>
          <w:rFonts w:hint="eastAsia" w:hAnsi="宋体" w:cs="宋体"/>
          <w:highlight w:val="none"/>
          <w:u w:val="single"/>
        </w:rPr>
        <w:t xml:space="preserve">    /    </w:t>
      </w:r>
      <w:r>
        <w:rPr>
          <w:rFonts w:hint="eastAsia" w:hAnsi="宋体" w:cs="宋体"/>
          <w:highlight w:val="none"/>
        </w:rPr>
        <w:t>；</w:t>
      </w:r>
    </w:p>
    <w:p w14:paraId="50F57B7B">
      <w:pPr>
        <w:spacing w:line="360" w:lineRule="auto"/>
        <w:ind w:firstLine="960" w:firstLineChars="400"/>
        <w:rPr>
          <w:rFonts w:hAnsi="宋体" w:cs="宋体"/>
          <w:highlight w:val="none"/>
        </w:rPr>
      </w:pPr>
      <w:r>
        <w:rPr>
          <w:rFonts w:hint="eastAsia" w:hAnsi="宋体" w:cs="宋体"/>
          <w:highlight w:val="none"/>
        </w:rPr>
        <w:t>支付比例或金额：</w:t>
      </w:r>
      <w:r>
        <w:rPr>
          <w:rFonts w:hint="eastAsia" w:hAnsi="宋体" w:cs="宋体"/>
          <w:highlight w:val="none"/>
          <w:u w:val="single"/>
        </w:rPr>
        <w:t xml:space="preserve">   /    </w:t>
      </w:r>
      <w:r>
        <w:rPr>
          <w:rFonts w:hint="eastAsia" w:hAnsi="宋体" w:cs="宋体"/>
          <w:highlight w:val="none"/>
        </w:rPr>
        <w:t>；</w:t>
      </w:r>
    </w:p>
    <w:p w14:paraId="786E2033">
      <w:pPr>
        <w:spacing w:line="360" w:lineRule="auto"/>
        <w:ind w:firstLine="960" w:firstLineChars="400"/>
        <w:rPr>
          <w:rFonts w:hAnsi="宋体" w:cs="宋体"/>
          <w:highlight w:val="none"/>
        </w:rPr>
      </w:pPr>
      <w:r>
        <w:rPr>
          <w:rFonts w:hint="eastAsia" w:hAnsi="宋体" w:cs="宋体"/>
          <w:highlight w:val="none"/>
        </w:rPr>
        <w:t>支付单据：</w:t>
      </w:r>
      <w:r>
        <w:rPr>
          <w:rFonts w:hint="eastAsia" w:hAnsi="宋体" w:cs="宋体"/>
          <w:highlight w:val="none"/>
          <w:u w:val="single"/>
        </w:rPr>
        <w:t xml:space="preserve">   /   </w:t>
      </w:r>
      <w:r>
        <w:rPr>
          <w:rFonts w:hint="eastAsia" w:hAnsi="宋体" w:cs="宋体"/>
          <w:highlight w:val="none"/>
        </w:rPr>
        <w:t>。</w:t>
      </w:r>
    </w:p>
    <w:p w14:paraId="1DE5CA93">
      <w:pPr>
        <w:spacing w:line="360" w:lineRule="auto"/>
        <w:ind w:firstLine="480" w:firstLineChars="200"/>
        <w:jc w:val="left"/>
        <w:rPr>
          <w:rFonts w:hAnsi="宋体" w:cs="宋体"/>
          <w:highlight w:val="none"/>
        </w:rPr>
      </w:pPr>
      <w:r>
        <w:rPr>
          <w:rFonts w:hint="eastAsia" w:hAnsi="宋体" w:cs="宋体"/>
          <w:highlight w:val="none"/>
        </w:rPr>
        <w:t>在不适用通用合同条款所约定的支付方式时，其他支付方式的约定：</w:t>
      </w:r>
      <w:bookmarkStart w:id="823" w:name="_Toc26700667"/>
      <w:bookmarkStart w:id="824" w:name="_Toc26721556"/>
      <w:bookmarkStart w:id="825" w:name="_Toc26700497"/>
      <w:bookmarkStart w:id="826" w:name="_Toc15753923"/>
      <w:bookmarkStart w:id="827" w:name="_Toc392227876"/>
      <w:bookmarkStart w:id="828" w:name="_Toc26721401"/>
      <w:bookmarkStart w:id="829" w:name="_Toc24965167"/>
      <w:bookmarkStart w:id="830" w:name="_Toc17100687"/>
      <w:bookmarkStart w:id="831" w:name="_Toc392346758"/>
    </w:p>
    <w:p w14:paraId="3501A44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全部货物运抵甲方指定地点并经甲方清点签收后，甲方在收到乙方提交的等额有效发票及到货凭证后，付至合同价的</w:t>
      </w:r>
      <w:r>
        <w:rPr>
          <w:rFonts w:hint="eastAsia" w:hAnsi="宋体" w:cs="宋体"/>
          <w:highlight w:val="none"/>
          <w:lang w:val="en-US" w:eastAsia="zh-CN"/>
        </w:rPr>
        <w:t>7</w:t>
      </w:r>
      <w:r>
        <w:rPr>
          <w:rFonts w:hint="eastAsia" w:ascii="宋体" w:hAnsi="宋体" w:eastAsia="宋体" w:cs="宋体"/>
          <w:highlight w:val="none"/>
        </w:rPr>
        <w:t>0%，竣工验收合格后付清余款。</w:t>
      </w:r>
    </w:p>
    <w:p w14:paraId="2C5C014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如中标人采用“电子保函、纸质保函等担保方式”提交等额余款的，则在结算完成后招标人应付至最终结算价款的100%。若以现金形式提交余款的（含从合同价款中以扣留方式提交的）同时退还银行同期活期存款利息。</w:t>
      </w:r>
    </w:p>
    <w:p w14:paraId="1C758C1B">
      <w:pPr>
        <w:spacing w:line="360" w:lineRule="auto"/>
        <w:ind w:firstLine="480" w:firstLineChars="200"/>
        <w:rPr>
          <w:rFonts w:cs="黑体"/>
          <w:highlight w:val="none"/>
        </w:rPr>
      </w:pPr>
      <w:r>
        <w:rPr>
          <w:rFonts w:hint="eastAsia" w:cs="黑体"/>
          <w:highlight w:val="none"/>
        </w:rPr>
        <w:t>4. 监造及交货前检验</w:t>
      </w:r>
      <w:bookmarkEnd w:id="823"/>
      <w:bookmarkEnd w:id="824"/>
      <w:bookmarkEnd w:id="825"/>
      <w:bookmarkEnd w:id="826"/>
      <w:bookmarkEnd w:id="827"/>
      <w:bookmarkEnd w:id="828"/>
      <w:bookmarkEnd w:id="829"/>
      <w:bookmarkEnd w:id="830"/>
    </w:p>
    <w:p w14:paraId="216819B0">
      <w:pPr>
        <w:pStyle w:val="5"/>
        <w:spacing w:before="0" w:after="0"/>
        <w:rPr>
          <w:rFonts w:ascii="黑体" w:hAnsi="黑体" w:cs="黑体"/>
          <w:szCs w:val="24"/>
          <w:highlight w:val="none"/>
        </w:rPr>
      </w:pPr>
      <w:bookmarkStart w:id="832" w:name="_Toc392227877"/>
      <w:r>
        <w:rPr>
          <w:rFonts w:hint="eastAsia" w:ascii="黑体" w:hAnsi="黑体" w:cs="黑体"/>
          <w:szCs w:val="24"/>
          <w:highlight w:val="none"/>
        </w:rPr>
        <w:t>4.1 监造</w:t>
      </w:r>
      <w:bookmarkEnd w:id="832"/>
    </w:p>
    <w:p w14:paraId="2A7B7771">
      <w:pPr>
        <w:spacing w:line="360" w:lineRule="auto"/>
        <w:ind w:firstLine="480" w:firstLineChars="200"/>
        <w:rPr>
          <w:rFonts w:hAnsi="宋体" w:cs="宋体"/>
          <w:highlight w:val="none"/>
        </w:rPr>
      </w:pPr>
      <w:r>
        <w:rPr>
          <w:rFonts w:hint="eastAsia" w:hAnsi="宋体" w:cs="宋体"/>
          <w:highlight w:val="none"/>
        </w:rPr>
        <w:t>买方是否对合同设备进行监造：</w:t>
      </w:r>
      <w:r>
        <w:rPr>
          <w:rFonts w:hint="eastAsia" w:hAnsi="宋体" w:cs="宋体"/>
          <w:highlight w:val="none"/>
          <w:u w:val="single"/>
        </w:rPr>
        <w:t xml:space="preserve">   否   </w:t>
      </w:r>
      <w:r>
        <w:rPr>
          <w:rFonts w:hint="eastAsia" w:hAnsi="宋体" w:cs="宋体"/>
          <w:highlight w:val="none"/>
        </w:rPr>
        <w:t>。</w:t>
      </w:r>
    </w:p>
    <w:p w14:paraId="598CCCD2">
      <w:pPr>
        <w:spacing w:line="360" w:lineRule="auto"/>
        <w:ind w:firstLine="480" w:firstLineChars="200"/>
        <w:rPr>
          <w:rFonts w:hAnsi="宋体" w:cs="宋体"/>
          <w:highlight w:val="none"/>
        </w:rPr>
      </w:pPr>
      <w:r>
        <w:rPr>
          <w:rFonts w:hint="eastAsia" w:hAnsi="宋体" w:cs="宋体"/>
          <w:highlight w:val="none"/>
        </w:rPr>
        <w:t>4.1.1 监造范围、方式：</w:t>
      </w:r>
      <w:r>
        <w:rPr>
          <w:rFonts w:hint="eastAsia" w:hAnsi="宋体" w:cs="宋体"/>
          <w:highlight w:val="none"/>
          <w:u w:val="single"/>
        </w:rPr>
        <w:t xml:space="preserve">          否               </w:t>
      </w:r>
      <w:r>
        <w:rPr>
          <w:rFonts w:hint="eastAsia" w:hAnsi="宋体" w:cs="宋体"/>
          <w:highlight w:val="none"/>
        </w:rPr>
        <w:t>。</w:t>
      </w:r>
    </w:p>
    <w:p w14:paraId="6A8D761C">
      <w:pPr>
        <w:spacing w:line="360" w:lineRule="auto"/>
        <w:ind w:firstLine="480" w:firstLineChars="200"/>
        <w:rPr>
          <w:rFonts w:hAnsi="宋体" w:cs="宋体"/>
          <w:highlight w:val="none"/>
        </w:rPr>
      </w:pPr>
      <w:r>
        <w:rPr>
          <w:rFonts w:hint="eastAsia" w:hAnsi="宋体" w:cs="宋体"/>
          <w:highlight w:val="none"/>
        </w:rPr>
        <w:t>4.1.2 监造场所及配合：</w:t>
      </w:r>
      <w:r>
        <w:rPr>
          <w:rFonts w:hint="eastAsia" w:hAnsi="宋体" w:cs="宋体"/>
          <w:highlight w:val="none"/>
          <w:u w:val="single"/>
        </w:rPr>
        <w:t xml:space="preserve">          否               </w:t>
      </w:r>
      <w:r>
        <w:rPr>
          <w:rFonts w:hint="eastAsia" w:hAnsi="宋体" w:cs="宋体"/>
          <w:highlight w:val="none"/>
        </w:rPr>
        <w:t>。</w:t>
      </w:r>
    </w:p>
    <w:p w14:paraId="6A4131FA">
      <w:pPr>
        <w:spacing w:line="360" w:lineRule="auto"/>
        <w:ind w:firstLine="480" w:firstLineChars="200"/>
        <w:rPr>
          <w:rFonts w:hAnsi="宋体" w:cs="宋体"/>
          <w:highlight w:val="none"/>
        </w:rPr>
      </w:pPr>
      <w:r>
        <w:rPr>
          <w:rFonts w:hint="eastAsia" w:hAnsi="宋体" w:cs="宋体"/>
          <w:highlight w:val="none"/>
        </w:rPr>
        <w:t xml:space="preserve">     买方监造人员的交通、食宿费用承担：</w:t>
      </w:r>
      <w:r>
        <w:rPr>
          <w:rFonts w:hint="eastAsia" w:hAnsi="宋体" w:cs="宋体"/>
          <w:highlight w:val="none"/>
          <w:u w:val="single"/>
        </w:rPr>
        <w:t xml:space="preserve">      否       </w:t>
      </w:r>
      <w:r>
        <w:rPr>
          <w:rFonts w:hint="eastAsia" w:hAnsi="宋体" w:cs="宋体"/>
          <w:highlight w:val="none"/>
        </w:rPr>
        <w:t>。</w:t>
      </w:r>
    </w:p>
    <w:p w14:paraId="70B5A6FC">
      <w:pPr>
        <w:spacing w:line="360" w:lineRule="auto"/>
        <w:rPr>
          <w:rFonts w:hAnsi="宋体" w:cs="宋体"/>
          <w:highlight w:val="none"/>
        </w:rPr>
      </w:pPr>
      <w:r>
        <w:rPr>
          <w:rFonts w:hint="eastAsia" w:hAnsi="宋体" w:cs="宋体"/>
          <w:highlight w:val="none"/>
        </w:rPr>
        <w:t xml:space="preserve">    4.1.3 卖方提前通知买方监造的期限的约定：</w:t>
      </w:r>
      <w:r>
        <w:rPr>
          <w:rFonts w:hint="eastAsia" w:hAnsi="宋体" w:cs="宋体"/>
          <w:highlight w:val="none"/>
          <w:u w:val="single"/>
        </w:rPr>
        <w:t xml:space="preserve">     否        </w:t>
      </w:r>
      <w:r>
        <w:rPr>
          <w:rFonts w:hint="eastAsia" w:hAnsi="宋体" w:cs="宋体"/>
          <w:highlight w:val="none"/>
        </w:rPr>
        <w:t>。</w:t>
      </w:r>
    </w:p>
    <w:p w14:paraId="05765A32">
      <w:pPr>
        <w:pStyle w:val="5"/>
        <w:spacing w:before="0" w:after="0"/>
        <w:rPr>
          <w:rFonts w:ascii="黑体" w:hAnsi="黑体" w:cs="黑体"/>
          <w:szCs w:val="24"/>
          <w:highlight w:val="none"/>
        </w:rPr>
      </w:pPr>
      <w:bookmarkStart w:id="833" w:name="_Toc392227878"/>
      <w:r>
        <w:rPr>
          <w:rFonts w:hint="eastAsia" w:ascii="黑体" w:hAnsi="黑体" w:cs="黑体"/>
          <w:szCs w:val="24"/>
          <w:highlight w:val="none"/>
        </w:rPr>
        <w:t>4.2 交货前检验</w:t>
      </w:r>
      <w:bookmarkEnd w:id="833"/>
    </w:p>
    <w:p w14:paraId="09E8EB29">
      <w:pPr>
        <w:spacing w:line="360" w:lineRule="auto"/>
        <w:ind w:firstLine="480" w:firstLineChars="200"/>
        <w:rPr>
          <w:rFonts w:hAnsi="宋体" w:cs="宋体"/>
          <w:highlight w:val="none"/>
        </w:rPr>
      </w:pPr>
      <w:r>
        <w:rPr>
          <w:rFonts w:hint="eastAsia" w:hAnsi="宋体" w:cs="宋体"/>
          <w:highlight w:val="none"/>
        </w:rPr>
        <w:t>买方是否参与交货前检验：</w:t>
      </w:r>
      <w:r>
        <w:rPr>
          <w:rFonts w:hint="eastAsia" w:hAnsi="宋体" w:cs="宋体"/>
          <w:highlight w:val="none"/>
          <w:u w:val="single"/>
        </w:rPr>
        <w:t xml:space="preserve">          是               </w:t>
      </w:r>
      <w:r>
        <w:rPr>
          <w:rFonts w:hint="eastAsia" w:hAnsi="宋体" w:cs="宋体"/>
          <w:highlight w:val="none"/>
        </w:rPr>
        <w:t>。</w:t>
      </w:r>
    </w:p>
    <w:p w14:paraId="1059B98E">
      <w:pPr>
        <w:spacing w:line="360" w:lineRule="auto"/>
        <w:ind w:firstLine="480" w:firstLineChars="200"/>
        <w:rPr>
          <w:rFonts w:hAnsi="宋体" w:cs="宋体"/>
          <w:highlight w:val="none"/>
        </w:rPr>
      </w:pPr>
      <w:r>
        <w:rPr>
          <w:rFonts w:hint="eastAsia" w:hAnsi="宋体" w:cs="宋体"/>
          <w:highlight w:val="none"/>
        </w:rPr>
        <w:t>4.2.1 买方代表的交通、食宿费用承担：</w:t>
      </w:r>
      <w:r>
        <w:rPr>
          <w:rFonts w:hint="eastAsia" w:hAnsi="宋体" w:cs="宋体"/>
          <w:highlight w:val="none"/>
          <w:u w:val="single"/>
        </w:rPr>
        <w:t xml:space="preserve">   卖方承担    </w:t>
      </w:r>
      <w:r>
        <w:rPr>
          <w:rFonts w:hint="eastAsia" w:hAnsi="宋体" w:cs="宋体"/>
          <w:highlight w:val="none"/>
        </w:rPr>
        <w:t>。</w:t>
      </w:r>
    </w:p>
    <w:p w14:paraId="1A2CDE5E">
      <w:pPr>
        <w:spacing w:line="360" w:lineRule="auto"/>
        <w:rPr>
          <w:rFonts w:hAnsi="宋体" w:cs="宋体"/>
          <w:highlight w:val="none"/>
        </w:rPr>
      </w:pPr>
      <w:r>
        <w:rPr>
          <w:rFonts w:hint="eastAsia" w:hAnsi="宋体" w:cs="宋体"/>
          <w:highlight w:val="none"/>
        </w:rPr>
        <w:t xml:space="preserve">    4.2.2卖方提前通知买方检验的期限的约定</w:t>
      </w:r>
      <w:r>
        <w:rPr>
          <w:rFonts w:hint="eastAsia" w:hAnsi="宋体" w:cs="宋体"/>
          <w:highlight w:val="none"/>
          <w:u w:val="single"/>
        </w:rPr>
        <w:t xml:space="preserve">  执行通用条款</w:t>
      </w:r>
      <w:r>
        <w:rPr>
          <w:rFonts w:hint="eastAsia" w:hAnsi="宋体" w:cs="宋体"/>
          <w:highlight w:val="none"/>
        </w:rPr>
        <w:t>。</w:t>
      </w:r>
    </w:p>
    <w:p w14:paraId="406A0006">
      <w:pPr>
        <w:pStyle w:val="2"/>
        <w:spacing w:before="0" w:after="0"/>
        <w:ind w:left="240" w:leftChars="100"/>
        <w:rPr>
          <w:rFonts w:cs="黑体"/>
          <w:highlight w:val="none"/>
        </w:rPr>
      </w:pPr>
      <w:bookmarkStart w:id="834" w:name="_Toc15753924"/>
      <w:bookmarkStart w:id="835" w:name="_Toc24965168"/>
      <w:bookmarkStart w:id="836" w:name="_Toc26700668"/>
      <w:bookmarkStart w:id="837" w:name="_Toc26721557"/>
      <w:bookmarkStart w:id="838" w:name="_Toc17100688"/>
      <w:bookmarkStart w:id="839" w:name="_Toc26700498"/>
      <w:bookmarkStart w:id="840" w:name="_Toc26721402"/>
      <w:r>
        <w:rPr>
          <w:rFonts w:hint="eastAsia" w:cs="黑体"/>
          <w:highlight w:val="none"/>
        </w:rPr>
        <w:t>5. 包装、标记、运输和交付</w:t>
      </w:r>
      <w:bookmarkEnd w:id="831"/>
      <w:bookmarkEnd w:id="834"/>
      <w:bookmarkEnd w:id="835"/>
      <w:bookmarkEnd w:id="836"/>
      <w:bookmarkEnd w:id="837"/>
      <w:bookmarkEnd w:id="838"/>
      <w:bookmarkEnd w:id="839"/>
      <w:bookmarkEnd w:id="840"/>
    </w:p>
    <w:p w14:paraId="3140F44C">
      <w:pPr>
        <w:pStyle w:val="5"/>
        <w:spacing w:before="0" w:after="0"/>
        <w:rPr>
          <w:rFonts w:ascii="黑体" w:hAnsi="黑体" w:cs="黑体"/>
          <w:szCs w:val="24"/>
          <w:highlight w:val="none"/>
        </w:rPr>
      </w:pPr>
      <w:bookmarkStart w:id="841" w:name="_Toc392346759"/>
      <w:r>
        <w:rPr>
          <w:rFonts w:hint="eastAsia" w:ascii="黑体" w:hAnsi="黑体" w:cs="黑体"/>
          <w:szCs w:val="24"/>
          <w:highlight w:val="none"/>
        </w:rPr>
        <w:t>5.1 包装</w:t>
      </w:r>
      <w:bookmarkEnd w:id="841"/>
    </w:p>
    <w:p w14:paraId="4A928B5B">
      <w:pPr>
        <w:spacing w:line="360" w:lineRule="auto"/>
        <w:ind w:firstLine="480" w:firstLineChars="200"/>
        <w:rPr>
          <w:rFonts w:hAnsi="宋体" w:cs="宋体"/>
          <w:highlight w:val="none"/>
        </w:rPr>
      </w:pPr>
      <w:r>
        <w:rPr>
          <w:rFonts w:hint="eastAsia" w:hAnsi="宋体" w:cs="宋体"/>
          <w:highlight w:val="none"/>
        </w:rPr>
        <w:t>5.1.1 包装的其他要求：</w:t>
      </w:r>
      <w:r>
        <w:rPr>
          <w:rFonts w:hint="eastAsia" w:hAnsi="宋体" w:cs="宋体"/>
          <w:highlight w:val="none"/>
          <w:u w:val="single"/>
        </w:rPr>
        <w:t xml:space="preserve">   执行通用条款  </w:t>
      </w:r>
      <w:r>
        <w:rPr>
          <w:rFonts w:hint="eastAsia" w:hAnsi="宋体" w:cs="宋体"/>
          <w:highlight w:val="none"/>
        </w:rPr>
        <w:t>。</w:t>
      </w:r>
    </w:p>
    <w:p w14:paraId="427305EB">
      <w:pPr>
        <w:spacing w:line="360" w:lineRule="auto"/>
        <w:ind w:firstLine="480" w:firstLineChars="200"/>
        <w:rPr>
          <w:rFonts w:hAnsi="宋体" w:cs="宋体"/>
          <w:highlight w:val="none"/>
        </w:rPr>
      </w:pPr>
      <w:r>
        <w:rPr>
          <w:rFonts w:hint="eastAsia" w:hAnsi="宋体" w:cs="宋体"/>
          <w:highlight w:val="none"/>
        </w:rPr>
        <w:t>5.1.3 买方是否需将包装物退还给卖方：</w:t>
      </w:r>
      <w:r>
        <w:rPr>
          <w:rFonts w:hint="eastAsia" w:hAnsi="宋体" w:cs="宋体"/>
          <w:highlight w:val="none"/>
          <w:u w:val="single"/>
        </w:rPr>
        <w:t xml:space="preserve">   不需要  </w:t>
      </w:r>
      <w:r>
        <w:rPr>
          <w:rFonts w:hint="eastAsia" w:hAnsi="宋体" w:cs="宋体"/>
          <w:highlight w:val="none"/>
        </w:rPr>
        <w:t>。</w:t>
      </w:r>
    </w:p>
    <w:p w14:paraId="2BD7C9E2">
      <w:pPr>
        <w:pStyle w:val="5"/>
        <w:spacing w:before="0" w:after="0"/>
        <w:rPr>
          <w:rFonts w:ascii="黑体" w:hAnsi="黑体" w:cs="黑体"/>
          <w:szCs w:val="24"/>
          <w:highlight w:val="none"/>
        </w:rPr>
      </w:pPr>
      <w:bookmarkStart w:id="842" w:name="_Toc392346760"/>
      <w:r>
        <w:rPr>
          <w:rFonts w:hint="eastAsia" w:ascii="黑体" w:hAnsi="黑体" w:cs="黑体"/>
          <w:szCs w:val="24"/>
          <w:highlight w:val="none"/>
        </w:rPr>
        <w:t>5.2 标记</w:t>
      </w:r>
      <w:bookmarkEnd w:id="842"/>
    </w:p>
    <w:p w14:paraId="29521F16">
      <w:pPr>
        <w:spacing w:line="360" w:lineRule="auto"/>
        <w:ind w:firstLine="480" w:firstLineChars="200"/>
        <w:rPr>
          <w:rFonts w:hAnsi="宋体" w:cs="宋体"/>
          <w:highlight w:val="none"/>
        </w:rPr>
      </w:pPr>
      <w:r>
        <w:rPr>
          <w:rFonts w:hint="eastAsia" w:hAnsi="宋体" w:cs="宋体"/>
          <w:highlight w:val="none"/>
        </w:rPr>
        <w:t>5.2.1标记要求：</w:t>
      </w:r>
      <w:r>
        <w:rPr>
          <w:rFonts w:hint="eastAsia" w:hAnsi="宋体" w:cs="宋体"/>
          <w:highlight w:val="none"/>
          <w:u w:val="single"/>
        </w:rPr>
        <w:t xml:space="preserve">  执行通用条款  </w:t>
      </w:r>
      <w:r>
        <w:rPr>
          <w:rFonts w:hint="eastAsia" w:hAnsi="宋体" w:cs="宋体"/>
          <w:highlight w:val="none"/>
        </w:rPr>
        <w:t>。</w:t>
      </w:r>
    </w:p>
    <w:p w14:paraId="6E52A49A">
      <w:pPr>
        <w:spacing w:line="360" w:lineRule="auto"/>
        <w:ind w:firstLine="480" w:firstLineChars="200"/>
        <w:rPr>
          <w:rFonts w:hAnsi="宋体" w:cs="宋体"/>
          <w:highlight w:val="none"/>
        </w:rPr>
      </w:pPr>
      <w:r>
        <w:rPr>
          <w:rFonts w:hint="eastAsia" w:hAnsi="宋体" w:cs="宋体"/>
          <w:highlight w:val="none"/>
        </w:rPr>
        <w:t>5.2.2 超大超重件：</w:t>
      </w:r>
      <w:r>
        <w:rPr>
          <w:rFonts w:hint="eastAsia" w:hAnsi="宋体" w:cs="宋体"/>
          <w:snapToGrid w:val="0"/>
          <w:highlight w:val="none"/>
          <w:u w:val="single"/>
        </w:rPr>
        <w:t xml:space="preserve"> 执行通用条款 </w:t>
      </w:r>
      <w:r>
        <w:rPr>
          <w:rFonts w:hint="eastAsia" w:hAnsi="宋体" w:cs="宋体"/>
          <w:highlight w:val="none"/>
        </w:rPr>
        <w:t>。</w:t>
      </w:r>
    </w:p>
    <w:p w14:paraId="6A9C5084">
      <w:pPr>
        <w:pStyle w:val="5"/>
        <w:spacing w:before="0" w:after="0"/>
        <w:rPr>
          <w:rFonts w:ascii="黑体" w:hAnsi="黑体" w:cs="黑体"/>
          <w:szCs w:val="24"/>
          <w:highlight w:val="none"/>
        </w:rPr>
      </w:pPr>
      <w:bookmarkStart w:id="843" w:name="_Toc392346761"/>
      <w:r>
        <w:rPr>
          <w:rFonts w:hint="eastAsia" w:ascii="黑体" w:hAnsi="黑体" w:cs="黑体"/>
          <w:szCs w:val="24"/>
          <w:highlight w:val="none"/>
        </w:rPr>
        <w:t>5.3 运输</w:t>
      </w:r>
      <w:bookmarkEnd w:id="843"/>
    </w:p>
    <w:p w14:paraId="410D57AA">
      <w:pPr>
        <w:snapToGrid w:val="0"/>
        <w:spacing w:line="360" w:lineRule="auto"/>
        <w:ind w:firstLine="480" w:firstLineChars="200"/>
        <w:rPr>
          <w:rFonts w:hAnsi="宋体" w:cs="宋体"/>
          <w:highlight w:val="none"/>
        </w:rPr>
      </w:pPr>
      <w:r>
        <w:rPr>
          <w:rFonts w:hint="eastAsia" w:hAnsi="宋体" w:cs="宋体"/>
          <w:highlight w:val="none"/>
        </w:rPr>
        <w:t>5.3.2整套装运要求：</w:t>
      </w:r>
      <w:r>
        <w:rPr>
          <w:rFonts w:hint="eastAsia" w:hAnsi="宋体" w:cs="宋体"/>
          <w:highlight w:val="none"/>
          <w:u w:val="single"/>
        </w:rPr>
        <w:t xml:space="preserve">  执行通用条款  </w:t>
      </w:r>
      <w:r>
        <w:rPr>
          <w:rFonts w:hint="eastAsia" w:hAnsi="宋体" w:cs="宋体"/>
          <w:highlight w:val="none"/>
        </w:rPr>
        <w:t>。</w:t>
      </w:r>
    </w:p>
    <w:p w14:paraId="271EA64F">
      <w:pPr>
        <w:snapToGrid w:val="0"/>
        <w:spacing w:line="360" w:lineRule="auto"/>
        <w:ind w:firstLine="480" w:firstLineChars="200"/>
        <w:rPr>
          <w:rFonts w:hAnsi="宋体" w:cs="宋体"/>
          <w:highlight w:val="none"/>
        </w:rPr>
      </w:pPr>
      <w:r>
        <w:rPr>
          <w:rFonts w:hint="eastAsia" w:hAnsi="宋体" w:cs="宋体"/>
          <w:highlight w:val="none"/>
        </w:rPr>
        <w:t>5.3.3装运通知</w:t>
      </w:r>
    </w:p>
    <w:p w14:paraId="622149ED">
      <w:pPr>
        <w:snapToGrid w:val="0"/>
        <w:spacing w:line="360" w:lineRule="auto"/>
        <w:ind w:firstLine="1080" w:firstLineChars="450"/>
        <w:rPr>
          <w:rFonts w:hAnsi="宋体" w:cs="宋体"/>
          <w:highlight w:val="none"/>
        </w:rPr>
      </w:pPr>
      <w:r>
        <w:rPr>
          <w:rFonts w:hint="eastAsia" w:hAnsi="宋体" w:cs="宋体"/>
          <w:highlight w:val="none"/>
        </w:rPr>
        <w:t>通知时间：</w:t>
      </w:r>
      <w:r>
        <w:rPr>
          <w:rFonts w:hint="eastAsia" w:hAnsi="宋体" w:cs="宋体"/>
          <w:highlight w:val="none"/>
          <w:u w:val="single"/>
        </w:rPr>
        <w:t xml:space="preserve">执行通用条款 </w:t>
      </w:r>
      <w:r>
        <w:rPr>
          <w:rFonts w:hint="eastAsia" w:hAnsi="宋体" w:cs="宋体"/>
          <w:highlight w:val="none"/>
        </w:rPr>
        <w:t>。</w:t>
      </w:r>
    </w:p>
    <w:p w14:paraId="4B8959C0">
      <w:pPr>
        <w:snapToGrid w:val="0"/>
        <w:spacing w:line="360" w:lineRule="auto"/>
        <w:ind w:firstLine="1080" w:firstLineChars="450"/>
        <w:rPr>
          <w:rFonts w:hAnsi="宋体" w:cs="宋体"/>
          <w:highlight w:val="none"/>
        </w:rPr>
      </w:pPr>
      <w:r>
        <w:rPr>
          <w:rFonts w:hint="eastAsia" w:hAnsi="宋体" w:cs="宋体"/>
          <w:highlight w:val="none"/>
        </w:rPr>
        <w:t>通知内容：</w:t>
      </w:r>
      <w:r>
        <w:rPr>
          <w:rFonts w:hint="eastAsia" w:hAnsi="宋体" w:cs="宋体"/>
          <w:highlight w:val="none"/>
          <w:u w:val="single"/>
        </w:rPr>
        <w:t xml:space="preserve"> 执行通用条款</w:t>
      </w:r>
      <w:r>
        <w:rPr>
          <w:rFonts w:hint="eastAsia" w:hAnsi="宋体" w:cs="宋体"/>
          <w:highlight w:val="none"/>
        </w:rPr>
        <w:t>。</w:t>
      </w:r>
    </w:p>
    <w:p w14:paraId="56D6E8BB">
      <w:pPr>
        <w:snapToGrid w:val="0"/>
        <w:spacing w:line="360" w:lineRule="auto"/>
        <w:ind w:firstLine="480" w:firstLineChars="200"/>
        <w:rPr>
          <w:rFonts w:hAnsi="宋体" w:cs="宋体"/>
          <w:highlight w:val="none"/>
          <w:u w:val="single"/>
        </w:rPr>
      </w:pPr>
      <w:r>
        <w:rPr>
          <w:rFonts w:hint="eastAsia" w:hAnsi="宋体" w:cs="宋体"/>
          <w:highlight w:val="none"/>
        </w:rPr>
        <w:t>5.3.4 超大超重包装：</w:t>
      </w:r>
      <w:r>
        <w:rPr>
          <w:rFonts w:hint="eastAsia" w:hAnsi="宋体" w:cs="宋体"/>
          <w:snapToGrid w:val="0"/>
          <w:highlight w:val="none"/>
          <w:u w:val="single"/>
        </w:rPr>
        <w:t xml:space="preserve"> 执行通用条款 </w:t>
      </w:r>
      <w:r>
        <w:rPr>
          <w:rFonts w:hint="eastAsia" w:hAnsi="宋体" w:cs="宋体"/>
          <w:highlight w:val="none"/>
        </w:rPr>
        <w:t>。</w:t>
      </w:r>
    </w:p>
    <w:p w14:paraId="7D08E5DF">
      <w:pPr>
        <w:pStyle w:val="5"/>
        <w:spacing w:before="0" w:after="0"/>
        <w:rPr>
          <w:rFonts w:ascii="黑体" w:hAnsi="黑体" w:cs="黑体"/>
          <w:szCs w:val="24"/>
          <w:highlight w:val="none"/>
        </w:rPr>
      </w:pPr>
      <w:bookmarkStart w:id="844" w:name="_Toc392346762"/>
      <w:r>
        <w:rPr>
          <w:rFonts w:hint="eastAsia" w:ascii="黑体" w:hAnsi="黑体" w:cs="黑体"/>
          <w:szCs w:val="24"/>
          <w:highlight w:val="none"/>
        </w:rPr>
        <w:t>5.4 交付</w:t>
      </w:r>
      <w:bookmarkEnd w:id="844"/>
    </w:p>
    <w:p w14:paraId="149FA474">
      <w:pPr>
        <w:tabs>
          <w:tab w:val="left" w:pos="540"/>
          <w:tab w:val="left" w:pos="1260"/>
        </w:tabs>
        <w:adjustRightInd w:val="0"/>
        <w:snapToGrid w:val="0"/>
        <w:spacing w:line="360" w:lineRule="auto"/>
        <w:ind w:firstLine="480" w:firstLineChars="200"/>
        <w:rPr>
          <w:rFonts w:hAnsi="宋体" w:cs="宋体"/>
          <w:snapToGrid w:val="0"/>
          <w:highlight w:val="none"/>
          <w:u w:val="single"/>
        </w:rPr>
      </w:pPr>
      <w:r>
        <w:rPr>
          <w:rFonts w:hint="eastAsia" w:hAnsi="宋体" w:cs="宋体"/>
          <w:highlight w:val="none"/>
        </w:rPr>
        <w:t>4.4.1 交付时间、批次：</w:t>
      </w:r>
      <w:r>
        <w:rPr>
          <w:rFonts w:hint="eastAsia" w:hAnsi="宋体" w:cs="宋体"/>
          <w:snapToGrid w:val="0"/>
          <w:highlight w:val="none"/>
          <w:u w:val="single"/>
        </w:rPr>
        <w:t xml:space="preserve"> 根据买方具体通知</w:t>
      </w:r>
      <w:r>
        <w:rPr>
          <w:rFonts w:hint="eastAsia" w:hAnsi="宋体" w:cs="宋体"/>
          <w:highlight w:val="none"/>
        </w:rPr>
        <w:t>。</w:t>
      </w:r>
    </w:p>
    <w:p w14:paraId="549CAD3A">
      <w:pPr>
        <w:tabs>
          <w:tab w:val="left" w:pos="540"/>
          <w:tab w:val="left" w:pos="1260"/>
        </w:tabs>
        <w:adjustRightInd w:val="0"/>
        <w:snapToGrid w:val="0"/>
        <w:spacing w:line="360" w:lineRule="auto"/>
        <w:ind w:firstLine="480" w:firstLineChars="200"/>
        <w:rPr>
          <w:rFonts w:hAnsi="宋体" w:cs="宋体"/>
          <w:highlight w:val="none"/>
          <w:u w:val="single"/>
        </w:rPr>
      </w:pPr>
      <w:r>
        <w:rPr>
          <w:rFonts w:hint="eastAsia" w:hAnsi="宋体" w:cs="宋体"/>
          <w:highlight w:val="none"/>
        </w:rPr>
        <w:t>交付地点：</w:t>
      </w:r>
      <w:r>
        <w:rPr>
          <w:rFonts w:hint="eastAsia" w:hAnsi="宋体" w:cs="宋体"/>
          <w:highlight w:val="none"/>
          <w:u w:val="single"/>
        </w:rPr>
        <w:t>根据买方具体通知</w:t>
      </w:r>
      <w:r>
        <w:rPr>
          <w:rFonts w:hint="eastAsia" w:hAnsi="宋体" w:cs="宋体"/>
          <w:highlight w:val="none"/>
        </w:rPr>
        <w:t>。</w:t>
      </w:r>
    </w:p>
    <w:p w14:paraId="5624DA75">
      <w:pPr>
        <w:tabs>
          <w:tab w:val="left" w:pos="540"/>
          <w:tab w:val="left" w:pos="1260"/>
        </w:tabs>
        <w:adjustRightInd w:val="0"/>
        <w:snapToGrid w:val="0"/>
        <w:spacing w:line="360" w:lineRule="auto"/>
        <w:ind w:firstLine="480" w:firstLineChars="200"/>
        <w:rPr>
          <w:rFonts w:hAnsi="宋体" w:cs="宋体"/>
          <w:snapToGrid w:val="0"/>
          <w:highlight w:val="none"/>
          <w:u w:val="single"/>
        </w:rPr>
      </w:pPr>
      <w:r>
        <w:rPr>
          <w:rFonts w:hint="eastAsia" w:hAnsi="宋体" w:cs="宋体"/>
          <w:highlight w:val="none"/>
        </w:rPr>
        <w:t>交付方式：</w:t>
      </w:r>
      <w:r>
        <w:rPr>
          <w:rFonts w:hint="eastAsia" w:hAnsi="宋体" w:cs="宋体"/>
          <w:highlight w:val="none"/>
          <w:u w:val="single"/>
        </w:rPr>
        <w:t>根据买方具体通知</w:t>
      </w:r>
      <w:r>
        <w:rPr>
          <w:rFonts w:hint="eastAsia" w:hAnsi="宋体" w:cs="宋体"/>
          <w:highlight w:val="none"/>
        </w:rPr>
        <w:t>。</w:t>
      </w:r>
    </w:p>
    <w:p w14:paraId="518CB8FD">
      <w:pPr>
        <w:spacing w:line="360" w:lineRule="auto"/>
        <w:ind w:firstLine="480" w:firstLineChars="200"/>
        <w:rPr>
          <w:rFonts w:hAnsi="宋体" w:cs="宋体"/>
          <w:highlight w:val="none"/>
        </w:rPr>
      </w:pPr>
      <w:r>
        <w:rPr>
          <w:rFonts w:hint="eastAsia" w:hAnsi="宋体" w:cs="宋体"/>
          <w:highlight w:val="none"/>
        </w:rPr>
        <w:t>5.4.3 技术资料免费补齐的时间：</w:t>
      </w:r>
      <w:r>
        <w:rPr>
          <w:rFonts w:hint="eastAsia" w:hAnsi="宋体" w:cs="宋体"/>
          <w:highlight w:val="none"/>
          <w:u w:val="single"/>
        </w:rPr>
        <w:t xml:space="preserve"> 根据买方具体通知</w:t>
      </w:r>
      <w:r>
        <w:rPr>
          <w:rFonts w:hint="eastAsia" w:hAnsi="宋体" w:cs="宋体"/>
          <w:highlight w:val="none"/>
        </w:rPr>
        <w:t>。</w:t>
      </w:r>
    </w:p>
    <w:p w14:paraId="220DF67D">
      <w:pPr>
        <w:pStyle w:val="2"/>
        <w:spacing w:before="0" w:after="0"/>
        <w:ind w:left="240" w:leftChars="100"/>
        <w:rPr>
          <w:rFonts w:cs="黑体"/>
          <w:highlight w:val="none"/>
        </w:rPr>
      </w:pPr>
      <w:bookmarkStart w:id="845" w:name="_Toc17100689"/>
      <w:bookmarkStart w:id="846" w:name="_Toc26700669"/>
      <w:bookmarkStart w:id="847" w:name="_Toc15753925"/>
      <w:bookmarkStart w:id="848" w:name="_Toc24965169"/>
      <w:bookmarkStart w:id="849" w:name="_Toc392346763"/>
      <w:bookmarkStart w:id="850" w:name="_Toc26700499"/>
      <w:bookmarkStart w:id="851" w:name="_Toc26721403"/>
      <w:bookmarkStart w:id="852" w:name="_Toc26721558"/>
      <w:r>
        <w:rPr>
          <w:rFonts w:hint="eastAsia" w:cs="黑体"/>
          <w:highlight w:val="none"/>
        </w:rPr>
        <w:t>6. 开箱检验、安装、调试、考核、验收</w:t>
      </w:r>
      <w:bookmarkEnd w:id="845"/>
      <w:bookmarkEnd w:id="846"/>
      <w:bookmarkEnd w:id="847"/>
      <w:bookmarkEnd w:id="848"/>
      <w:bookmarkEnd w:id="849"/>
      <w:bookmarkEnd w:id="850"/>
      <w:bookmarkEnd w:id="851"/>
      <w:bookmarkEnd w:id="852"/>
    </w:p>
    <w:p w14:paraId="7E38C3A1">
      <w:pPr>
        <w:pStyle w:val="5"/>
        <w:spacing w:before="0" w:after="0"/>
        <w:rPr>
          <w:rFonts w:ascii="黑体" w:hAnsi="黑体" w:cs="黑体"/>
          <w:szCs w:val="24"/>
          <w:highlight w:val="none"/>
        </w:rPr>
      </w:pPr>
      <w:r>
        <w:rPr>
          <w:rFonts w:hint="eastAsia" w:ascii="黑体" w:hAnsi="黑体" w:cs="黑体"/>
          <w:szCs w:val="24"/>
          <w:highlight w:val="none"/>
        </w:rPr>
        <w:t>6.1 开箱检验</w:t>
      </w:r>
    </w:p>
    <w:p w14:paraId="25EC4183">
      <w:pPr>
        <w:spacing w:line="360" w:lineRule="auto"/>
        <w:ind w:firstLine="480" w:firstLineChars="200"/>
        <w:rPr>
          <w:rFonts w:hAnsi="宋体" w:cs="宋体"/>
          <w:highlight w:val="none"/>
        </w:rPr>
      </w:pPr>
      <w:r>
        <w:rPr>
          <w:rFonts w:hint="eastAsia" w:hAnsi="宋体" w:cs="宋体"/>
          <w:highlight w:val="none"/>
        </w:rPr>
        <w:t>6.1.1 开箱检验的时间按以下第_</w:t>
      </w:r>
      <w:r>
        <w:rPr>
          <w:rFonts w:hint="eastAsia" w:hAnsi="宋体" w:cs="宋体"/>
          <w:highlight w:val="none"/>
          <w:u w:val="single"/>
        </w:rPr>
        <w:t>（1）_</w:t>
      </w:r>
      <w:r>
        <w:rPr>
          <w:rFonts w:hint="eastAsia" w:hAnsi="宋体" w:cs="宋体"/>
          <w:highlight w:val="none"/>
        </w:rPr>
        <w:t>种方式确定。</w:t>
      </w:r>
    </w:p>
    <w:p w14:paraId="15C8B632">
      <w:pPr>
        <w:snapToGrid w:val="0"/>
        <w:spacing w:line="360" w:lineRule="auto"/>
        <w:ind w:firstLine="480" w:firstLineChars="200"/>
        <w:rPr>
          <w:rFonts w:hAnsi="宋体" w:cs="宋体"/>
          <w:snapToGrid w:val="0"/>
          <w:highlight w:val="none"/>
          <w:u w:val="single"/>
        </w:rPr>
      </w:pPr>
      <w:r>
        <w:rPr>
          <w:rFonts w:hint="eastAsia" w:hAnsi="宋体" w:cs="宋体"/>
          <w:snapToGrid w:val="0"/>
          <w:highlight w:val="none"/>
          <w:u w:val="single"/>
        </w:rPr>
        <w:t xml:space="preserve">（1）合同设备交付时； </w:t>
      </w:r>
    </w:p>
    <w:p w14:paraId="4C5DFEA9">
      <w:pPr>
        <w:snapToGrid w:val="0"/>
        <w:spacing w:line="360" w:lineRule="auto"/>
        <w:ind w:firstLine="480" w:firstLineChars="200"/>
        <w:rPr>
          <w:rFonts w:hAnsi="宋体" w:cs="宋体"/>
          <w:snapToGrid w:val="0"/>
          <w:highlight w:val="none"/>
        </w:rPr>
      </w:pPr>
      <w:r>
        <w:rPr>
          <w:rFonts w:hint="eastAsia" w:hAnsi="宋体" w:cs="宋体"/>
          <w:snapToGrid w:val="0"/>
          <w:highlight w:val="none"/>
          <w:u w:val="single"/>
        </w:rPr>
        <w:t>（2）合同设备交付后的一定期限内。如开箱检验不在合同设备交付时进行，买方应在开箱检验   日前将开箱检验的时间和地点通知卖方。</w:t>
      </w:r>
    </w:p>
    <w:p w14:paraId="50FDDAF5">
      <w:pPr>
        <w:snapToGrid w:val="0"/>
        <w:spacing w:line="360" w:lineRule="auto"/>
        <w:ind w:firstLine="480" w:firstLineChars="200"/>
        <w:rPr>
          <w:rFonts w:hAnsi="宋体" w:cs="宋体"/>
          <w:highlight w:val="none"/>
        </w:rPr>
      </w:pPr>
      <w:r>
        <w:rPr>
          <w:rFonts w:hint="eastAsia" w:hAnsi="宋体" w:cs="宋体"/>
          <w:highlight w:val="none"/>
        </w:rPr>
        <w:t>6.1.2 合同设备的开箱检验地点：</w:t>
      </w:r>
      <w:r>
        <w:rPr>
          <w:rFonts w:hint="eastAsia" w:hAnsi="宋体" w:cs="宋体"/>
          <w:highlight w:val="none"/>
          <w:u w:val="single"/>
        </w:rPr>
        <w:t xml:space="preserve">根据买方具体通知 </w:t>
      </w:r>
      <w:r>
        <w:rPr>
          <w:rFonts w:hint="eastAsia" w:hAnsi="宋体" w:cs="宋体"/>
          <w:highlight w:val="none"/>
        </w:rPr>
        <w:t>。</w:t>
      </w:r>
    </w:p>
    <w:p w14:paraId="0FB3F043">
      <w:pPr>
        <w:snapToGrid w:val="0"/>
        <w:spacing w:line="360" w:lineRule="auto"/>
        <w:ind w:firstLine="480" w:firstLineChars="200"/>
        <w:rPr>
          <w:rFonts w:hAnsi="宋体" w:cs="宋体"/>
          <w:snapToGrid w:val="0"/>
          <w:highlight w:val="none"/>
        </w:rPr>
      </w:pPr>
      <w:r>
        <w:rPr>
          <w:rFonts w:hint="eastAsia" w:hAnsi="宋体" w:cs="宋体"/>
          <w:highlight w:val="none"/>
        </w:rPr>
        <w:t>6.1.6 合同设备的短缺、损坏或其它与合同约定不符的情形：</w:t>
      </w:r>
      <w:r>
        <w:rPr>
          <w:rFonts w:hint="eastAsia" w:hAnsi="宋体" w:cs="宋体"/>
          <w:snapToGrid w:val="0"/>
          <w:highlight w:val="none"/>
          <w:u w:val="single"/>
        </w:rPr>
        <w:t xml:space="preserve"> 执行通用条款，并按短缺、损坏的设备相应货款的30%处以违约金</w:t>
      </w:r>
      <w:r>
        <w:rPr>
          <w:rFonts w:hint="eastAsia" w:hAnsi="宋体" w:cs="宋体"/>
          <w:snapToGrid w:val="0"/>
          <w:highlight w:val="none"/>
        </w:rPr>
        <w:t>。</w:t>
      </w:r>
    </w:p>
    <w:p w14:paraId="1AE924B3">
      <w:pPr>
        <w:spacing w:line="360" w:lineRule="auto"/>
        <w:ind w:firstLine="480" w:firstLineChars="200"/>
        <w:rPr>
          <w:rFonts w:hAnsi="宋体" w:cs="宋体"/>
          <w:highlight w:val="none"/>
        </w:rPr>
      </w:pPr>
      <w:r>
        <w:rPr>
          <w:rFonts w:hint="eastAsia" w:hAnsi="宋体" w:cs="宋体"/>
          <w:highlight w:val="none"/>
        </w:rPr>
        <w:t>6.1.7 第三方检测机构的委托要求、费用承担和检验效力：</w:t>
      </w:r>
      <w:r>
        <w:rPr>
          <w:rFonts w:hint="eastAsia" w:hAnsi="宋体" w:cs="宋体"/>
          <w:highlight w:val="none"/>
          <w:u w:val="single"/>
        </w:rPr>
        <w:t>买方委托，费用卖方承担</w:t>
      </w:r>
      <w:r>
        <w:rPr>
          <w:rFonts w:hint="eastAsia" w:hAnsi="宋体" w:cs="宋体"/>
          <w:highlight w:val="none"/>
        </w:rPr>
        <w:t>。</w:t>
      </w:r>
    </w:p>
    <w:p w14:paraId="32FDAE58">
      <w:pPr>
        <w:pStyle w:val="5"/>
        <w:spacing w:before="0" w:after="0"/>
        <w:rPr>
          <w:rFonts w:ascii="黑体" w:hAnsi="黑体" w:cs="黑体"/>
          <w:szCs w:val="24"/>
          <w:highlight w:val="none"/>
        </w:rPr>
      </w:pPr>
      <w:r>
        <w:rPr>
          <w:rFonts w:hint="eastAsia" w:ascii="黑体" w:hAnsi="黑体" w:cs="黑体"/>
          <w:szCs w:val="24"/>
          <w:highlight w:val="none"/>
        </w:rPr>
        <w:t>6.2 安装、调试</w:t>
      </w:r>
    </w:p>
    <w:p w14:paraId="7FD5A5BB">
      <w:pPr>
        <w:snapToGrid w:val="0"/>
        <w:spacing w:line="360" w:lineRule="auto"/>
        <w:ind w:firstLine="480" w:firstLineChars="200"/>
        <w:rPr>
          <w:rFonts w:hAnsi="宋体" w:cs="宋体"/>
          <w:highlight w:val="none"/>
        </w:rPr>
      </w:pPr>
      <w:r>
        <w:rPr>
          <w:rFonts w:hint="eastAsia" w:hAnsi="宋体" w:cs="宋体"/>
          <w:highlight w:val="none"/>
        </w:rPr>
        <w:t>6.2.1 安装、调试按照下列</w:t>
      </w:r>
      <w:r>
        <w:rPr>
          <w:rFonts w:hint="eastAsia" w:hAnsi="宋体" w:cs="宋体"/>
          <w:highlight w:val="none"/>
          <w:u w:val="single"/>
        </w:rPr>
        <w:t xml:space="preserve"> （1）</w:t>
      </w:r>
      <w:r>
        <w:rPr>
          <w:rFonts w:hint="eastAsia" w:hAnsi="宋体" w:cs="宋体"/>
          <w:highlight w:val="none"/>
        </w:rPr>
        <w:t>方式进行：</w:t>
      </w:r>
    </w:p>
    <w:p w14:paraId="3ED8BA54">
      <w:pPr>
        <w:snapToGrid w:val="0"/>
        <w:spacing w:line="360" w:lineRule="auto"/>
        <w:ind w:firstLine="480" w:firstLineChars="200"/>
        <w:rPr>
          <w:rFonts w:hAnsi="宋体" w:cs="宋体"/>
          <w:highlight w:val="none"/>
        </w:rPr>
      </w:pPr>
      <w:r>
        <w:rPr>
          <w:rFonts w:hint="eastAsia" w:hAnsi="宋体" w:cs="宋体"/>
          <w:highlight w:val="none"/>
        </w:rPr>
        <w:t>（1）卖方按照合同约定完成合同设备的安装、调试工作；</w:t>
      </w:r>
    </w:p>
    <w:p w14:paraId="1F194AE3">
      <w:pPr>
        <w:snapToGrid w:val="0"/>
        <w:spacing w:line="360" w:lineRule="auto"/>
        <w:ind w:firstLine="480" w:firstLineChars="200"/>
        <w:rPr>
          <w:rFonts w:hAnsi="宋体" w:cs="宋体"/>
          <w:highlight w:val="none"/>
        </w:rPr>
      </w:pPr>
      <w:r>
        <w:rPr>
          <w:rFonts w:hint="eastAsia" w:hAnsi="宋体" w:cs="宋体"/>
          <w:highlight w:val="none"/>
        </w:rPr>
        <w:t>（2）买方或买方安排第三方负责合同设备的安装、调试工作，卖方提供技术服务。</w:t>
      </w:r>
    </w:p>
    <w:p w14:paraId="58F02164">
      <w:pPr>
        <w:snapToGrid w:val="0"/>
        <w:spacing w:line="360" w:lineRule="auto"/>
        <w:ind w:firstLine="480" w:firstLineChars="200"/>
        <w:rPr>
          <w:rFonts w:hAnsi="宋体" w:cs="宋体"/>
          <w:highlight w:val="none"/>
        </w:rPr>
      </w:pPr>
      <w:r>
        <w:rPr>
          <w:rFonts w:hint="eastAsia" w:hAnsi="宋体" w:cs="宋体"/>
          <w:highlight w:val="none"/>
          <w:lang w:val="zh-CN"/>
        </w:rPr>
        <w:t>买方</w:t>
      </w:r>
      <w:r>
        <w:rPr>
          <w:rFonts w:hint="eastAsia" w:hAnsi="宋体" w:cs="宋体"/>
          <w:highlight w:val="none"/>
        </w:rPr>
        <w:t>或买方安排的第三方</w:t>
      </w:r>
      <w:r>
        <w:rPr>
          <w:rFonts w:hint="eastAsia" w:hAnsi="宋体" w:cs="宋体"/>
          <w:highlight w:val="none"/>
          <w:lang w:val="zh-CN"/>
        </w:rPr>
        <w:t>未按照卖方现场服务人员的指导导致安装、调试不成功和（或）出现合同货物损坏的责任承担：</w:t>
      </w:r>
      <w:r>
        <w:rPr>
          <w:rFonts w:hint="eastAsia" w:hAnsi="宋体" w:cs="宋体"/>
          <w:highlight w:val="none"/>
          <w:u w:val="single"/>
        </w:rPr>
        <w:t xml:space="preserve">       /       </w:t>
      </w:r>
      <w:r>
        <w:rPr>
          <w:rFonts w:hint="eastAsia" w:hAnsi="宋体" w:cs="宋体"/>
          <w:highlight w:val="none"/>
        </w:rPr>
        <w:t>。</w:t>
      </w:r>
    </w:p>
    <w:p w14:paraId="5977F5C2">
      <w:pPr>
        <w:snapToGrid w:val="0"/>
        <w:spacing w:line="360" w:lineRule="auto"/>
        <w:ind w:firstLine="480" w:firstLineChars="200"/>
        <w:rPr>
          <w:rFonts w:hAnsi="宋体" w:cs="宋体"/>
          <w:highlight w:val="none"/>
          <w:u w:val="single"/>
        </w:rPr>
      </w:pPr>
      <w:r>
        <w:rPr>
          <w:rFonts w:hint="eastAsia" w:hAnsi="宋体" w:cs="宋体"/>
          <w:highlight w:val="none"/>
        </w:rPr>
        <w:t>6.2.2 安装、调试所需的动力、耗材和原材料（如需要）：</w:t>
      </w:r>
      <w:r>
        <w:rPr>
          <w:rFonts w:hint="eastAsia" w:hAnsi="宋体" w:cs="宋体"/>
          <w:highlight w:val="none"/>
          <w:u w:val="single"/>
        </w:rPr>
        <w:t>由卖方承担。</w:t>
      </w:r>
    </w:p>
    <w:p w14:paraId="5ADF5021">
      <w:pPr>
        <w:pStyle w:val="5"/>
        <w:spacing w:before="0" w:after="0"/>
        <w:rPr>
          <w:rFonts w:ascii="黑体" w:hAnsi="黑体" w:cs="黑体"/>
          <w:szCs w:val="24"/>
          <w:highlight w:val="none"/>
        </w:rPr>
      </w:pPr>
      <w:bookmarkStart w:id="853" w:name="_Toc392227887"/>
      <w:r>
        <w:rPr>
          <w:rFonts w:hint="eastAsia" w:ascii="黑体" w:hAnsi="黑体" w:cs="黑体"/>
          <w:szCs w:val="24"/>
          <w:highlight w:val="none"/>
        </w:rPr>
        <w:t>6.3 考核</w:t>
      </w:r>
      <w:bookmarkEnd w:id="853"/>
    </w:p>
    <w:p w14:paraId="557A3D6B">
      <w:pPr>
        <w:snapToGrid w:val="0"/>
        <w:spacing w:line="360" w:lineRule="auto"/>
        <w:ind w:firstLine="480" w:firstLineChars="200"/>
        <w:rPr>
          <w:rFonts w:hAnsi="宋体" w:cs="宋体"/>
          <w:highlight w:val="none"/>
        </w:rPr>
      </w:pPr>
      <w:r>
        <w:rPr>
          <w:rFonts w:hint="eastAsia" w:hAnsi="宋体" w:cs="宋体"/>
          <w:highlight w:val="none"/>
        </w:rPr>
        <w:t>6.3.1 考核所需的动力、耗材和原材料（如需要）的承担：</w:t>
      </w:r>
      <w:r>
        <w:rPr>
          <w:rFonts w:hint="eastAsia" w:hAnsi="宋体" w:cs="宋体"/>
          <w:highlight w:val="none"/>
          <w:u w:val="single"/>
        </w:rPr>
        <w:t>由卖方承担。</w:t>
      </w:r>
    </w:p>
    <w:p w14:paraId="743FE876">
      <w:pPr>
        <w:snapToGrid w:val="0"/>
        <w:spacing w:line="360" w:lineRule="auto"/>
        <w:ind w:firstLine="480" w:firstLineChars="200"/>
        <w:rPr>
          <w:rFonts w:hAnsi="宋体" w:cs="宋体"/>
          <w:highlight w:val="none"/>
        </w:rPr>
      </w:pPr>
      <w:r>
        <w:rPr>
          <w:rFonts w:hint="eastAsia" w:hAnsi="宋体" w:cs="宋体"/>
          <w:highlight w:val="none"/>
        </w:rPr>
        <w:t>6.3.2 技术性能考核指标：</w:t>
      </w:r>
      <w:r>
        <w:rPr>
          <w:rFonts w:hint="eastAsia" w:hAnsi="宋体" w:cs="宋体"/>
          <w:highlight w:val="none"/>
          <w:u w:val="single"/>
        </w:rPr>
        <w:t>满足技术规范书及图纸要求。</w:t>
      </w:r>
      <w:r>
        <w:rPr>
          <w:rFonts w:hint="eastAsia" w:hAnsi="宋体" w:cs="宋体"/>
          <w:highlight w:val="none"/>
        </w:rPr>
        <w:t>。</w:t>
      </w:r>
    </w:p>
    <w:p w14:paraId="15F2B4F3">
      <w:pPr>
        <w:snapToGrid w:val="0"/>
        <w:spacing w:line="360" w:lineRule="auto"/>
        <w:ind w:firstLine="480" w:firstLineChars="200"/>
        <w:rPr>
          <w:rFonts w:hAnsi="宋体" w:cs="宋体"/>
          <w:highlight w:val="none"/>
          <w:u w:val="single"/>
        </w:rPr>
      </w:pPr>
      <w:r>
        <w:rPr>
          <w:rFonts w:hint="eastAsia" w:hAnsi="宋体" w:cs="宋体"/>
          <w:highlight w:val="none"/>
        </w:rPr>
        <w:t>6.3.3 对卖方进行考核的次数：</w:t>
      </w:r>
      <w:r>
        <w:rPr>
          <w:rFonts w:hint="eastAsia" w:hAnsi="宋体" w:cs="宋体"/>
          <w:highlight w:val="none"/>
          <w:u w:val="single"/>
        </w:rPr>
        <w:t xml:space="preserve">  3  </w:t>
      </w:r>
      <w:r>
        <w:rPr>
          <w:rFonts w:hint="eastAsia" w:hAnsi="宋体" w:cs="宋体"/>
          <w:highlight w:val="none"/>
        </w:rPr>
        <w:t>次。</w:t>
      </w:r>
    </w:p>
    <w:p w14:paraId="788C55A8">
      <w:pPr>
        <w:snapToGrid w:val="0"/>
        <w:spacing w:line="360" w:lineRule="auto"/>
        <w:ind w:firstLine="480" w:firstLineChars="200"/>
        <w:rPr>
          <w:rFonts w:hAnsi="宋体" w:cs="宋体"/>
          <w:highlight w:val="none"/>
          <w:u w:val="single"/>
        </w:rPr>
      </w:pPr>
      <w:r>
        <w:rPr>
          <w:rFonts w:hint="eastAsia" w:hAnsi="宋体" w:cs="宋体"/>
          <w:highlight w:val="none"/>
        </w:rPr>
        <w:t>考核均未能达到合同约定的技术性能考核指标的处理办法：</w:t>
      </w:r>
      <w:r>
        <w:rPr>
          <w:rFonts w:hint="eastAsia" w:hAnsi="宋体" w:cs="宋体"/>
          <w:highlight w:val="none"/>
          <w:u w:val="single"/>
        </w:rPr>
        <w:t>执行通用条款，</w:t>
      </w:r>
    </w:p>
    <w:p w14:paraId="14156133">
      <w:pPr>
        <w:snapToGrid w:val="0"/>
        <w:spacing w:line="360" w:lineRule="auto"/>
        <w:ind w:firstLine="480" w:firstLineChars="200"/>
        <w:rPr>
          <w:rFonts w:hAnsi="宋体" w:cs="宋体"/>
          <w:highlight w:val="none"/>
          <w:u w:val="single"/>
        </w:rPr>
      </w:pPr>
      <w:r>
        <w:rPr>
          <w:rFonts w:hint="eastAsia" w:hAnsi="宋体" w:cs="宋体"/>
          <w:highlight w:val="none"/>
          <w:u w:val="single"/>
        </w:rPr>
        <w:t>并按设备相应货款的 30%处以违约金</w:t>
      </w:r>
      <w:r>
        <w:rPr>
          <w:rFonts w:hint="eastAsia" w:hAnsi="宋体" w:cs="宋体"/>
          <w:highlight w:val="none"/>
        </w:rPr>
        <w:t>。</w:t>
      </w:r>
    </w:p>
    <w:p w14:paraId="05E0403A">
      <w:pPr>
        <w:snapToGrid w:val="0"/>
        <w:spacing w:line="360" w:lineRule="auto"/>
        <w:ind w:firstLine="480" w:firstLineChars="200"/>
        <w:rPr>
          <w:rFonts w:hAnsi="宋体" w:cs="宋体"/>
          <w:highlight w:val="none"/>
        </w:rPr>
      </w:pPr>
      <w:r>
        <w:rPr>
          <w:rFonts w:hint="eastAsia" w:hAnsi="宋体" w:cs="宋体"/>
          <w:highlight w:val="none"/>
        </w:rPr>
        <w:t>视为合同货物已达到技术性能考核指标时的减价或向买方支付补偿金的标准：</w:t>
      </w:r>
      <w:r>
        <w:rPr>
          <w:rFonts w:hint="eastAsia" w:hAnsi="宋体" w:cs="宋体"/>
          <w:highlight w:val="none"/>
          <w:u w:val="single"/>
        </w:rPr>
        <w:t xml:space="preserve">   /    </w:t>
      </w:r>
      <w:r>
        <w:rPr>
          <w:rFonts w:hint="eastAsia" w:hAnsi="宋体" w:cs="宋体"/>
          <w:highlight w:val="none"/>
        </w:rPr>
        <w:t>。</w:t>
      </w:r>
    </w:p>
    <w:p w14:paraId="33860D7D">
      <w:pPr>
        <w:snapToGrid w:val="0"/>
        <w:spacing w:line="360" w:lineRule="auto"/>
        <w:ind w:firstLine="480" w:firstLineChars="200"/>
        <w:rPr>
          <w:rFonts w:hAnsi="宋体" w:cs="宋体"/>
          <w:highlight w:val="none"/>
        </w:rPr>
      </w:pPr>
      <w:r>
        <w:rPr>
          <w:rFonts w:hint="eastAsia" w:hAnsi="宋体" w:cs="宋体"/>
          <w:highlight w:val="none"/>
        </w:rPr>
        <w:t>如果买方委托第三方检测机构对合同设备进行技术性能考核，则第三方检测机构的检验结果对双方均具有约束力。检测费用由</w:t>
      </w:r>
      <w:r>
        <w:rPr>
          <w:rFonts w:hint="eastAsia" w:hAnsi="宋体" w:cs="宋体"/>
          <w:highlight w:val="none"/>
          <w:u w:val="single"/>
        </w:rPr>
        <w:t>卖方</w:t>
      </w:r>
      <w:r>
        <w:rPr>
          <w:rFonts w:hint="eastAsia" w:hAnsi="宋体" w:cs="宋体"/>
          <w:highlight w:val="none"/>
        </w:rPr>
        <w:t>承担。</w:t>
      </w:r>
    </w:p>
    <w:p w14:paraId="42A85895">
      <w:pPr>
        <w:pStyle w:val="5"/>
        <w:spacing w:before="0" w:after="0"/>
        <w:rPr>
          <w:rFonts w:ascii="黑体" w:hAnsi="黑体" w:cs="黑体"/>
          <w:szCs w:val="24"/>
          <w:highlight w:val="none"/>
        </w:rPr>
      </w:pPr>
      <w:bookmarkStart w:id="854" w:name="_Toc392227888"/>
      <w:r>
        <w:rPr>
          <w:rFonts w:hint="eastAsia" w:ascii="黑体" w:hAnsi="黑体" w:cs="黑体"/>
          <w:szCs w:val="24"/>
          <w:highlight w:val="none"/>
        </w:rPr>
        <w:t>6.4 验收</w:t>
      </w:r>
      <w:bookmarkEnd w:id="854"/>
    </w:p>
    <w:p w14:paraId="3EE6445B">
      <w:pPr>
        <w:snapToGrid w:val="0"/>
        <w:spacing w:line="360" w:lineRule="auto"/>
        <w:ind w:firstLine="480" w:firstLineChars="200"/>
        <w:rPr>
          <w:rFonts w:hAnsi="宋体" w:cs="宋体"/>
          <w:highlight w:val="none"/>
        </w:rPr>
      </w:pPr>
      <w:r>
        <w:rPr>
          <w:rFonts w:hint="eastAsia" w:hAnsi="宋体" w:cs="宋体"/>
          <w:highlight w:val="none"/>
        </w:rPr>
        <w:t>6.4.1 签署合同货物验收证书的时间：</w:t>
      </w:r>
      <w:r>
        <w:rPr>
          <w:rFonts w:hint="eastAsia" w:hAnsi="宋体" w:cs="宋体"/>
          <w:highlight w:val="none"/>
          <w:u w:val="single"/>
        </w:rPr>
        <w:t>达到合同及招标文件约定的标准后</w:t>
      </w:r>
      <w:r>
        <w:rPr>
          <w:rFonts w:hint="eastAsia" w:hAnsi="宋体" w:cs="宋体"/>
          <w:highlight w:val="none"/>
        </w:rPr>
        <w:t>。</w:t>
      </w:r>
    </w:p>
    <w:p w14:paraId="3C2F62E5">
      <w:pPr>
        <w:snapToGrid w:val="0"/>
        <w:spacing w:line="360" w:lineRule="auto"/>
        <w:ind w:firstLine="480" w:firstLineChars="200"/>
        <w:rPr>
          <w:rFonts w:hAnsi="宋体" w:cs="宋体"/>
          <w:highlight w:val="none"/>
        </w:rPr>
      </w:pPr>
      <w:r>
        <w:rPr>
          <w:rFonts w:hint="eastAsia" w:hAnsi="宋体" w:cs="宋体"/>
          <w:highlight w:val="none"/>
        </w:rPr>
        <w:t>6.4.2 由于买方原因造成未能达到技术性能考核指标时签署验收款支付函的时间：</w:t>
      </w:r>
      <w:r>
        <w:rPr>
          <w:rFonts w:hint="eastAsia" w:hAnsi="宋体" w:cs="宋体"/>
          <w:highlight w:val="none"/>
          <w:u w:val="single"/>
        </w:rPr>
        <w:t xml:space="preserve">  /    </w:t>
      </w:r>
      <w:r>
        <w:rPr>
          <w:rFonts w:hint="eastAsia" w:hAnsi="宋体" w:cs="宋体"/>
          <w:highlight w:val="none"/>
        </w:rPr>
        <w:t>。</w:t>
      </w:r>
    </w:p>
    <w:p w14:paraId="188070F5">
      <w:pPr>
        <w:snapToGrid w:val="0"/>
        <w:spacing w:line="360" w:lineRule="auto"/>
        <w:ind w:firstLine="480" w:firstLineChars="200"/>
        <w:rPr>
          <w:rFonts w:hAnsi="宋体" w:cs="宋体"/>
          <w:highlight w:val="none"/>
        </w:rPr>
      </w:pPr>
      <w:r>
        <w:rPr>
          <w:rFonts w:hint="eastAsia" w:hAnsi="宋体" w:cs="宋体"/>
          <w:highlight w:val="none"/>
        </w:rPr>
        <w:t>未能达到技术性能考核指标时卖方提供的技术服务的期限：</w:t>
      </w:r>
      <w:r>
        <w:rPr>
          <w:rFonts w:hint="eastAsia" w:hAnsi="宋体" w:cs="宋体"/>
          <w:highlight w:val="none"/>
          <w:u w:val="single"/>
        </w:rPr>
        <w:t>执行通用条款</w:t>
      </w:r>
      <w:r>
        <w:rPr>
          <w:rFonts w:hint="eastAsia" w:hAnsi="宋体" w:cs="宋体"/>
          <w:highlight w:val="none"/>
        </w:rPr>
        <w:t>。</w:t>
      </w:r>
    </w:p>
    <w:p w14:paraId="0A32843D">
      <w:pPr>
        <w:snapToGrid w:val="0"/>
        <w:spacing w:line="360" w:lineRule="auto"/>
        <w:ind w:firstLine="480" w:firstLineChars="200"/>
        <w:rPr>
          <w:rFonts w:hAnsi="宋体" w:cs="宋体"/>
          <w:highlight w:val="none"/>
          <w:u w:val="single"/>
        </w:rPr>
      </w:pPr>
      <w:r>
        <w:rPr>
          <w:rFonts w:hint="eastAsia" w:hAnsi="宋体" w:cs="宋体"/>
          <w:highlight w:val="none"/>
        </w:rPr>
        <w:t>6.4.3 由于买方原因未进行考核时验收款支付的期限：</w:t>
      </w:r>
      <w:r>
        <w:rPr>
          <w:rFonts w:hint="eastAsia" w:hAnsi="宋体" w:cs="宋体"/>
          <w:highlight w:val="none"/>
          <w:u w:val="single"/>
        </w:rPr>
        <w:t xml:space="preserve">      /          </w:t>
      </w:r>
      <w:r>
        <w:rPr>
          <w:rFonts w:hint="eastAsia" w:hAnsi="宋体" w:cs="宋体"/>
          <w:highlight w:val="none"/>
        </w:rPr>
        <w:t>。</w:t>
      </w:r>
    </w:p>
    <w:p w14:paraId="2B8E549D">
      <w:pPr>
        <w:snapToGrid w:val="0"/>
        <w:spacing w:line="360" w:lineRule="auto"/>
        <w:ind w:firstLine="480" w:firstLineChars="200"/>
        <w:rPr>
          <w:rFonts w:hAnsi="宋体" w:cs="宋体"/>
          <w:highlight w:val="none"/>
        </w:rPr>
      </w:pPr>
      <w:r>
        <w:rPr>
          <w:rStyle w:val="65"/>
          <w:rFonts w:hint="eastAsia" w:hAnsi="宋体" w:cs="宋体"/>
          <w:sz w:val="24"/>
          <w:highlight w:val="none"/>
        </w:rPr>
        <w:t>验收款支付函</w:t>
      </w:r>
      <w:r>
        <w:rPr>
          <w:rFonts w:hint="eastAsia" w:hAnsi="宋体" w:cs="宋体"/>
          <w:highlight w:val="none"/>
        </w:rPr>
        <w:t>签署后卖方提供的技术服务的期限：</w:t>
      </w:r>
      <w:r>
        <w:rPr>
          <w:rFonts w:hint="eastAsia" w:hAnsi="宋体" w:cs="宋体"/>
          <w:highlight w:val="none"/>
          <w:u w:val="single"/>
        </w:rPr>
        <w:t>执行通用条款</w:t>
      </w:r>
      <w:r>
        <w:rPr>
          <w:rFonts w:hint="eastAsia" w:hAnsi="宋体" w:cs="宋体"/>
          <w:highlight w:val="none"/>
        </w:rPr>
        <w:t>。</w:t>
      </w:r>
    </w:p>
    <w:p w14:paraId="246664BD">
      <w:pPr>
        <w:pStyle w:val="2"/>
        <w:spacing w:before="0" w:after="0"/>
        <w:ind w:left="240" w:leftChars="100"/>
        <w:rPr>
          <w:rFonts w:cs="黑体"/>
          <w:highlight w:val="none"/>
        </w:rPr>
      </w:pPr>
      <w:bookmarkStart w:id="855" w:name="_Toc15753926"/>
      <w:bookmarkStart w:id="856" w:name="_Toc392346764"/>
      <w:bookmarkStart w:id="857" w:name="_Toc24965170"/>
      <w:bookmarkStart w:id="858" w:name="_Toc17100690"/>
      <w:bookmarkStart w:id="859" w:name="_Toc26721404"/>
      <w:bookmarkStart w:id="860" w:name="_Toc26700670"/>
      <w:bookmarkStart w:id="861" w:name="_Toc26700500"/>
      <w:bookmarkStart w:id="862" w:name="_Toc26721559"/>
      <w:r>
        <w:rPr>
          <w:rFonts w:hint="eastAsia" w:cs="黑体"/>
          <w:highlight w:val="none"/>
        </w:rPr>
        <w:t xml:space="preserve">7. </w:t>
      </w:r>
      <w:bookmarkEnd w:id="855"/>
      <w:bookmarkEnd w:id="856"/>
      <w:bookmarkEnd w:id="857"/>
      <w:bookmarkEnd w:id="858"/>
      <w:r>
        <w:rPr>
          <w:rFonts w:hint="eastAsia" w:cs="黑体"/>
          <w:highlight w:val="none"/>
        </w:rPr>
        <w:t>技术服务</w:t>
      </w:r>
      <w:bookmarkEnd w:id="859"/>
      <w:bookmarkEnd w:id="860"/>
      <w:bookmarkEnd w:id="861"/>
      <w:bookmarkEnd w:id="862"/>
    </w:p>
    <w:p w14:paraId="0548B8B7">
      <w:pPr>
        <w:spacing w:line="360" w:lineRule="auto"/>
        <w:ind w:firstLine="480" w:firstLineChars="200"/>
        <w:rPr>
          <w:rFonts w:hAnsi="宋体" w:cs="宋体"/>
          <w:highlight w:val="none"/>
        </w:rPr>
      </w:pPr>
      <w:r>
        <w:rPr>
          <w:rFonts w:hint="eastAsia" w:hAnsi="宋体" w:cs="宋体"/>
          <w:highlight w:val="none"/>
        </w:rPr>
        <w:t>7.2卖方技术人员的费用承担：</w:t>
      </w:r>
      <w:r>
        <w:rPr>
          <w:rFonts w:hint="eastAsia" w:hAnsi="宋体" w:cs="宋体"/>
          <w:highlight w:val="none"/>
          <w:u w:val="single"/>
        </w:rPr>
        <w:t xml:space="preserve">卖方承担 </w:t>
      </w:r>
      <w:r>
        <w:rPr>
          <w:rFonts w:hint="eastAsia" w:hAnsi="宋体" w:cs="宋体"/>
          <w:highlight w:val="none"/>
        </w:rPr>
        <w:t>。</w:t>
      </w:r>
    </w:p>
    <w:p w14:paraId="514B4C05">
      <w:pPr>
        <w:pStyle w:val="2"/>
        <w:spacing w:before="0" w:after="0"/>
        <w:ind w:left="240" w:leftChars="100"/>
        <w:rPr>
          <w:rFonts w:cs="黑体"/>
          <w:highlight w:val="none"/>
        </w:rPr>
      </w:pPr>
      <w:bookmarkStart w:id="863" w:name="_Toc392346765"/>
      <w:bookmarkStart w:id="864" w:name="_Toc24965171"/>
      <w:bookmarkStart w:id="865" w:name="_Toc26721560"/>
      <w:bookmarkStart w:id="866" w:name="_Toc26700501"/>
      <w:bookmarkStart w:id="867" w:name="_Toc26721405"/>
      <w:bookmarkStart w:id="868" w:name="_Toc17100691"/>
      <w:bookmarkStart w:id="869" w:name="_Toc15753927"/>
      <w:bookmarkStart w:id="870" w:name="_Toc26700671"/>
      <w:r>
        <w:rPr>
          <w:rFonts w:hint="eastAsia" w:cs="黑体"/>
          <w:highlight w:val="none"/>
        </w:rPr>
        <w:t>8. 质量保证期</w:t>
      </w:r>
      <w:bookmarkEnd w:id="863"/>
      <w:bookmarkEnd w:id="864"/>
      <w:bookmarkEnd w:id="865"/>
      <w:bookmarkEnd w:id="866"/>
      <w:bookmarkEnd w:id="867"/>
      <w:bookmarkEnd w:id="868"/>
      <w:bookmarkEnd w:id="869"/>
      <w:bookmarkEnd w:id="870"/>
    </w:p>
    <w:p w14:paraId="7245F9CC">
      <w:pPr>
        <w:spacing w:line="360" w:lineRule="auto"/>
        <w:ind w:firstLine="480" w:firstLineChars="200"/>
        <w:rPr>
          <w:rFonts w:hAnsi="宋体" w:cs="宋体"/>
          <w:highlight w:val="none"/>
        </w:rPr>
      </w:pPr>
      <w:r>
        <w:rPr>
          <w:rFonts w:hint="eastAsia" w:hAnsi="宋体" w:cs="宋体"/>
          <w:highlight w:val="none"/>
        </w:rPr>
        <w:t>8.1 合同货物整体质量保证期：</w:t>
      </w:r>
      <w:r>
        <w:rPr>
          <w:rFonts w:hint="eastAsia" w:ascii="Times New Roman"/>
          <w:highlight w:val="none"/>
          <w:u w:val="single"/>
        </w:rPr>
        <w:t>见《</w:t>
      </w:r>
      <w:r>
        <w:rPr>
          <w:rFonts w:hint="eastAsia" w:ascii="Times New Roman"/>
          <w:szCs w:val="21"/>
          <w:highlight w:val="none"/>
          <w:u w:val="single"/>
        </w:rPr>
        <w:t>专用合同条款数据表</w:t>
      </w:r>
      <w:r>
        <w:rPr>
          <w:rFonts w:hint="eastAsia" w:ascii="Times New Roman"/>
          <w:highlight w:val="none"/>
          <w:u w:val="single"/>
        </w:rPr>
        <w:t>》</w:t>
      </w:r>
      <w:r>
        <w:rPr>
          <w:rFonts w:hint="eastAsia" w:hAnsi="宋体" w:cs="宋体"/>
          <w:highlight w:val="none"/>
        </w:rPr>
        <w:t>。</w:t>
      </w:r>
    </w:p>
    <w:p w14:paraId="492DBEF6">
      <w:pPr>
        <w:snapToGrid w:val="0"/>
        <w:spacing w:line="360" w:lineRule="auto"/>
        <w:ind w:firstLine="960" w:firstLineChars="400"/>
        <w:rPr>
          <w:rFonts w:hAnsi="宋体" w:cs="宋体"/>
          <w:highlight w:val="none"/>
        </w:rPr>
      </w:pPr>
      <w:r>
        <w:rPr>
          <w:rFonts w:hint="eastAsia" w:hAnsi="宋体" w:cs="宋体"/>
          <w:highlight w:val="none"/>
        </w:rPr>
        <w:t>关键部件质保期的特殊约定：</w:t>
      </w:r>
      <w:r>
        <w:rPr>
          <w:rFonts w:hint="eastAsia" w:ascii="Times New Roman"/>
          <w:highlight w:val="none"/>
          <w:u w:val="single"/>
        </w:rPr>
        <w:t xml:space="preserve">        /              </w:t>
      </w:r>
      <w:r>
        <w:rPr>
          <w:rFonts w:hint="eastAsia" w:hAnsi="宋体" w:cs="宋体"/>
          <w:highlight w:val="none"/>
        </w:rPr>
        <w:t>。</w:t>
      </w:r>
    </w:p>
    <w:p w14:paraId="5BE783C0">
      <w:pPr>
        <w:spacing w:line="360" w:lineRule="auto"/>
        <w:ind w:firstLine="480" w:firstLineChars="200"/>
        <w:rPr>
          <w:rFonts w:hAnsi="宋体" w:cs="宋体"/>
          <w:highlight w:val="none"/>
        </w:rPr>
      </w:pPr>
      <w:r>
        <w:rPr>
          <w:rFonts w:hint="eastAsia" w:hAnsi="宋体" w:cs="宋体"/>
          <w:highlight w:val="none"/>
        </w:rPr>
        <w:t>8.3 出具质量保证期届满证书的时间：</w:t>
      </w:r>
      <w:r>
        <w:rPr>
          <w:rFonts w:hint="eastAsia" w:hAnsi="宋体" w:cs="宋体"/>
          <w:highlight w:val="none"/>
          <w:u w:val="single"/>
        </w:rPr>
        <w:t>整体质量保证期满后且校方确认后</w:t>
      </w:r>
      <w:r>
        <w:rPr>
          <w:rFonts w:hint="eastAsia" w:hAnsi="宋体" w:cs="宋体"/>
          <w:highlight w:val="none"/>
        </w:rPr>
        <w:t>。</w:t>
      </w:r>
    </w:p>
    <w:p w14:paraId="03EE3232">
      <w:pPr>
        <w:spacing w:line="360" w:lineRule="auto"/>
        <w:ind w:firstLine="480" w:firstLineChars="200"/>
        <w:rPr>
          <w:rFonts w:hAnsi="宋体" w:cs="宋体"/>
          <w:highlight w:val="none"/>
        </w:rPr>
      </w:pPr>
      <w:r>
        <w:rPr>
          <w:rFonts w:hint="eastAsia" w:hAnsi="宋体" w:cs="宋体"/>
          <w:highlight w:val="none"/>
        </w:rPr>
        <w:t>8.4由于买方原因合同货物未能达到技术性能考核指标时签署结清款支付函的期限：</w:t>
      </w:r>
      <w:r>
        <w:rPr>
          <w:rFonts w:hint="eastAsia" w:hAnsi="宋体" w:cs="宋体"/>
          <w:highlight w:val="none"/>
          <w:u w:val="single"/>
        </w:rPr>
        <w:t xml:space="preserve">     /       </w:t>
      </w:r>
      <w:r>
        <w:rPr>
          <w:rFonts w:hint="eastAsia" w:hAnsi="宋体" w:cs="宋体"/>
          <w:highlight w:val="none"/>
        </w:rPr>
        <w:t>。</w:t>
      </w:r>
    </w:p>
    <w:p w14:paraId="62A5A62A">
      <w:pPr>
        <w:spacing w:line="360" w:lineRule="auto"/>
        <w:ind w:firstLine="480" w:firstLineChars="200"/>
        <w:rPr>
          <w:rFonts w:hAnsi="宋体" w:cs="宋体"/>
          <w:highlight w:val="none"/>
        </w:rPr>
      </w:pPr>
      <w:r>
        <w:rPr>
          <w:rFonts w:hint="eastAsia" w:hAnsi="宋体" w:cs="宋体"/>
          <w:highlight w:val="none"/>
        </w:rPr>
        <w:t>8.5 由于买方原因合同货物未进行考核或未达到技术性能考核指标时签署结清款支付函的期限：</w:t>
      </w:r>
      <w:r>
        <w:rPr>
          <w:rFonts w:hint="eastAsia" w:hAnsi="宋体" w:cs="宋体"/>
          <w:highlight w:val="none"/>
          <w:u w:val="single"/>
        </w:rPr>
        <w:t xml:space="preserve">     /       </w:t>
      </w:r>
      <w:r>
        <w:rPr>
          <w:rFonts w:hint="eastAsia" w:hAnsi="宋体" w:cs="宋体"/>
          <w:highlight w:val="none"/>
        </w:rPr>
        <w:t>。</w:t>
      </w:r>
    </w:p>
    <w:p w14:paraId="0A058AF4">
      <w:pPr>
        <w:pStyle w:val="2"/>
        <w:spacing w:before="0" w:after="0"/>
        <w:ind w:left="240" w:leftChars="100"/>
        <w:rPr>
          <w:rFonts w:cs="黑体"/>
          <w:highlight w:val="none"/>
        </w:rPr>
      </w:pPr>
      <w:bookmarkStart w:id="871" w:name="_Toc17100692"/>
      <w:bookmarkStart w:id="872" w:name="_Toc26700672"/>
      <w:bookmarkStart w:id="873" w:name="_Toc527622464"/>
      <w:bookmarkStart w:id="874" w:name="_Toc26721561"/>
      <w:bookmarkStart w:id="875" w:name="_Toc512544417"/>
      <w:bookmarkStart w:id="876" w:name="_Toc26700502"/>
      <w:bookmarkStart w:id="877" w:name="_Toc15753928"/>
      <w:bookmarkStart w:id="878" w:name="_Toc525761973"/>
      <w:bookmarkStart w:id="879" w:name="_Toc24965172"/>
      <w:bookmarkStart w:id="880" w:name="_Toc512611674"/>
      <w:bookmarkStart w:id="881" w:name="_Toc26721406"/>
      <w:bookmarkStart w:id="882" w:name="_Toc512544524"/>
      <w:bookmarkStart w:id="883" w:name="_Toc392346766"/>
      <w:r>
        <w:rPr>
          <w:rFonts w:hint="eastAsia" w:cs="黑体"/>
          <w:highlight w:val="none"/>
        </w:rPr>
        <w:t>9. 质保期服务</w:t>
      </w:r>
      <w:bookmarkEnd w:id="871"/>
      <w:bookmarkEnd w:id="872"/>
      <w:bookmarkEnd w:id="873"/>
      <w:bookmarkEnd w:id="874"/>
      <w:bookmarkEnd w:id="875"/>
      <w:bookmarkEnd w:id="876"/>
      <w:bookmarkEnd w:id="877"/>
      <w:bookmarkEnd w:id="878"/>
      <w:bookmarkEnd w:id="879"/>
      <w:bookmarkEnd w:id="880"/>
      <w:bookmarkEnd w:id="881"/>
      <w:bookmarkEnd w:id="882"/>
    </w:p>
    <w:p w14:paraId="2EE7707C">
      <w:pPr>
        <w:snapToGrid w:val="0"/>
        <w:spacing w:line="360" w:lineRule="auto"/>
        <w:ind w:firstLine="480" w:firstLineChars="200"/>
        <w:rPr>
          <w:rFonts w:hAnsi="宋体" w:cs="宋体"/>
          <w:highlight w:val="none"/>
        </w:rPr>
      </w:pPr>
      <w:r>
        <w:rPr>
          <w:rFonts w:hint="eastAsia" w:hAnsi="宋体" w:cs="宋体"/>
          <w:highlight w:val="none"/>
        </w:rPr>
        <w:t>9.1 质保期服务响应、到达现场和解决问题的时间：</w:t>
      </w:r>
      <w:r>
        <w:rPr>
          <w:rFonts w:hint="eastAsia" w:hAnsi="宋体" w:cs="宋体"/>
          <w:highlight w:val="none"/>
          <w:u w:val="single"/>
        </w:rPr>
        <w:t xml:space="preserve"> 24 小时 </w:t>
      </w:r>
      <w:r>
        <w:rPr>
          <w:rFonts w:hint="eastAsia" w:hAnsi="宋体" w:cs="宋体"/>
          <w:highlight w:val="none"/>
        </w:rPr>
        <w:t>。</w:t>
      </w:r>
    </w:p>
    <w:p w14:paraId="52EB2074">
      <w:pPr>
        <w:snapToGrid w:val="0"/>
        <w:spacing w:line="360" w:lineRule="auto"/>
        <w:ind w:firstLine="480" w:firstLineChars="200"/>
        <w:rPr>
          <w:rFonts w:hAnsi="宋体" w:cs="宋体"/>
          <w:highlight w:val="none"/>
          <w:u w:val="single"/>
        </w:rPr>
      </w:pPr>
      <w:r>
        <w:rPr>
          <w:rFonts w:hint="eastAsia" w:hAnsi="宋体" w:cs="宋体"/>
          <w:highlight w:val="none"/>
        </w:rPr>
        <w:t>9.2 卖方技术人员的交通、食宿费用：</w:t>
      </w:r>
      <w:r>
        <w:rPr>
          <w:rFonts w:hint="eastAsia" w:hAnsi="宋体" w:cs="宋体"/>
          <w:highlight w:val="none"/>
          <w:u w:val="single"/>
        </w:rPr>
        <w:t>卖方承担</w:t>
      </w:r>
      <w:r>
        <w:rPr>
          <w:rFonts w:hint="eastAsia" w:hAnsi="宋体" w:cs="宋体"/>
          <w:highlight w:val="none"/>
        </w:rPr>
        <w:t>。</w:t>
      </w:r>
    </w:p>
    <w:p w14:paraId="4BF4B2E1">
      <w:pPr>
        <w:snapToGrid w:val="0"/>
        <w:spacing w:line="360" w:lineRule="auto"/>
        <w:ind w:firstLine="480" w:firstLineChars="200"/>
        <w:rPr>
          <w:rFonts w:hAnsi="宋体" w:cs="宋体"/>
          <w:highlight w:val="none"/>
        </w:rPr>
      </w:pPr>
      <w:r>
        <w:rPr>
          <w:rFonts w:hint="eastAsia" w:hAnsi="宋体" w:cs="宋体"/>
          <w:highlight w:val="none"/>
        </w:rPr>
        <w:t>9.4 质保期服务情况记录：</w:t>
      </w:r>
      <w:r>
        <w:rPr>
          <w:rFonts w:hint="eastAsia" w:hAnsi="宋体" w:cs="宋体"/>
          <w:highlight w:val="none"/>
          <w:u w:val="single"/>
        </w:rPr>
        <w:t xml:space="preserve">执行通用条款 </w:t>
      </w:r>
      <w:r>
        <w:rPr>
          <w:rFonts w:hint="eastAsia" w:hAnsi="宋体" w:cs="宋体"/>
          <w:highlight w:val="none"/>
        </w:rPr>
        <w:t>。</w:t>
      </w:r>
    </w:p>
    <w:p w14:paraId="07269751">
      <w:pPr>
        <w:pStyle w:val="2"/>
        <w:spacing w:before="0" w:after="0"/>
        <w:ind w:left="240" w:leftChars="100"/>
        <w:rPr>
          <w:rFonts w:cs="黑体"/>
          <w:highlight w:val="none"/>
        </w:rPr>
      </w:pPr>
      <w:bookmarkStart w:id="884" w:name="_Toc17100693"/>
      <w:bookmarkStart w:id="885" w:name="_Toc15753929"/>
      <w:bookmarkStart w:id="886" w:name="_Toc26700673"/>
      <w:bookmarkStart w:id="887" w:name="_Toc26700503"/>
      <w:bookmarkStart w:id="888" w:name="_Toc26721407"/>
      <w:bookmarkStart w:id="889" w:name="_Toc24965173"/>
      <w:bookmarkStart w:id="890" w:name="_Toc26721562"/>
      <w:r>
        <w:rPr>
          <w:rFonts w:hint="eastAsia" w:cs="黑体"/>
          <w:highlight w:val="none"/>
        </w:rPr>
        <w:t>10. 履约保证金</w:t>
      </w:r>
      <w:bookmarkEnd w:id="883"/>
      <w:bookmarkEnd w:id="884"/>
      <w:bookmarkEnd w:id="885"/>
      <w:bookmarkEnd w:id="886"/>
      <w:bookmarkEnd w:id="887"/>
      <w:bookmarkEnd w:id="888"/>
      <w:bookmarkEnd w:id="889"/>
      <w:bookmarkEnd w:id="890"/>
    </w:p>
    <w:p w14:paraId="71DF706E">
      <w:pPr>
        <w:spacing w:line="360" w:lineRule="auto"/>
        <w:ind w:firstLine="480" w:firstLineChars="200"/>
        <w:rPr>
          <w:rFonts w:hAnsi="宋体" w:cs="宋体"/>
          <w:highlight w:val="none"/>
          <w:u w:val="single"/>
        </w:rPr>
      </w:pPr>
      <w:r>
        <w:rPr>
          <w:rFonts w:hint="eastAsia" w:hAnsi="宋体" w:cs="宋体"/>
          <w:highlight w:val="none"/>
        </w:rPr>
        <w:t>履约保证金：见</w:t>
      </w:r>
      <w:r>
        <w:rPr>
          <w:rFonts w:hint="eastAsia" w:hAnsi="宋体" w:cs="宋体"/>
          <w:highlight w:val="none"/>
          <w:u w:val="single"/>
        </w:rPr>
        <w:t>《专用合同条款数据表》。</w:t>
      </w:r>
    </w:p>
    <w:p w14:paraId="69B2B0A7">
      <w:pPr>
        <w:spacing w:line="360" w:lineRule="auto"/>
        <w:ind w:firstLine="480" w:firstLineChars="200"/>
        <w:rPr>
          <w:rFonts w:hAnsi="宋体" w:cs="宋体"/>
          <w:highlight w:val="none"/>
        </w:rPr>
      </w:pPr>
      <w:r>
        <w:rPr>
          <w:rFonts w:hint="eastAsia" w:hAnsi="宋体" w:cs="宋体"/>
          <w:highlight w:val="none"/>
        </w:rPr>
        <w:t>履约保证金的形式：现金（银行转账、银行电汇）或银行保函或担保机构担保或保证保险。</w:t>
      </w:r>
    </w:p>
    <w:p w14:paraId="408E2DDA">
      <w:pPr>
        <w:spacing w:line="360" w:lineRule="auto"/>
        <w:ind w:firstLine="480" w:firstLineChars="200"/>
        <w:rPr>
          <w:rFonts w:hAnsi="宋体" w:cs="宋体"/>
          <w:highlight w:val="none"/>
        </w:rPr>
      </w:pPr>
      <w:r>
        <w:rPr>
          <w:rFonts w:hint="eastAsia" w:hAnsi="宋体" w:cs="宋体"/>
          <w:highlight w:val="none"/>
        </w:rPr>
        <w:t>履约保证金的金额：见</w:t>
      </w:r>
      <w:r>
        <w:rPr>
          <w:rFonts w:hint="eastAsia" w:hAnsi="宋体" w:cs="宋体"/>
          <w:highlight w:val="none"/>
          <w:u w:val="single"/>
        </w:rPr>
        <w:t>《专用合同条款数据表》。</w:t>
      </w:r>
    </w:p>
    <w:p w14:paraId="44CFF9BC">
      <w:pPr>
        <w:spacing w:line="360" w:lineRule="auto"/>
        <w:ind w:firstLine="480" w:firstLineChars="200"/>
        <w:rPr>
          <w:rFonts w:hAnsi="宋体" w:cs="宋体"/>
          <w:highlight w:val="none"/>
        </w:rPr>
      </w:pPr>
      <w:r>
        <w:rPr>
          <w:rFonts w:hint="eastAsia" w:hAnsi="宋体" w:cs="宋体"/>
          <w:highlight w:val="none"/>
        </w:rPr>
        <w:t>履约保证金提交期限的要求：签订合同前。</w:t>
      </w:r>
    </w:p>
    <w:p w14:paraId="7F8CB967">
      <w:pPr>
        <w:spacing w:line="360" w:lineRule="auto"/>
        <w:ind w:firstLine="480" w:firstLineChars="200"/>
        <w:rPr>
          <w:rFonts w:hAnsi="宋体" w:cs="宋体"/>
          <w:highlight w:val="none"/>
        </w:rPr>
      </w:pPr>
      <w:r>
        <w:rPr>
          <w:rFonts w:hint="eastAsia" w:hAnsi="宋体" w:cs="宋体"/>
          <w:highlight w:val="none"/>
        </w:rPr>
        <w:t>履约保证金的期限：见</w:t>
      </w:r>
      <w:r>
        <w:rPr>
          <w:rFonts w:hint="eastAsia" w:hAnsi="宋体" w:cs="宋体"/>
          <w:highlight w:val="none"/>
          <w:u w:val="single"/>
        </w:rPr>
        <w:t>《专用合同条款数据表》。</w:t>
      </w:r>
    </w:p>
    <w:p w14:paraId="00B5B752">
      <w:pPr>
        <w:spacing w:line="360" w:lineRule="auto"/>
        <w:ind w:firstLine="480" w:firstLineChars="200"/>
        <w:rPr>
          <w:rFonts w:hAnsi="宋体" w:cs="宋体"/>
          <w:highlight w:val="none"/>
        </w:rPr>
      </w:pPr>
      <w:r>
        <w:rPr>
          <w:rFonts w:hint="eastAsia" w:hAnsi="宋体" w:cs="宋体"/>
          <w:highlight w:val="none"/>
        </w:rPr>
        <w:t>履约保证金退还时限：见</w:t>
      </w:r>
      <w:r>
        <w:rPr>
          <w:rFonts w:hint="eastAsia" w:hAnsi="宋体" w:cs="宋体"/>
          <w:highlight w:val="none"/>
          <w:u w:val="single"/>
        </w:rPr>
        <w:t>《专用合同条款数据表》。</w:t>
      </w:r>
    </w:p>
    <w:p w14:paraId="3383EE96">
      <w:pPr>
        <w:pStyle w:val="2"/>
        <w:spacing w:before="0" w:after="0"/>
        <w:ind w:left="240" w:leftChars="100"/>
        <w:rPr>
          <w:rFonts w:cs="黑体"/>
          <w:highlight w:val="none"/>
        </w:rPr>
      </w:pPr>
      <w:bookmarkStart w:id="891" w:name="_Toc26700504"/>
      <w:bookmarkStart w:id="892" w:name="_Toc26721408"/>
      <w:bookmarkStart w:id="893" w:name="_Toc392346767"/>
      <w:bookmarkStart w:id="894" w:name="_Toc24965174"/>
      <w:bookmarkStart w:id="895" w:name="_Toc17100694"/>
      <w:bookmarkStart w:id="896" w:name="_Toc26700674"/>
      <w:bookmarkStart w:id="897" w:name="_Toc15753930"/>
      <w:bookmarkStart w:id="898" w:name="_Toc26721563"/>
      <w:r>
        <w:rPr>
          <w:rFonts w:hint="eastAsia" w:cs="黑体"/>
          <w:highlight w:val="none"/>
        </w:rPr>
        <w:t>11. 保证</w:t>
      </w:r>
      <w:bookmarkEnd w:id="891"/>
      <w:bookmarkEnd w:id="892"/>
      <w:bookmarkEnd w:id="893"/>
      <w:bookmarkEnd w:id="894"/>
      <w:bookmarkEnd w:id="895"/>
      <w:bookmarkEnd w:id="896"/>
      <w:bookmarkEnd w:id="897"/>
      <w:bookmarkEnd w:id="898"/>
    </w:p>
    <w:p w14:paraId="12BCDCAD">
      <w:pPr>
        <w:spacing w:line="360" w:lineRule="auto"/>
        <w:ind w:firstLine="480" w:firstLineChars="200"/>
        <w:rPr>
          <w:rFonts w:hAnsi="宋体" w:cs="宋体"/>
          <w:highlight w:val="none"/>
        </w:rPr>
      </w:pPr>
      <w:r>
        <w:rPr>
          <w:rFonts w:hint="eastAsia" w:hAnsi="宋体" w:cs="宋体"/>
          <w:highlight w:val="none"/>
        </w:rPr>
        <w:t>11.4 合同货物技术规格、质量标准的特殊要求：</w:t>
      </w:r>
      <w:r>
        <w:rPr>
          <w:rFonts w:hint="eastAsia" w:hAnsi="宋体" w:cs="宋体"/>
          <w:highlight w:val="none"/>
          <w:u w:val="single"/>
        </w:rPr>
        <w:t xml:space="preserve">         /        </w:t>
      </w:r>
      <w:r>
        <w:rPr>
          <w:rFonts w:hint="eastAsia" w:hAnsi="宋体" w:cs="宋体"/>
          <w:highlight w:val="none"/>
        </w:rPr>
        <w:t>。</w:t>
      </w:r>
    </w:p>
    <w:p w14:paraId="7591844D">
      <w:pPr>
        <w:spacing w:line="360" w:lineRule="auto"/>
        <w:ind w:firstLine="480" w:firstLineChars="200"/>
        <w:rPr>
          <w:rFonts w:hAnsi="宋体" w:cs="宋体"/>
          <w:highlight w:val="none"/>
        </w:rPr>
      </w:pPr>
      <w:r>
        <w:rPr>
          <w:rFonts w:hint="eastAsia" w:hAnsi="宋体" w:cs="宋体"/>
          <w:highlight w:val="none"/>
        </w:rPr>
        <w:t>11.7 合同货物设计使用寿命期内备品备件停止生产时卖方的通知和配合义务：</w:t>
      </w:r>
      <w:r>
        <w:rPr>
          <w:rFonts w:hint="eastAsia" w:hAnsi="宋体" w:cs="宋体"/>
          <w:highlight w:val="none"/>
          <w:u w:val="single"/>
        </w:rPr>
        <w:t>执行通用条款</w:t>
      </w:r>
      <w:r>
        <w:rPr>
          <w:rFonts w:hint="eastAsia" w:hAnsi="宋体" w:cs="宋体"/>
          <w:highlight w:val="none"/>
        </w:rPr>
        <w:t>。</w:t>
      </w:r>
    </w:p>
    <w:p w14:paraId="6BD84A1C">
      <w:pPr>
        <w:pStyle w:val="2"/>
        <w:spacing w:before="0" w:after="0"/>
        <w:ind w:left="240" w:leftChars="100"/>
        <w:rPr>
          <w:rFonts w:cs="黑体"/>
          <w:highlight w:val="none"/>
        </w:rPr>
      </w:pPr>
      <w:bookmarkStart w:id="899" w:name="_Toc26721409"/>
      <w:bookmarkStart w:id="900" w:name="_Toc17100695"/>
      <w:bookmarkStart w:id="901" w:name="_Toc525761976"/>
      <w:bookmarkStart w:id="902" w:name="_Toc26700675"/>
      <w:bookmarkStart w:id="903" w:name="_Toc512544420"/>
      <w:bookmarkStart w:id="904" w:name="_Toc512611677"/>
      <w:bookmarkStart w:id="905" w:name="_Toc26721564"/>
      <w:bookmarkStart w:id="906" w:name="_Toc512544527"/>
      <w:bookmarkStart w:id="907" w:name="_Toc15753931"/>
      <w:bookmarkStart w:id="908" w:name="_Toc527622467"/>
      <w:bookmarkStart w:id="909" w:name="_Toc26700505"/>
      <w:bookmarkStart w:id="910" w:name="_Toc24965175"/>
      <w:bookmarkStart w:id="911" w:name="_Toc392346768"/>
      <w:r>
        <w:rPr>
          <w:rFonts w:hint="eastAsia" w:cs="黑体"/>
          <w:highlight w:val="none"/>
        </w:rPr>
        <w:t>12. 知识产权</w:t>
      </w:r>
      <w:bookmarkEnd w:id="899"/>
      <w:bookmarkEnd w:id="900"/>
      <w:bookmarkEnd w:id="901"/>
      <w:bookmarkEnd w:id="902"/>
      <w:bookmarkEnd w:id="903"/>
      <w:bookmarkEnd w:id="904"/>
      <w:bookmarkEnd w:id="905"/>
      <w:bookmarkEnd w:id="906"/>
      <w:bookmarkEnd w:id="907"/>
      <w:bookmarkEnd w:id="908"/>
      <w:bookmarkEnd w:id="909"/>
      <w:bookmarkEnd w:id="910"/>
    </w:p>
    <w:p w14:paraId="33894D67">
      <w:pPr>
        <w:spacing w:line="360" w:lineRule="auto"/>
        <w:ind w:firstLine="480" w:firstLineChars="200"/>
        <w:rPr>
          <w:rFonts w:hAnsi="宋体" w:cs="宋体"/>
          <w:highlight w:val="none"/>
          <w:u w:val="single"/>
        </w:rPr>
      </w:pPr>
      <w:r>
        <w:rPr>
          <w:rFonts w:hint="eastAsia" w:hAnsi="宋体" w:cs="宋体"/>
          <w:highlight w:val="none"/>
        </w:rPr>
        <w:t>12.2 卖方提供给买方</w:t>
      </w:r>
      <w:r>
        <w:rPr>
          <w:rStyle w:val="65"/>
          <w:rFonts w:hint="eastAsia" w:hAnsi="宋体" w:cs="宋体"/>
          <w:sz w:val="24"/>
          <w:highlight w:val="none"/>
        </w:rPr>
        <w:t>的图纸、文件、配套软件、电子辅助程序和其他含有数据和信息的资料</w:t>
      </w:r>
      <w:r>
        <w:rPr>
          <w:rFonts w:hint="eastAsia" w:hAnsi="宋体" w:cs="宋体"/>
          <w:highlight w:val="none"/>
        </w:rPr>
        <w:t>的知识产权：</w:t>
      </w:r>
      <w:r>
        <w:rPr>
          <w:rFonts w:hint="eastAsia" w:hAnsi="宋体" w:cs="宋体"/>
          <w:highlight w:val="none"/>
          <w:u w:val="single"/>
        </w:rPr>
        <w:t>归买方及校方所有</w:t>
      </w:r>
      <w:r>
        <w:rPr>
          <w:rFonts w:hint="eastAsia" w:hAnsi="宋体" w:cs="宋体"/>
          <w:highlight w:val="none"/>
        </w:rPr>
        <w:t>。</w:t>
      </w:r>
    </w:p>
    <w:p w14:paraId="136AFE6F">
      <w:pPr>
        <w:snapToGrid w:val="0"/>
        <w:spacing w:line="360" w:lineRule="auto"/>
        <w:ind w:firstLine="480" w:firstLineChars="200"/>
        <w:rPr>
          <w:rFonts w:hAnsi="宋体" w:cs="宋体"/>
          <w:highlight w:val="none"/>
        </w:rPr>
      </w:pPr>
      <w:r>
        <w:rPr>
          <w:rFonts w:hint="eastAsia" w:hAnsi="宋体" w:cs="宋体"/>
          <w:highlight w:val="none"/>
        </w:rPr>
        <w:t>12.4 卖方应当对买方收到</w:t>
      </w:r>
      <w:r>
        <w:rPr>
          <w:rStyle w:val="65"/>
          <w:rFonts w:hint="eastAsia" w:hAnsi="宋体" w:cs="宋体"/>
          <w:sz w:val="24"/>
          <w:highlight w:val="none"/>
        </w:rPr>
        <w:t>任何第三方有关</w:t>
      </w:r>
      <w:r>
        <w:rPr>
          <w:rFonts w:hint="eastAsia" w:hAnsi="宋体" w:cs="宋体"/>
          <w:highlight w:val="none"/>
        </w:rPr>
        <w:t>知识产权导致的主张、索赔或诉讼进行处理的期限：</w:t>
      </w:r>
      <w:r>
        <w:rPr>
          <w:rFonts w:hint="eastAsia" w:hAnsi="宋体" w:cs="宋体"/>
          <w:highlight w:val="none"/>
          <w:u w:val="single"/>
        </w:rPr>
        <w:t>执行通用条款</w:t>
      </w:r>
      <w:r>
        <w:rPr>
          <w:rFonts w:hint="eastAsia" w:hAnsi="宋体" w:cs="宋体"/>
          <w:highlight w:val="none"/>
        </w:rPr>
        <w:t>。</w:t>
      </w:r>
    </w:p>
    <w:p w14:paraId="4C57C381">
      <w:pPr>
        <w:pStyle w:val="2"/>
        <w:spacing w:before="0" w:after="0"/>
        <w:ind w:left="240" w:leftChars="100"/>
        <w:rPr>
          <w:rFonts w:cs="黑体"/>
          <w:highlight w:val="none"/>
        </w:rPr>
      </w:pPr>
      <w:bookmarkStart w:id="912" w:name="_Toc26721565"/>
      <w:bookmarkStart w:id="913" w:name="_Toc24965176"/>
      <w:bookmarkStart w:id="914" w:name="_Toc15753932"/>
      <w:bookmarkStart w:id="915" w:name="_Toc26700676"/>
      <w:bookmarkStart w:id="916" w:name="_Toc26700506"/>
      <w:bookmarkStart w:id="917" w:name="_Toc26721410"/>
      <w:bookmarkStart w:id="918" w:name="_Toc17100696"/>
      <w:r>
        <w:rPr>
          <w:rFonts w:hint="eastAsia" w:cs="黑体"/>
          <w:highlight w:val="none"/>
        </w:rPr>
        <w:t>14. 违约</w:t>
      </w:r>
      <w:bookmarkEnd w:id="911"/>
      <w:r>
        <w:rPr>
          <w:rFonts w:hint="eastAsia" w:cs="黑体"/>
          <w:highlight w:val="none"/>
        </w:rPr>
        <w:t>责任</w:t>
      </w:r>
      <w:bookmarkEnd w:id="912"/>
      <w:bookmarkEnd w:id="913"/>
      <w:bookmarkEnd w:id="914"/>
      <w:bookmarkEnd w:id="915"/>
      <w:bookmarkEnd w:id="916"/>
      <w:bookmarkEnd w:id="917"/>
      <w:bookmarkEnd w:id="918"/>
    </w:p>
    <w:p w14:paraId="2715C981">
      <w:pPr>
        <w:spacing w:line="360" w:lineRule="auto"/>
        <w:ind w:firstLine="480" w:firstLineChars="200"/>
        <w:rPr>
          <w:rFonts w:hAnsi="宋体" w:cs="宋体"/>
          <w:highlight w:val="none"/>
        </w:rPr>
      </w:pPr>
      <w:r>
        <w:rPr>
          <w:rFonts w:hint="eastAsia" w:hAnsi="宋体" w:cs="宋体"/>
          <w:highlight w:val="none"/>
        </w:rPr>
        <w:t>14.2迟延交付违约金的计算方法：</w:t>
      </w:r>
      <w:r>
        <w:rPr>
          <w:rFonts w:hint="eastAsia" w:hAnsi="宋体" w:cs="宋体"/>
          <w:highlight w:val="none"/>
          <w:u w:val="single"/>
        </w:rPr>
        <w:t xml:space="preserve">按招标文件约定执行 </w:t>
      </w:r>
      <w:r>
        <w:rPr>
          <w:rFonts w:hint="eastAsia" w:hAnsi="宋体" w:cs="宋体"/>
          <w:highlight w:val="none"/>
        </w:rPr>
        <w:t>。</w:t>
      </w:r>
    </w:p>
    <w:p w14:paraId="3DF8CE63">
      <w:pPr>
        <w:spacing w:line="360" w:lineRule="auto"/>
        <w:ind w:firstLine="480" w:firstLineChars="200"/>
        <w:rPr>
          <w:rFonts w:hAnsi="宋体" w:cs="宋体"/>
          <w:highlight w:val="none"/>
        </w:rPr>
      </w:pPr>
      <w:r>
        <w:rPr>
          <w:rFonts w:hint="eastAsia" w:hAnsi="宋体" w:cs="宋体"/>
          <w:highlight w:val="none"/>
        </w:rPr>
        <w:t>14.3迟延付款违约金的计算方法：</w:t>
      </w:r>
      <w:r>
        <w:rPr>
          <w:rFonts w:hint="eastAsia" w:hAnsi="宋体" w:cs="宋体"/>
          <w:highlight w:val="none"/>
          <w:u w:val="single"/>
        </w:rPr>
        <w:t xml:space="preserve">      /            </w:t>
      </w:r>
      <w:r>
        <w:rPr>
          <w:rFonts w:hint="eastAsia" w:hAnsi="宋体" w:cs="宋体"/>
          <w:highlight w:val="none"/>
        </w:rPr>
        <w:t>。</w:t>
      </w:r>
    </w:p>
    <w:p w14:paraId="7746A6FD">
      <w:pPr>
        <w:pStyle w:val="2"/>
        <w:spacing w:before="0" w:after="0"/>
        <w:ind w:left="240" w:leftChars="100"/>
        <w:rPr>
          <w:rFonts w:cs="黑体"/>
          <w:highlight w:val="none"/>
        </w:rPr>
      </w:pPr>
      <w:bookmarkStart w:id="919" w:name="_Toc392346769"/>
      <w:bookmarkStart w:id="920" w:name="_Toc26700507"/>
      <w:bookmarkStart w:id="921" w:name="_Toc26700677"/>
      <w:bookmarkStart w:id="922" w:name="_Toc26721411"/>
      <w:bookmarkStart w:id="923" w:name="_Toc24965177"/>
      <w:bookmarkStart w:id="924" w:name="_Toc15753933"/>
      <w:bookmarkStart w:id="925" w:name="_Toc17100697"/>
      <w:bookmarkStart w:id="926" w:name="_Toc26721566"/>
      <w:r>
        <w:rPr>
          <w:rFonts w:hint="eastAsia" w:cs="黑体"/>
          <w:highlight w:val="none"/>
        </w:rPr>
        <w:t>15. 合同</w:t>
      </w:r>
      <w:bookmarkEnd w:id="919"/>
      <w:r>
        <w:rPr>
          <w:rFonts w:hint="eastAsia" w:cs="黑体"/>
          <w:highlight w:val="none"/>
        </w:rPr>
        <w:t>的解除</w:t>
      </w:r>
      <w:bookmarkEnd w:id="920"/>
      <w:bookmarkEnd w:id="921"/>
      <w:bookmarkEnd w:id="922"/>
      <w:bookmarkEnd w:id="923"/>
      <w:bookmarkEnd w:id="924"/>
      <w:bookmarkEnd w:id="925"/>
      <w:bookmarkEnd w:id="926"/>
    </w:p>
    <w:p w14:paraId="2434879B">
      <w:pPr>
        <w:spacing w:line="360" w:lineRule="auto"/>
        <w:ind w:firstLine="480" w:firstLineChars="200"/>
        <w:rPr>
          <w:rFonts w:hAnsi="宋体" w:cs="宋体"/>
          <w:highlight w:val="none"/>
        </w:rPr>
      </w:pPr>
      <w:r>
        <w:rPr>
          <w:rFonts w:hint="eastAsia" w:hAnsi="宋体" w:cs="宋体"/>
          <w:highlight w:val="none"/>
        </w:rPr>
        <w:t>合同解除的其他情形：</w:t>
      </w:r>
      <w:r>
        <w:rPr>
          <w:rFonts w:hint="eastAsia" w:hAnsi="宋体" w:cs="宋体"/>
          <w:highlight w:val="none"/>
          <w:u w:val="single"/>
        </w:rPr>
        <w:t xml:space="preserve">执行通用条款 </w:t>
      </w:r>
      <w:r>
        <w:rPr>
          <w:rFonts w:hint="eastAsia" w:hAnsi="宋体" w:cs="宋体"/>
          <w:highlight w:val="none"/>
        </w:rPr>
        <w:t>。</w:t>
      </w:r>
    </w:p>
    <w:p w14:paraId="1FC67865">
      <w:pPr>
        <w:pStyle w:val="2"/>
        <w:spacing w:before="0" w:after="0"/>
        <w:ind w:left="240" w:leftChars="100"/>
        <w:rPr>
          <w:rFonts w:cs="黑体"/>
          <w:highlight w:val="none"/>
        </w:rPr>
      </w:pPr>
      <w:bookmarkStart w:id="927" w:name="_Toc512611680"/>
      <w:bookmarkStart w:id="928" w:name="_Toc512544423"/>
      <w:bookmarkStart w:id="929" w:name="_Toc26700678"/>
      <w:bookmarkStart w:id="930" w:name="_Toc15753934"/>
      <w:bookmarkStart w:id="931" w:name="_Toc527622470"/>
      <w:bookmarkStart w:id="932" w:name="_Toc512544530"/>
      <w:bookmarkStart w:id="933" w:name="_Toc24965178"/>
      <w:bookmarkStart w:id="934" w:name="_Toc26721567"/>
      <w:bookmarkStart w:id="935" w:name="_Toc525761979"/>
      <w:bookmarkStart w:id="936" w:name="_Toc17100698"/>
      <w:bookmarkStart w:id="937" w:name="_Toc26721412"/>
      <w:bookmarkStart w:id="938" w:name="_Toc26700508"/>
      <w:bookmarkStart w:id="939" w:name="_Toc392346770"/>
      <w:r>
        <w:rPr>
          <w:rFonts w:hint="eastAsia" w:cs="黑体"/>
          <w:highlight w:val="none"/>
        </w:rPr>
        <w:t>16. 不可抗力</w:t>
      </w:r>
      <w:bookmarkEnd w:id="927"/>
      <w:bookmarkEnd w:id="928"/>
      <w:bookmarkEnd w:id="929"/>
      <w:bookmarkEnd w:id="930"/>
      <w:bookmarkEnd w:id="931"/>
      <w:bookmarkEnd w:id="932"/>
      <w:bookmarkEnd w:id="933"/>
      <w:bookmarkEnd w:id="934"/>
      <w:bookmarkEnd w:id="935"/>
      <w:bookmarkEnd w:id="936"/>
      <w:bookmarkEnd w:id="937"/>
      <w:bookmarkEnd w:id="938"/>
    </w:p>
    <w:p w14:paraId="42F4882D">
      <w:pPr>
        <w:snapToGrid w:val="0"/>
        <w:spacing w:line="360" w:lineRule="auto"/>
        <w:ind w:firstLine="480" w:firstLineChars="200"/>
        <w:rPr>
          <w:rFonts w:hAnsi="宋体" w:cs="宋体"/>
          <w:highlight w:val="none"/>
          <w:u w:val="single"/>
        </w:rPr>
      </w:pPr>
      <w:r>
        <w:rPr>
          <w:rFonts w:hint="eastAsia" w:hAnsi="宋体" w:cs="宋体"/>
          <w:highlight w:val="none"/>
        </w:rPr>
        <w:t>16.1 不可抗力的其它情形：</w:t>
      </w:r>
      <w:r>
        <w:rPr>
          <w:rFonts w:hint="eastAsia" w:hAnsi="宋体" w:cs="宋体"/>
          <w:highlight w:val="none"/>
          <w:u w:val="single"/>
        </w:rPr>
        <w:t>执行通用条款（第 3 条除外）</w:t>
      </w:r>
      <w:r>
        <w:rPr>
          <w:rFonts w:hint="eastAsia" w:hAnsi="宋体" w:cs="宋体"/>
          <w:highlight w:val="none"/>
        </w:rPr>
        <w:t>。</w:t>
      </w:r>
    </w:p>
    <w:p w14:paraId="5E3D1473">
      <w:pPr>
        <w:snapToGrid w:val="0"/>
        <w:spacing w:line="360" w:lineRule="auto"/>
        <w:ind w:firstLine="480" w:firstLineChars="200"/>
        <w:rPr>
          <w:rFonts w:hAnsi="宋体" w:cs="宋体"/>
          <w:highlight w:val="none"/>
        </w:rPr>
      </w:pPr>
      <w:r>
        <w:rPr>
          <w:rFonts w:hint="eastAsia" w:hAnsi="宋体" w:cs="宋体"/>
          <w:highlight w:val="none"/>
        </w:rPr>
        <w:t>16.3 可以解除合同的不可抗力事件影响持续期限：</w:t>
      </w:r>
      <w:r>
        <w:rPr>
          <w:rFonts w:hint="eastAsia" w:hAnsi="宋体" w:cs="宋体"/>
          <w:highlight w:val="none"/>
          <w:u w:val="single"/>
        </w:rPr>
        <w:t>执行通用条款</w:t>
      </w:r>
      <w:r>
        <w:rPr>
          <w:rFonts w:hint="eastAsia" w:hAnsi="宋体" w:cs="宋体"/>
          <w:highlight w:val="none"/>
        </w:rPr>
        <w:t>。</w:t>
      </w:r>
    </w:p>
    <w:p w14:paraId="48B3EFC1">
      <w:pPr>
        <w:pStyle w:val="2"/>
        <w:spacing w:before="0" w:after="0"/>
        <w:ind w:left="240" w:leftChars="100"/>
        <w:rPr>
          <w:rFonts w:cs="黑体"/>
          <w:highlight w:val="none"/>
        </w:rPr>
      </w:pPr>
      <w:bookmarkStart w:id="940" w:name="_Toc17100699"/>
      <w:bookmarkStart w:id="941" w:name="_Toc24965179"/>
      <w:bookmarkStart w:id="942" w:name="_Toc26700509"/>
      <w:bookmarkStart w:id="943" w:name="_Toc26721568"/>
      <w:bookmarkStart w:id="944" w:name="_Toc26721413"/>
      <w:bookmarkStart w:id="945" w:name="_Toc26700679"/>
      <w:bookmarkStart w:id="946" w:name="_Toc15753935"/>
      <w:r>
        <w:rPr>
          <w:rFonts w:hint="eastAsia" w:cs="黑体"/>
          <w:highlight w:val="none"/>
        </w:rPr>
        <w:t>17. 争议的解决</w:t>
      </w:r>
      <w:bookmarkEnd w:id="939"/>
      <w:bookmarkEnd w:id="940"/>
      <w:bookmarkEnd w:id="941"/>
      <w:bookmarkEnd w:id="942"/>
      <w:bookmarkEnd w:id="943"/>
      <w:bookmarkEnd w:id="944"/>
      <w:bookmarkEnd w:id="945"/>
      <w:bookmarkEnd w:id="946"/>
    </w:p>
    <w:p w14:paraId="6A7EB7A0">
      <w:pPr>
        <w:spacing w:line="360" w:lineRule="auto"/>
        <w:ind w:firstLine="480" w:firstLineChars="200"/>
        <w:rPr>
          <w:rFonts w:hAnsi="宋体" w:cs="宋体"/>
          <w:bCs/>
          <w:highlight w:val="none"/>
        </w:rPr>
      </w:pPr>
      <w:r>
        <w:rPr>
          <w:rFonts w:hint="eastAsia" w:hAnsi="宋体" w:cs="宋体"/>
          <w:highlight w:val="none"/>
          <w:shd w:val="clear" w:color="auto" w:fill="FFFFFF"/>
        </w:rPr>
        <w:t>因合同引起的或与合同有关的任何争议，</w:t>
      </w:r>
      <w:r>
        <w:rPr>
          <w:rFonts w:hint="eastAsia" w:hAnsi="宋体" w:cs="宋体"/>
          <w:bCs/>
          <w:highlight w:val="none"/>
        </w:rPr>
        <w:t>按下列第</w:t>
      </w:r>
      <w:r>
        <w:rPr>
          <w:rFonts w:hint="eastAsia" w:hAnsi="宋体" w:cs="宋体"/>
          <w:highlight w:val="none"/>
          <w:u w:val="single"/>
        </w:rPr>
        <w:t xml:space="preserve"> （2）</w:t>
      </w:r>
      <w:r>
        <w:rPr>
          <w:rFonts w:hint="eastAsia" w:hAnsi="宋体" w:cs="宋体"/>
          <w:bCs/>
          <w:highlight w:val="none"/>
        </w:rPr>
        <w:t>种方式解决：</w:t>
      </w:r>
    </w:p>
    <w:p w14:paraId="51A4A062">
      <w:pPr>
        <w:spacing w:line="360" w:lineRule="auto"/>
        <w:ind w:firstLine="360" w:firstLineChars="150"/>
        <w:rPr>
          <w:rFonts w:hAnsi="宋体" w:cs="宋体"/>
          <w:bCs/>
          <w:highlight w:val="none"/>
        </w:rPr>
      </w:pPr>
      <w:r>
        <w:rPr>
          <w:rFonts w:hint="eastAsia" w:hAnsi="宋体" w:cs="宋体"/>
          <w:bCs/>
          <w:highlight w:val="none"/>
        </w:rPr>
        <w:t>（1）向</w:t>
      </w:r>
      <w:r>
        <w:rPr>
          <w:rFonts w:hint="eastAsia" w:hAnsi="宋体" w:cs="宋体"/>
          <w:highlight w:val="none"/>
          <w:u w:val="single"/>
        </w:rPr>
        <w:t xml:space="preserve">  合肥 </w:t>
      </w:r>
      <w:r>
        <w:rPr>
          <w:rFonts w:hint="eastAsia" w:hAnsi="宋体" w:cs="宋体"/>
          <w:bCs/>
          <w:highlight w:val="none"/>
        </w:rPr>
        <w:t>仲裁委员会申请仲裁；</w:t>
      </w:r>
    </w:p>
    <w:p w14:paraId="1FDF49D0">
      <w:pPr>
        <w:spacing w:line="360" w:lineRule="auto"/>
        <w:ind w:firstLine="360" w:firstLineChars="150"/>
        <w:rPr>
          <w:rFonts w:hAnsi="宋体" w:cs="宋体"/>
          <w:bCs/>
          <w:highlight w:val="none"/>
        </w:rPr>
      </w:pPr>
      <w:r>
        <w:rPr>
          <w:rFonts w:hint="eastAsia" w:hAnsi="宋体" w:cs="宋体"/>
          <w:bCs/>
          <w:highlight w:val="none"/>
        </w:rPr>
        <w:t>（2）向</w:t>
      </w:r>
      <w:r>
        <w:rPr>
          <w:rFonts w:hint="eastAsia" w:hAnsi="宋体" w:cs="宋体"/>
          <w:highlight w:val="none"/>
          <w:u w:val="single"/>
        </w:rPr>
        <w:t xml:space="preserve"> 肥东县 </w:t>
      </w:r>
      <w:r>
        <w:rPr>
          <w:rFonts w:hint="eastAsia" w:hAnsi="宋体" w:cs="宋体"/>
          <w:bCs/>
          <w:highlight w:val="none"/>
        </w:rPr>
        <w:t>人民法院起诉。</w:t>
      </w:r>
    </w:p>
    <w:p w14:paraId="7593F13D">
      <w:pPr>
        <w:spacing w:line="360" w:lineRule="auto"/>
        <w:ind w:firstLine="480" w:firstLineChars="200"/>
        <w:rPr>
          <w:rFonts w:hAnsi="宋体" w:cs="宋体"/>
          <w:highlight w:val="none"/>
          <w:shd w:val="clear" w:color="auto" w:fill="FFFFFF"/>
        </w:rPr>
      </w:pPr>
    </w:p>
    <w:p w14:paraId="4B6F0740">
      <w:pPr>
        <w:spacing w:line="360" w:lineRule="auto"/>
        <w:ind w:firstLine="480" w:firstLineChars="200"/>
        <w:rPr>
          <w:rFonts w:hAnsi="宋体" w:cs="宋体"/>
          <w:highlight w:val="none"/>
          <w:shd w:val="clear" w:color="auto" w:fill="FFFFFF"/>
        </w:rPr>
      </w:pPr>
      <w:r>
        <w:rPr>
          <w:rFonts w:hint="eastAsia" w:hAnsi="宋体" w:cs="宋体"/>
          <w:highlight w:val="none"/>
          <w:shd w:val="clear" w:color="auto" w:fill="FFFFFF"/>
        </w:rPr>
        <w:t>附件</w:t>
      </w:r>
    </w:p>
    <w:p w14:paraId="59DD0F17">
      <w:pPr>
        <w:spacing w:line="360" w:lineRule="auto"/>
        <w:ind w:firstLine="480" w:firstLineChars="200"/>
        <w:rPr>
          <w:rFonts w:hAnsi="宋体" w:cs="宋体"/>
          <w:bCs/>
          <w:snapToGrid w:val="0"/>
          <w:highlight w:val="none"/>
        </w:rPr>
      </w:pPr>
      <w:r>
        <w:rPr>
          <w:rFonts w:hint="eastAsia" w:hAnsi="宋体" w:cs="宋体"/>
          <w:bCs/>
          <w:snapToGrid w:val="0"/>
          <w:highlight w:val="none"/>
        </w:rPr>
        <w:t>附件1：供货要求（见招标文件第五章）</w:t>
      </w:r>
    </w:p>
    <w:p w14:paraId="4201D964">
      <w:pPr>
        <w:spacing w:line="360" w:lineRule="auto"/>
        <w:ind w:firstLine="480" w:firstLineChars="200"/>
        <w:rPr>
          <w:rFonts w:hAnsi="宋体" w:cs="宋体"/>
          <w:bCs/>
          <w:snapToGrid w:val="0"/>
          <w:highlight w:val="none"/>
        </w:rPr>
      </w:pPr>
      <w:r>
        <w:rPr>
          <w:rFonts w:hint="eastAsia" w:hAnsi="宋体" w:cs="宋体"/>
          <w:bCs/>
          <w:snapToGrid w:val="0"/>
          <w:highlight w:val="none"/>
        </w:rPr>
        <w:t>附件2：分项报价表（见投标文件）</w:t>
      </w:r>
    </w:p>
    <w:p w14:paraId="5E62D7EF">
      <w:pPr>
        <w:spacing w:line="360" w:lineRule="auto"/>
        <w:ind w:firstLine="480" w:firstLineChars="200"/>
        <w:rPr>
          <w:rFonts w:hAnsi="宋体" w:cs="宋体"/>
          <w:bCs/>
          <w:snapToGrid w:val="0"/>
          <w:highlight w:val="none"/>
        </w:rPr>
      </w:pPr>
      <w:r>
        <w:rPr>
          <w:rFonts w:hint="eastAsia" w:hAnsi="宋体" w:cs="宋体"/>
          <w:bCs/>
          <w:snapToGrid w:val="0"/>
          <w:highlight w:val="none"/>
        </w:rPr>
        <w:t>附件3：履约保证金</w:t>
      </w:r>
    </w:p>
    <w:p w14:paraId="7CE42D9A">
      <w:pPr>
        <w:spacing w:line="360" w:lineRule="auto"/>
        <w:ind w:firstLine="480" w:firstLineChars="200"/>
        <w:jc w:val="center"/>
        <w:rPr>
          <w:rFonts w:ascii="Times New Roman"/>
          <w:b/>
          <w:highlight w:val="none"/>
        </w:rPr>
      </w:pPr>
      <w:r>
        <w:rPr>
          <w:rFonts w:hint="eastAsia" w:hAnsi="宋体" w:cs="宋体"/>
          <w:bCs/>
          <w:snapToGrid w:val="0"/>
          <w:highlight w:val="none"/>
        </w:rPr>
        <w:t>附件4：廉政协议</w:t>
      </w:r>
      <w:r>
        <w:rPr>
          <w:rFonts w:ascii="Times New Roman"/>
          <w:b/>
          <w:highlight w:val="none"/>
        </w:rPr>
        <w:br w:type="page"/>
      </w:r>
      <w:bookmarkStart w:id="947" w:name="_Toc29298"/>
      <w:bookmarkEnd w:id="947"/>
      <w:bookmarkStart w:id="948" w:name="_Toc246997062"/>
      <w:bookmarkEnd w:id="948"/>
      <w:bookmarkStart w:id="949" w:name="_Toc9766"/>
      <w:bookmarkEnd w:id="949"/>
      <w:bookmarkStart w:id="950" w:name="_Toc369531676"/>
      <w:bookmarkEnd w:id="950"/>
      <w:bookmarkStart w:id="951" w:name="_Toc247085834"/>
      <w:bookmarkEnd w:id="951"/>
      <w:bookmarkStart w:id="952" w:name="_Toc184635117"/>
      <w:bookmarkEnd w:id="952"/>
      <w:bookmarkStart w:id="953" w:name="_Toc296602565"/>
      <w:bookmarkEnd w:id="953"/>
      <w:bookmarkStart w:id="954" w:name="_Toc369531675"/>
      <w:bookmarkEnd w:id="954"/>
      <w:bookmarkStart w:id="955" w:name="_Toc246996319"/>
      <w:bookmarkEnd w:id="955"/>
      <w:bookmarkStart w:id="956" w:name="_Toc140069434"/>
      <w:bookmarkStart w:id="957" w:name="_Toc501460713"/>
      <w:bookmarkStart w:id="958" w:name="_Toc26369"/>
      <w:r>
        <w:rPr>
          <w:rFonts w:ascii="Times New Roman"/>
          <w:b/>
          <w:highlight w:val="none"/>
        </w:rPr>
        <w:t>第三节合同附件格式</w:t>
      </w:r>
      <w:bookmarkEnd w:id="956"/>
      <w:bookmarkEnd w:id="957"/>
      <w:bookmarkEnd w:id="958"/>
    </w:p>
    <w:p w14:paraId="73892056">
      <w:pPr>
        <w:pStyle w:val="2"/>
        <w:spacing w:before="0" w:after="0"/>
        <w:ind w:firstLine="137"/>
        <w:rPr>
          <w:rFonts w:ascii="宋体" w:hAnsi="宋体" w:eastAsia="宋体" w:cs="宋体"/>
          <w:highlight w:val="none"/>
        </w:rPr>
      </w:pPr>
      <w:r>
        <w:rPr>
          <w:rFonts w:ascii="Times New Roman" w:hAnsi="Times New Roman"/>
          <w:highlight w:val="none"/>
        </w:rPr>
        <w:br w:type="page"/>
      </w:r>
      <w:bookmarkEnd w:id="796"/>
      <w:bookmarkEnd w:id="797"/>
      <w:bookmarkEnd w:id="798"/>
      <w:bookmarkEnd w:id="799"/>
      <w:bookmarkStart w:id="959" w:name="_Toc501460714"/>
      <w:r>
        <w:rPr>
          <w:rFonts w:hint="eastAsia" w:cs="黑体"/>
          <w:highlight w:val="none"/>
        </w:rPr>
        <w:t>附件一：合同协议书</w:t>
      </w:r>
      <w:bookmarkEnd w:id="959"/>
    </w:p>
    <w:p w14:paraId="1C7BE2D6">
      <w:pPr>
        <w:spacing w:line="360" w:lineRule="auto"/>
        <w:rPr>
          <w:rFonts w:hAnsi="宋体" w:cs="宋体"/>
          <w:highlight w:val="none"/>
        </w:rPr>
      </w:pPr>
    </w:p>
    <w:p w14:paraId="0681BFD7">
      <w:pPr>
        <w:spacing w:line="360" w:lineRule="auto"/>
        <w:jc w:val="center"/>
        <w:rPr>
          <w:rFonts w:ascii="黑体" w:hAnsi="黑体" w:eastAsia="黑体" w:cs="黑体"/>
          <w:highlight w:val="none"/>
        </w:rPr>
      </w:pPr>
      <w:r>
        <w:rPr>
          <w:rFonts w:hint="eastAsia" w:ascii="黑体" w:hAnsi="黑体" w:eastAsia="黑体" w:cs="黑体"/>
          <w:highlight w:val="none"/>
        </w:rPr>
        <w:t>合同协议书</w:t>
      </w:r>
    </w:p>
    <w:p w14:paraId="076500CC">
      <w:pPr>
        <w:spacing w:line="360" w:lineRule="auto"/>
        <w:rPr>
          <w:rFonts w:hAnsi="宋体" w:cs="宋体"/>
          <w:highlight w:val="none"/>
        </w:rPr>
      </w:pPr>
    </w:p>
    <w:p w14:paraId="107FB7E6">
      <w:pPr>
        <w:spacing w:line="360" w:lineRule="auto"/>
        <w:ind w:firstLine="484" w:firstLineChars="202"/>
        <w:rPr>
          <w:rFonts w:hAnsi="宋体" w:cs="宋体"/>
          <w:highlight w:val="none"/>
        </w:rPr>
      </w:pPr>
      <w:r>
        <w:rPr>
          <w:rFonts w:hint="eastAsia" w:hAnsi="宋体" w:cs="宋体"/>
          <w:highlight w:val="none"/>
        </w:rPr>
        <w:t>（买方名称，以下简称“买方”）为获得（招标项目名称）合同货物和相关服务，已接受（卖方名称，以下简称“卖方”）为提供上述合同货物和相关服务所作的投标，买方和卖方共同达成如下协议：</w:t>
      </w:r>
    </w:p>
    <w:p w14:paraId="1252912D">
      <w:pPr>
        <w:spacing w:line="360" w:lineRule="auto"/>
        <w:ind w:firstLine="480" w:firstLineChars="200"/>
        <w:rPr>
          <w:rFonts w:hAnsi="宋体" w:cs="宋体"/>
          <w:highlight w:val="none"/>
        </w:rPr>
      </w:pPr>
      <w:r>
        <w:rPr>
          <w:rFonts w:hint="eastAsia" w:hAnsi="宋体" w:cs="宋体"/>
          <w:highlight w:val="none"/>
        </w:rPr>
        <w:t>1.本协议书与下列文件一起构成合同文件：</w:t>
      </w:r>
    </w:p>
    <w:p w14:paraId="10849ADE">
      <w:pPr>
        <w:spacing w:line="360" w:lineRule="auto"/>
        <w:ind w:firstLine="480" w:firstLineChars="200"/>
        <w:rPr>
          <w:rFonts w:hAnsi="宋体" w:cs="宋体"/>
          <w:highlight w:val="none"/>
        </w:rPr>
      </w:pPr>
      <w:r>
        <w:rPr>
          <w:rFonts w:hint="eastAsia" w:hAnsi="宋体" w:cs="宋体"/>
          <w:highlight w:val="none"/>
        </w:rPr>
        <w:t>（1）中标通知书；</w:t>
      </w:r>
    </w:p>
    <w:p w14:paraId="4196A9DE">
      <w:pPr>
        <w:spacing w:line="360" w:lineRule="auto"/>
        <w:ind w:firstLine="480" w:firstLineChars="200"/>
        <w:rPr>
          <w:rFonts w:hAnsi="宋体" w:cs="宋体"/>
          <w:highlight w:val="none"/>
        </w:rPr>
      </w:pPr>
      <w:r>
        <w:rPr>
          <w:rFonts w:hint="eastAsia" w:hAnsi="宋体" w:cs="宋体"/>
          <w:highlight w:val="none"/>
        </w:rPr>
        <w:t>（2）投标函；</w:t>
      </w:r>
    </w:p>
    <w:p w14:paraId="12849BDC">
      <w:pPr>
        <w:spacing w:line="360" w:lineRule="auto"/>
        <w:ind w:firstLine="480" w:firstLineChars="200"/>
        <w:rPr>
          <w:rFonts w:hAnsi="宋体" w:cs="宋体"/>
          <w:highlight w:val="none"/>
        </w:rPr>
      </w:pPr>
      <w:r>
        <w:rPr>
          <w:rFonts w:hint="eastAsia" w:hAnsi="宋体" w:cs="宋体"/>
          <w:highlight w:val="none"/>
        </w:rPr>
        <w:t>（3）商务和技术偏差表；</w:t>
      </w:r>
    </w:p>
    <w:p w14:paraId="44137E2E">
      <w:pPr>
        <w:spacing w:line="360" w:lineRule="auto"/>
        <w:ind w:firstLine="480" w:firstLineChars="200"/>
        <w:rPr>
          <w:rFonts w:hAnsi="宋体" w:cs="宋体"/>
          <w:highlight w:val="none"/>
        </w:rPr>
      </w:pPr>
      <w:r>
        <w:rPr>
          <w:rFonts w:hint="eastAsia" w:hAnsi="宋体" w:cs="宋体"/>
          <w:highlight w:val="none"/>
        </w:rPr>
        <w:t>（4）专用合同条款；</w:t>
      </w:r>
    </w:p>
    <w:p w14:paraId="3812FDE1">
      <w:pPr>
        <w:spacing w:line="360" w:lineRule="auto"/>
        <w:ind w:firstLine="480" w:firstLineChars="200"/>
        <w:rPr>
          <w:rFonts w:hAnsi="宋体" w:cs="宋体"/>
          <w:highlight w:val="none"/>
        </w:rPr>
      </w:pPr>
      <w:r>
        <w:rPr>
          <w:rFonts w:hint="eastAsia" w:hAnsi="宋体" w:cs="宋体"/>
          <w:highlight w:val="none"/>
        </w:rPr>
        <w:t>（5）通用合同条款；</w:t>
      </w:r>
    </w:p>
    <w:p w14:paraId="5C2F4E70">
      <w:pPr>
        <w:spacing w:line="360" w:lineRule="auto"/>
        <w:ind w:firstLine="480" w:firstLineChars="200"/>
        <w:rPr>
          <w:rFonts w:hAnsi="宋体" w:cs="宋体"/>
          <w:highlight w:val="none"/>
        </w:rPr>
      </w:pPr>
      <w:r>
        <w:rPr>
          <w:rFonts w:hint="eastAsia" w:hAnsi="宋体" w:cs="宋体"/>
          <w:highlight w:val="none"/>
        </w:rPr>
        <w:t>（6）供货要求；</w:t>
      </w:r>
    </w:p>
    <w:p w14:paraId="2B273223">
      <w:pPr>
        <w:spacing w:line="360" w:lineRule="auto"/>
        <w:ind w:firstLine="480" w:firstLineChars="200"/>
        <w:rPr>
          <w:rFonts w:hAnsi="宋体" w:cs="宋体"/>
          <w:highlight w:val="none"/>
        </w:rPr>
      </w:pPr>
      <w:r>
        <w:rPr>
          <w:rFonts w:hint="eastAsia" w:hAnsi="宋体" w:cs="宋体"/>
          <w:highlight w:val="none"/>
        </w:rPr>
        <w:t>（7）分项报价表；</w:t>
      </w:r>
    </w:p>
    <w:p w14:paraId="15DB778A">
      <w:pPr>
        <w:spacing w:line="360" w:lineRule="auto"/>
        <w:ind w:firstLine="480" w:firstLineChars="200"/>
        <w:rPr>
          <w:rFonts w:hAnsi="宋体" w:cs="宋体"/>
          <w:highlight w:val="none"/>
        </w:rPr>
      </w:pPr>
      <w:r>
        <w:rPr>
          <w:rFonts w:hint="eastAsia" w:hAnsi="宋体" w:cs="宋体"/>
          <w:highlight w:val="none"/>
        </w:rPr>
        <w:t>（8）中标货物技术性能指标的详细描述；</w:t>
      </w:r>
    </w:p>
    <w:p w14:paraId="38B09E66">
      <w:pPr>
        <w:spacing w:line="360" w:lineRule="auto"/>
        <w:ind w:firstLine="480" w:firstLineChars="200"/>
        <w:rPr>
          <w:rFonts w:hAnsi="宋体" w:cs="宋体"/>
          <w:highlight w:val="none"/>
        </w:rPr>
      </w:pPr>
      <w:r>
        <w:rPr>
          <w:rFonts w:hint="eastAsia" w:hAnsi="宋体" w:cs="宋体"/>
          <w:highlight w:val="none"/>
        </w:rPr>
        <w:t>（9）相关服务计划；</w:t>
      </w:r>
    </w:p>
    <w:p w14:paraId="0779A3E9">
      <w:pPr>
        <w:spacing w:line="360" w:lineRule="auto"/>
        <w:ind w:firstLine="480" w:firstLineChars="200"/>
        <w:rPr>
          <w:rFonts w:hAnsi="宋体" w:cs="宋体"/>
          <w:highlight w:val="none"/>
        </w:rPr>
      </w:pPr>
      <w:r>
        <w:rPr>
          <w:rFonts w:hint="eastAsia" w:hAnsi="宋体" w:cs="宋体"/>
          <w:highlight w:val="none"/>
        </w:rPr>
        <w:t>（10）其他合同文件。</w:t>
      </w:r>
    </w:p>
    <w:p w14:paraId="3E67A137">
      <w:pPr>
        <w:spacing w:line="360" w:lineRule="auto"/>
        <w:ind w:firstLine="480" w:firstLineChars="200"/>
        <w:rPr>
          <w:rFonts w:hAnsi="宋体" w:cs="宋体"/>
          <w:highlight w:val="none"/>
        </w:rPr>
      </w:pPr>
      <w:r>
        <w:rPr>
          <w:rFonts w:hint="eastAsia" w:hAnsi="宋体" w:cs="宋体"/>
          <w:highlight w:val="none"/>
        </w:rPr>
        <w:t>2.上述合同文件互相补充和解释。如果合同文件之间存在矛盾或不一致之处，以上述文件的排列顺序在先者为准。</w:t>
      </w:r>
    </w:p>
    <w:p w14:paraId="3B6A4E3C">
      <w:pPr>
        <w:spacing w:line="360" w:lineRule="auto"/>
        <w:ind w:firstLine="480" w:firstLineChars="200"/>
        <w:rPr>
          <w:rFonts w:hAnsi="宋体" w:cs="宋体"/>
          <w:highlight w:val="none"/>
        </w:rPr>
      </w:pPr>
      <w:r>
        <w:rPr>
          <w:rFonts w:hint="eastAsia" w:hAnsi="宋体" w:cs="宋体"/>
          <w:highlight w:val="none"/>
        </w:rPr>
        <w:t>3. 签约合同价：人民币（大写）（¥）。</w:t>
      </w:r>
    </w:p>
    <w:p w14:paraId="1F66D9C8">
      <w:pPr>
        <w:spacing w:line="360" w:lineRule="auto"/>
        <w:ind w:firstLine="480" w:firstLineChars="200"/>
        <w:rPr>
          <w:rFonts w:hAnsi="宋体" w:cs="宋体"/>
          <w:highlight w:val="none"/>
        </w:rPr>
      </w:pPr>
      <w:r>
        <w:rPr>
          <w:rFonts w:hint="eastAsia" w:hAnsi="宋体" w:cs="宋体"/>
          <w:highlight w:val="none"/>
        </w:rPr>
        <w:t>4.卖方承诺保证完全按照合同约定提供合同货物和相关服务并修补缺陷。</w:t>
      </w:r>
    </w:p>
    <w:p w14:paraId="52C2089C">
      <w:pPr>
        <w:spacing w:line="360" w:lineRule="auto"/>
        <w:ind w:firstLine="480" w:firstLineChars="200"/>
        <w:rPr>
          <w:rFonts w:hAnsi="宋体" w:cs="宋体"/>
          <w:highlight w:val="none"/>
        </w:rPr>
      </w:pPr>
      <w:r>
        <w:rPr>
          <w:rFonts w:hint="eastAsia" w:hAnsi="宋体" w:cs="宋体"/>
          <w:highlight w:val="none"/>
        </w:rPr>
        <w:t>5.买方承诺保证按照合同约定的条件、时间和方式向卖方支付合同价款。</w:t>
      </w:r>
    </w:p>
    <w:p w14:paraId="6BFC4570">
      <w:pPr>
        <w:spacing w:line="360" w:lineRule="auto"/>
        <w:ind w:firstLine="480" w:firstLineChars="200"/>
        <w:rPr>
          <w:rFonts w:hAnsi="宋体" w:cs="宋体"/>
          <w:highlight w:val="none"/>
        </w:rPr>
      </w:pPr>
      <w:r>
        <w:rPr>
          <w:rFonts w:hint="eastAsia" w:hAnsi="宋体" w:cs="宋体"/>
          <w:highlight w:val="none"/>
        </w:rPr>
        <w:t>6.本合同协议书一式份，合同双方各执份。</w:t>
      </w:r>
    </w:p>
    <w:p w14:paraId="409FE09B">
      <w:pPr>
        <w:spacing w:line="360" w:lineRule="auto"/>
        <w:ind w:firstLine="480" w:firstLineChars="200"/>
        <w:rPr>
          <w:rFonts w:hAnsi="宋体" w:cs="宋体"/>
          <w:highlight w:val="none"/>
        </w:rPr>
      </w:pPr>
      <w:r>
        <w:rPr>
          <w:rFonts w:hint="eastAsia" w:hAnsi="宋体" w:cs="宋体"/>
          <w:highlight w:val="none"/>
        </w:rPr>
        <w:t>7.合同未尽事宜，双方另行签订补充协议，补充协议是合同的组成部分。</w:t>
      </w:r>
    </w:p>
    <w:p w14:paraId="1F5F1777">
      <w:pPr>
        <w:adjustRightInd w:val="0"/>
        <w:snapToGrid w:val="0"/>
        <w:spacing w:line="360" w:lineRule="auto"/>
        <w:rPr>
          <w:rFonts w:hAnsi="宋体" w:cs="宋体"/>
          <w:highlight w:val="none"/>
        </w:rPr>
      </w:pPr>
    </w:p>
    <w:p w14:paraId="61342180">
      <w:pPr>
        <w:tabs>
          <w:tab w:val="left" w:pos="4395"/>
        </w:tabs>
        <w:spacing w:line="360" w:lineRule="auto"/>
        <w:ind w:firstLine="3000" w:firstLineChars="1250"/>
        <w:rPr>
          <w:rFonts w:hAnsi="宋体" w:cs="宋体"/>
          <w:highlight w:val="none"/>
        </w:rPr>
      </w:pPr>
      <w:r>
        <w:rPr>
          <w:rFonts w:hint="eastAsia" w:hAnsi="宋体" w:cs="宋体"/>
          <w:highlight w:val="none"/>
        </w:rPr>
        <w:t>买方：（盖单位章）</w:t>
      </w:r>
    </w:p>
    <w:p w14:paraId="2925585C">
      <w:pPr>
        <w:tabs>
          <w:tab w:val="left" w:pos="4395"/>
        </w:tabs>
        <w:spacing w:line="360" w:lineRule="auto"/>
        <w:jc w:val="right"/>
        <w:rPr>
          <w:rFonts w:hAnsi="宋体" w:cs="宋体"/>
          <w:highlight w:val="none"/>
        </w:rPr>
      </w:pPr>
      <w:r>
        <w:rPr>
          <w:rFonts w:hint="eastAsia" w:hAnsi="宋体" w:cs="宋体"/>
          <w:highlight w:val="none"/>
        </w:rPr>
        <w:t>法定代表人或其委托代理人：（签字）</w:t>
      </w:r>
    </w:p>
    <w:p w14:paraId="47CE5413">
      <w:pPr>
        <w:spacing w:line="360" w:lineRule="auto"/>
        <w:ind w:firstLine="4867" w:firstLineChars="2028"/>
        <w:jc w:val="right"/>
        <w:rPr>
          <w:rFonts w:hAnsi="宋体" w:cs="宋体"/>
          <w:highlight w:val="none"/>
        </w:rPr>
      </w:pPr>
      <w:r>
        <w:rPr>
          <w:rFonts w:hint="eastAsia" w:hAnsi="宋体" w:cs="宋体"/>
          <w:highlight w:val="none"/>
        </w:rPr>
        <w:t>年月日</w:t>
      </w:r>
    </w:p>
    <w:p w14:paraId="7957E196">
      <w:pPr>
        <w:tabs>
          <w:tab w:val="left" w:pos="4395"/>
        </w:tabs>
        <w:spacing w:line="360" w:lineRule="auto"/>
        <w:rPr>
          <w:rFonts w:hAnsi="宋体" w:cs="宋体"/>
          <w:highlight w:val="none"/>
        </w:rPr>
      </w:pPr>
    </w:p>
    <w:p w14:paraId="72F427BC">
      <w:pPr>
        <w:tabs>
          <w:tab w:val="left" w:pos="4395"/>
        </w:tabs>
        <w:spacing w:line="360" w:lineRule="auto"/>
        <w:rPr>
          <w:rFonts w:hAnsi="宋体" w:cs="宋体"/>
          <w:highlight w:val="none"/>
        </w:rPr>
      </w:pPr>
    </w:p>
    <w:p w14:paraId="2C34972E">
      <w:pPr>
        <w:tabs>
          <w:tab w:val="left" w:pos="4395"/>
        </w:tabs>
        <w:spacing w:line="360" w:lineRule="auto"/>
        <w:ind w:firstLine="2880" w:firstLineChars="1200"/>
        <w:rPr>
          <w:rFonts w:hAnsi="宋体" w:cs="宋体"/>
          <w:highlight w:val="none"/>
        </w:rPr>
      </w:pPr>
      <w:r>
        <w:rPr>
          <w:rFonts w:hint="eastAsia" w:hAnsi="宋体" w:cs="宋体"/>
          <w:highlight w:val="none"/>
        </w:rPr>
        <w:t>卖方：（盖单位章）</w:t>
      </w:r>
    </w:p>
    <w:p w14:paraId="1298BF93">
      <w:pPr>
        <w:tabs>
          <w:tab w:val="left" w:pos="4395"/>
        </w:tabs>
        <w:spacing w:line="360" w:lineRule="auto"/>
        <w:jc w:val="right"/>
        <w:rPr>
          <w:rFonts w:hAnsi="宋体" w:cs="宋体"/>
          <w:highlight w:val="none"/>
        </w:rPr>
      </w:pPr>
      <w:r>
        <w:rPr>
          <w:rFonts w:hint="eastAsia" w:hAnsi="宋体" w:cs="宋体"/>
          <w:highlight w:val="none"/>
        </w:rPr>
        <w:t>法定代表人或其委托代理人：（签字）</w:t>
      </w:r>
    </w:p>
    <w:p w14:paraId="485453AB">
      <w:pPr>
        <w:spacing w:line="360" w:lineRule="auto"/>
        <w:ind w:firstLine="4867" w:firstLineChars="2028"/>
        <w:jc w:val="right"/>
        <w:rPr>
          <w:rFonts w:hAnsi="宋体" w:cs="宋体"/>
          <w:highlight w:val="none"/>
        </w:rPr>
      </w:pPr>
      <w:r>
        <w:rPr>
          <w:rFonts w:hint="eastAsia" w:hAnsi="宋体" w:cs="宋体"/>
          <w:highlight w:val="none"/>
        </w:rPr>
        <w:t>年月日</w:t>
      </w:r>
    </w:p>
    <w:p w14:paraId="11776B73">
      <w:pPr>
        <w:adjustRightInd w:val="0"/>
        <w:snapToGrid w:val="0"/>
        <w:spacing w:line="360" w:lineRule="auto"/>
        <w:rPr>
          <w:rFonts w:hAnsi="宋体" w:cs="宋体"/>
          <w:highlight w:val="none"/>
        </w:rPr>
      </w:pPr>
      <w:r>
        <w:rPr>
          <w:rFonts w:hint="eastAsia" w:hAnsi="宋体" w:cs="宋体"/>
          <w:highlight w:val="none"/>
        </w:rPr>
        <w:br w:type="page"/>
      </w:r>
    </w:p>
    <w:p w14:paraId="43DE0FF4">
      <w:pPr>
        <w:pStyle w:val="2"/>
        <w:spacing w:before="0" w:after="0"/>
        <w:ind w:firstLine="137"/>
        <w:rPr>
          <w:rFonts w:cs="黑体"/>
          <w:highlight w:val="none"/>
        </w:rPr>
      </w:pPr>
      <w:bookmarkStart w:id="960" w:name="_Toc501460715"/>
      <w:r>
        <w:rPr>
          <w:rFonts w:hint="eastAsia" w:cs="黑体"/>
          <w:highlight w:val="none"/>
        </w:rPr>
        <w:t>附件二：履约保证金格式</w:t>
      </w:r>
      <w:bookmarkEnd w:id="960"/>
    </w:p>
    <w:p w14:paraId="02746913">
      <w:pPr>
        <w:spacing w:line="360" w:lineRule="auto"/>
        <w:rPr>
          <w:rFonts w:hAnsi="宋体" w:cs="宋体"/>
          <w:highlight w:val="none"/>
        </w:rPr>
      </w:pPr>
      <w:r>
        <w:rPr>
          <w:rFonts w:hint="eastAsia" w:hAnsi="宋体" w:cs="宋体"/>
          <w:highlight w:val="none"/>
        </w:rPr>
        <w:t>如采用银行保函，格式如下。</w:t>
      </w:r>
    </w:p>
    <w:p w14:paraId="76C098E5">
      <w:pPr>
        <w:spacing w:line="360" w:lineRule="auto"/>
        <w:jc w:val="center"/>
        <w:rPr>
          <w:rFonts w:ascii="黑体" w:hAnsi="黑体" w:eastAsia="黑体" w:cs="黑体"/>
          <w:highlight w:val="none"/>
        </w:rPr>
      </w:pPr>
      <w:r>
        <w:rPr>
          <w:rFonts w:hint="eastAsia" w:ascii="黑体" w:hAnsi="黑体" w:eastAsia="黑体" w:cs="黑体"/>
          <w:highlight w:val="none"/>
        </w:rPr>
        <w:t>履约保证金</w:t>
      </w:r>
    </w:p>
    <w:p w14:paraId="60463990">
      <w:pPr>
        <w:spacing w:line="360" w:lineRule="auto"/>
        <w:jc w:val="center"/>
        <w:rPr>
          <w:rFonts w:hAnsi="宋体" w:cs="宋体"/>
          <w:highlight w:val="none"/>
          <w:u w:val="single"/>
        </w:rPr>
      </w:pPr>
    </w:p>
    <w:p w14:paraId="785EF4D5">
      <w:pPr>
        <w:spacing w:line="360" w:lineRule="auto"/>
        <w:rPr>
          <w:rFonts w:hAnsi="宋体" w:cs="宋体"/>
          <w:highlight w:val="none"/>
        </w:rPr>
      </w:pPr>
      <w:r>
        <w:rPr>
          <w:rFonts w:hint="eastAsia" w:hAnsi="宋体" w:cs="宋体"/>
          <w:highlight w:val="none"/>
        </w:rPr>
        <w:t>（买方名称）：</w:t>
      </w:r>
    </w:p>
    <w:p w14:paraId="1EAC5B4F">
      <w:pPr>
        <w:spacing w:line="360" w:lineRule="auto"/>
        <w:ind w:firstLine="480" w:firstLineChars="200"/>
        <w:rPr>
          <w:rFonts w:hAnsi="宋体" w:cs="宋体"/>
          <w:highlight w:val="none"/>
        </w:rPr>
      </w:pPr>
      <w:r>
        <w:rPr>
          <w:rFonts w:hint="eastAsia" w:hAnsi="宋体" w:cs="宋体"/>
          <w:highlight w:val="none"/>
        </w:rPr>
        <w:t>鉴于（卖方名称，以下称“卖方”） 为（项目名称）的中标（成交）人，应卖方申请，我方愿意无条件地、不可撤销地就卖方履行与你方签订的合同，向你方提供连带责任担保。我方愿意无条件地、不可撤销地就卖方履行与你方订立的合同，向你方提供连带责任担保。</w:t>
      </w:r>
    </w:p>
    <w:p w14:paraId="7AF19F98">
      <w:pPr>
        <w:spacing w:line="360" w:lineRule="auto"/>
        <w:ind w:firstLine="480" w:firstLineChars="200"/>
        <w:rPr>
          <w:rFonts w:hAnsi="宋体" w:cs="宋体"/>
          <w:highlight w:val="none"/>
        </w:rPr>
      </w:pPr>
      <w:r>
        <w:rPr>
          <w:rFonts w:hint="eastAsia" w:hAnsi="宋体" w:cs="宋体"/>
          <w:highlight w:val="none"/>
        </w:rPr>
        <w:t>1. 担保金额人民币（大写）（¥）。</w:t>
      </w:r>
    </w:p>
    <w:p w14:paraId="6771C5BC">
      <w:pPr>
        <w:spacing w:line="360" w:lineRule="auto"/>
        <w:ind w:firstLine="480" w:firstLineChars="200"/>
        <w:rPr>
          <w:rFonts w:hAnsi="宋体" w:cs="宋体"/>
          <w:highlight w:val="none"/>
        </w:rPr>
      </w:pPr>
      <w:r>
        <w:rPr>
          <w:rFonts w:hint="eastAsia" w:hAnsi="宋体" w:cs="宋体"/>
          <w:highlight w:val="none"/>
        </w:rPr>
        <w:t>2. 担保有效期自买方与卖方签订的合同生效之日起至你方</w:t>
      </w:r>
      <w:r>
        <w:rPr>
          <w:rFonts w:hint="eastAsia" w:hAnsi="宋体" w:cs="宋体"/>
          <w:bCs/>
          <w:highlight w:val="none"/>
        </w:rPr>
        <w:t>签发合同货物验收证书或验收款支付函且卖方按照合同约定缴纳质量保证金之日为止。</w:t>
      </w:r>
      <w:r>
        <w:rPr>
          <w:rStyle w:val="67"/>
          <w:rFonts w:hint="eastAsia" w:hAnsi="宋体" w:cs="宋体"/>
          <w:highlight w:val="none"/>
        </w:rPr>
        <w:footnoteReference w:id="0"/>
      </w:r>
    </w:p>
    <w:p w14:paraId="5AAB0D88">
      <w:pPr>
        <w:spacing w:line="360" w:lineRule="auto"/>
        <w:ind w:firstLine="480" w:firstLineChars="200"/>
        <w:rPr>
          <w:rFonts w:hAnsi="宋体" w:cs="宋体"/>
          <w:highlight w:val="none"/>
        </w:rPr>
      </w:pPr>
      <w:r>
        <w:rPr>
          <w:rFonts w:hint="eastAsia" w:hAnsi="宋体" w:cs="宋体"/>
          <w:highlight w:val="none"/>
        </w:rPr>
        <w:t>3. 在本担保有效期内，如果卖方不履行合同约定的义务或其履行不符合合同的约定，我方在收到你方以书面形式提出的在担保金额内的赔偿要求后，在7日内无条件支付。</w:t>
      </w:r>
    </w:p>
    <w:p w14:paraId="081A85A6">
      <w:pPr>
        <w:spacing w:line="360" w:lineRule="auto"/>
        <w:ind w:firstLine="480" w:firstLineChars="200"/>
        <w:rPr>
          <w:rFonts w:hAnsi="宋体" w:cs="宋体"/>
          <w:highlight w:val="none"/>
        </w:rPr>
      </w:pPr>
      <w:r>
        <w:rPr>
          <w:rFonts w:hint="eastAsia" w:hAnsi="宋体" w:cs="宋体"/>
          <w:highlight w:val="none"/>
        </w:rPr>
        <w:t>4. 买方和卖方按合同约定变更合同时</w:t>
      </w:r>
      <w:bookmarkStart w:id="961" w:name="_Toc184635123"/>
      <w:bookmarkStart w:id="962" w:name="_Toc246997079"/>
      <w:bookmarkStart w:id="963" w:name="_Toc361231267"/>
      <w:bookmarkStart w:id="964" w:name="_Toc247085851"/>
      <w:bookmarkStart w:id="965" w:name="_Toc246996336"/>
      <w:bookmarkStart w:id="966" w:name="_Toc247514198"/>
      <w:bookmarkStart w:id="967" w:name="_Toc300835200"/>
      <w:bookmarkStart w:id="968" w:name="_Toc384308366"/>
      <w:bookmarkStart w:id="969" w:name="_Toc296602586"/>
      <w:bookmarkStart w:id="970" w:name="_Toc369531685"/>
      <w:bookmarkStart w:id="971" w:name="_Toc361508743"/>
      <w:bookmarkStart w:id="972" w:name="_Toc247527799"/>
      <w:r>
        <w:rPr>
          <w:rFonts w:hint="eastAsia" w:hAnsi="宋体" w:cs="宋体"/>
          <w:highlight w:val="none"/>
        </w:rPr>
        <w:t>，无论我方是否收到该</w:t>
      </w:r>
      <w:bookmarkEnd w:id="961"/>
      <w:bookmarkEnd w:id="962"/>
      <w:bookmarkEnd w:id="963"/>
      <w:bookmarkEnd w:id="964"/>
      <w:bookmarkEnd w:id="965"/>
      <w:bookmarkEnd w:id="966"/>
      <w:bookmarkEnd w:id="967"/>
      <w:bookmarkEnd w:id="968"/>
      <w:bookmarkEnd w:id="969"/>
      <w:bookmarkEnd w:id="970"/>
      <w:bookmarkEnd w:id="971"/>
      <w:bookmarkEnd w:id="972"/>
      <w:r>
        <w:rPr>
          <w:rFonts w:hint="eastAsia" w:hAnsi="宋体" w:cs="宋体"/>
          <w:highlight w:val="none"/>
        </w:rPr>
        <w:t>变</w:t>
      </w:r>
      <w:bookmarkStart w:id="973" w:name="_Toc361508744"/>
      <w:bookmarkStart w:id="974" w:name="_Toc247514199"/>
      <w:bookmarkStart w:id="975" w:name="_Toc384308367"/>
      <w:bookmarkStart w:id="976" w:name="_Toc300835201"/>
      <w:bookmarkStart w:id="977" w:name="_Toc369531686"/>
      <w:bookmarkStart w:id="978" w:name="_Toc246997080"/>
      <w:bookmarkStart w:id="979" w:name="_Toc152042547"/>
      <w:bookmarkStart w:id="980" w:name="_Toc246996337"/>
      <w:bookmarkStart w:id="981" w:name="_Toc152045768"/>
      <w:bookmarkStart w:id="982" w:name="_Toc179632786"/>
      <w:bookmarkStart w:id="983" w:name="_Toc247085852"/>
      <w:bookmarkStart w:id="984" w:name="_Toc361231268"/>
      <w:bookmarkStart w:id="985" w:name="_Toc247527800"/>
      <w:bookmarkStart w:id="986" w:name="_Toc5746"/>
      <w:bookmarkStart w:id="987" w:name="_Toc144974827"/>
      <w:r>
        <w:rPr>
          <w:rFonts w:hint="eastAsia" w:hAnsi="宋体" w:cs="宋体"/>
          <w:highlight w:val="none"/>
        </w:rPr>
        <w:t>更，我方承担本</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Pr>
          <w:rFonts w:hint="eastAsia" w:hAnsi="宋体" w:cs="宋体"/>
          <w:highlight w:val="none"/>
        </w:rPr>
        <w:t>担保规定的义务不变。</w:t>
      </w:r>
    </w:p>
    <w:p w14:paraId="013672E0">
      <w:pPr>
        <w:spacing w:line="360" w:lineRule="auto"/>
        <w:ind w:firstLine="480" w:firstLineChars="200"/>
        <w:rPr>
          <w:rFonts w:hAnsi="宋体" w:cs="宋体"/>
          <w:highlight w:val="none"/>
        </w:rPr>
      </w:pPr>
      <w:r>
        <w:rPr>
          <w:rFonts w:hint="eastAsia" w:hAnsi="宋体" w:cs="宋体"/>
          <w:highlight w:val="none"/>
        </w:rPr>
        <w:t>5. 因本保函发生的纠纷，可由双方协商解决，协商不成的，任何一方均可提请仲裁委员会仲裁。</w:t>
      </w:r>
    </w:p>
    <w:p w14:paraId="53677833">
      <w:pPr>
        <w:spacing w:line="360" w:lineRule="auto"/>
        <w:ind w:firstLine="480" w:firstLineChars="200"/>
        <w:rPr>
          <w:rFonts w:hAnsi="宋体" w:cs="宋体"/>
          <w:highlight w:val="none"/>
        </w:rPr>
      </w:pPr>
      <w:r>
        <w:rPr>
          <w:rFonts w:hint="eastAsia" w:hAnsi="宋体" w:cs="宋体"/>
          <w:highlight w:val="none"/>
        </w:rPr>
        <w:t>6. 本保函自我方法定代表人（或其授权代理人）签字并加盖公章之日起生效。</w:t>
      </w:r>
    </w:p>
    <w:p w14:paraId="724F680C">
      <w:pPr>
        <w:spacing w:line="360" w:lineRule="auto"/>
        <w:ind w:firstLine="2640" w:firstLineChars="1100"/>
        <w:rPr>
          <w:rFonts w:hAnsi="宋体" w:cs="宋体"/>
          <w:highlight w:val="none"/>
        </w:rPr>
      </w:pPr>
    </w:p>
    <w:p w14:paraId="5B869871">
      <w:pPr>
        <w:spacing w:line="360" w:lineRule="auto"/>
        <w:jc w:val="right"/>
        <w:rPr>
          <w:rFonts w:hAnsi="宋体" w:cs="宋体"/>
          <w:highlight w:val="none"/>
        </w:rPr>
      </w:pPr>
      <w:r>
        <w:rPr>
          <w:rFonts w:hint="eastAsia" w:hAnsi="宋体" w:cs="宋体"/>
          <w:highlight w:val="none"/>
        </w:rPr>
        <w:t>担保人名称：（盖单位章）</w:t>
      </w:r>
    </w:p>
    <w:p w14:paraId="101CC534">
      <w:pPr>
        <w:spacing w:line="360" w:lineRule="auto"/>
        <w:jc w:val="right"/>
        <w:rPr>
          <w:rFonts w:hAnsi="宋体" w:cs="宋体"/>
          <w:highlight w:val="none"/>
        </w:rPr>
      </w:pPr>
      <w:r>
        <w:rPr>
          <w:rFonts w:hint="eastAsia" w:hAnsi="宋体" w:cs="宋体"/>
          <w:highlight w:val="none"/>
        </w:rPr>
        <w:t>法定代表人或其委托代理人：（签字）</w:t>
      </w:r>
    </w:p>
    <w:p w14:paraId="3C4B9B53">
      <w:pPr>
        <w:spacing w:line="360" w:lineRule="auto"/>
        <w:ind w:firstLine="2640" w:firstLineChars="1100"/>
        <w:rPr>
          <w:rFonts w:hAnsi="宋体" w:cs="宋体"/>
          <w:highlight w:val="none"/>
        </w:rPr>
      </w:pPr>
      <w:r>
        <w:rPr>
          <w:rFonts w:hint="eastAsia" w:hAnsi="宋体" w:cs="宋体"/>
          <w:highlight w:val="none"/>
        </w:rPr>
        <w:t>地址：</w:t>
      </w:r>
    </w:p>
    <w:p w14:paraId="25E4C963">
      <w:pPr>
        <w:spacing w:line="360" w:lineRule="auto"/>
        <w:ind w:firstLine="2640" w:firstLineChars="1100"/>
        <w:rPr>
          <w:rFonts w:hAnsi="宋体" w:cs="宋体"/>
          <w:highlight w:val="none"/>
        </w:rPr>
      </w:pPr>
      <w:r>
        <w:rPr>
          <w:rFonts w:hint="eastAsia" w:hAnsi="宋体" w:cs="宋体"/>
          <w:highlight w:val="none"/>
        </w:rPr>
        <w:t>邮政编码：</w:t>
      </w:r>
    </w:p>
    <w:p w14:paraId="649ED201">
      <w:pPr>
        <w:spacing w:line="360" w:lineRule="auto"/>
        <w:ind w:firstLine="2640" w:firstLineChars="1100"/>
        <w:rPr>
          <w:rFonts w:hAnsi="宋体" w:cs="宋体"/>
          <w:highlight w:val="none"/>
        </w:rPr>
      </w:pPr>
      <w:r>
        <w:rPr>
          <w:rFonts w:hint="eastAsia" w:hAnsi="宋体" w:cs="宋体"/>
          <w:highlight w:val="none"/>
        </w:rPr>
        <w:t>电话：</w:t>
      </w:r>
    </w:p>
    <w:p w14:paraId="02A53C0E">
      <w:pPr>
        <w:spacing w:line="360" w:lineRule="auto"/>
        <w:ind w:right="840" w:rightChars="350" w:firstLine="2640" w:firstLineChars="1100"/>
        <w:jc w:val="right"/>
        <w:rPr>
          <w:rFonts w:hAnsi="宋体" w:cs="宋体"/>
          <w:highlight w:val="none"/>
        </w:rPr>
      </w:pPr>
      <w:r>
        <w:rPr>
          <w:rFonts w:hint="eastAsia" w:hAnsi="宋体" w:cs="宋体"/>
          <w:highlight w:val="none"/>
        </w:rPr>
        <w:t>年月日</w:t>
      </w:r>
    </w:p>
    <w:p w14:paraId="56283488">
      <w:pPr>
        <w:outlineLvl w:val="2"/>
        <w:rPr>
          <w:rFonts w:ascii="黑体" w:hAnsi="黑体" w:eastAsia="黑体" w:cs="黑体"/>
          <w:bCs/>
          <w:highlight w:val="none"/>
        </w:rPr>
      </w:pPr>
      <w:r>
        <w:rPr>
          <w:rFonts w:hint="eastAsia" w:ascii="黑体" w:hAnsi="黑体" w:eastAsia="黑体" w:cs="黑体"/>
          <w:bCs/>
          <w:highlight w:val="none"/>
        </w:rPr>
        <w:br w:type="page"/>
      </w:r>
      <w:r>
        <w:rPr>
          <w:rFonts w:hint="eastAsia" w:ascii="黑体" w:hAnsi="黑体" w:eastAsia="黑体" w:cs="黑体"/>
          <w:bCs/>
          <w:highlight w:val="none"/>
        </w:rPr>
        <w:t>附</w:t>
      </w:r>
      <w:bookmarkStart w:id="988" w:name="_Toc296503231"/>
      <w:bookmarkStart w:id="989" w:name="_Toc296891271"/>
      <w:bookmarkStart w:id="990" w:name="_Toc296891059"/>
      <w:bookmarkStart w:id="991" w:name="_Toc296347230"/>
      <w:bookmarkStart w:id="992" w:name="_Toc296944570"/>
      <w:bookmarkStart w:id="993" w:name="_Toc296346732"/>
      <w:r>
        <w:rPr>
          <w:rFonts w:hint="eastAsia" w:ascii="黑体" w:hAnsi="黑体" w:eastAsia="黑体" w:cs="黑体"/>
          <w:bCs/>
          <w:highlight w:val="none"/>
        </w:rPr>
        <w:t>件三：廉政协议</w:t>
      </w:r>
    </w:p>
    <w:bookmarkEnd w:id="988"/>
    <w:bookmarkEnd w:id="989"/>
    <w:bookmarkEnd w:id="990"/>
    <w:bookmarkEnd w:id="991"/>
    <w:bookmarkEnd w:id="992"/>
    <w:bookmarkEnd w:id="993"/>
    <w:p w14:paraId="4EB1C124">
      <w:pPr>
        <w:widowControl/>
        <w:spacing w:line="360" w:lineRule="auto"/>
        <w:ind w:firstLine="643"/>
        <w:jc w:val="center"/>
        <w:outlineLvl w:val="0"/>
        <w:rPr>
          <w:rFonts w:hAnsi="宋体" w:cs="宋体"/>
          <w:bCs/>
          <w:highlight w:val="none"/>
        </w:rPr>
      </w:pPr>
      <w:bookmarkStart w:id="994" w:name="_Toc140069435"/>
      <w:bookmarkStart w:id="995" w:name="_Toc19986"/>
      <w:bookmarkStart w:id="996" w:name="_Toc1036"/>
      <w:bookmarkStart w:id="997" w:name="_Toc117002184"/>
      <w:r>
        <w:rPr>
          <w:rFonts w:hint="eastAsia" w:hAnsi="宋体" w:cs="宋体"/>
          <w:bCs/>
          <w:highlight w:val="none"/>
        </w:rPr>
        <w:t>廉政协议</w:t>
      </w:r>
      <w:bookmarkEnd w:id="994"/>
      <w:bookmarkEnd w:id="995"/>
      <w:bookmarkEnd w:id="996"/>
      <w:bookmarkEnd w:id="997"/>
    </w:p>
    <w:p w14:paraId="27DEE915">
      <w:pPr>
        <w:widowControl/>
        <w:spacing w:line="360" w:lineRule="auto"/>
        <w:ind w:firstLine="480" w:firstLineChars="200"/>
        <w:jc w:val="left"/>
        <w:rPr>
          <w:rFonts w:hAnsi="宋体" w:cs="宋体"/>
          <w:highlight w:val="none"/>
        </w:rPr>
      </w:pPr>
      <w:r>
        <w:rPr>
          <w:rFonts w:hint="eastAsia" w:hAnsi="宋体" w:cs="宋体"/>
          <w:highlight w:val="none"/>
        </w:rPr>
        <w:t>为促进双方诚信经营、廉洁从业，防范商业贿赂，保护国家、集体和当事人的合法权益，根据国家有关法律法规和安徽省、合肥市廉政建设的规定，（买方名称，以下简称“买方”）与（卖方名称，以下称“卖方”），特此订立本协议共同遵照执行。</w:t>
      </w:r>
    </w:p>
    <w:p w14:paraId="7C20A225">
      <w:pPr>
        <w:widowControl/>
        <w:spacing w:line="360" w:lineRule="auto"/>
        <w:ind w:firstLine="480" w:firstLineChars="200"/>
        <w:jc w:val="left"/>
        <w:outlineLvl w:val="0"/>
        <w:rPr>
          <w:rFonts w:hAnsi="宋体" w:cs="宋体"/>
          <w:highlight w:val="none"/>
        </w:rPr>
      </w:pPr>
      <w:bookmarkStart w:id="998" w:name="_Toc117002185"/>
      <w:bookmarkStart w:id="999" w:name="_Toc1727"/>
      <w:bookmarkStart w:id="1000" w:name="_Toc26875"/>
      <w:bookmarkStart w:id="1001" w:name="_Toc140069436"/>
      <w:r>
        <w:rPr>
          <w:rFonts w:hint="eastAsia" w:hAnsi="宋体" w:cs="宋体"/>
          <w:highlight w:val="none"/>
        </w:rPr>
        <w:t>第一条 买卖双方的权利和义务</w:t>
      </w:r>
      <w:bookmarkEnd w:id="998"/>
      <w:bookmarkEnd w:id="999"/>
      <w:bookmarkEnd w:id="1000"/>
      <w:bookmarkEnd w:id="1001"/>
    </w:p>
    <w:p w14:paraId="706FD57B">
      <w:pPr>
        <w:widowControl/>
        <w:spacing w:line="360" w:lineRule="auto"/>
        <w:ind w:firstLine="480" w:firstLineChars="200"/>
        <w:jc w:val="left"/>
        <w:rPr>
          <w:rFonts w:hAnsi="宋体" w:cs="宋体"/>
          <w:highlight w:val="none"/>
        </w:rPr>
      </w:pPr>
      <w:r>
        <w:rPr>
          <w:rFonts w:hint="eastAsia" w:hAnsi="宋体" w:cs="宋体"/>
          <w:highlight w:val="none"/>
        </w:rPr>
        <w:t>（一）买卖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9B6FCFC">
      <w:pPr>
        <w:widowControl/>
        <w:spacing w:line="360" w:lineRule="auto"/>
        <w:ind w:firstLine="480" w:firstLineChars="200"/>
        <w:jc w:val="left"/>
        <w:rPr>
          <w:rFonts w:hAnsi="宋体" w:cs="宋体"/>
          <w:highlight w:val="none"/>
        </w:rPr>
      </w:pPr>
      <w:r>
        <w:rPr>
          <w:rFonts w:hint="eastAsia" w:hAnsi="宋体" w:cs="宋体"/>
          <w:highlight w:val="none"/>
        </w:rPr>
        <w:t>（二）严格执行的合同要求，自觉履行合同约定的相关义务。</w:t>
      </w:r>
    </w:p>
    <w:p w14:paraId="142512D9">
      <w:pPr>
        <w:widowControl/>
        <w:spacing w:line="360" w:lineRule="auto"/>
        <w:ind w:firstLine="480" w:firstLineChars="200"/>
        <w:jc w:val="left"/>
        <w:rPr>
          <w:rFonts w:hAnsi="宋体" w:cs="宋体"/>
          <w:highlight w:val="none"/>
        </w:rPr>
      </w:pPr>
      <w:r>
        <w:rPr>
          <w:rFonts w:hint="eastAsia" w:hAnsi="宋体" w:cs="宋体"/>
          <w:highlight w:val="none"/>
        </w:rPr>
        <w:t>（三）在业务活动中坚持公开、公正、诚信、透明的原则，不得损害国家、集体利益。</w:t>
      </w:r>
    </w:p>
    <w:p w14:paraId="77EA9C15">
      <w:pPr>
        <w:widowControl/>
        <w:spacing w:line="360" w:lineRule="auto"/>
        <w:ind w:firstLine="480" w:firstLineChars="200"/>
        <w:jc w:val="left"/>
        <w:rPr>
          <w:rFonts w:hAnsi="宋体" w:cs="宋体"/>
          <w:highlight w:val="none"/>
        </w:rPr>
      </w:pPr>
      <w:r>
        <w:rPr>
          <w:rFonts w:hint="eastAsia" w:hAnsi="宋体" w:cs="宋体"/>
          <w:highlight w:val="none"/>
        </w:rPr>
        <w:t>（四）建立健全廉政制度，开展廉政教育，公布举报电话，监督并认真查处违法违纪行为。</w:t>
      </w:r>
    </w:p>
    <w:p w14:paraId="42EA48FF">
      <w:pPr>
        <w:widowControl/>
        <w:spacing w:line="360" w:lineRule="auto"/>
        <w:ind w:firstLine="480" w:firstLineChars="200"/>
        <w:jc w:val="left"/>
        <w:rPr>
          <w:rFonts w:hAnsi="宋体" w:cs="宋体"/>
          <w:highlight w:val="none"/>
        </w:rPr>
      </w:pPr>
      <w:r>
        <w:rPr>
          <w:rFonts w:hint="eastAsia" w:hAnsi="宋体" w:cs="宋体"/>
          <w:highlight w:val="none"/>
        </w:rPr>
        <w:t>（五）发现对方在业务活动中有违反廉政规定的行为，应及时提醒对方纠正。情节严重的，应向其上级有关部门举报、建议给予处理，并有权要求告知处理结果。</w:t>
      </w:r>
    </w:p>
    <w:p w14:paraId="0D4D2615">
      <w:pPr>
        <w:widowControl/>
        <w:spacing w:line="360" w:lineRule="auto"/>
        <w:ind w:firstLine="480" w:firstLineChars="200"/>
        <w:jc w:val="left"/>
        <w:outlineLvl w:val="0"/>
        <w:rPr>
          <w:rFonts w:hAnsi="宋体" w:cs="宋体"/>
          <w:highlight w:val="none"/>
        </w:rPr>
      </w:pPr>
      <w:bookmarkStart w:id="1002" w:name="_Toc3098"/>
      <w:bookmarkStart w:id="1003" w:name="_Toc117002186"/>
      <w:bookmarkStart w:id="1004" w:name="_Toc28054"/>
      <w:bookmarkStart w:id="1005" w:name="_Toc140069437"/>
      <w:r>
        <w:rPr>
          <w:rFonts w:hint="eastAsia" w:hAnsi="宋体" w:cs="宋体"/>
          <w:highlight w:val="none"/>
        </w:rPr>
        <w:t>第二条 买方的义务</w:t>
      </w:r>
      <w:bookmarkEnd w:id="1002"/>
      <w:bookmarkEnd w:id="1003"/>
      <w:bookmarkEnd w:id="1004"/>
      <w:bookmarkEnd w:id="1005"/>
    </w:p>
    <w:p w14:paraId="79A44410">
      <w:pPr>
        <w:widowControl/>
        <w:spacing w:line="360" w:lineRule="auto"/>
        <w:ind w:firstLine="600" w:firstLineChars="250"/>
        <w:jc w:val="left"/>
        <w:rPr>
          <w:rFonts w:hAnsi="宋体" w:cs="宋体"/>
          <w:highlight w:val="none"/>
        </w:rPr>
      </w:pPr>
      <w:r>
        <w:rPr>
          <w:rFonts w:hint="eastAsia" w:hAnsi="宋体" w:cs="宋体"/>
          <w:highlight w:val="none"/>
        </w:rPr>
        <w:t>（一）买方及其工作人员不得索要或接受卖方的礼金、有价证券和贵重物品，不得在卖方报销任何应由买方单位或个人支付的费用等。</w:t>
      </w:r>
    </w:p>
    <w:p w14:paraId="38D18D83">
      <w:pPr>
        <w:widowControl/>
        <w:spacing w:line="360" w:lineRule="auto"/>
        <w:ind w:firstLine="480" w:firstLineChars="200"/>
        <w:jc w:val="left"/>
        <w:rPr>
          <w:rFonts w:hAnsi="宋体" w:cs="宋体"/>
          <w:highlight w:val="none"/>
        </w:rPr>
      </w:pPr>
      <w:r>
        <w:rPr>
          <w:rFonts w:hint="eastAsia" w:hAnsi="宋体" w:cs="宋体"/>
          <w:highlight w:val="none"/>
        </w:rPr>
        <w:t>（二）买方工作人员不得参加卖方安排的可能影响相关业务公开、公正、公平性的宴请和娱乐活动；不得参与任何形式的赌博，严禁通过赌博方式取得卖方及其工作人员的财物；不得接受卖方提供的通讯工具和高档办公用品等。</w:t>
      </w:r>
    </w:p>
    <w:p w14:paraId="21A1D430">
      <w:pPr>
        <w:widowControl/>
        <w:spacing w:line="360" w:lineRule="auto"/>
        <w:ind w:firstLine="480" w:firstLineChars="200"/>
        <w:jc w:val="left"/>
        <w:rPr>
          <w:rFonts w:hAnsi="宋体" w:cs="宋体"/>
          <w:highlight w:val="none"/>
        </w:rPr>
      </w:pPr>
      <w:r>
        <w:rPr>
          <w:rFonts w:hint="eastAsia" w:hAnsi="宋体" w:cs="宋体"/>
          <w:highlight w:val="none"/>
        </w:rPr>
        <w:t>（三）买方及其工作人员不得要求或者接受卖方为其住房装修、婚丧嫁娶活动、配偶子女工作安排以及出国出境、旅游等提供方便等。</w:t>
      </w:r>
    </w:p>
    <w:p w14:paraId="16C28D6B">
      <w:pPr>
        <w:widowControl/>
        <w:spacing w:line="360" w:lineRule="auto"/>
        <w:ind w:firstLine="480" w:firstLineChars="200"/>
        <w:jc w:val="left"/>
        <w:rPr>
          <w:rFonts w:hAnsi="宋体" w:cs="宋体"/>
          <w:highlight w:val="none"/>
        </w:rPr>
      </w:pPr>
      <w:r>
        <w:rPr>
          <w:rFonts w:hint="eastAsia" w:hAnsi="宋体" w:cs="宋体"/>
          <w:highlight w:val="none"/>
        </w:rPr>
        <w:t>（四）买方工作人员不得在卖方有股权关联的企业兼职，不得向卖方介绍家属或者亲友从事与买方业务有关的经济活动。</w:t>
      </w:r>
    </w:p>
    <w:p w14:paraId="5368ED54">
      <w:pPr>
        <w:widowControl/>
        <w:spacing w:line="360" w:lineRule="auto"/>
        <w:ind w:firstLine="480" w:firstLineChars="200"/>
        <w:jc w:val="left"/>
        <w:rPr>
          <w:rFonts w:hAnsi="宋体" w:cs="宋体"/>
          <w:highlight w:val="none"/>
        </w:rPr>
      </w:pPr>
      <w:r>
        <w:rPr>
          <w:rFonts w:hint="eastAsia" w:hAnsi="宋体" w:cs="宋体"/>
          <w:highlight w:val="none"/>
        </w:rPr>
        <w:t>（五）买方工作人员不得以明显低于市场的价格向卖方购买房屋、汽车等物品；不得以明显高于市场的价格向卖方出售房屋、汽车等物品；不得以其他交易形式非法收受请托人财物。</w:t>
      </w:r>
    </w:p>
    <w:p w14:paraId="2DB95E2B">
      <w:pPr>
        <w:widowControl/>
        <w:spacing w:line="360" w:lineRule="auto"/>
        <w:ind w:firstLine="480" w:firstLineChars="200"/>
        <w:jc w:val="left"/>
        <w:rPr>
          <w:rFonts w:hAnsi="宋体" w:cs="宋体"/>
          <w:highlight w:val="none"/>
        </w:rPr>
      </w:pPr>
      <w:r>
        <w:rPr>
          <w:rFonts w:hint="eastAsia" w:hAnsi="宋体" w:cs="宋体"/>
          <w:highlight w:val="none"/>
        </w:rPr>
        <w:t>（六）买方工作人员不得利用职务之便收受卖方以回扣、手续费、加班费、咨询费、劳务费、协调费、辛苦费等各种名义给予或赠送的钱物。</w:t>
      </w:r>
    </w:p>
    <w:p w14:paraId="30749588">
      <w:pPr>
        <w:widowControl/>
        <w:spacing w:line="360" w:lineRule="auto"/>
        <w:ind w:firstLine="480" w:firstLineChars="200"/>
        <w:jc w:val="left"/>
        <w:rPr>
          <w:rFonts w:hAnsi="宋体" w:cs="宋体"/>
          <w:highlight w:val="none"/>
        </w:rPr>
      </w:pPr>
      <w:r>
        <w:rPr>
          <w:rFonts w:hint="eastAsia" w:hAnsi="宋体" w:cs="宋体"/>
          <w:highlight w:val="none"/>
        </w:rPr>
        <w:t>（七）买方工作人员不得接受卖方给予或赠送的干股或红利。</w:t>
      </w:r>
    </w:p>
    <w:p w14:paraId="1B3E6475">
      <w:pPr>
        <w:widowControl/>
        <w:spacing w:line="360" w:lineRule="auto"/>
        <w:ind w:firstLine="480" w:firstLineChars="200"/>
        <w:jc w:val="left"/>
        <w:rPr>
          <w:rFonts w:hAnsi="宋体" w:cs="宋体"/>
          <w:highlight w:val="none"/>
        </w:rPr>
      </w:pPr>
      <w:r>
        <w:rPr>
          <w:rFonts w:hint="eastAsia" w:hAnsi="宋体" w:cs="宋体"/>
          <w:highlight w:val="none"/>
        </w:rPr>
        <w:t>（八）买方任何人不得以个人的名义向卖方推荐设备、部件等供货商以及其它合作单位。</w:t>
      </w:r>
    </w:p>
    <w:p w14:paraId="3AE98A32">
      <w:pPr>
        <w:widowControl/>
        <w:spacing w:line="360" w:lineRule="auto"/>
        <w:ind w:firstLine="480" w:firstLineChars="200"/>
        <w:jc w:val="left"/>
        <w:outlineLvl w:val="0"/>
        <w:rPr>
          <w:rFonts w:hAnsi="宋体" w:cs="宋体"/>
          <w:highlight w:val="none"/>
        </w:rPr>
      </w:pPr>
      <w:bookmarkStart w:id="1006" w:name="_Toc117002187"/>
      <w:bookmarkStart w:id="1007" w:name="_Toc140069438"/>
      <w:bookmarkStart w:id="1008" w:name="_Toc31147"/>
      <w:bookmarkStart w:id="1009" w:name="_Toc23015"/>
      <w:r>
        <w:rPr>
          <w:rFonts w:hint="eastAsia" w:hAnsi="宋体" w:cs="宋体"/>
          <w:highlight w:val="none"/>
        </w:rPr>
        <w:t>第三条 卖方的义务</w:t>
      </w:r>
      <w:bookmarkEnd w:id="1006"/>
      <w:bookmarkEnd w:id="1007"/>
      <w:bookmarkEnd w:id="1008"/>
      <w:bookmarkEnd w:id="1009"/>
    </w:p>
    <w:p w14:paraId="2AD17383">
      <w:pPr>
        <w:widowControl/>
        <w:spacing w:line="360" w:lineRule="auto"/>
        <w:ind w:firstLine="484" w:firstLineChars="202"/>
        <w:jc w:val="left"/>
        <w:rPr>
          <w:rFonts w:hAnsi="宋体" w:cs="宋体"/>
          <w:highlight w:val="none"/>
        </w:rPr>
      </w:pPr>
      <w:r>
        <w:rPr>
          <w:rFonts w:hint="eastAsia" w:hAnsi="宋体" w:cs="宋体"/>
          <w:highlight w:val="none"/>
        </w:rPr>
        <w:t>（一）卖方不得以任何理由向买方及其工作人员行贿或馈赠礼金、有价证券、贵重礼品。</w:t>
      </w:r>
    </w:p>
    <w:p w14:paraId="683EE2F9">
      <w:pPr>
        <w:widowControl/>
        <w:spacing w:line="360" w:lineRule="auto"/>
        <w:ind w:firstLine="484" w:firstLineChars="202"/>
        <w:jc w:val="left"/>
        <w:rPr>
          <w:rFonts w:hAnsi="宋体" w:cs="宋体"/>
          <w:highlight w:val="none"/>
        </w:rPr>
      </w:pPr>
      <w:r>
        <w:rPr>
          <w:rFonts w:hint="eastAsia" w:hAnsi="宋体" w:cs="宋体"/>
          <w:highlight w:val="none"/>
        </w:rPr>
        <w:t>（二）卖方不得以任何名义为买方及其工作人员报销应由买方单位或个人支付的任何费用。</w:t>
      </w:r>
    </w:p>
    <w:p w14:paraId="7C681B36">
      <w:pPr>
        <w:widowControl/>
        <w:spacing w:line="360" w:lineRule="auto"/>
        <w:ind w:firstLine="484" w:firstLineChars="202"/>
        <w:jc w:val="left"/>
        <w:rPr>
          <w:rFonts w:hAnsi="宋体" w:cs="宋体"/>
          <w:highlight w:val="none"/>
        </w:rPr>
      </w:pPr>
      <w:r>
        <w:rPr>
          <w:rFonts w:hint="eastAsia" w:hAnsi="宋体" w:cs="宋体"/>
          <w:highlight w:val="none"/>
        </w:rPr>
        <w:t>（三）卖方不得以任何理由安排买方工作人员参加可能影响相关业务公开、公正、公平性的宴请及娱乐活动。</w:t>
      </w:r>
    </w:p>
    <w:p w14:paraId="28A2FD7E">
      <w:pPr>
        <w:widowControl/>
        <w:spacing w:line="360" w:lineRule="auto"/>
        <w:ind w:firstLine="480" w:firstLineChars="200"/>
        <w:jc w:val="left"/>
        <w:rPr>
          <w:rFonts w:hAnsi="宋体" w:cs="宋体"/>
          <w:highlight w:val="none"/>
        </w:rPr>
      </w:pPr>
      <w:r>
        <w:rPr>
          <w:rFonts w:hint="eastAsia" w:hAnsi="宋体" w:cs="宋体"/>
          <w:highlight w:val="none"/>
        </w:rPr>
        <w:t>（四）卖方不得为买方单位和个人购置或提供通讯工具和高档办公用品等物品，也不得为买方提供与工作无关的房屋、汽车等。</w:t>
      </w:r>
    </w:p>
    <w:p w14:paraId="7E1ABB02">
      <w:pPr>
        <w:widowControl/>
        <w:spacing w:line="360" w:lineRule="auto"/>
        <w:ind w:firstLine="480" w:firstLineChars="200"/>
        <w:jc w:val="left"/>
        <w:rPr>
          <w:rFonts w:hAnsi="宋体" w:cs="宋体"/>
          <w:highlight w:val="none"/>
        </w:rPr>
      </w:pPr>
      <w:r>
        <w:rPr>
          <w:rFonts w:hint="eastAsia" w:hAnsi="宋体" w:cs="宋体"/>
          <w:highlight w:val="none"/>
        </w:rPr>
        <w:t>（五）卖方不得与买方工作人员就合同中的质量、数量、价格、工程量、验收等条款进行私下商谈或者达成默契。</w:t>
      </w:r>
    </w:p>
    <w:p w14:paraId="3036B7B0">
      <w:pPr>
        <w:widowControl/>
        <w:spacing w:line="360" w:lineRule="auto"/>
        <w:ind w:firstLine="480" w:firstLineChars="200"/>
        <w:jc w:val="left"/>
        <w:rPr>
          <w:rFonts w:hAnsi="宋体" w:cs="宋体"/>
          <w:highlight w:val="none"/>
        </w:rPr>
      </w:pPr>
      <w:r>
        <w:rPr>
          <w:rFonts w:hint="eastAsia" w:hAnsi="宋体" w:cs="宋体"/>
          <w:highlight w:val="none"/>
        </w:rPr>
        <w:t>（六）卖方不得以回扣、手续费、加班费、咨询费、劳务费、协调费、辛苦费等各种名义向买方工作人员给予或赠送钱物。</w:t>
      </w:r>
    </w:p>
    <w:p w14:paraId="28F2650E">
      <w:pPr>
        <w:widowControl/>
        <w:spacing w:line="360" w:lineRule="auto"/>
        <w:ind w:firstLine="480" w:firstLineChars="200"/>
        <w:jc w:val="left"/>
        <w:rPr>
          <w:rFonts w:hAnsi="宋体" w:cs="宋体"/>
          <w:highlight w:val="none"/>
        </w:rPr>
      </w:pPr>
      <w:r>
        <w:rPr>
          <w:rFonts w:hint="eastAsia" w:hAnsi="宋体" w:cs="宋体"/>
          <w:highlight w:val="none"/>
        </w:rPr>
        <w:t>（七）卖方不得向买方工作人员提供干股或红利。</w:t>
      </w:r>
    </w:p>
    <w:p w14:paraId="35F9C619">
      <w:pPr>
        <w:widowControl/>
        <w:spacing w:line="360" w:lineRule="auto"/>
        <w:ind w:firstLine="480" w:firstLineChars="200"/>
        <w:jc w:val="left"/>
        <w:rPr>
          <w:rFonts w:hAnsi="宋体" w:cs="宋体"/>
          <w:highlight w:val="none"/>
        </w:rPr>
      </w:pPr>
      <w:r>
        <w:rPr>
          <w:rFonts w:hint="eastAsia" w:hAnsi="宋体" w:cs="宋体"/>
          <w:highlight w:val="none"/>
        </w:rPr>
        <w:t>（八）卖方须按专项纪检监察工作组（如有）要求开展相关工作。</w:t>
      </w:r>
    </w:p>
    <w:p w14:paraId="02AB058E">
      <w:pPr>
        <w:widowControl/>
        <w:spacing w:line="360" w:lineRule="auto"/>
        <w:ind w:firstLine="480" w:firstLineChars="200"/>
        <w:jc w:val="left"/>
        <w:outlineLvl w:val="0"/>
        <w:rPr>
          <w:rFonts w:hAnsi="宋体" w:cs="宋体"/>
          <w:highlight w:val="none"/>
        </w:rPr>
      </w:pPr>
      <w:bookmarkStart w:id="1010" w:name="_Toc140069439"/>
      <w:bookmarkStart w:id="1011" w:name="_Toc30756"/>
      <w:bookmarkStart w:id="1012" w:name="_Toc117002188"/>
      <w:bookmarkStart w:id="1013" w:name="_Toc1567"/>
      <w:r>
        <w:rPr>
          <w:rFonts w:hint="eastAsia" w:hAnsi="宋体" w:cs="宋体"/>
          <w:highlight w:val="none"/>
        </w:rPr>
        <w:t>第四条 违约责任</w:t>
      </w:r>
      <w:bookmarkEnd w:id="1010"/>
      <w:bookmarkEnd w:id="1011"/>
      <w:bookmarkEnd w:id="1012"/>
      <w:bookmarkEnd w:id="1013"/>
    </w:p>
    <w:p w14:paraId="0775F733">
      <w:pPr>
        <w:widowControl/>
        <w:spacing w:line="360" w:lineRule="auto"/>
        <w:ind w:firstLine="480" w:firstLineChars="200"/>
        <w:jc w:val="left"/>
        <w:rPr>
          <w:rFonts w:hAnsi="宋体" w:cs="宋体"/>
          <w:highlight w:val="none"/>
        </w:rPr>
      </w:pPr>
      <w:r>
        <w:rPr>
          <w:rFonts w:hint="eastAsia" w:hAnsi="宋体" w:cs="宋体"/>
          <w:highlight w:val="none"/>
        </w:rPr>
        <w:t>（一）买方及其工作人员违反本协议第一、二条规定。买方按管理权限，对相关责任人依据有关规定给予党纪、政纪处分或组织处理；涉嫌犯罪的，移交司法机关追究刑事责任；给卖方单位造成经济损失的，应予以赔偿。</w:t>
      </w:r>
    </w:p>
    <w:p w14:paraId="5E6FA8F9">
      <w:pPr>
        <w:widowControl/>
        <w:spacing w:line="360" w:lineRule="auto"/>
        <w:ind w:firstLine="480" w:firstLineChars="200"/>
        <w:jc w:val="left"/>
        <w:rPr>
          <w:rFonts w:hAnsi="宋体" w:cs="宋体"/>
          <w:highlight w:val="none"/>
        </w:rPr>
      </w:pPr>
      <w:r>
        <w:rPr>
          <w:rFonts w:hint="eastAsia" w:hAnsi="宋体" w:cs="宋体"/>
          <w:highlight w:val="none"/>
        </w:rPr>
        <w:t>买方投诉联系部门：，联系电话：。</w:t>
      </w:r>
    </w:p>
    <w:p w14:paraId="7A0245BF">
      <w:pPr>
        <w:widowControl/>
        <w:spacing w:line="360" w:lineRule="auto"/>
        <w:ind w:firstLine="480" w:firstLineChars="200"/>
        <w:jc w:val="left"/>
        <w:rPr>
          <w:rFonts w:hAnsi="宋体" w:cs="宋体"/>
          <w:highlight w:val="none"/>
        </w:rPr>
      </w:pPr>
      <w:r>
        <w:rPr>
          <w:rFonts w:hint="eastAsia" w:hAnsi="宋体" w:cs="宋体"/>
          <w:highlight w:val="none"/>
        </w:rPr>
        <w:t>（二）卖方及其工作人员违反本协议第一、三条规定。根据具体情节和造成的后果，买方有权对卖方采取以下一种或多种处理办法：</w:t>
      </w:r>
    </w:p>
    <w:p w14:paraId="34D01FC6">
      <w:pPr>
        <w:widowControl/>
        <w:spacing w:line="360" w:lineRule="auto"/>
        <w:ind w:firstLine="480" w:firstLineChars="200"/>
        <w:jc w:val="left"/>
        <w:rPr>
          <w:rFonts w:hAnsi="宋体" w:cs="宋体"/>
          <w:highlight w:val="none"/>
        </w:rPr>
      </w:pPr>
      <w:r>
        <w:rPr>
          <w:rFonts w:hint="eastAsia" w:hAnsi="宋体" w:cs="宋体"/>
          <w:highlight w:val="none"/>
        </w:rPr>
        <w:t xml:space="preserve">1.全额收取卖方合同履约保证金不予退还； </w:t>
      </w:r>
    </w:p>
    <w:p w14:paraId="5C0CA20D">
      <w:pPr>
        <w:widowControl/>
        <w:spacing w:line="360" w:lineRule="auto"/>
        <w:ind w:firstLine="480" w:firstLineChars="200"/>
        <w:jc w:val="left"/>
        <w:rPr>
          <w:rFonts w:hAnsi="宋体" w:cs="宋体"/>
          <w:highlight w:val="none"/>
        </w:rPr>
      </w:pPr>
      <w:r>
        <w:rPr>
          <w:rFonts w:hint="eastAsia" w:hAnsi="宋体" w:cs="宋体"/>
          <w:highlight w:val="none"/>
        </w:rPr>
        <w:t>2.追究卖方其他违约责任；</w:t>
      </w:r>
    </w:p>
    <w:p w14:paraId="5A627D13">
      <w:pPr>
        <w:widowControl/>
        <w:spacing w:line="360" w:lineRule="auto"/>
        <w:ind w:firstLine="480" w:firstLineChars="200"/>
        <w:jc w:val="left"/>
        <w:rPr>
          <w:rFonts w:hAnsi="宋体" w:cs="宋体"/>
          <w:highlight w:val="none"/>
        </w:rPr>
      </w:pPr>
      <w:r>
        <w:rPr>
          <w:rFonts w:hint="eastAsia" w:hAnsi="宋体" w:cs="宋体"/>
          <w:highlight w:val="none"/>
        </w:rPr>
        <w:t>3.终止或解除双方已签订的包括本合同在内的所有合同；</w:t>
      </w:r>
    </w:p>
    <w:p w14:paraId="29BE5CE8">
      <w:pPr>
        <w:widowControl/>
        <w:spacing w:line="360" w:lineRule="auto"/>
        <w:ind w:firstLine="480" w:firstLineChars="200"/>
        <w:jc w:val="left"/>
        <w:rPr>
          <w:rFonts w:hAnsi="宋体" w:cs="宋体"/>
          <w:highlight w:val="none"/>
        </w:rPr>
      </w:pPr>
      <w:r>
        <w:rPr>
          <w:rFonts w:hint="eastAsia" w:hAnsi="宋体" w:cs="宋体"/>
          <w:highlight w:val="none"/>
        </w:rPr>
        <w:t>4.卖方一定期限内（6个月至3年，具体由买方根据情况而定）不得参与买方作为发包人（业主）的项目投标。</w:t>
      </w:r>
    </w:p>
    <w:p w14:paraId="3D7088B4">
      <w:pPr>
        <w:widowControl/>
        <w:spacing w:line="360" w:lineRule="auto"/>
        <w:ind w:firstLine="480" w:firstLineChars="200"/>
        <w:jc w:val="left"/>
        <w:rPr>
          <w:rFonts w:hAnsi="宋体" w:cs="宋体"/>
          <w:highlight w:val="none"/>
        </w:rPr>
      </w:pPr>
      <w:r>
        <w:rPr>
          <w:rFonts w:hint="eastAsia" w:hAnsi="宋体" w:cs="宋体"/>
          <w:highlight w:val="none"/>
        </w:rPr>
        <w:t>买方作出的处理意见，卖方应无条件接受并承担给买方造成的损失，全额返还通过不正当手段从买方获取的非法所得，并承担相应的法律责任。</w:t>
      </w:r>
    </w:p>
    <w:p w14:paraId="7A2F1F36">
      <w:pPr>
        <w:widowControl/>
        <w:spacing w:line="360" w:lineRule="auto"/>
        <w:ind w:firstLine="480" w:firstLineChars="200"/>
        <w:jc w:val="left"/>
        <w:outlineLvl w:val="0"/>
        <w:rPr>
          <w:rFonts w:hAnsi="宋体" w:cs="宋体"/>
          <w:highlight w:val="none"/>
        </w:rPr>
      </w:pPr>
      <w:bookmarkStart w:id="1014" w:name="_Toc140069440"/>
      <w:bookmarkStart w:id="1015" w:name="_Toc117002189"/>
      <w:bookmarkStart w:id="1016" w:name="_Toc4988"/>
      <w:bookmarkStart w:id="1017" w:name="_Toc25296"/>
      <w:r>
        <w:rPr>
          <w:rFonts w:hint="eastAsia" w:hAnsi="宋体" w:cs="宋体"/>
          <w:highlight w:val="none"/>
        </w:rPr>
        <w:t>第五条 双方约定</w:t>
      </w:r>
      <w:bookmarkEnd w:id="1014"/>
      <w:bookmarkEnd w:id="1015"/>
      <w:bookmarkEnd w:id="1016"/>
      <w:bookmarkEnd w:id="1017"/>
    </w:p>
    <w:p w14:paraId="4238834B">
      <w:pPr>
        <w:widowControl/>
        <w:spacing w:line="360" w:lineRule="auto"/>
        <w:ind w:firstLine="480" w:firstLineChars="200"/>
        <w:jc w:val="left"/>
        <w:rPr>
          <w:rFonts w:hAnsi="宋体" w:cs="宋体"/>
          <w:highlight w:val="none"/>
        </w:rPr>
      </w:pPr>
      <w:r>
        <w:rPr>
          <w:rFonts w:hint="eastAsia" w:hAnsi="宋体" w:cs="宋体"/>
          <w:highlight w:val="none"/>
        </w:rPr>
        <w:t>本协议由双方或双方上级单位负责监督。可由买方或买方上级单位的纪检监察部门约请卖方或卖方上级单位的纪检监察部门对本协议履行情况进行检查，提出在本协议规定范围内的裁定意见。</w:t>
      </w:r>
    </w:p>
    <w:p w14:paraId="363F714F">
      <w:pPr>
        <w:widowControl/>
        <w:spacing w:line="360" w:lineRule="auto"/>
        <w:ind w:firstLine="480" w:firstLineChars="200"/>
        <w:jc w:val="left"/>
        <w:outlineLvl w:val="0"/>
        <w:rPr>
          <w:rFonts w:hAnsi="宋体" w:cs="宋体"/>
          <w:highlight w:val="none"/>
        </w:rPr>
      </w:pPr>
      <w:bookmarkStart w:id="1018" w:name="_Toc31907"/>
      <w:bookmarkStart w:id="1019" w:name="_Toc140069441"/>
      <w:bookmarkStart w:id="1020" w:name="_Toc17875"/>
      <w:bookmarkStart w:id="1021" w:name="_Toc117002190"/>
      <w:r>
        <w:rPr>
          <w:rFonts w:hint="eastAsia" w:hAnsi="宋体" w:cs="宋体"/>
          <w:highlight w:val="none"/>
        </w:rPr>
        <w:t>第六条  本协议有效期为买卖双方签署之日起至合同终止。</w:t>
      </w:r>
      <w:bookmarkEnd w:id="1018"/>
      <w:bookmarkEnd w:id="1019"/>
      <w:bookmarkEnd w:id="1020"/>
      <w:bookmarkEnd w:id="1021"/>
    </w:p>
    <w:p w14:paraId="10C5A851">
      <w:pPr>
        <w:widowControl/>
        <w:spacing w:line="360" w:lineRule="auto"/>
        <w:ind w:firstLine="480" w:firstLineChars="200"/>
        <w:jc w:val="left"/>
        <w:outlineLvl w:val="0"/>
        <w:rPr>
          <w:rFonts w:hAnsi="宋体" w:cs="宋体"/>
          <w:highlight w:val="none"/>
        </w:rPr>
      </w:pPr>
      <w:bookmarkStart w:id="1022" w:name="_Toc20776"/>
      <w:bookmarkStart w:id="1023" w:name="_Toc6694"/>
      <w:bookmarkStart w:id="1024" w:name="_Toc140069442"/>
      <w:r>
        <w:rPr>
          <w:rFonts w:hint="eastAsia" w:hAnsi="宋体" w:cs="宋体"/>
          <w:highlight w:val="none"/>
        </w:rPr>
        <w:t>第七条  本协议作为合同的附件，与本合同具有同等法律效力。</w:t>
      </w:r>
      <w:bookmarkEnd w:id="1022"/>
      <w:bookmarkEnd w:id="1023"/>
      <w:bookmarkEnd w:id="1024"/>
    </w:p>
    <w:p w14:paraId="410771EF">
      <w:pPr>
        <w:widowControl/>
        <w:spacing w:line="360" w:lineRule="auto"/>
        <w:ind w:firstLine="480" w:firstLineChars="200"/>
        <w:jc w:val="left"/>
        <w:rPr>
          <w:rFonts w:hAnsi="宋体" w:cs="宋体"/>
          <w:highlight w:val="none"/>
        </w:rPr>
      </w:pPr>
    </w:p>
    <w:p w14:paraId="6A1CFA95">
      <w:pPr>
        <w:widowControl/>
        <w:spacing w:line="360" w:lineRule="auto"/>
        <w:ind w:firstLine="480" w:firstLineChars="200"/>
        <w:jc w:val="left"/>
        <w:rPr>
          <w:rFonts w:hAnsi="宋体" w:cs="宋体"/>
          <w:highlight w:val="none"/>
        </w:rPr>
      </w:pPr>
      <w:r>
        <w:rPr>
          <w:rFonts w:hint="eastAsia" w:hAnsi="宋体" w:cs="宋体"/>
          <w:highlight w:val="none"/>
        </w:rPr>
        <w:t>买方（盖章）：            卖方（盖章）：</w:t>
      </w:r>
    </w:p>
    <w:p w14:paraId="5F14C0D1">
      <w:pPr>
        <w:widowControl/>
        <w:spacing w:line="360" w:lineRule="auto"/>
        <w:ind w:firstLine="480" w:firstLineChars="200"/>
        <w:jc w:val="left"/>
        <w:rPr>
          <w:rFonts w:hAnsi="宋体" w:cs="宋体"/>
          <w:highlight w:val="none"/>
        </w:rPr>
      </w:pPr>
    </w:p>
    <w:p w14:paraId="6D2DB920">
      <w:pPr>
        <w:widowControl/>
        <w:spacing w:line="360" w:lineRule="auto"/>
        <w:ind w:firstLine="480" w:firstLineChars="200"/>
        <w:jc w:val="left"/>
        <w:rPr>
          <w:rFonts w:hAnsi="宋体" w:cs="宋体"/>
          <w:highlight w:val="none"/>
        </w:rPr>
      </w:pPr>
      <w:r>
        <w:rPr>
          <w:rFonts w:hint="eastAsia" w:hAnsi="宋体" w:cs="宋体"/>
          <w:highlight w:val="none"/>
        </w:rPr>
        <w:t>法定代表人或                            法定代表人或</w:t>
      </w:r>
    </w:p>
    <w:p w14:paraId="5321EEB9">
      <w:pPr>
        <w:widowControl/>
        <w:spacing w:line="360" w:lineRule="auto"/>
        <w:ind w:firstLine="480" w:firstLineChars="200"/>
        <w:jc w:val="left"/>
        <w:rPr>
          <w:rFonts w:hAnsi="宋体" w:cs="宋体"/>
          <w:highlight w:val="none"/>
        </w:rPr>
      </w:pPr>
      <w:r>
        <w:rPr>
          <w:rFonts w:hint="eastAsia" w:hAnsi="宋体" w:cs="宋体"/>
          <w:highlight w:val="none"/>
        </w:rPr>
        <w:t>授权代表：</w:t>
      </w:r>
      <w:r>
        <w:rPr>
          <w:rFonts w:hint="eastAsia" w:hAnsi="宋体" w:cs="宋体"/>
          <w:highlight w:val="none"/>
          <w:u w:val="single"/>
        </w:rPr>
        <w:t xml:space="preserve">            （</w:t>
      </w:r>
      <w:r>
        <w:rPr>
          <w:rFonts w:hint="eastAsia" w:hAnsi="宋体" w:cs="宋体"/>
          <w:highlight w:val="none"/>
        </w:rPr>
        <w:t>职务）           授权代表：</w:t>
      </w:r>
      <w:r>
        <w:rPr>
          <w:rFonts w:hint="eastAsia" w:hAnsi="宋体" w:cs="宋体"/>
          <w:highlight w:val="none"/>
          <w:u w:val="single"/>
        </w:rPr>
        <w:t xml:space="preserve">         （</w:t>
      </w:r>
      <w:r>
        <w:rPr>
          <w:rFonts w:hint="eastAsia" w:hAnsi="宋体" w:cs="宋体"/>
          <w:highlight w:val="none"/>
        </w:rPr>
        <w:t>职务）</w:t>
      </w:r>
    </w:p>
    <w:p w14:paraId="3900AE57">
      <w:pPr>
        <w:widowControl/>
        <w:spacing w:line="360" w:lineRule="auto"/>
        <w:ind w:firstLine="480" w:firstLineChars="200"/>
        <w:jc w:val="left"/>
        <w:rPr>
          <w:rFonts w:hAnsi="宋体" w:cs="宋体"/>
          <w:highlight w:val="none"/>
        </w:rPr>
      </w:pPr>
      <w:r>
        <w:rPr>
          <w:rFonts w:hint="eastAsia" w:hAnsi="宋体" w:cs="宋体"/>
          <w:highlight w:val="none"/>
        </w:rPr>
        <w:t>姓名：                      姓名：</w:t>
      </w:r>
    </w:p>
    <w:p w14:paraId="5DBCBEDB">
      <w:pPr>
        <w:widowControl/>
        <w:spacing w:line="360" w:lineRule="auto"/>
        <w:ind w:firstLine="480" w:firstLineChars="200"/>
        <w:jc w:val="left"/>
        <w:rPr>
          <w:rFonts w:hAnsi="宋体" w:cs="宋体"/>
          <w:highlight w:val="none"/>
        </w:rPr>
      </w:pPr>
      <w:r>
        <w:rPr>
          <w:rFonts w:hint="eastAsia" w:hAnsi="宋体" w:cs="宋体"/>
          <w:highlight w:val="none"/>
        </w:rPr>
        <w:t>签字：                      签字：</w:t>
      </w:r>
    </w:p>
    <w:p w14:paraId="69E1E28D">
      <w:pPr>
        <w:widowControl/>
        <w:spacing w:line="360" w:lineRule="auto"/>
        <w:ind w:firstLine="480" w:firstLineChars="200"/>
        <w:jc w:val="left"/>
        <w:rPr>
          <w:rFonts w:hAnsi="宋体" w:cs="宋体"/>
          <w:highlight w:val="none"/>
        </w:rPr>
      </w:pPr>
    </w:p>
    <w:p w14:paraId="549BE941">
      <w:pPr>
        <w:widowControl/>
        <w:spacing w:line="360" w:lineRule="auto"/>
        <w:ind w:firstLine="480" w:firstLineChars="200"/>
        <w:jc w:val="left"/>
        <w:rPr>
          <w:rFonts w:hAnsi="宋体" w:cs="宋体"/>
          <w:highlight w:val="none"/>
        </w:rPr>
      </w:pPr>
      <w:r>
        <w:rPr>
          <w:rFonts w:hint="eastAsia" w:hAnsi="宋体" w:cs="宋体"/>
          <w:highlight w:val="none"/>
        </w:rPr>
        <w:t>廉政监督联系人                           廉政监督联系人</w:t>
      </w:r>
    </w:p>
    <w:p w14:paraId="50D2ED10">
      <w:pPr>
        <w:widowControl/>
        <w:spacing w:line="360" w:lineRule="auto"/>
        <w:ind w:firstLine="480" w:firstLineChars="200"/>
        <w:jc w:val="left"/>
        <w:rPr>
          <w:rFonts w:hAnsi="宋体" w:cs="宋体"/>
          <w:highlight w:val="none"/>
        </w:rPr>
      </w:pPr>
      <w:r>
        <w:rPr>
          <w:rFonts w:hint="eastAsia" w:hAnsi="宋体" w:cs="宋体"/>
          <w:highlight w:val="none"/>
        </w:rPr>
        <w:t>姓名：            姓名：</w:t>
      </w:r>
    </w:p>
    <w:p w14:paraId="2C5B1C32">
      <w:pPr>
        <w:widowControl/>
        <w:spacing w:line="360" w:lineRule="auto"/>
        <w:ind w:firstLine="480" w:firstLineChars="200"/>
        <w:jc w:val="left"/>
        <w:rPr>
          <w:rFonts w:hAnsi="宋体" w:cs="宋体"/>
          <w:highlight w:val="none"/>
        </w:rPr>
      </w:pPr>
      <w:r>
        <w:rPr>
          <w:rFonts w:hint="eastAsia" w:hAnsi="宋体" w:cs="宋体"/>
          <w:highlight w:val="none"/>
        </w:rPr>
        <w:t>签字：            签字：</w:t>
      </w:r>
    </w:p>
    <w:p w14:paraId="61091E2C">
      <w:pPr>
        <w:widowControl/>
        <w:spacing w:line="360" w:lineRule="auto"/>
        <w:ind w:firstLine="480" w:firstLineChars="200"/>
        <w:jc w:val="left"/>
        <w:rPr>
          <w:rFonts w:hAnsi="宋体" w:cs="宋体"/>
          <w:highlight w:val="none"/>
        </w:rPr>
      </w:pPr>
      <w:r>
        <w:rPr>
          <w:rFonts w:hint="eastAsia" w:hAnsi="宋体" w:cs="宋体"/>
          <w:highlight w:val="none"/>
        </w:rPr>
        <w:t>电话：            电话：</w:t>
      </w:r>
    </w:p>
    <w:p w14:paraId="302624FA">
      <w:pPr>
        <w:widowControl/>
        <w:spacing w:line="360" w:lineRule="auto"/>
        <w:ind w:firstLine="480" w:firstLineChars="200"/>
        <w:jc w:val="left"/>
        <w:rPr>
          <w:rFonts w:hAnsi="宋体" w:cs="宋体"/>
          <w:highlight w:val="none"/>
        </w:rPr>
      </w:pPr>
      <w:r>
        <w:rPr>
          <w:rFonts w:hint="eastAsia" w:hAnsi="宋体" w:cs="宋体"/>
          <w:highlight w:val="none"/>
        </w:rPr>
        <w:t>地址：            地址：</w:t>
      </w:r>
    </w:p>
    <w:p w14:paraId="118FACEC">
      <w:pPr>
        <w:widowControl/>
        <w:spacing w:line="360" w:lineRule="auto"/>
        <w:ind w:firstLine="480" w:firstLineChars="200"/>
        <w:jc w:val="left"/>
        <w:rPr>
          <w:rFonts w:hAnsi="宋体" w:cs="宋体"/>
          <w:highlight w:val="none"/>
        </w:rPr>
      </w:pPr>
      <w:r>
        <w:rPr>
          <w:rFonts w:hint="eastAsia" w:hAnsi="宋体" w:cs="宋体"/>
          <w:highlight w:val="none"/>
        </w:rPr>
        <w:t>日期：            日期：</w:t>
      </w:r>
    </w:p>
    <w:p w14:paraId="67893322">
      <w:pPr>
        <w:pStyle w:val="3"/>
        <w:spacing w:before="240" w:beforeLines="100" w:after="240" w:afterLines="100" w:line="240" w:lineRule="auto"/>
        <w:jc w:val="center"/>
        <w:rPr>
          <w:highlight w:val="none"/>
        </w:rPr>
      </w:pPr>
      <w:r>
        <w:rPr>
          <w:rFonts w:hint="eastAsia" w:eastAsia="黑体"/>
          <w:b w:val="0"/>
          <w:highlight w:val="none"/>
        </w:rPr>
        <w:br w:type="page"/>
      </w:r>
      <w:bookmarkStart w:id="1025" w:name="_Toc30332"/>
      <w:bookmarkStart w:id="1026" w:name="_Toc12747"/>
      <w:r>
        <w:rPr>
          <w:rFonts w:hint="eastAsia"/>
          <w:highlight w:val="none"/>
        </w:rPr>
        <w:t xml:space="preserve">第五章  </w:t>
      </w:r>
      <w:r>
        <w:rPr>
          <w:rFonts w:hint="eastAsia" w:hAnsi="宋体" w:cs="宋体"/>
          <w:highlight w:val="none"/>
        </w:rPr>
        <w:t>供货要求</w:t>
      </w:r>
      <w:bookmarkEnd w:id="1025"/>
      <w:bookmarkEnd w:id="1026"/>
    </w:p>
    <w:p w14:paraId="2BE33F36">
      <w:pPr>
        <w:pStyle w:val="4"/>
        <w:spacing w:before="0" w:after="0" w:line="360" w:lineRule="auto"/>
        <w:rPr>
          <w:rFonts w:hint="eastAsia" w:ascii="黑体" w:hAnsi="黑体" w:eastAsia="黑体" w:cs="黑体"/>
          <w:b w:val="0"/>
          <w:sz w:val="28"/>
          <w:szCs w:val="28"/>
          <w:highlight w:val="none"/>
        </w:rPr>
      </w:pPr>
      <w:bookmarkStart w:id="1027" w:name="_Toc18161"/>
      <w:bookmarkStart w:id="1028" w:name="_Toc3606"/>
      <w:bookmarkStart w:id="1029" w:name="_Toc13784"/>
      <w:bookmarkStart w:id="1030" w:name="_Toc26181"/>
      <w:bookmarkStart w:id="1031" w:name="_Toc501460778"/>
      <w:r>
        <w:rPr>
          <w:rFonts w:hint="eastAsia" w:ascii="黑体" w:hAnsi="黑体" w:eastAsia="黑体" w:cs="黑体"/>
          <w:b w:val="0"/>
          <w:sz w:val="28"/>
          <w:szCs w:val="28"/>
          <w:highlight w:val="none"/>
        </w:rPr>
        <w:t>一、项目概况</w:t>
      </w:r>
      <w:bookmarkEnd w:id="1027"/>
      <w:bookmarkEnd w:id="1028"/>
      <w:bookmarkEnd w:id="1029"/>
      <w:bookmarkEnd w:id="1030"/>
      <w:bookmarkEnd w:id="1031"/>
    </w:p>
    <w:p w14:paraId="269C438F">
      <w:pPr>
        <w:spacing w:line="360" w:lineRule="auto"/>
        <w:ind w:firstLine="410" w:firstLineChars="171"/>
        <w:rPr>
          <w:rFonts w:hint="eastAsia" w:hAnsi="宋体" w:cs="宋体"/>
          <w:highlight w:val="none"/>
        </w:rPr>
      </w:pPr>
      <w:r>
        <w:rPr>
          <w:rFonts w:hint="eastAsia" w:hAnsi="宋体" w:cs="宋体"/>
          <w:highlight w:val="none"/>
        </w:rPr>
        <w:t xml:space="preserve"> 包括13个智能化子系统，分别为：综合布线系统、计算机网络及无线覆盖系统、多媒体会议系统、视频监控系统、残卫报警系统、水控管理系统、车辆管理系统、机房工程、LED屏及门诊信息发布系统、护理呼叫、智能输液管理系统、五方对讲系统、综合管网工程。</w:t>
      </w:r>
    </w:p>
    <w:p w14:paraId="02A691D3">
      <w:pPr>
        <w:pStyle w:val="4"/>
        <w:spacing w:before="0" w:after="0" w:line="360" w:lineRule="auto"/>
        <w:rPr>
          <w:rFonts w:hint="eastAsia" w:ascii="黑体" w:hAnsi="黑体" w:eastAsia="黑体" w:cs="黑体"/>
          <w:b w:val="0"/>
          <w:sz w:val="28"/>
          <w:szCs w:val="28"/>
          <w:highlight w:val="none"/>
        </w:rPr>
      </w:pPr>
      <w:bookmarkStart w:id="1032" w:name="_Toc32277"/>
      <w:bookmarkStart w:id="1033" w:name="_Toc25963"/>
      <w:bookmarkStart w:id="1034" w:name="_Toc501460779"/>
      <w:bookmarkStart w:id="1035" w:name="_Toc12928"/>
      <w:bookmarkStart w:id="1036" w:name="_Toc3053"/>
      <w:r>
        <w:rPr>
          <w:rFonts w:hint="eastAsia" w:ascii="黑体" w:hAnsi="黑体" w:eastAsia="黑体" w:cs="黑体"/>
          <w:b w:val="0"/>
          <w:sz w:val="28"/>
          <w:szCs w:val="28"/>
          <w:highlight w:val="none"/>
        </w:rPr>
        <w:t>二、</w:t>
      </w:r>
      <w:bookmarkStart w:id="1037" w:name="OLE_LINK2"/>
      <w:r>
        <w:rPr>
          <w:rFonts w:hint="eastAsia" w:ascii="黑体" w:hAnsi="黑体" w:eastAsia="黑体" w:cs="黑体"/>
          <w:b w:val="0"/>
          <w:sz w:val="28"/>
          <w:szCs w:val="28"/>
          <w:highlight w:val="none"/>
        </w:rPr>
        <w:t>设备需求一览表</w:t>
      </w:r>
      <w:bookmarkEnd w:id="1032"/>
      <w:bookmarkEnd w:id="1033"/>
      <w:bookmarkEnd w:id="1034"/>
      <w:bookmarkEnd w:id="1035"/>
      <w:bookmarkEnd w:id="1036"/>
      <w:bookmarkEnd w:id="1037"/>
    </w:p>
    <w:p w14:paraId="59E5C965">
      <w:pPr>
        <w:spacing w:line="360" w:lineRule="auto"/>
        <w:ind w:firstLine="410" w:firstLineChars="171"/>
        <w:rPr>
          <w:rFonts w:hint="eastAsia" w:hAnsi="宋体" w:cs="宋体"/>
          <w:highlight w:val="none"/>
        </w:rPr>
      </w:pPr>
      <w:r>
        <w:rPr>
          <w:rFonts w:hint="eastAsia" w:hAnsi="宋体" w:cs="宋体"/>
          <w:highlight w:val="none"/>
        </w:rPr>
        <w:t>本次招标范围包括下表所列所有设备的供货、包装运输及保险、装卸、安装、调试、考核（检测）验收、培训及质保期内免费维修保养服务等全部内容。</w:t>
      </w:r>
    </w:p>
    <w:p w14:paraId="5F2C481B">
      <w:pPr>
        <w:spacing w:line="360" w:lineRule="auto"/>
        <w:ind w:firstLine="410" w:firstLineChars="171"/>
        <w:rPr>
          <w:highlight w:val="none"/>
        </w:rPr>
      </w:pPr>
      <w:r>
        <w:rPr>
          <w:rFonts w:ascii="宋体" w:hAnsi="宋体" w:eastAsia="宋体" w:cs="宋体"/>
          <w:sz w:val="24"/>
          <w:szCs w:val="24"/>
          <w:highlight w:val="none"/>
        </w:rPr>
        <w:t>本项目投标人投标时不需要提供（除商务文件评分标准技术评审指标中要求外）所列产品参数的证明文件（如检测报告、测试报告、认证、证书、专利，以及其他须加盖原厂公章相关证明材料）。</w:t>
      </w:r>
    </w:p>
    <w:tbl>
      <w:tblPr>
        <w:tblStyle w:val="52"/>
        <w:tblpPr w:leftFromText="180" w:rightFromText="180" w:vertAnchor="text" w:horzAnchor="page" w:tblpXSpec="center" w:tblpY="303"/>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9"/>
        <w:gridCol w:w="993"/>
        <w:gridCol w:w="4898"/>
        <w:gridCol w:w="434"/>
        <w:gridCol w:w="666"/>
        <w:gridCol w:w="1057"/>
      </w:tblGrid>
      <w:tr w14:paraId="40D4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blHeader/>
          <w:jc w:val="center"/>
        </w:trPr>
        <w:tc>
          <w:tcPr>
            <w:tcW w:w="269" w:type="pct"/>
            <w:shd w:val="clear" w:color="auto" w:fill="auto"/>
            <w:noWrap/>
            <w:vAlign w:val="center"/>
          </w:tcPr>
          <w:p w14:paraId="45255E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1038" w:name="_Toc501460780"/>
            <w:bookmarkStart w:id="1039" w:name="_Toc25604"/>
            <w:bookmarkStart w:id="1040" w:name="_Toc19102"/>
            <w:bookmarkStart w:id="1041" w:name="_Toc4500"/>
            <w:bookmarkStart w:id="1042" w:name="_Toc28008"/>
            <w:r>
              <w:rPr>
                <w:rFonts w:hint="eastAsia" w:ascii="宋体" w:hAnsi="宋体" w:eastAsia="宋体" w:cs="宋体"/>
                <w:b/>
                <w:bCs/>
                <w:i w:val="0"/>
                <w:iCs w:val="0"/>
                <w:color w:val="000000"/>
                <w:kern w:val="0"/>
                <w:sz w:val="22"/>
                <w:szCs w:val="22"/>
                <w:u w:val="none"/>
                <w:lang w:val="en-US" w:eastAsia="zh-CN" w:bidi="ar"/>
              </w:rPr>
              <w:t>序号</w:t>
            </w:r>
          </w:p>
        </w:tc>
        <w:tc>
          <w:tcPr>
            <w:tcW w:w="583" w:type="pct"/>
            <w:shd w:val="clear" w:color="auto" w:fill="auto"/>
            <w:vAlign w:val="center"/>
          </w:tcPr>
          <w:p w14:paraId="7FE91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2879" w:type="pct"/>
            <w:shd w:val="clear" w:color="auto" w:fill="auto"/>
            <w:vAlign w:val="center"/>
          </w:tcPr>
          <w:p w14:paraId="6149AE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255" w:type="pct"/>
            <w:shd w:val="clear" w:color="auto" w:fill="auto"/>
            <w:noWrap/>
            <w:vAlign w:val="center"/>
          </w:tcPr>
          <w:p w14:paraId="3BBA5F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数量及单位</w:t>
            </w:r>
          </w:p>
        </w:tc>
        <w:tc>
          <w:tcPr>
            <w:tcW w:w="391" w:type="pct"/>
            <w:shd w:val="clear" w:color="auto" w:fill="auto"/>
            <w:vAlign w:val="center"/>
          </w:tcPr>
          <w:p w14:paraId="717756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交货及安装周期</w:t>
            </w:r>
          </w:p>
        </w:tc>
        <w:tc>
          <w:tcPr>
            <w:tcW w:w="621" w:type="pct"/>
            <w:shd w:val="clear" w:color="auto" w:fill="auto"/>
            <w:vAlign w:val="center"/>
          </w:tcPr>
          <w:p w14:paraId="2F3903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交货及安装地点</w:t>
            </w:r>
          </w:p>
        </w:tc>
      </w:tr>
      <w:tr w14:paraId="5033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000" w:type="pct"/>
            <w:gridSpan w:val="6"/>
            <w:shd w:val="clear" w:color="auto" w:fill="auto"/>
            <w:noWrap/>
            <w:vAlign w:val="center"/>
          </w:tcPr>
          <w:p w14:paraId="61610C5D">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一、综合布线系统</w:t>
            </w:r>
          </w:p>
        </w:tc>
      </w:tr>
      <w:tr w14:paraId="15DF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4E643619">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(一)、工作区子系统</w:t>
            </w:r>
          </w:p>
        </w:tc>
      </w:tr>
      <w:tr w14:paraId="68A4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743DF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27DC2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六类非屏蔽模块</w:t>
            </w:r>
          </w:p>
        </w:tc>
        <w:tc>
          <w:tcPr>
            <w:tcW w:w="2879" w:type="pct"/>
            <w:shd w:val="clear" w:color="auto" w:fill="auto"/>
            <w:vAlign w:val="center"/>
          </w:tcPr>
          <w:p w14:paraId="392EE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1、支持1000 Base-T并向下兼容端接方式：兼容T568A/B；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2、线规支持：需兼容23线规双绞线端接；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3、端口特性：插拔次数需≥1200次、保证多次插拔的良好性；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4、材料：采用高强度阻燃材料，性能符合UL94 V-0</w:t>
            </w:r>
          </w:p>
        </w:tc>
        <w:tc>
          <w:tcPr>
            <w:tcW w:w="255" w:type="pct"/>
            <w:shd w:val="clear" w:color="auto" w:fill="auto"/>
            <w:vAlign w:val="center"/>
          </w:tcPr>
          <w:p w14:paraId="1524E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761个</w:t>
            </w:r>
          </w:p>
        </w:tc>
        <w:tc>
          <w:tcPr>
            <w:tcW w:w="391" w:type="pct"/>
            <w:shd w:val="clear" w:color="auto" w:fill="auto"/>
            <w:noWrap/>
            <w:vAlign w:val="center"/>
          </w:tcPr>
          <w:p w14:paraId="094BB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87460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B8F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2A9F6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6FD0A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单口面板</w:t>
            </w:r>
          </w:p>
        </w:tc>
        <w:tc>
          <w:tcPr>
            <w:tcW w:w="2879" w:type="pct"/>
            <w:shd w:val="clear" w:color="auto" w:fill="auto"/>
            <w:vAlign w:val="center"/>
          </w:tcPr>
          <w:p w14:paraId="6628B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名称：单口面板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1、标准符合：JB/T 8593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2、兼容性：需兼容Cat.6类模块安装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5、样式：平口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6、材料：采用优质高阻燃型PC+ABS工程材料。</w:t>
            </w:r>
          </w:p>
        </w:tc>
        <w:tc>
          <w:tcPr>
            <w:tcW w:w="255" w:type="pct"/>
            <w:shd w:val="clear" w:color="auto" w:fill="auto"/>
            <w:noWrap/>
            <w:vAlign w:val="center"/>
          </w:tcPr>
          <w:p w14:paraId="3375B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333个</w:t>
            </w:r>
          </w:p>
        </w:tc>
        <w:tc>
          <w:tcPr>
            <w:tcW w:w="391" w:type="pct"/>
            <w:shd w:val="clear" w:color="auto" w:fill="auto"/>
            <w:noWrap/>
            <w:vAlign w:val="center"/>
          </w:tcPr>
          <w:p w14:paraId="5A86A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0793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F3F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443D8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5AB1B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双口面板</w:t>
            </w:r>
          </w:p>
        </w:tc>
        <w:tc>
          <w:tcPr>
            <w:tcW w:w="2879" w:type="pct"/>
            <w:shd w:val="clear" w:color="auto" w:fill="auto"/>
            <w:vAlign w:val="center"/>
          </w:tcPr>
          <w:p w14:paraId="728EA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名称：双口面板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1、参数：标准符合：JB/T 8593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2、兼容性：需兼容Cat 6类模块安装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4、样式：平口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5、材料：采用优质高阻燃型PC+ABS工程材料。</w:t>
            </w:r>
          </w:p>
        </w:tc>
        <w:tc>
          <w:tcPr>
            <w:tcW w:w="255" w:type="pct"/>
            <w:shd w:val="clear" w:color="auto" w:fill="auto"/>
            <w:noWrap/>
            <w:vAlign w:val="center"/>
          </w:tcPr>
          <w:p w14:paraId="1DD08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214个</w:t>
            </w:r>
          </w:p>
        </w:tc>
        <w:tc>
          <w:tcPr>
            <w:tcW w:w="391" w:type="pct"/>
            <w:shd w:val="clear" w:color="auto" w:fill="auto"/>
            <w:noWrap/>
            <w:vAlign w:val="center"/>
          </w:tcPr>
          <w:p w14:paraId="38505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C64A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61F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07B54CCB">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(二)、水平子系统</w:t>
            </w:r>
          </w:p>
        </w:tc>
      </w:tr>
      <w:tr w14:paraId="737F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blHeader/>
          <w:jc w:val="center"/>
        </w:trPr>
        <w:tc>
          <w:tcPr>
            <w:tcW w:w="269" w:type="pct"/>
            <w:shd w:val="clear" w:color="auto" w:fill="auto"/>
            <w:noWrap/>
            <w:vAlign w:val="center"/>
          </w:tcPr>
          <w:p w14:paraId="25915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4F590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六类四对非屏蔽双绞线</w:t>
            </w:r>
          </w:p>
        </w:tc>
        <w:tc>
          <w:tcPr>
            <w:tcW w:w="2879" w:type="pct"/>
            <w:shd w:val="clear" w:color="auto" w:fill="auto"/>
            <w:vAlign w:val="center"/>
          </w:tcPr>
          <w:p w14:paraId="7E127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1.带宽：≥250 HMz；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支持1000 Base-T；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3.线规：23；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4.导体材质：采用高品质99.99%无氧铜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5.绝缘层材料：高密度聚乙烯(HDPE)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6.外护套材料：聚氯乙烯(PVC)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7.骨芯结构：十字龙骨芯.                                                        8.长度305米/箱.</w:t>
            </w:r>
          </w:p>
        </w:tc>
        <w:tc>
          <w:tcPr>
            <w:tcW w:w="255" w:type="pct"/>
            <w:shd w:val="clear" w:color="auto" w:fill="auto"/>
            <w:noWrap/>
            <w:vAlign w:val="center"/>
          </w:tcPr>
          <w:p w14:paraId="3AB27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135箱</w:t>
            </w:r>
          </w:p>
        </w:tc>
        <w:tc>
          <w:tcPr>
            <w:tcW w:w="391" w:type="pct"/>
            <w:shd w:val="clear" w:color="auto" w:fill="auto"/>
            <w:noWrap/>
            <w:vAlign w:val="center"/>
          </w:tcPr>
          <w:p w14:paraId="799A6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260EB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F84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0C50A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7950A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四芯室内光纤</w:t>
            </w:r>
          </w:p>
        </w:tc>
        <w:tc>
          <w:tcPr>
            <w:tcW w:w="2879" w:type="pct"/>
            <w:shd w:val="clear" w:color="auto" w:fill="auto"/>
            <w:vAlign w:val="center"/>
          </w:tcPr>
          <w:p w14:paraId="49BDD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1、芯数：4芯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2、外护套材料：低烟无卤(LSZH)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3、加强结构：金属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4、光学特性模场直径：8.6-9.5μm ±0.4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5、衰减：≤0.38 @1310、≤0.38 @1383、≤0.24 @1550、≤0.28 @1625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6、零色散波长：1300-1324nm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7、零色散斜率：0.092 ps/nm2kn。</w:t>
            </w:r>
          </w:p>
        </w:tc>
        <w:tc>
          <w:tcPr>
            <w:tcW w:w="255" w:type="pct"/>
            <w:shd w:val="clear" w:color="auto" w:fill="auto"/>
            <w:noWrap/>
            <w:vAlign w:val="center"/>
          </w:tcPr>
          <w:p w14:paraId="2F677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200米</w:t>
            </w:r>
          </w:p>
        </w:tc>
        <w:tc>
          <w:tcPr>
            <w:tcW w:w="391" w:type="pct"/>
            <w:shd w:val="clear" w:color="auto" w:fill="auto"/>
            <w:noWrap/>
            <w:vAlign w:val="center"/>
          </w:tcPr>
          <w:p w14:paraId="27C3C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B7EF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7FE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41A87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3348E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4口光纤盒</w:t>
            </w:r>
          </w:p>
        </w:tc>
        <w:tc>
          <w:tcPr>
            <w:tcW w:w="2879" w:type="pct"/>
            <w:shd w:val="clear" w:color="auto" w:fill="auto"/>
            <w:vAlign w:val="center"/>
          </w:tcPr>
          <w:p w14:paraId="7D480B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1、产品严格遵循 YD/T778-2006《光纤配线架》要求支持 19 ″标准安装， 适用于多种机架、机柜上的安装；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2、材料结构：优质钢板，金属框架， 表面涂装静电喷塑，塑料组件；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3、适用于束状和带状光缆，进出光 纤方便灵活，有充裕的光纤盘存空间；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4、抽拉式设计，每盘端口数量：4 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5、端口类型：ST 、FC、SC、LC 双 工通用。</w:t>
            </w:r>
          </w:p>
        </w:tc>
        <w:tc>
          <w:tcPr>
            <w:tcW w:w="255" w:type="pct"/>
            <w:shd w:val="clear" w:color="auto" w:fill="auto"/>
            <w:noWrap/>
            <w:vAlign w:val="center"/>
          </w:tcPr>
          <w:p w14:paraId="58749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391" w:type="pct"/>
            <w:shd w:val="clear" w:color="auto" w:fill="auto"/>
            <w:noWrap/>
            <w:vAlign w:val="center"/>
          </w:tcPr>
          <w:p w14:paraId="10991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0CA11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CD2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F081445">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(三)、垂直干线子系统</w:t>
            </w:r>
          </w:p>
        </w:tc>
      </w:tr>
      <w:tr w14:paraId="40EB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1C8D5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62120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室外12芯单模光缆</w:t>
            </w:r>
          </w:p>
        </w:tc>
        <w:tc>
          <w:tcPr>
            <w:tcW w:w="2879" w:type="pct"/>
            <w:shd w:val="clear" w:color="auto" w:fill="auto"/>
            <w:vAlign w:val="center"/>
          </w:tcPr>
          <w:p w14:paraId="1C8EA9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1、芯数(x)：12芯；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2、标准符合：YD/T 769；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3、纤芯直径：9/125μm（单模）；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4、光纤结构：250μm松套光纤；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5、光缆结构：中心束型；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6、阻水材料：需采用优质阻水材料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7、涂塑钢带：PSP双面涂塑钢带防潮层，有效的确保光缆的防水性能</w:t>
            </w:r>
          </w:p>
        </w:tc>
        <w:tc>
          <w:tcPr>
            <w:tcW w:w="255" w:type="pct"/>
            <w:shd w:val="clear" w:color="auto" w:fill="auto"/>
            <w:noWrap/>
            <w:vAlign w:val="center"/>
          </w:tcPr>
          <w:p w14:paraId="54F9A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w:t>
            </w:r>
          </w:p>
        </w:tc>
        <w:tc>
          <w:tcPr>
            <w:tcW w:w="391" w:type="pct"/>
            <w:shd w:val="clear" w:color="auto" w:fill="auto"/>
            <w:noWrap/>
            <w:vAlign w:val="center"/>
          </w:tcPr>
          <w:p w14:paraId="4AB6D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C2D5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55B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1F59A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65FCC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50对大对数电缆</w:t>
            </w:r>
          </w:p>
        </w:tc>
        <w:tc>
          <w:tcPr>
            <w:tcW w:w="2879" w:type="pct"/>
            <w:shd w:val="clear" w:color="auto" w:fill="auto"/>
            <w:vAlign w:val="center"/>
          </w:tcPr>
          <w:p w14:paraId="6AD5C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1、线规：26AWG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2、导体材质：采用高品质99.99%无氧铜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3、绝缘层材料：高密度聚乙烯(HDPE)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4、外护套材料：聚氯乙烯(PVC)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5、线缆外径：13.0±2.0mm(50对).</w:t>
            </w:r>
          </w:p>
        </w:tc>
        <w:tc>
          <w:tcPr>
            <w:tcW w:w="255" w:type="pct"/>
            <w:shd w:val="clear" w:color="auto" w:fill="auto"/>
            <w:noWrap/>
            <w:vAlign w:val="center"/>
          </w:tcPr>
          <w:p w14:paraId="54AFF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550m</w:t>
            </w:r>
          </w:p>
        </w:tc>
        <w:tc>
          <w:tcPr>
            <w:tcW w:w="391" w:type="pct"/>
            <w:shd w:val="clear" w:color="auto" w:fill="auto"/>
            <w:noWrap/>
            <w:vAlign w:val="center"/>
          </w:tcPr>
          <w:p w14:paraId="1338D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C0E5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36B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6213C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4D732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25对大对数电缆</w:t>
            </w:r>
          </w:p>
        </w:tc>
        <w:tc>
          <w:tcPr>
            <w:tcW w:w="2879" w:type="pct"/>
            <w:shd w:val="clear" w:color="auto" w:fill="auto"/>
            <w:vAlign w:val="center"/>
          </w:tcPr>
          <w:p w14:paraId="29486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1、线规：26AWG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2、导体材质：采用高品质99.99%无氧铜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3、绝缘层材料：高密度聚乙烯(HDPE)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4、外护套材料：聚氯乙烯(PVC)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5、线缆外径：9.0±2.0mm(25对).</w:t>
            </w:r>
          </w:p>
        </w:tc>
        <w:tc>
          <w:tcPr>
            <w:tcW w:w="255" w:type="pct"/>
            <w:shd w:val="clear" w:color="auto" w:fill="auto"/>
            <w:noWrap/>
            <w:vAlign w:val="center"/>
          </w:tcPr>
          <w:p w14:paraId="28849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560m</w:t>
            </w:r>
          </w:p>
        </w:tc>
        <w:tc>
          <w:tcPr>
            <w:tcW w:w="391" w:type="pct"/>
            <w:shd w:val="clear" w:color="auto" w:fill="auto"/>
            <w:noWrap/>
            <w:vAlign w:val="center"/>
          </w:tcPr>
          <w:p w14:paraId="050FD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A9AF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193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067D5CF5">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(四)、管理区子系统</w:t>
            </w:r>
          </w:p>
        </w:tc>
      </w:tr>
      <w:tr w14:paraId="04FF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blHeader/>
          <w:jc w:val="center"/>
        </w:trPr>
        <w:tc>
          <w:tcPr>
            <w:tcW w:w="269" w:type="pct"/>
            <w:shd w:val="clear" w:color="auto" w:fill="auto"/>
            <w:noWrap/>
            <w:vAlign w:val="center"/>
          </w:tcPr>
          <w:p w14:paraId="6263D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37B3E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六类24口网络配线架</w:t>
            </w:r>
          </w:p>
        </w:tc>
        <w:tc>
          <w:tcPr>
            <w:tcW w:w="2879" w:type="pct"/>
            <w:shd w:val="clear" w:color="auto" w:fill="auto"/>
            <w:vAlign w:val="center"/>
          </w:tcPr>
          <w:p w14:paraId="5D270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1、支持1000 Base-T并向下兼容；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2、高度：1U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3、端口数量：24口（含24个独立的6类非屏蔽数据模块）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4、端接方式：模块兼容T568A/B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5、线规支持：兼容23线规双绞线端接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6、端口特性：插拔次数≥1200次、保证多次插拔的良好导通性；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7、标识：端口上方配有可翻起式透明标识窗，便于维护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8、材料：采用高强度钢冷轧钢板（主体）；</w:t>
            </w:r>
          </w:p>
        </w:tc>
        <w:tc>
          <w:tcPr>
            <w:tcW w:w="255" w:type="pct"/>
            <w:shd w:val="clear" w:color="auto" w:fill="auto"/>
            <w:noWrap/>
            <w:vAlign w:val="center"/>
          </w:tcPr>
          <w:p w14:paraId="7218F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37条</w:t>
            </w:r>
          </w:p>
        </w:tc>
        <w:tc>
          <w:tcPr>
            <w:tcW w:w="391" w:type="pct"/>
            <w:shd w:val="clear" w:color="auto" w:fill="auto"/>
            <w:noWrap/>
            <w:vAlign w:val="center"/>
          </w:tcPr>
          <w:p w14:paraId="1F31A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8256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2FE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EAB2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31CF0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1U理线架</w:t>
            </w:r>
          </w:p>
        </w:tc>
        <w:tc>
          <w:tcPr>
            <w:tcW w:w="2879" w:type="pct"/>
            <w:shd w:val="clear" w:color="auto" w:fill="auto"/>
            <w:vAlign w:val="center"/>
          </w:tcPr>
          <w:p w14:paraId="3DDBF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1、高度：1U，用于19英寸标准机柜上安装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2、材质：铝合金型材制作；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3、与数据配线架、语音配线架搭配使用</w:t>
            </w:r>
          </w:p>
        </w:tc>
        <w:tc>
          <w:tcPr>
            <w:tcW w:w="255" w:type="pct"/>
            <w:shd w:val="clear" w:color="auto" w:fill="auto"/>
            <w:noWrap/>
            <w:vAlign w:val="center"/>
          </w:tcPr>
          <w:p w14:paraId="040C2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37条</w:t>
            </w:r>
          </w:p>
        </w:tc>
        <w:tc>
          <w:tcPr>
            <w:tcW w:w="391" w:type="pct"/>
            <w:shd w:val="clear" w:color="auto" w:fill="auto"/>
            <w:noWrap/>
            <w:vAlign w:val="center"/>
          </w:tcPr>
          <w:p w14:paraId="0B738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30DE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8C5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02A88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4621B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2米六类非屏蔽跳线</w:t>
            </w:r>
          </w:p>
        </w:tc>
        <w:tc>
          <w:tcPr>
            <w:tcW w:w="2879" w:type="pct"/>
            <w:shd w:val="clear" w:color="auto" w:fill="auto"/>
            <w:vAlign w:val="center"/>
          </w:tcPr>
          <w:p w14:paraId="462CB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1、支持1000 Base-T并向下兼容；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2、线规：24AWG；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3、导体材质：采用高品质99.99%无氧铜骨芯结构：十字龙骨芯；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4、外护套材料：聚氯乙烯(PVC)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5、插头特征：保证多次插拔的良好导通性、插拔次数：≥1200次</w:t>
            </w:r>
          </w:p>
        </w:tc>
        <w:tc>
          <w:tcPr>
            <w:tcW w:w="255" w:type="pct"/>
            <w:shd w:val="clear" w:color="auto" w:fill="auto"/>
            <w:noWrap/>
            <w:vAlign w:val="center"/>
          </w:tcPr>
          <w:p w14:paraId="6348F6C7">
            <w:pPr>
              <w:jc w:val="center"/>
              <w:rPr>
                <w:rFonts w:hint="default" w:ascii="宋体" w:hAnsi="宋体" w:eastAsia="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1273条</w:t>
            </w:r>
          </w:p>
        </w:tc>
        <w:tc>
          <w:tcPr>
            <w:tcW w:w="391" w:type="pct"/>
            <w:shd w:val="clear" w:color="auto" w:fill="auto"/>
            <w:noWrap/>
            <w:vAlign w:val="center"/>
          </w:tcPr>
          <w:p w14:paraId="13E23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94F1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019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719C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70855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100对110语音配线架</w:t>
            </w:r>
          </w:p>
        </w:tc>
        <w:tc>
          <w:tcPr>
            <w:tcW w:w="2879" w:type="pct"/>
            <w:shd w:val="clear" w:color="auto" w:fill="auto"/>
            <w:vAlign w:val="center"/>
          </w:tcPr>
          <w:p w14:paraId="48F52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1、支持100/10 Base-T；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2、高度：1U，用于19英寸标准机柜上安装；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3、类型：100对110型.</w:t>
            </w:r>
          </w:p>
        </w:tc>
        <w:tc>
          <w:tcPr>
            <w:tcW w:w="255" w:type="pct"/>
            <w:shd w:val="clear" w:color="auto" w:fill="auto"/>
            <w:noWrap/>
            <w:vAlign w:val="center"/>
          </w:tcPr>
          <w:p w14:paraId="7E0E2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7条</w:t>
            </w:r>
          </w:p>
        </w:tc>
        <w:tc>
          <w:tcPr>
            <w:tcW w:w="391" w:type="pct"/>
            <w:shd w:val="clear" w:color="auto" w:fill="auto"/>
            <w:noWrap/>
            <w:vAlign w:val="center"/>
          </w:tcPr>
          <w:p w14:paraId="31E00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45F82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E00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82AC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4E8ED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语音理线架</w:t>
            </w:r>
          </w:p>
        </w:tc>
        <w:tc>
          <w:tcPr>
            <w:tcW w:w="2879" w:type="pct"/>
            <w:shd w:val="clear" w:color="auto" w:fill="auto"/>
            <w:vAlign w:val="center"/>
          </w:tcPr>
          <w:p w14:paraId="045310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1、高度：1U，用于标准机柜上安装；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2、前盖板宽度：450mm；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3、材质：铝合金型材。</w:t>
            </w:r>
          </w:p>
        </w:tc>
        <w:tc>
          <w:tcPr>
            <w:tcW w:w="255" w:type="pct"/>
            <w:shd w:val="clear" w:color="auto" w:fill="auto"/>
            <w:noWrap/>
            <w:vAlign w:val="center"/>
          </w:tcPr>
          <w:p w14:paraId="626B5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7条</w:t>
            </w:r>
          </w:p>
        </w:tc>
        <w:tc>
          <w:tcPr>
            <w:tcW w:w="391" w:type="pct"/>
            <w:shd w:val="clear" w:color="auto" w:fill="auto"/>
            <w:noWrap/>
            <w:vAlign w:val="center"/>
          </w:tcPr>
          <w:p w14:paraId="3DD86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1C9B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C2E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0BA9D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0E82A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2米1对110-RJ45语音跳线</w:t>
            </w:r>
          </w:p>
        </w:tc>
        <w:tc>
          <w:tcPr>
            <w:tcW w:w="2879" w:type="pct"/>
            <w:shd w:val="clear" w:color="auto" w:fill="auto"/>
            <w:vAlign w:val="center"/>
          </w:tcPr>
          <w:p w14:paraId="647C7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1、支持10/100 Base-T；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2、线规：24AWG；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3、接头类型：110（鸭嘴）插头-注塑RJ45插头；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4、插头特征：；保证多次插拔的良好导通性；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5、连接方式：RJ45数据配线架至110型配线架链接；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6、外护套材料：聚氯乙烯(PVC)。</w:t>
            </w:r>
          </w:p>
        </w:tc>
        <w:tc>
          <w:tcPr>
            <w:tcW w:w="255" w:type="pct"/>
            <w:shd w:val="clear" w:color="auto" w:fill="auto"/>
            <w:noWrap/>
            <w:vAlign w:val="center"/>
          </w:tcPr>
          <w:p w14:paraId="4DC7D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240条</w:t>
            </w:r>
          </w:p>
        </w:tc>
        <w:tc>
          <w:tcPr>
            <w:tcW w:w="391" w:type="pct"/>
            <w:shd w:val="clear" w:color="auto" w:fill="auto"/>
            <w:noWrap/>
            <w:vAlign w:val="center"/>
          </w:tcPr>
          <w:p w14:paraId="6B05F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A2E0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40B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7FED2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78DD4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24口通用光纤配线架</w:t>
            </w:r>
          </w:p>
        </w:tc>
        <w:tc>
          <w:tcPr>
            <w:tcW w:w="2879" w:type="pct"/>
            <w:shd w:val="clear" w:color="auto" w:fill="auto"/>
            <w:vAlign w:val="center"/>
          </w:tcPr>
          <w:p w14:paraId="5A908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1、高度：1U，用于19英寸标准机柜上安装；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2、尺寸：宽度(482mm)深度(310mm)；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3、需支持2个不同类型耦合器板安装可支持耦合器类型：LC(双工)、SC/ST/FC(单工)；</w:t>
            </w:r>
          </w:p>
        </w:tc>
        <w:tc>
          <w:tcPr>
            <w:tcW w:w="255" w:type="pct"/>
            <w:shd w:val="clear" w:color="auto" w:fill="auto"/>
            <w:noWrap/>
            <w:vAlign w:val="center"/>
          </w:tcPr>
          <w:p w14:paraId="07C8E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6条</w:t>
            </w:r>
          </w:p>
        </w:tc>
        <w:tc>
          <w:tcPr>
            <w:tcW w:w="391" w:type="pct"/>
            <w:shd w:val="clear" w:color="auto" w:fill="auto"/>
            <w:noWrap/>
            <w:vAlign w:val="center"/>
          </w:tcPr>
          <w:p w14:paraId="6BA04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6DD0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413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26033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43A94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3米双芯光纤跳线</w:t>
            </w:r>
          </w:p>
        </w:tc>
        <w:tc>
          <w:tcPr>
            <w:tcW w:w="2879" w:type="pct"/>
            <w:shd w:val="clear" w:color="auto" w:fill="auto"/>
            <w:vAlign w:val="center"/>
          </w:tcPr>
          <w:p w14:paraId="7141E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1、类型：单模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2、两端连接器类型：LC；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3、插入损耗：≤0.30dB(单模)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4、回波损耗：≥50dB(单模)</w:t>
            </w:r>
          </w:p>
        </w:tc>
        <w:tc>
          <w:tcPr>
            <w:tcW w:w="255" w:type="pct"/>
            <w:shd w:val="clear" w:color="auto" w:fill="auto"/>
            <w:noWrap/>
            <w:vAlign w:val="center"/>
          </w:tcPr>
          <w:p w14:paraId="12336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72条</w:t>
            </w:r>
          </w:p>
        </w:tc>
        <w:tc>
          <w:tcPr>
            <w:tcW w:w="391" w:type="pct"/>
            <w:shd w:val="clear" w:color="auto" w:fill="auto"/>
            <w:noWrap/>
            <w:vAlign w:val="center"/>
          </w:tcPr>
          <w:p w14:paraId="18082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B478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8E9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E025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606E7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1.5米单芯尾纤</w:t>
            </w:r>
          </w:p>
        </w:tc>
        <w:tc>
          <w:tcPr>
            <w:tcW w:w="2879" w:type="pct"/>
            <w:shd w:val="clear" w:color="auto" w:fill="auto"/>
            <w:vAlign w:val="center"/>
          </w:tcPr>
          <w:p w14:paraId="7CF366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1、连接器可选类型：LC/SC/ST/FC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2、插入损耗：≤0.30dB(单模)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3、回波损耗：≥50dB/60dB(单模UPC/APC)</w:t>
            </w:r>
          </w:p>
        </w:tc>
        <w:tc>
          <w:tcPr>
            <w:tcW w:w="255" w:type="pct"/>
            <w:shd w:val="clear" w:color="auto" w:fill="auto"/>
            <w:noWrap/>
            <w:vAlign w:val="center"/>
          </w:tcPr>
          <w:p w14:paraId="4042C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144根</w:t>
            </w:r>
          </w:p>
        </w:tc>
        <w:tc>
          <w:tcPr>
            <w:tcW w:w="391" w:type="pct"/>
            <w:shd w:val="clear" w:color="auto" w:fill="auto"/>
            <w:noWrap/>
            <w:vAlign w:val="center"/>
          </w:tcPr>
          <w:p w14:paraId="512A0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A4D1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052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22854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3" w:type="pct"/>
            <w:shd w:val="clear" w:color="auto" w:fill="auto"/>
            <w:vAlign w:val="center"/>
          </w:tcPr>
          <w:p w14:paraId="312D6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42U标准机柜</w:t>
            </w:r>
          </w:p>
        </w:tc>
        <w:tc>
          <w:tcPr>
            <w:tcW w:w="2879" w:type="pct"/>
            <w:shd w:val="clear" w:color="auto" w:fill="auto"/>
            <w:vAlign w:val="center"/>
          </w:tcPr>
          <w:p w14:paraId="4045E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1、材料：优质冷轧钢板；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2、前门采用钢化玻璃或金属网结构坚固，可承载达500Kg；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3、上下均留有进线孔增强型固定托盘，底部附有加强筋，可承载达100Kg。                       4.尺寸：600*600*2000mm</w:t>
            </w:r>
          </w:p>
        </w:tc>
        <w:tc>
          <w:tcPr>
            <w:tcW w:w="255" w:type="pct"/>
            <w:shd w:val="clear" w:color="auto" w:fill="auto"/>
            <w:noWrap/>
            <w:vAlign w:val="center"/>
          </w:tcPr>
          <w:p w14:paraId="24A64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6台</w:t>
            </w:r>
          </w:p>
        </w:tc>
        <w:tc>
          <w:tcPr>
            <w:tcW w:w="391" w:type="pct"/>
            <w:shd w:val="clear" w:color="auto" w:fill="auto"/>
            <w:noWrap/>
            <w:vAlign w:val="center"/>
          </w:tcPr>
          <w:p w14:paraId="477CA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1380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C7D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000" w:type="pct"/>
            <w:gridSpan w:val="6"/>
            <w:shd w:val="clear" w:color="auto" w:fill="auto"/>
            <w:noWrap/>
            <w:vAlign w:val="center"/>
          </w:tcPr>
          <w:p w14:paraId="62C795CC">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(五)、总设备间</w:t>
            </w:r>
          </w:p>
        </w:tc>
      </w:tr>
      <w:tr w14:paraId="3DCC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FC2B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564F6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100对110语音配线架</w:t>
            </w:r>
          </w:p>
        </w:tc>
        <w:tc>
          <w:tcPr>
            <w:tcW w:w="2879" w:type="pct"/>
            <w:shd w:val="clear" w:color="auto" w:fill="auto"/>
            <w:vAlign w:val="center"/>
          </w:tcPr>
          <w:p w14:paraId="40A7A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1、支持100/10 Base-T；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2、高度：1U，用于19英寸标准机柜上安装；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3、类型：100对110型。</w:t>
            </w:r>
          </w:p>
        </w:tc>
        <w:tc>
          <w:tcPr>
            <w:tcW w:w="255" w:type="pct"/>
            <w:shd w:val="clear" w:color="auto" w:fill="auto"/>
            <w:noWrap/>
            <w:vAlign w:val="center"/>
          </w:tcPr>
          <w:p w14:paraId="5E68B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7条</w:t>
            </w:r>
          </w:p>
        </w:tc>
        <w:tc>
          <w:tcPr>
            <w:tcW w:w="391" w:type="pct"/>
            <w:shd w:val="clear" w:color="auto" w:fill="auto"/>
            <w:noWrap/>
            <w:vAlign w:val="center"/>
          </w:tcPr>
          <w:p w14:paraId="3C4E5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33F0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3BA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4E3B7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5FE49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语音理线架</w:t>
            </w:r>
          </w:p>
        </w:tc>
        <w:tc>
          <w:tcPr>
            <w:tcW w:w="2879" w:type="pct"/>
            <w:shd w:val="clear" w:color="auto" w:fill="auto"/>
            <w:vAlign w:val="center"/>
          </w:tcPr>
          <w:p w14:paraId="19154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1、高度：1U，用于标准机柜上安装；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2、前盖板宽度：450mm；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3、材质：铝合金型材制作；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4、应用：与数据配线架、语音配线架搭配使用。</w:t>
            </w:r>
          </w:p>
        </w:tc>
        <w:tc>
          <w:tcPr>
            <w:tcW w:w="255" w:type="pct"/>
            <w:shd w:val="clear" w:color="auto" w:fill="auto"/>
            <w:noWrap/>
            <w:vAlign w:val="center"/>
          </w:tcPr>
          <w:p w14:paraId="3AE4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7条</w:t>
            </w:r>
          </w:p>
        </w:tc>
        <w:tc>
          <w:tcPr>
            <w:tcW w:w="391" w:type="pct"/>
            <w:shd w:val="clear" w:color="auto" w:fill="auto"/>
            <w:noWrap/>
            <w:vAlign w:val="center"/>
          </w:tcPr>
          <w:p w14:paraId="5F9D3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29C0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483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7E8B4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69761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24口通用光纤配线架</w:t>
            </w:r>
          </w:p>
        </w:tc>
        <w:tc>
          <w:tcPr>
            <w:tcW w:w="2879" w:type="pct"/>
            <w:shd w:val="clear" w:color="auto" w:fill="auto"/>
            <w:vAlign w:val="center"/>
          </w:tcPr>
          <w:p w14:paraId="4A9EC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1、高度：1U，用于19英寸标准机柜上安装；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2、尺寸：宽度(482mm)深度(310mm)；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3、需支持2个不同类型耦合器板安装；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4、需支持耦合器类型：LC(双工)、SC/ST/FC(单工)；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5、配件：需含1个24芯光纤熔接盘，更好保护光纤端接。</w:t>
            </w:r>
          </w:p>
        </w:tc>
        <w:tc>
          <w:tcPr>
            <w:tcW w:w="255" w:type="pct"/>
            <w:shd w:val="clear" w:color="auto" w:fill="auto"/>
            <w:noWrap/>
            <w:vAlign w:val="center"/>
          </w:tcPr>
          <w:p w14:paraId="297CF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7条</w:t>
            </w:r>
          </w:p>
        </w:tc>
        <w:tc>
          <w:tcPr>
            <w:tcW w:w="391" w:type="pct"/>
            <w:shd w:val="clear" w:color="auto" w:fill="auto"/>
            <w:noWrap/>
            <w:vAlign w:val="center"/>
          </w:tcPr>
          <w:p w14:paraId="4B902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B4F1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57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1A86D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58C6F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3米双芯光纤跳线</w:t>
            </w:r>
          </w:p>
        </w:tc>
        <w:tc>
          <w:tcPr>
            <w:tcW w:w="2879" w:type="pct"/>
            <w:shd w:val="clear" w:color="auto" w:fill="auto"/>
            <w:vAlign w:val="center"/>
          </w:tcPr>
          <w:p w14:paraId="566D2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1、两端连接器可选类型：LC/SC/ST/FC；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2、插入损耗：≤0.30dB(单模)；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3、回波损耗：≥50dB/60dB(单模UPC/APC)；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4、外护套材料：LSZH。</w:t>
            </w:r>
          </w:p>
        </w:tc>
        <w:tc>
          <w:tcPr>
            <w:tcW w:w="255" w:type="pct"/>
            <w:shd w:val="clear" w:color="auto" w:fill="auto"/>
            <w:noWrap/>
            <w:vAlign w:val="center"/>
          </w:tcPr>
          <w:p w14:paraId="5A18E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72条</w:t>
            </w:r>
          </w:p>
        </w:tc>
        <w:tc>
          <w:tcPr>
            <w:tcW w:w="391" w:type="pct"/>
            <w:shd w:val="clear" w:color="auto" w:fill="auto"/>
            <w:noWrap/>
            <w:vAlign w:val="center"/>
          </w:tcPr>
          <w:p w14:paraId="59DDB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C352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0B6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46733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66CB6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1.5米单芯尾纤</w:t>
            </w:r>
          </w:p>
        </w:tc>
        <w:tc>
          <w:tcPr>
            <w:tcW w:w="2879" w:type="pct"/>
            <w:shd w:val="clear" w:color="auto" w:fill="auto"/>
            <w:vAlign w:val="center"/>
          </w:tcPr>
          <w:p w14:paraId="5522D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1、连接器可选类型：LC；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2、插入损耗：≤0.30dB(单模)；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3、回波损耗：≥50dB(单模)；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4、外护套：LSZH。</w:t>
            </w:r>
          </w:p>
        </w:tc>
        <w:tc>
          <w:tcPr>
            <w:tcW w:w="255" w:type="pct"/>
            <w:shd w:val="clear" w:color="auto" w:fill="auto"/>
            <w:noWrap/>
            <w:vAlign w:val="center"/>
          </w:tcPr>
          <w:p w14:paraId="5C800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144根</w:t>
            </w:r>
          </w:p>
        </w:tc>
        <w:tc>
          <w:tcPr>
            <w:tcW w:w="391" w:type="pct"/>
            <w:shd w:val="clear" w:color="auto" w:fill="auto"/>
            <w:noWrap/>
            <w:vAlign w:val="center"/>
          </w:tcPr>
          <w:p w14:paraId="11D93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26D93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6D9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3AD2A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70B07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42U标准机柜</w:t>
            </w:r>
          </w:p>
        </w:tc>
        <w:tc>
          <w:tcPr>
            <w:tcW w:w="2879" w:type="pct"/>
            <w:shd w:val="clear" w:color="auto" w:fill="auto"/>
            <w:vAlign w:val="center"/>
          </w:tcPr>
          <w:p w14:paraId="16369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1、材料：优质冷轧钢板；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2、前门采用钢化玻璃或金属网结构坚固，可承载达500Kg上下均留有进线孔；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3、增强型固定托盘，底部附有加强筋，可承载达100Kg。                                              4.尺寸：600*1000*2000mm</w:t>
            </w:r>
          </w:p>
        </w:tc>
        <w:tc>
          <w:tcPr>
            <w:tcW w:w="255" w:type="pct"/>
            <w:shd w:val="clear" w:color="auto" w:fill="auto"/>
            <w:noWrap/>
            <w:vAlign w:val="center"/>
          </w:tcPr>
          <w:p w14:paraId="67BD6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c>
          <w:tcPr>
            <w:tcW w:w="391" w:type="pct"/>
            <w:shd w:val="clear" w:color="auto" w:fill="auto"/>
            <w:noWrap/>
            <w:vAlign w:val="center"/>
          </w:tcPr>
          <w:p w14:paraId="091BD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7A37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216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269" w:type="pct"/>
            <w:shd w:val="clear" w:color="auto" w:fill="auto"/>
            <w:noWrap/>
            <w:vAlign w:val="center"/>
          </w:tcPr>
          <w:p w14:paraId="6FA9F5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583" w:type="pct"/>
            <w:shd w:val="clear" w:color="auto" w:fill="auto"/>
            <w:vAlign w:val="center"/>
          </w:tcPr>
          <w:p w14:paraId="7F9A85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879" w:type="pct"/>
            <w:shd w:val="clear" w:color="auto" w:fill="auto"/>
            <w:vAlign w:val="center"/>
          </w:tcPr>
          <w:p w14:paraId="653BDC4C">
            <w:pPr>
              <w:jc w:val="left"/>
              <w:rPr>
                <w:rFonts w:hint="eastAsia" w:ascii="宋体" w:hAnsi="宋体" w:eastAsia="宋体" w:cs="宋体"/>
                <w:b/>
                <w:bCs/>
                <w:i w:val="0"/>
                <w:iCs w:val="0"/>
                <w:color w:val="000000"/>
                <w:sz w:val="20"/>
                <w:szCs w:val="20"/>
                <w:u w:val="none"/>
              </w:rPr>
            </w:pPr>
          </w:p>
        </w:tc>
        <w:tc>
          <w:tcPr>
            <w:tcW w:w="255" w:type="pct"/>
            <w:shd w:val="clear" w:color="auto" w:fill="auto"/>
            <w:noWrap/>
            <w:vAlign w:val="center"/>
          </w:tcPr>
          <w:p w14:paraId="27C2A8BF">
            <w:pPr>
              <w:jc w:val="center"/>
              <w:rPr>
                <w:rFonts w:hint="eastAsia" w:ascii="宋体" w:hAnsi="宋体" w:eastAsia="宋体" w:cs="宋体"/>
                <w:b/>
                <w:bCs/>
                <w:i w:val="0"/>
                <w:iCs w:val="0"/>
                <w:color w:val="000000"/>
                <w:sz w:val="20"/>
                <w:szCs w:val="20"/>
                <w:u w:val="none"/>
              </w:rPr>
            </w:pPr>
          </w:p>
        </w:tc>
        <w:tc>
          <w:tcPr>
            <w:tcW w:w="391" w:type="pct"/>
            <w:shd w:val="clear" w:color="auto" w:fill="auto"/>
            <w:noWrap/>
            <w:vAlign w:val="center"/>
          </w:tcPr>
          <w:p w14:paraId="6A15C279">
            <w:pPr>
              <w:rPr>
                <w:rFonts w:hint="eastAsia" w:ascii="宋体" w:hAnsi="宋体" w:eastAsia="宋体" w:cs="宋体"/>
                <w:i w:val="0"/>
                <w:iCs w:val="0"/>
                <w:color w:val="000000"/>
                <w:sz w:val="20"/>
                <w:szCs w:val="20"/>
                <w:u w:val="none"/>
              </w:rPr>
            </w:pPr>
          </w:p>
        </w:tc>
        <w:tc>
          <w:tcPr>
            <w:tcW w:w="621" w:type="pct"/>
            <w:shd w:val="clear" w:color="auto" w:fill="auto"/>
            <w:vAlign w:val="center"/>
          </w:tcPr>
          <w:p w14:paraId="5B8C728B">
            <w:pPr>
              <w:rPr>
                <w:rFonts w:hint="eastAsia" w:ascii="宋体" w:hAnsi="宋体" w:eastAsia="宋体" w:cs="宋体"/>
                <w:i w:val="0"/>
                <w:iCs w:val="0"/>
                <w:color w:val="000000"/>
                <w:sz w:val="20"/>
                <w:szCs w:val="20"/>
                <w:u w:val="none"/>
              </w:rPr>
            </w:pPr>
          </w:p>
        </w:tc>
      </w:tr>
      <w:tr w14:paraId="1267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36AC5B5">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二、计算机网络及无线覆盖系统</w:t>
            </w:r>
          </w:p>
        </w:tc>
      </w:tr>
      <w:tr w14:paraId="1163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5D83DF67">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（一）内网</w:t>
            </w:r>
          </w:p>
        </w:tc>
      </w:tr>
      <w:tr w14:paraId="3B41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0" w:hRule="atLeast"/>
          <w:tblHeader/>
          <w:jc w:val="center"/>
        </w:trPr>
        <w:tc>
          <w:tcPr>
            <w:tcW w:w="269" w:type="pct"/>
            <w:shd w:val="clear" w:color="auto" w:fill="auto"/>
            <w:noWrap/>
            <w:vAlign w:val="center"/>
          </w:tcPr>
          <w:p w14:paraId="0EAB36CF">
            <w:pPr>
              <w:jc w:val="center"/>
              <w:rPr>
                <w:rFonts w:hint="eastAsia" w:ascii="宋体" w:hAnsi="宋体" w:eastAsia="宋体" w:cs="宋体"/>
                <w:i w:val="0"/>
                <w:iCs w:val="0"/>
                <w:color w:val="000000"/>
                <w:sz w:val="20"/>
                <w:szCs w:val="20"/>
                <w:u w:val="none"/>
              </w:rPr>
            </w:pPr>
          </w:p>
        </w:tc>
        <w:tc>
          <w:tcPr>
            <w:tcW w:w="583" w:type="pct"/>
            <w:shd w:val="clear" w:color="auto" w:fill="auto"/>
            <w:vAlign w:val="center"/>
          </w:tcPr>
          <w:p w14:paraId="1BA41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w:t>
            </w:r>
          </w:p>
        </w:tc>
        <w:tc>
          <w:tcPr>
            <w:tcW w:w="2879" w:type="pct"/>
            <w:shd w:val="clear" w:color="auto" w:fill="auto"/>
            <w:vAlign w:val="center"/>
          </w:tcPr>
          <w:p w14:paraId="216163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1、支持扩展槽不少于3个；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2、满足1+1电源冗余，至少支持2个电源扩展；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3、交换容量≥15.36Tbps,包转发速率≥2880Mpps；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4、单业务槽支持不低于24*1G或8*10G扩展；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5、支持IPv6 ND， Pv6 ACL, NAT-PT，IPv6隧道，6PE,Ipv6静态路由，RIPng，OSPFv3， BGP4+；支持4K VLAN，支持PVLAN，支持Super Vlan，支持VLAN Stacking；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6、支持RIP、OSPF、BGP、IS-IS、BEIGRP路由协议；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7、支持IGMP、IGMP Snooping、IGMP Proxy、PIM-SM、PIM-DM，支持组播流量跨VLAN复制功能；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本次配置完整主机，冗余电源，24个千兆电口，24个千兆光口，2个万兆光口</w:t>
            </w:r>
          </w:p>
        </w:tc>
        <w:tc>
          <w:tcPr>
            <w:tcW w:w="255" w:type="pct"/>
            <w:shd w:val="clear" w:color="auto" w:fill="auto"/>
            <w:noWrap/>
            <w:vAlign w:val="center"/>
          </w:tcPr>
          <w:p w14:paraId="20ECB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670D6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EFF1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8CA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373D6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26F80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48口千兆交换机</w:t>
            </w:r>
          </w:p>
        </w:tc>
        <w:tc>
          <w:tcPr>
            <w:tcW w:w="2879" w:type="pct"/>
            <w:shd w:val="clear" w:color="auto" w:fill="auto"/>
            <w:vAlign w:val="center"/>
          </w:tcPr>
          <w:p w14:paraId="287CF0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1、提供48个千兆电口，4千兆自适应SFP光口；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2、交换容量≥336Gbps，包转发能力≥78Mpps；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4B9F2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9台</w:t>
            </w:r>
          </w:p>
        </w:tc>
        <w:tc>
          <w:tcPr>
            <w:tcW w:w="391" w:type="pct"/>
            <w:shd w:val="clear" w:color="auto" w:fill="auto"/>
            <w:noWrap/>
            <w:vAlign w:val="center"/>
          </w:tcPr>
          <w:p w14:paraId="581D0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A1CA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18E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583AE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7C460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24口千兆交换机</w:t>
            </w:r>
          </w:p>
        </w:tc>
        <w:tc>
          <w:tcPr>
            <w:tcW w:w="2879" w:type="pct"/>
            <w:shd w:val="clear" w:color="auto" w:fill="auto"/>
            <w:vAlign w:val="center"/>
          </w:tcPr>
          <w:p w14:paraId="21BBD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1、提供24个千兆电口，4千兆自适应SFP光口；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2、交换容量≥256Gbps，包转发能力≥51Mpps；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73E3A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c>
          <w:tcPr>
            <w:tcW w:w="391" w:type="pct"/>
            <w:shd w:val="clear" w:color="auto" w:fill="auto"/>
            <w:noWrap/>
            <w:vAlign w:val="center"/>
          </w:tcPr>
          <w:p w14:paraId="554FC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7F24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461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7206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0C3A5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2879" w:type="pct"/>
            <w:shd w:val="clear" w:color="auto" w:fill="auto"/>
            <w:vAlign w:val="center"/>
          </w:tcPr>
          <w:p w14:paraId="239C2C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千兆SFP单模（10Km，1310nm，LC，DDM）。</w:t>
            </w:r>
          </w:p>
        </w:tc>
        <w:tc>
          <w:tcPr>
            <w:tcW w:w="255" w:type="pct"/>
            <w:shd w:val="clear" w:color="auto" w:fill="auto"/>
            <w:noWrap/>
            <w:vAlign w:val="center"/>
          </w:tcPr>
          <w:p w14:paraId="3E157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60块</w:t>
            </w:r>
          </w:p>
        </w:tc>
        <w:tc>
          <w:tcPr>
            <w:tcW w:w="391" w:type="pct"/>
            <w:shd w:val="clear" w:color="auto" w:fill="auto"/>
            <w:noWrap/>
            <w:vAlign w:val="center"/>
          </w:tcPr>
          <w:p w14:paraId="3B7E4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17A1A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EC1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0D247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7C8CB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8口接入交换机</w:t>
            </w:r>
          </w:p>
        </w:tc>
        <w:tc>
          <w:tcPr>
            <w:tcW w:w="2879" w:type="pct"/>
            <w:shd w:val="clear" w:color="auto" w:fill="auto"/>
            <w:vAlign w:val="center"/>
          </w:tcPr>
          <w:p w14:paraId="4ABAE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参数配置要求：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1、提供8个千兆电口，2千兆自适应SFP光口；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2、交换容量≥256Gbps，包转发能力≥15Mpps；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3CAEF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1C3EE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52CB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C80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2C84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36DE8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万兆单模光模块</w:t>
            </w:r>
          </w:p>
        </w:tc>
        <w:tc>
          <w:tcPr>
            <w:tcW w:w="2879" w:type="pct"/>
            <w:shd w:val="clear" w:color="auto" w:fill="auto"/>
            <w:vAlign w:val="center"/>
          </w:tcPr>
          <w:p w14:paraId="02F81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万兆SFP单模（10Km，1310nm，LC，DDM）。</w:t>
            </w:r>
          </w:p>
        </w:tc>
        <w:tc>
          <w:tcPr>
            <w:tcW w:w="255" w:type="pct"/>
            <w:shd w:val="clear" w:color="auto" w:fill="auto"/>
            <w:noWrap/>
            <w:vAlign w:val="center"/>
          </w:tcPr>
          <w:p w14:paraId="20113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8块</w:t>
            </w:r>
          </w:p>
        </w:tc>
        <w:tc>
          <w:tcPr>
            <w:tcW w:w="391" w:type="pct"/>
            <w:shd w:val="clear" w:color="auto" w:fill="auto"/>
            <w:noWrap/>
            <w:vAlign w:val="center"/>
          </w:tcPr>
          <w:p w14:paraId="3CB40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F67B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D19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4CD2FEEF">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（二）外网</w:t>
            </w:r>
          </w:p>
        </w:tc>
      </w:tr>
      <w:tr w14:paraId="21FF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blHeader/>
          <w:jc w:val="center"/>
        </w:trPr>
        <w:tc>
          <w:tcPr>
            <w:tcW w:w="269" w:type="pct"/>
            <w:shd w:val="clear" w:color="auto" w:fill="auto"/>
            <w:noWrap/>
            <w:vAlign w:val="center"/>
          </w:tcPr>
          <w:p w14:paraId="2DF0A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421A5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2879" w:type="pct"/>
            <w:shd w:val="clear" w:color="auto" w:fill="auto"/>
            <w:vAlign w:val="center"/>
          </w:tcPr>
          <w:p w14:paraId="5E003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1、配置要求：不少于1个CON控制口，不少于2个GECombo、不少于10个GE以太网口，网络吞吐能力不小于4Gbps、内置硬盘和3年三合一特征库升级服务；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2、硬件要求：采用多核嵌入式架构，功能采用模块化结构；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3、机制需求：内置硬件、软件Bypass机制，在设备流量异常、突增、异常断电、重启等情况时，可自动切换到Bypass状态，当设备恢复时，可自动切换回工作状；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自定义IPS特征，支持针对多种协议自定义入侵攻击特征，包括IP、UDP、TCP、ICMP、HTTP、FTP、POP3、SMTP等协议；可拓展协议字段，设置数据包中的匹配内容；支持选择包含、等于、不等于、大于、正则匹配等匹配方式；可选择多种匹配条件，支持设置“与”和“或”的匹配顺序；                                                                5、支持单用户全天行为分析报表，一个界面同时展示用户名、用户组、在线时长、虚拟身份（如QQ号码、微博账号等）、日志关联情况、全天流量使用分布、网站访问类别分布、全天关键网络行为轴等信息；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6、支持本地认证、Portal认证、Radius认证、LDAP认证、POP3认证、AD域单点登录、短信认证、微信公众号认证、APP认证、IC卡认证、二维码认证、互联网钉钉认证、混合认证和免认证等认证方式；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7、本次实配冗余电源；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配置：3年防病毒、入侵检测、WAF特征库升级服务，配置10个SSL VPN授权；</w:t>
            </w:r>
          </w:p>
        </w:tc>
        <w:tc>
          <w:tcPr>
            <w:tcW w:w="255" w:type="pct"/>
            <w:shd w:val="clear" w:color="auto" w:fill="auto"/>
            <w:noWrap/>
            <w:vAlign w:val="center"/>
          </w:tcPr>
          <w:p w14:paraId="57D42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7E5BC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C8921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53B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0" w:hRule="atLeast"/>
          <w:tblHeader/>
          <w:jc w:val="center"/>
        </w:trPr>
        <w:tc>
          <w:tcPr>
            <w:tcW w:w="269" w:type="pct"/>
            <w:shd w:val="clear" w:color="auto" w:fill="auto"/>
            <w:noWrap/>
            <w:vAlign w:val="center"/>
          </w:tcPr>
          <w:p w14:paraId="634A1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24B30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上网行为管理</w:t>
            </w:r>
          </w:p>
        </w:tc>
        <w:tc>
          <w:tcPr>
            <w:tcW w:w="2879" w:type="pct"/>
            <w:shd w:val="clear" w:color="auto" w:fill="auto"/>
            <w:vAlign w:val="center"/>
          </w:tcPr>
          <w:p w14:paraId="32467A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1、标配1个CON控制口，2个GECombo、10个GE以太网口，网络吞吐能力4Gbps、内置硬盘，配置3年特征库升级，配置双AC电源；配置10个SSL VPN授权；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HTTP协议的精确访问控制，可针对IP、URL、Method、Referer、User-Agent、Cookie、Url-args等字段设置内容，匹配内容包括但不少于：包含、不包含、等于、不等于、属于、不属于、长度小于、长度等于、长度大于、正则匹配等；日志级别包括但不少于：不记录、危急、告警、严重、错误、警告、通知、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3、支持IP七元组的链路负载均衡策略，负载均衡接口支持接口和接口组，支持基于域名进行链路负载，负载算法包括但不少于优先级和权重，负载均衡接口支持pppoe、dhcp、tunnel、物理接口等三层接口。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安全事件攻击链分析，以资产和攻击者两种角度关联所有安全事件，将攻击过程阶段化，分析和统计每个攻击阶段的攻击内容和攻击次数，支持针对每个攻击阶段进行数据下钻，支持分析攻击时间、攻击源、攻击目的、攻击事件、检测模块、攻击级别等信息，帮助管理员清晰了解APT攻击的攻击进度，及时在数据泄露前加固网络，针对已经数据泄露的情况，进行事件回溯，为后续网络加固提供数据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5、支持应用智能识别，有效识别P2P和迅雷行为，识别模式可选择严格、适中、宽松，支持排除扫描端口。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6、支持单用户全天行为分析报表，一个界面同时展示用户名、用户组、在线时长、虚拟身份（如QQ号码、微博账号等）、日志关联情况、全天流量使用分布、网站访问类别分布、全天关键网络行为轴等信息。</w:t>
            </w:r>
          </w:p>
        </w:tc>
        <w:tc>
          <w:tcPr>
            <w:tcW w:w="255" w:type="pct"/>
            <w:shd w:val="clear" w:color="auto" w:fill="auto"/>
            <w:noWrap/>
            <w:vAlign w:val="center"/>
          </w:tcPr>
          <w:p w14:paraId="662D5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07F96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3BA0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E4B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0" w:hRule="atLeast"/>
          <w:tblHeader/>
          <w:jc w:val="center"/>
        </w:trPr>
        <w:tc>
          <w:tcPr>
            <w:tcW w:w="269" w:type="pct"/>
            <w:shd w:val="clear" w:color="auto" w:fill="auto"/>
            <w:noWrap/>
            <w:vAlign w:val="center"/>
          </w:tcPr>
          <w:p w14:paraId="77759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2E37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w:t>
            </w:r>
          </w:p>
        </w:tc>
        <w:tc>
          <w:tcPr>
            <w:tcW w:w="2879" w:type="pct"/>
            <w:shd w:val="clear" w:color="auto" w:fill="auto"/>
            <w:vAlign w:val="center"/>
          </w:tcPr>
          <w:p w14:paraId="195CC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1、支持扩展槽3个；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2、满足1+1电源冗余，至少支持2个电源扩展；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3、交换容量≥15.36Tbps,包转发速率≥2880Mpps；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4、单业务槽支持不低于24*1G或8*10G扩展；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5、支持IPv6 ND， Pv6 ACL, NAT-PT，IPv6隧道，6PE,Ipv6静态路由，RIPng，OSPFv3，BGP4+；支持4K VLAN，支持PVLAN，支持Super Vlan，支持VLAN Stacking；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6、支持RIP、OSPF、BGP、IS-IS、BEIGRP路由协议；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7、支持IGMP、IGMP Snooping、IGMP Proxy、PIM-SM、PIM-DM，支持组播流量跨VLAN复制功能；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本次配置完整主机，冗余电源，24个千兆电口，24个千兆光口，2个万兆光口</w:t>
            </w:r>
          </w:p>
        </w:tc>
        <w:tc>
          <w:tcPr>
            <w:tcW w:w="255" w:type="pct"/>
            <w:shd w:val="clear" w:color="auto" w:fill="auto"/>
            <w:noWrap/>
            <w:vAlign w:val="center"/>
          </w:tcPr>
          <w:p w14:paraId="400AA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3F26E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B125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2E8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blHeader/>
          <w:jc w:val="center"/>
        </w:trPr>
        <w:tc>
          <w:tcPr>
            <w:tcW w:w="269" w:type="pct"/>
            <w:shd w:val="clear" w:color="auto" w:fill="auto"/>
            <w:noWrap/>
            <w:vAlign w:val="center"/>
          </w:tcPr>
          <w:p w14:paraId="594FF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09415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8口POE接入交换机</w:t>
            </w:r>
          </w:p>
        </w:tc>
        <w:tc>
          <w:tcPr>
            <w:tcW w:w="2879" w:type="pct"/>
            <w:shd w:val="clear" w:color="auto" w:fill="auto"/>
            <w:vAlign w:val="center"/>
          </w:tcPr>
          <w:p w14:paraId="65ADC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1、提供8个千兆POE口，2千兆自适应SFP光口；支持802.3af/at智能POE，POE功率130W；整机无风扇静音设计；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2、交换容量≥336Gbps，包转发能力≥25Mpps；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7EBBA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3台</w:t>
            </w:r>
          </w:p>
        </w:tc>
        <w:tc>
          <w:tcPr>
            <w:tcW w:w="391" w:type="pct"/>
            <w:shd w:val="clear" w:color="auto" w:fill="auto"/>
            <w:noWrap/>
            <w:vAlign w:val="center"/>
          </w:tcPr>
          <w:p w14:paraId="28A34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2479A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046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30764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2BC8A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24口千兆交换机</w:t>
            </w:r>
          </w:p>
        </w:tc>
        <w:tc>
          <w:tcPr>
            <w:tcW w:w="2879" w:type="pct"/>
            <w:shd w:val="clear" w:color="auto" w:fill="auto"/>
            <w:vAlign w:val="center"/>
          </w:tcPr>
          <w:p w14:paraId="75634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1、提供24个千兆电口，4千兆自适应SFP光口；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2、交换容量≥256Gbps，包转发能力≥51Mpps；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2BD0E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c>
          <w:tcPr>
            <w:tcW w:w="391" w:type="pct"/>
            <w:shd w:val="clear" w:color="auto" w:fill="auto"/>
            <w:noWrap/>
            <w:vAlign w:val="center"/>
          </w:tcPr>
          <w:p w14:paraId="4DE99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BE5B4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5A8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49C8E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48C02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48口千兆交换机</w:t>
            </w:r>
          </w:p>
        </w:tc>
        <w:tc>
          <w:tcPr>
            <w:tcW w:w="2879" w:type="pct"/>
            <w:shd w:val="clear" w:color="auto" w:fill="auto"/>
            <w:vAlign w:val="center"/>
          </w:tcPr>
          <w:p w14:paraId="692E5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1、提供48个千兆电口，4千兆自适应SFP光口；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2、交换容量≥336Gbps，包转发能力≥78Mpps；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7BE65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3台</w:t>
            </w:r>
          </w:p>
        </w:tc>
        <w:tc>
          <w:tcPr>
            <w:tcW w:w="391" w:type="pct"/>
            <w:shd w:val="clear" w:color="auto" w:fill="auto"/>
            <w:noWrap/>
            <w:vAlign w:val="center"/>
          </w:tcPr>
          <w:p w14:paraId="76AA9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B369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969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blHeader/>
          <w:jc w:val="center"/>
        </w:trPr>
        <w:tc>
          <w:tcPr>
            <w:tcW w:w="269" w:type="pct"/>
            <w:shd w:val="clear" w:color="auto" w:fill="auto"/>
            <w:noWrap/>
            <w:vAlign w:val="center"/>
          </w:tcPr>
          <w:p w14:paraId="242EF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315DB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24口POE千兆交换机</w:t>
            </w:r>
          </w:p>
        </w:tc>
        <w:tc>
          <w:tcPr>
            <w:tcW w:w="2879" w:type="pct"/>
            <w:shd w:val="clear" w:color="auto" w:fill="auto"/>
            <w:vAlign w:val="center"/>
          </w:tcPr>
          <w:p w14:paraId="3DB64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1、提供24个千兆POE电口，4千兆光口；支持802.3af/at智能POE智能POE，POE功率370W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2、交换容量≥336Gbps，包转发能力≥42Mpps；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7EE2F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c>
          <w:tcPr>
            <w:tcW w:w="391" w:type="pct"/>
            <w:shd w:val="clear" w:color="auto" w:fill="auto"/>
            <w:noWrap/>
            <w:vAlign w:val="center"/>
          </w:tcPr>
          <w:p w14:paraId="59CD6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E513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566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blHeader/>
          <w:jc w:val="center"/>
        </w:trPr>
        <w:tc>
          <w:tcPr>
            <w:tcW w:w="269" w:type="pct"/>
            <w:shd w:val="clear" w:color="auto" w:fill="auto"/>
            <w:noWrap/>
            <w:vAlign w:val="center"/>
          </w:tcPr>
          <w:p w14:paraId="7DF3D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5C7AB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无线控制器</w:t>
            </w:r>
          </w:p>
        </w:tc>
        <w:tc>
          <w:tcPr>
            <w:tcW w:w="2879" w:type="pct"/>
            <w:shd w:val="clear" w:color="auto" w:fill="auto"/>
            <w:vAlign w:val="center"/>
          </w:tcPr>
          <w:p w14:paraId="588B5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1、支持1个千兆Combo接口，8千兆交换口，支持WAN/LAN角色切换；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2、支持扩展最大可管理AP数量不少于256；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4、支持AP和SSID的无线参数模板下发，并预置办公、高密等多种场景；支持无线AP和用户的负载均衡，支持5G优先，低功率用户自动下线，一键网优和定时自动优化等体验改进功能；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5、支持本地、短信、访客和Voucher卡券等方式的Portal认证功能，支持认证模板自定义，提供营销手段；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6、支持无线带宽平均分配，让不同协商速率的终端占用相等的无线信道时间，防止低速终端拉低网络整体速；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7、支持一键自动网优，自动完成无线信道、功率、频宽等参数的最佳化调整；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8、支持WIDS(无线入侵检测)、射频干扰定位、流氓AP的反制、防ARP欺骗、DHCP安全保护等无线安全防护功能；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配置：考虑扩容本次实配可管理AP数量128个。</w:t>
            </w:r>
          </w:p>
        </w:tc>
        <w:tc>
          <w:tcPr>
            <w:tcW w:w="255" w:type="pct"/>
            <w:shd w:val="clear" w:color="auto" w:fill="auto"/>
            <w:noWrap/>
            <w:vAlign w:val="center"/>
          </w:tcPr>
          <w:p w14:paraId="447A3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5357D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2283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E08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5A250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0E25E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无线AP</w:t>
            </w:r>
          </w:p>
        </w:tc>
        <w:tc>
          <w:tcPr>
            <w:tcW w:w="2879" w:type="pct"/>
            <w:shd w:val="clear" w:color="auto" w:fill="auto"/>
            <w:vAlign w:val="center"/>
          </w:tcPr>
          <w:p w14:paraId="444EE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1、支持吸顶式、放装式安装部署；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2、支持802.11ax wifi6无线协议，整机四条空间流，1775Mbps无线速率；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3、2个千兆网口，支持POE和Adaptor双重供电方式；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4、支持CAPWAP无线管理协议，支持本地转发和集中转发模式；支持DHCP、DNS、手工等多种方式发现，支持AP零配置自动上线；</w:t>
            </w:r>
          </w:p>
        </w:tc>
        <w:tc>
          <w:tcPr>
            <w:tcW w:w="255" w:type="pct"/>
            <w:shd w:val="clear" w:color="auto" w:fill="auto"/>
            <w:noWrap/>
            <w:vAlign w:val="center"/>
          </w:tcPr>
          <w:p w14:paraId="64F05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78台</w:t>
            </w:r>
          </w:p>
        </w:tc>
        <w:tc>
          <w:tcPr>
            <w:tcW w:w="391" w:type="pct"/>
            <w:shd w:val="clear" w:color="auto" w:fill="auto"/>
            <w:noWrap/>
            <w:vAlign w:val="center"/>
          </w:tcPr>
          <w:p w14:paraId="22592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0B19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B37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10F7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3" w:type="pct"/>
            <w:shd w:val="clear" w:color="auto" w:fill="auto"/>
            <w:vAlign w:val="center"/>
          </w:tcPr>
          <w:p w14:paraId="51605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2879" w:type="pct"/>
            <w:shd w:val="clear" w:color="auto" w:fill="auto"/>
            <w:vAlign w:val="center"/>
          </w:tcPr>
          <w:p w14:paraId="29439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千兆SFP单模（10Km，1310nm，LC，DDM）</w:t>
            </w:r>
          </w:p>
        </w:tc>
        <w:tc>
          <w:tcPr>
            <w:tcW w:w="255" w:type="pct"/>
            <w:shd w:val="clear" w:color="auto" w:fill="auto"/>
            <w:noWrap/>
            <w:vAlign w:val="center"/>
          </w:tcPr>
          <w:p w14:paraId="51B84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32块</w:t>
            </w:r>
          </w:p>
        </w:tc>
        <w:tc>
          <w:tcPr>
            <w:tcW w:w="391" w:type="pct"/>
            <w:shd w:val="clear" w:color="auto" w:fill="auto"/>
            <w:noWrap/>
            <w:vAlign w:val="center"/>
          </w:tcPr>
          <w:p w14:paraId="2C83A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28A1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211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50DB4A91">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（三）智能化专网</w:t>
            </w:r>
          </w:p>
        </w:tc>
      </w:tr>
      <w:tr w14:paraId="7A66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blHeader/>
          <w:jc w:val="center"/>
        </w:trPr>
        <w:tc>
          <w:tcPr>
            <w:tcW w:w="269" w:type="pct"/>
            <w:shd w:val="clear" w:color="auto" w:fill="auto"/>
            <w:noWrap/>
            <w:vAlign w:val="center"/>
          </w:tcPr>
          <w:p w14:paraId="0B2B7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52586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w:t>
            </w:r>
          </w:p>
        </w:tc>
        <w:tc>
          <w:tcPr>
            <w:tcW w:w="2879" w:type="pct"/>
            <w:shd w:val="clear" w:color="auto" w:fill="auto"/>
            <w:vAlign w:val="center"/>
          </w:tcPr>
          <w:p w14:paraId="27ABF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1、提供1个RJ45型CLI口，提供24个千兆光口，24个千兆电口，6个万兆SFP+光口，提供2个电源槽位，支持拓展双电源；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2、交换容量≥598Gbps，包转发能力≥252Mpps；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3、支持虚拟化技术，支持将多台设备虚拟为一台设备；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4、支持RIP v1/2、OSPFv2、BGP、BEIGRP，支持RIPng、OSPFv3、BGP4+；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6、支持EAPS、ERPS环网保护协议，支持HSRP，VRRP；支持BFD快速链路检测，并能够同RIP、OSPF、BGP、VRRP实现联动，以实现路由和链路的快速切换；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7、支持Console、Telnet、SSH、WEB；支持ZTP零接触配置开通（Zero Touch Provisioning）；</w:t>
            </w:r>
          </w:p>
        </w:tc>
        <w:tc>
          <w:tcPr>
            <w:tcW w:w="255" w:type="pct"/>
            <w:shd w:val="clear" w:color="auto" w:fill="auto"/>
            <w:noWrap/>
            <w:vAlign w:val="center"/>
          </w:tcPr>
          <w:p w14:paraId="0671E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098B2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BC99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328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59DD5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3FF7D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8口接入交换机</w:t>
            </w:r>
          </w:p>
        </w:tc>
        <w:tc>
          <w:tcPr>
            <w:tcW w:w="2879" w:type="pct"/>
            <w:shd w:val="clear" w:color="auto" w:fill="auto"/>
            <w:vAlign w:val="center"/>
          </w:tcPr>
          <w:p w14:paraId="56FA8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参数配置要求：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1、提供8个千兆电口，2千兆自适应SFP光口；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2、交换容量≥256Gbps，包转发能力≥15Mpps；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309AD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3台</w:t>
            </w:r>
          </w:p>
        </w:tc>
        <w:tc>
          <w:tcPr>
            <w:tcW w:w="391" w:type="pct"/>
            <w:shd w:val="clear" w:color="auto" w:fill="auto"/>
            <w:noWrap/>
            <w:vAlign w:val="center"/>
          </w:tcPr>
          <w:p w14:paraId="48A3F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C2A5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119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1418C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12477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48口千兆交换机</w:t>
            </w:r>
          </w:p>
        </w:tc>
        <w:tc>
          <w:tcPr>
            <w:tcW w:w="2879" w:type="pct"/>
            <w:shd w:val="clear" w:color="auto" w:fill="auto"/>
            <w:vAlign w:val="center"/>
          </w:tcPr>
          <w:p w14:paraId="29D80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1、提供48个千兆电口，4千兆自适应SFP光口；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2、交换容量≥336Gbps，包转发能力≥78Mpps；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4E052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102EB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AB96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012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64625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64F44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24口千兆交换机</w:t>
            </w:r>
          </w:p>
        </w:tc>
        <w:tc>
          <w:tcPr>
            <w:tcW w:w="2879" w:type="pct"/>
            <w:shd w:val="clear" w:color="auto" w:fill="auto"/>
            <w:vAlign w:val="center"/>
          </w:tcPr>
          <w:p w14:paraId="3F6A4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1、提供24个千兆电口，4千兆自适应SFP光口；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2、交换容量≥256Gbps，包转发能力≥51Mpps；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547EF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5台</w:t>
            </w:r>
          </w:p>
        </w:tc>
        <w:tc>
          <w:tcPr>
            <w:tcW w:w="391" w:type="pct"/>
            <w:shd w:val="clear" w:color="auto" w:fill="auto"/>
            <w:noWrap/>
            <w:vAlign w:val="center"/>
          </w:tcPr>
          <w:p w14:paraId="05AAA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B2F30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E3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E468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5B57B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千兆光模块</w:t>
            </w:r>
          </w:p>
        </w:tc>
        <w:tc>
          <w:tcPr>
            <w:tcW w:w="2879" w:type="pct"/>
            <w:shd w:val="clear" w:color="auto" w:fill="auto"/>
            <w:vAlign w:val="center"/>
          </w:tcPr>
          <w:p w14:paraId="78E30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千兆SFP单模（10Km，1310nm，LC，DDM）。</w:t>
            </w:r>
          </w:p>
        </w:tc>
        <w:tc>
          <w:tcPr>
            <w:tcW w:w="255" w:type="pct"/>
            <w:shd w:val="clear" w:color="auto" w:fill="auto"/>
            <w:noWrap/>
            <w:vAlign w:val="center"/>
          </w:tcPr>
          <w:p w14:paraId="4CA85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20块</w:t>
            </w:r>
          </w:p>
        </w:tc>
        <w:tc>
          <w:tcPr>
            <w:tcW w:w="391" w:type="pct"/>
            <w:shd w:val="clear" w:color="auto" w:fill="auto"/>
            <w:noWrap/>
            <w:vAlign w:val="center"/>
          </w:tcPr>
          <w:p w14:paraId="0351E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FDAB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6EB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13435AC9">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（四）安全设备</w:t>
            </w:r>
          </w:p>
        </w:tc>
      </w:tr>
      <w:tr w14:paraId="1BF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0" w:hRule="atLeast"/>
          <w:tblHeader/>
          <w:jc w:val="center"/>
        </w:trPr>
        <w:tc>
          <w:tcPr>
            <w:tcW w:w="269" w:type="pct"/>
            <w:shd w:val="clear" w:color="auto" w:fill="auto"/>
            <w:noWrap/>
            <w:vAlign w:val="center"/>
          </w:tcPr>
          <w:p w14:paraId="75CF5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0187B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2879" w:type="pct"/>
            <w:shd w:val="clear" w:color="auto" w:fill="auto"/>
            <w:vAlign w:val="center"/>
          </w:tcPr>
          <w:p w14:paraId="13C6F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1.配置要求：不少于1个CON控制口，不少于2个GECombo、不少于10个GE以太网口，网络吞吐能力不小于4Gbps、内置硬盘和3年三合一特征库升级服务；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2、硬件要求：采用多核嵌入式架构，功能采用模块化结构；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3、机制需求：内置硬件、软件Bypass机制，在设备流量异常、突增、异常断电、重启等情况时，可自动切换到Bypass状态，当设备恢复时，可自动切换回工作状；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自定义IPS特征，支持针对多种协议自定义入侵攻击特征，包括IP、UDP、TCP、ICMP、HTTP、FTP、POP3、SMTP等协议；可拓展协议字段，设置数据包中的匹配内容；支持选择包含、等于、不等于、大于、正则匹配等匹配方式；可选择多种匹配条件，支持设置“与”和“或”的匹配顺序；                                                                5、支持单用户全天行为分析报表，一个界面同时展示用户名、用户组、在线时长、虚拟身份（如QQ号码、微博账号等）、日志关联情况、全天流量使用分布、网站访问类别分布、全天关键网络行为轴等信息；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6、支持本地认证、Portal认证、Radius认证、LDAP认证、POP3认证、AD域单点登录、短信认证、微信公众号认证、APP认证、IC卡认证、二维码认证、互联网钉钉认证、混合认证和免认证等认证方式；                                                                                7、本次实配冗余电源；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配置：3年防病毒、入侵检测、WAF特征库升级服务，配置10个SSL VPN授权；</w:t>
            </w:r>
          </w:p>
        </w:tc>
        <w:tc>
          <w:tcPr>
            <w:tcW w:w="255" w:type="pct"/>
            <w:shd w:val="clear" w:color="auto" w:fill="auto"/>
            <w:noWrap/>
            <w:vAlign w:val="center"/>
          </w:tcPr>
          <w:p w14:paraId="12111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571DC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CAB3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0E5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54" w:hRule="atLeast"/>
          <w:tblHeader/>
          <w:jc w:val="center"/>
        </w:trPr>
        <w:tc>
          <w:tcPr>
            <w:tcW w:w="269" w:type="pct"/>
            <w:shd w:val="clear" w:color="auto" w:fill="auto"/>
            <w:noWrap/>
            <w:vAlign w:val="center"/>
          </w:tcPr>
          <w:p w14:paraId="24E97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2BC61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日志审计</w:t>
            </w:r>
          </w:p>
        </w:tc>
        <w:tc>
          <w:tcPr>
            <w:tcW w:w="2879" w:type="pct"/>
            <w:shd w:val="clear" w:color="auto" w:fill="auto"/>
            <w:vAlign w:val="center"/>
          </w:tcPr>
          <w:p w14:paraId="34243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1、1U 设备，专用硬件安全审计设备，非通用WINDOWS 平台，存储容量：4TB； 日志处理速度：50,000 事件/ 秒；存储能力：至少在2G 链路下有 180 天的存储能力, 日志采集源不少 于 300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2、设备监控要求,支持各类型日志磁 盘存储占比统计、各类型日志接收趋 势统计、设备日志接收趋势统计、发 送日志的设备状态监控、硬盘健康状 态及 Raid 状态监控；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3、NAT 日志审计：可记录详细 NAT  日志信息（包括时间、源地址、目的 地址、端 口以及转换 后地址等元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素），用户可以根据上述信息元素对 安全审计平台收集的 NAT 日志进行   检索查询，系统日志：包括事件日志、 告警日志、网络日志、配置日志、安全威胁日志等。内容审计日志：包括 发帖 日志、EMAL 日志、FTP 等 日志。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4、URL 日志审计：可详细地记录 URL 日志信息（包括时间、源地址、目的 地址、源端 口、 目的端 口、以及 NAT 转换后地址、端 口、URL 地址、用户 等信息），可以收集、存储上述 URL 日志并提供快速的搜索查询功能；IM 上下线审计：可以对 IM 上下线（包 括移动QQ）日志进行详细的记录（包 括时间、内网地址、端 口、NAT 后的 地址和端 口、IM 类型等信息）可以  对上述信息进行采集、存储并提供快 速检索查询的功能；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日志备份：提供了日志备份的功 能。针对客户海量的 NAT 日志、URL 日志和 IM 上下线日志，可以通过手动或者自动两种方式，把日志备份到 第三方的存储空间，保证了日志数据 的完整性。提供直观、丰富的统计报 表，通过对设备信息、网络访问和用 户；报表系统：行为进行综合分析， 为用户呈现全方位、多角度的统计数 据和图表。支持按照天、周、月、季 等周期生成周期性统计报表，统计粒 度可达到分钟、小时和天，并能够通 过邮件发送给指定人员。内置多种报 表模板，支持报表定制，包括支持报 表组件和报表模板定制，报表组件定 制支持统计的报表内容包括：设备状 态、流量报表、网页浏览审计报表、 即时通信审计报表、网络行为审计报 表、病毒过滤审计报表、设备的病毒 数统计信息支持自定义报表任务和系统的预定义报表任务；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日志扩容与备份：支持外接 NFS  服务器存储日志，支持自动磁盘清  理，支持分布式设置，支持 FTP 和  SFTP 设置，实现日志的备份，实名  制审计：具备与深澜、城市热点认证 系统联动，实现实名制审计，满足合 规性与监管要求，支持各类型日志磁 盘存储占比统计和各类型日志接收  趋势统计；支持各设备日志接收趋势 统计；支持对发送日志的设备状态监 控，支持硬盘健康状态及 Raid 状态 监控，支持自定义监控面板和监控内 容；</w:t>
            </w:r>
          </w:p>
        </w:tc>
        <w:tc>
          <w:tcPr>
            <w:tcW w:w="255" w:type="pct"/>
            <w:shd w:val="clear" w:color="auto" w:fill="auto"/>
            <w:noWrap/>
            <w:vAlign w:val="center"/>
          </w:tcPr>
          <w:p w14:paraId="74319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7AA18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68BC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F3F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08FF2655">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三、多媒体会议系统</w:t>
            </w:r>
          </w:p>
        </w:tc>
      </w:tr>
      <w:tr w14:paraId="65B5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55DB387A">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40人会议室音频系统清单</w:t>
            </w:r>
          </w:p>
        </w:tc>
      </w:tr>
      <w:tr w14:paraId="3997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0061BC18">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(一)、音频扩声系统</w:t>
            </w:r>
          </w:p>
        </w:tc>
      </w:tr>
      <w:tr w14:paraId="0F5F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blHeader/>
          <w:jc w:val="center"/>
        </w:trPr>
        <w:tc>
          <w:tcPr>
            <w:tcW w:w="269" w:type="pct"/>
            <w:shd w:val="clear" w:color="auto" w:fill="auto"/>
            <w:noWrap/>
            <w:vAlign w:val="center"/>
          </w:tcPr>
          <w:p w14:paraId="0092A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1C8C5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柱阵列音箱</w:t>
            </w:r>
          </w:p>
        </w:tc>
        <w:tc>
          <w:tcPr>
            <w:tcW w:w="2879" w:type="pct"/>
            <w:shd w:val="clear" w:color="auto" w:fill="auto"/>
            <w:vAlign w:val="center"/>
          </w:tcPr>
          <w:p w14:paraId="4F1F4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1.单元组成：LF3"x 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2.标称阻抗: 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 120W；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4.频率响应(-10 dB):100Hz---20KHz；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5.辐射角度(-6 dB): H x V 90°x 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6.灵敏度: 90dB/1w/1m；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7.最大声压级:110dB；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8.连接插座:2位接线端子；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9.安装方式：吊挂或者壁挂；</w:t>
            </w:r>
          </w:p>
        </w:tc>
        <w:tc>
          <w:tcPr>
            <w:tcW w:w="255" w:type="pct"/>
            <w:shd w:val="clear" w:color="auto" w:fill="auto"/>
            <w:noWrap/>
            <w:vAlign w:val="center"/>
          </w:tcPr>
          <w:p w14:paraId="100E0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2只</w:t>
            </w:r>
          </w:p>
        </w:tc>
        <w:tc>
          <w:tcPr>
            <w:tcW w:w="391" w:type="pct"/>
            <w:shd w:val="clear" w:color="auto" w:fill="auto"/>
            <w:noWrap/>
            <w:vAlign w:val="center"/>
          </w:tcPr>
          <w:p w14:paraId="48B37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3D76D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BE6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32DA6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10E1B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音箱壁装支架</w:t>
            </w:r>
          </w:p>
        </w:tc>
        <w:tc>
          <w:tcPr>
            <w:tcW w:w="2879" w:type="pct"/>
            <w:shd w:val="clear" w:color="auto" w:fill="auto"/>
            <w:vAlign w:val="center"/>
          </w:tcPr>
          <w:p w14:paraId="10FE5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1、最大承重: 20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2、水平角度: -90°~+90°；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3、垂直下倾角度:-5°~+30°；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4、离墙最远离:75mm；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6、适用范围:壁挂音箱。</w:t>
            </w:r>
          </w:p>
        </w:tc>
        <w:tc>
          <w:tcPr>
            <w:tcW w:w="255" w:type="pct"/>
            <w:shd w:val="clear" w:color="auto" w:fill="auto"/>
            <w:noWrap/>
            <w:vAlign w:val="center"/>
          </w:tcPr>
          <w:p w14:paraId="11240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2只</w:t>
            </w:r>
          </w:p>
        </w:tc>
        <w:tc>
          <w:tcPr>
            <w:tcW w:w="391" w:type="pct"/>
            <w:shd w:val="clear" w:color="auto" w:fill="auto"/>
            <w:noWrap/>
            <w:vAlign w:val="center"/>
          </w:tcPr>
          <w:p w14:paraId="1E37F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3BCF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9A1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blHeader/>
          <w:jc w:val="center"/>
        </w:trPr>
        <w:tc>
          <w:tcPr>
            <w:tcW w:w="269" w:type="pct"/>
            <w:shd w:val="clear" w:color="auto" w:fill="auto"/>
            <w:noWrap/>
            <w:vAlign w:val="center"/>
          </w:tcPr>
          <w:p w14:paraId="7F20B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1EAA9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2879" w:type="pct"/>
            <w:shd w:val="clear" w:color="auto" w:fill="auto"/>
            <w:vAlign w:val="center"/>
          </w:tcPr>
          <w:p w14:paraId="6C845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1.输出功率（8Ω）：2×250W；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2.输出功率（4Ω）：2×450W；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3.频率响应：20Hz～20KHz 0±1dB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4.互调失真：≤0.5%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5.转换速率：≥10V/Us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6.阻尼系数：≥200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7.动态范围：≥80dB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8.信噪比：≥96dB；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9.FFT（背景噪声电平）：≤70dB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10.分离度：≥60dB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11.灵敏度：0.775v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12.输入共抑制比：≥60dB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13.输入阻抗：平衡20KΩ/不平衡10KΩ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14.输出阻抗：≥2欧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15.整机效率：75%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16.电压：AC 110-240V/50Hz</w:t>
            </w:r>
          </w:p>
        </w:tc>
        <w:tc>
          <w:tcPr>
            <w:tcW w:w="255" w:type="pct"/>
            <w:shd w:val="clear" w:color="auto" w:fill="auto"/>
            <w:noWrap/>
            <w:vAlign w:val="center"/>
          </w:tcPr>
          <w:p w14:paraId="53936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469A1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5CA7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171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0" w:hRule="atLeast"/>
          <w:tblHeader/>
          <w:jc w:val="center"/>
        </w:trPr>
        <w:tc>
          <w:tcPr>
            <w:tcW w:w="269" w:type="pct"/>
            <w:shd w:val="clear" w:color="auto" w:fill="auto"/>
            <w:noWrap/>
            <w:vAlign w:val="center"/>
          </w:tcPr>
          <w:p w14:paraId="5A71C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615C2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2879" w:type="pct"/>
            <w:shd w:val="clear" w:color="auto" w:fill="auto"/>
            <w:vAlign w:val="center"/>
          </w:tcPr>
          <w:p w14:paraId="2F192A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1.超薄数码显示效果器8路2编组调音台；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2.具有3段均衡器及高通滤波器；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3.每个通道独立的幻象供电开关；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4.监听功能强大，能分别监听所有输入输出端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5.频率范围：20Hz-20KHz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6.信噪比：&gt;90dB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7.分离度：&gt;80dB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8.EQ Hi 高音：(+-15dB 12KHz)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9.EQ Mid 中音：(+-15dB 2.5KHz)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10.EQ Low 低音：(+-15dB 80Hz)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11.输入阻抗：40KΩ平衡/20KΩ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12.输出阻抗：200Ω平衡/100Ω不平衡</w:t>
            </w:r>
          </w:p>
        </w:tc>
        <w:tc>
          <w:tcPr>
            <w:tcW w:w="255" w:type="pct"/>
            <w:shd w:val="clear" w:color="auto" w:fill="auto"/>
            <w:noWrap/>
            <w:vAlign w:val="center"/>
          </w:tcPr>
          <w:p w14:paraId="364B8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5FC36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33DF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38D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blHeader/>
          <w:jc w:val="center"/>
        </w:trPr>
        <w:tc>
          <w:tcPr>
            <w:tcW w:w="269" w:type="pct"/>
            <w:shd w:val="clear" w:color="auto" w:fill="auto"/>
            <w:noWrap/>
            <w:vAlign w:val="center"/>
          </w:tcPr>
          <w:p w14:paraId="5C686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2A931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2879" w:type="pct"/>
            <w:shd w:val="clear" w:color="auto" w:fill="auto"/>
            <w:vAlign w:val="center"/>
          </w:tcPr>
          <w:p w14:paraId="521FA3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1.8路平衡式话筒\线路输入，采用凤凰插接口；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2.8路平衡式输出，采用凤凰插接口；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3.支持PC、中控平台、按键面板、触摸面板等方式进行多重控制；        4.输入阻抗 平衡：9.4kΩ．非平衡：4.7kΩ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5.输出阻抗 平衡：100Ω，非平衡：50Ω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6.电脑接口： RS485接口，有线网络接口（RJ-45）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7.输入共模抑制比 ≥78 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8.输入到输出动态范围 112dBu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9.频率响应 20Hz~20kHz (±0.5dB)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10.信噪比 &gt;93dB@0dBu，1KHz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11.谐波失真+噪声 ≤0.005% @1kHz，0dBu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12.通道分离度 &gt;88dB(1KHz)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13.输入通道功能</w:t>
            </w:r>
          </w:p>
        </w:tc>
        <w:tc>
          <w:tcPr>
            <w:tcW w:w="255" w:type="pct"/>
            <w:shd w:val="clear" w:color="auto" w:fill="auto"/>
            <w:noWrap/>
            <w:vAlign w:val="center"/>
          </w:tcPr>
          <w:p w14:paraId="43B89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79584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DEE7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13F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0" w:hRule="atLeast"/>
          <w:tblHeader/>
          <w:jc w:val="center"/>
        </w:trPr>
        <w:tc>
          <w:tcPr>
            <w:tcW w:w="269" w:type="pct"/>
            <w:shd w:val="clear" w:color="auto" w:fill="auto"/>
            <w:noWrap/>
            <w:vAlign w:val="center"/>
          </w:tcPr>
          <w:p w14:paraId="56472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40745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数字反馈抑制器</w:t>
            </w:r>
          </w:p>
        </w:tc>
        <w:tc>
          <w:tcPr>
            <w:tcW w:w="2879" w:type="pct"/>
            <w:shd w:val="clear" w:color="auto" w:fill="auto"/>
            <w:vAlign w:val="center"/>
          </w:tcPr>
          <w:p w14:paraId="576473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1.输入通道及插座：2路X L R母卡侬座，1路数字卡侬，同轴输入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2.输出通道及插座：2路X L R母卡侬座，1路数字卡侬，同轴输出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3.输入阻抗：平衡：20 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4.输出阻抗：平衡：100Ω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5.共模拟制比：&gt;70dB(1KHz)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6.输入范围：≤+ 25db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7.频率响应：20Hz -20KHz(-0.5db)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8.信噪比：&gt;110dB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9.失真度：&lt;0.01% OUTPUT=0db/1KHz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10.通道分离度：&gt; 110db(1KHz)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11.啸叫寻找与抑制方式：全自动式陷波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12.信号输入频率响应：20Hz - 20kHz ±0.5db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13.滤波器：每通道独立可调整最多24个，默认值12个固定点，默认值12个动态点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14.最小带宽：1/27th Octave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15.最大带宽：1/14th Octave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16.频率分辨率：0.5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17.啸叫寻找时间：0.1--0.5S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18.电源：AC110V~240V   50/60Hz</w:t>
            </w:r>
          </w:p>
        </w:tc>
        <w:tc>
          <w:tcPr>
            <w:tcW w:w="255" w:type="pct"/>
            <w:shd w:val="clear" w:color="auto" w:fill="auto"/>
            <w:noWrap/>
            <w:vAlign w:val="center"/>
          </w:tcPr>
          <w:p w14:paraId="7BA8C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68341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5E09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FA9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47198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73964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音箱线缆</w:t>
            </w:r>
          </w:p>
        </w:tc>
        <w:tc>
          <w:tcPr>
            <w:tcW w:w="2879" w:type="pct"/>
            <w:shd w:val="clear" w:color="auto" w:fill="auto"/>
            <w:vAlign w:val="center"/>
          </w:tcPr>
          <w:p w14:paraId="57959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1、导体材料：优质无氧铜（OFC），单丝直径不低于0.145mm。                                                               2、20℃时每公里导体电阻≤19.5Ω。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2.绝缘采用优质聚氯乙烯塑料。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3.护套采用弹性体材料，电缆外观光滑、圆整，手感柔软。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4.用于室内各种音响设备连接</w:t>
            </w:r>
          </w:p>
        </w:tc>
        <w:tc>
          <w:tcPr>
            <w:tcW w:w="255" w:type="pct"/>
            <w:shd w:val="clear" w:color="auto" w:fill="auto"/>
            <w:noWrap/>
            <w:vAlign w:val="center"/>
          </w:tcPr>
          <w:p w14:paraId="626C2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50米</w:t>
            </w:r>
          </w:p>
        </w:tc>
        <w:tc>
          <w:tcPr>
            <w:tcW w:w="391" w:type="pct"/>
            <w:shd w:val="clear" w:color="auto" w:fill="auto"/>
            <w:noWrap/>
            <w:vAlign w:val="center"/>
          </w:tcPr>
          <w:p w14:paraId="287EA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A4A0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D41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07B98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28CB6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2879" w:type="pct"/>
            <w:shd w:val="clear" w:color="auto" w:fill="auto"/>
            <w:vAlign w:val="center"/>
          </w:tcPr>
          <w:p w14:paraId="1F483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1.线缆类型：RVVP2*0.3；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2.导体材料：优质无氧铜（OFC），单丝直径不小于0.09mm；              3.绝缘采用优质聚氯乙烯塑料；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4.屏蔽采用铝箔纵包+128根单丝直径不小于0.09mm的无氧铜线编织；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5.护套采用柔软级聚氯乙烯材料，成品外径不小于6.0㎜。</w:t>
            </w:r>
          </w:p>
        </w:tc>
        <w:tc>
          <w:tcPr>
            <w:tcW w:w="255" w:type="pct"/>
            <w:shd w:val="clear" w:color="auto" w:fill="auto"/>
            <w:noWrap/>
            <w:vAlign w:val="center"/>
          </w:tcPr>
          <w:p w14:paraId="2952B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50米</w:t>
            </w:r>
          </w:p>
        </w:tc>
        <w:tc>
          <w:tcPr>
            <w:tcW w:w="391" w:type="pct"/>
            <w:shd w:val="clear" w:color="auto" w:fill="auto"/>
            <w:noWrap/>
            <w:vAlign w:val="center"/>
          </w:tcPr>
          <w:p w14:paraId="629D2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D9EF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064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C778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309BC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多媒体桌插</w:t>
            </w:r>
          </w:p>
        </w:tc>
        <w:tc>
          <w:tcPr>
            <w:tcW w:w="2879" w:type="pct"/>
            <w:shd w:val="clear" w:color="auto" w:fill="auto"/>
            <w:vAlign w:val="center"/>
          </w:tcPr>
          <w:p w14:paraId="62F7E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1、材质：铜质面板，翻盖式；                                                                                          2、模块：1个3孔孔电源模块、一个2孔电源模块、一个HDMI模块、一个网络模块、一个组音频模块。</w:t>
            </w:r>
          </w:p>
        </w:tc>
        <w:tc>
          <w:tcPr>
            <w:tcW w:w="255" w:type="pct"/>
            <w:shd w:val="clear" w:color="auto" w:fill="auto"/>
            <w:noWrap/>
            <w:vAlign w:val="center"/>
          </w:tcPr>
          <w:p w14:paraId="187F1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391" w:type="pct"/>
            <w:shd w:val="clear" w:color="auto" w:fill="auto"/>
            <w:noWrap/>
            <w:vAlign w:val="center"/>
          </w:tcPr>
          <w:p w14:paraId="0CCB4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B3AB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001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586FA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3" w:type="pct"/>
            <w:shd w:val="clear" w:color="auto" w:fill="auto"/>
            <w:vAlign w:val="center"/>
          </w:tcPr>
          <w:p w14:paraId="52713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42U标准机柜</w:t>
            </w:r>
          </w:p>
        </w:tc>
        <w:tc>
          <w:tcPr>
            <w:tcW w:w="2879" w:type="pct"/>
            <w:shd w:val="clear" w:color="auto" w:fill="auto"/>
            <w:vAlign w:val="center"/>
          </w:tcPr>
          <w:p w14:paraId="4287C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1、材料：优质冷轧钢板；                                                                                             2、前门采用钢化玻璃或金属网结构坚固，可承载达500Kg；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3、上下均留有进线孔；增强型固定托盘，底部附有加强筋，可承载达100Kg。                                  4.尺寸：600*600*2000mm</w:t>
            </w:r>
          </w:p>
        </w:tc>
        <w:tc>
          <w:tcPr>
            <w:tcW w:w="255" w:type="pct"/>
            <w:shd w:val="clear" w:color="auto" w:fill="auto"/>
            <w:noWrap/>
            <w:vAlign w:val="center"/>
          </w:tcPr>
          <w:p w14:paraId="4535C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391" w:type="pct"/>
            <w:shd w:val="clear" w:color="auto" w:fill="auto"/>
            <w:noWrap/>
            <w:vAlign w:val="center"/>
          </w:tcPr>
          <w:p w14:paraId="13B51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C27E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285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672E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3" w:type="pct"/>
            <w:shd w:val="clear" w:color="auto" w:fill="auto"/>
            <w:vAlign w:val="center"/>
          </w:tcPr>
          <w:p w14:paraId="4D97D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辅材辅料</w:t>
            </w:r>
          </w:p>
        </w:tc>
        <w:tc>
          <w:tcPr>
            <w:tcW w:w="2879" w:type="pct"/>
            <w:shd w:val="clear" w:color="auto" w:fill="auto"/>
            <w:vAlign w:val="center"/>
          </w:tcPr>
          <w:p w14:paraId="638E9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辅材辅料 各类音频接插件，尼龙扎带，电工绝缘胶布，公牛插头、HDMI线缆等</w:t>
            </w:r>
          </w:p>
        </w:tc>
        <w:tc>
          <w:tcPr>
            <w:tcW w:w="255" w:type="pct"/>
            <w:shd w:val="clear" w:color="auto" w:fill="auto"/>
            <w:noWrap/>
            <w:vAlign w:val="center"/>
          </w:tcPr>
          <w:p w14:paraId="038E1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w:t>
            </w:r>
          </w:p>
        </w:tc>
        <w:tc>
          <w:tcPr>
            <w:tcW w:w="391" w:type="pct"/>
            <w:shd w:val="clear" w:color="auto" w:fill="auto"/>
            <w:noWrap/>
            <w:vAlign w:val="center"/>
          </w:tcPr>
          <w:p w14:paraId="55094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381B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826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5000" w:type="pct"/>
            <w:gridSpan w:val="6"/>
            <w:shd w:val="clear" w:color="auto" w:fill="auto"/>
            <w:noWrap/>
            <w:vAlign w:val="center"/>
          </w:tcPr>
          <w:p w14:paraId="1A45A1C5">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(二)、数字发言系统</w:t>
            </w:r>
          </w:p>
        </w:tc>
      </w:tr>
      <w:tr w14:paraId="418C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blHeader/>
          <w:jc w:val="center"/>
        </w:trPr>
        <w:tc>
          <w:tcPr>
            <w:tcW w:w="269" w:type="pct"/>
            <w:shd w:val="clear" w:color="auto" w:fill="auto"/>
            <w:noWrap/>
            <w:vAlign w:val="center"/>
          </w:tcPr>
          <w:p w14:paraId="1EE67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47218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数字会议主机</w:t>
            </w:r>
          </w:p>
        </w:tc>
        <w:tc>
          <w:tcPr>
            <w:tcW w:w="2879" w:type="pct"/>
            <w:shd w:val="clear" w:color="auto" w:fill="auto"/>
            <w:vAlign w:val="center"/>
          </w:tcPr>
          <w:p w14:paraId="09108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1.符合IEC60914、GBT15381-94国际标准；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2.采用全数字会议技术，基于数字网络架构开发，内置高性能CPU处理器，处理速度更快，音质更佳，支持讨论、视像跟踪功能；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3.高性能开关电源供电，长距离传输对音质不会有任何影响；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4.具有全视角IPS电容显示屏，直观显示和方便调节系统的各项参数；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主机供电 AC110V-220V/50Hz；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5.具有4路8芯话筒单元接口，每路支持25个单元，可接100个单元；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6.单台主机通过扩展电源最多可接128台会议单元，亦可通过会议扩展主机（多个扩展主机之间手拉手串联连接），一套会议系统最多可接入达1200台会议单元；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7.单元采用“手拉手”连接方式，支持热插拔，方便安装和维护；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8.具有多种会议模式： FIFO（先进先出模式）、APPLY（申请模式）、FREE（自由模式）、LIMIT（限制模式）、VOICE（声控模式）；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9.发言人数限制功能：可以限定最多同时发言的单元数量，主席单元不受限制；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10.发言时间限制功能：可以限定发言单元的发言时间，并有定时关闭和自动关闭两种模式，主席单元不受限制；</w:t>
            </w:r>
          </w:p>
        </w:tc>
        <w:tc>
          <w:tcPr>
            <w:tcW w:w="255" w:type="pct"/>
            <w:shd w:val="clear" w:color="auto" w:fill="auto"/>
            <w:noWrap/>
            <w:vAlign w:val="center"/>
          </w:tcPr>
          <w:p w14:paraId="0F86E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17DF4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227F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B8F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blHeader/>
          <w:jc w:val="center"/>
        </w:trPr>
        <w:tc>
          <w:tcPr>
            <w:tcW w:w="269" w:type="pct"/>
            <w:shd w:val="clear" w:color="auto" w:fill="auto"/>
            <w:noWrap/>
            <w:vAlign w:val="center"/>
          </w:tcPr>
          <w:p w14:paraId="48D39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7BE63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主席单元</w:t>
            </w:r>
          </w:p>
        </w:tc>
        <w:tc>
          <w:tcPr>
            <w:tcW w:w="2879" w:type="pct"/>
            <w:shd w:val="clear" w:color="auto" w:fill="auto"/>
            <w:vAlign w:val="center"/>
          </w:tcPr>
          <w:p w14:paraId="2A1D7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1.工作电压 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2.输入、输出 DIN-8P或CAT6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3.输入：心形指向性驻极体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 -46 dBV/Pa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5.频率响应 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6.输入阻抗 2 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7.方向性0°/180° 0°/180° &gt; 20 dB (1 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8.等效噪声 20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9.话筒最大声压级 125 dB (THD&lt;3%)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10.信噪比 S/N  ＞80dB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11.通道串音 ＞80dB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12.总谐波失真 T.H.D ＜0.05%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13.显示屏 2.4 IPS TFT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14.耳机接口 3.5mm ×1</w:t>
            </w:r>
          </w:p>
        </w:tc>
        <w:tc>
          <w:tcPr>
            <w:tcW w:w="255" w:type="pct"/>
            <w:shd w:val="clear" w:color="auto" w:fill="auto"/>
            <w:noWrap/>
            <w:vAlign w:val="center"/>
          </w:tcPr>
          <w:p w14:paraId="6DBA2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1只</w:t>
            </w:r>
          </w:p>
        </w:tc>
        <w:tc>
          <w:tcPr>
            <w:tcW w:w="391" w:type="pct"/>
            <w:shd w:val="clear" w:color="auto" w:fill="auto"/>
            <w:noWrap/>
            <w:vAlign w:val="center"/>
          </w:tcPr>
          <w:p w14:paraId="796E8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3F20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626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0" w:hRule="atLeast"/>
          <w:tblHeader/>
          <w:jc w:val="center"/>
        </w:trPr>
        <w:tc>
          <w:tcPr>
            <w:tcW w:w="269" w:type="pct"/>
            <w:shd w:val="clear" w:color="auto" w:fill="auto"/>
            <w:noWrap/>
            <w:vAlign w:val="center"/>
          </w:tcPr>
          <w:p w14:paraId="22B8D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14054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客席单元</w:t>
            </w:r>
          </w:p>
        </w:tc>
        <w:tc>
          <w:tcPr>
            <w:tcW w:w="2879" w:type="pct"/>
            <w:shd w:val="clear" w:color="auto" w:fill="auto"/>
            <w:vAlign w:val="center"/>
          </w:tcPr>
          <w:p w14:paraId="41B300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1.工作电压 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2.输入、输出 DIN-8P或CAT6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3.输入：心形指向性驻极体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 -46 dBV/Pa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5.频率响应 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6.输入阻抗 2 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7.方向性0°/180° 0°/180° &gt; 20 dB (1 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8.等效噪声 20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9.话筒最大声压级 125 dB (THD&lt;3%)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10.信噪比 S/N  ＞80dB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11.通道串音 ＞80dB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12.总谐波失真 T.H.D ＜0.05%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13.显示屏 2.4 IPS TFT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14.耳机接口 3.5mm ×1</w:t>
            </w:r>
          </w:p>
        </w:tc>
        <w:tc>
          <w:tcPr>
            <w:tcW w:w="255" w:type="pct"/>
            <w:shd w:val="clear" w:color="auto" w:fill="auto"/>
            <w:noWrap/>
            <w:vAlign w:val="center"/>
          </w:tcPr>
          <w:p w14:paraId="66F59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8只</w:t>
            </w:r>
          </w:p>
        </w:tc>
        <w:tc>
          <w:tcPr>
            <w:tcW w:w="391" w:type="pct"/>
            <w:shd w:val="clear" w:color="auto" w:fill="auto"/>
            <w:noWrap/>
            <w:vAlign w:val="center"/>
          </w:tcPr>
          <w:p w14:paraId="745C2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596A8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21B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86FD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3E2FE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控制主线</w:t>
            </w:r>
          </w:p>
        </w:tc>
        <w:tc>
          <w:tcPr>
            <w:tcW w:w="2879" w:type="pct"/>
            <w:shd w:val="clear" w:color="auto" w:fill="auto"/>
            <w:vAlign w:val="center"/>
          </w:tcPr>
          <w:p w14:paraId="6BFE9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1.用于延长主机和话筒单元之间的距离；                                                                         2.长度：20米 8芯DIN专用线，带屏蔽。</w:t>
            </w:r>
          </w:p>
        </w:tc>
        <w:tc>
          <w:tcPr>
            <w:tcW w:w="255" w:type="pct"/>
            <w:shd w:val="clear" w:color="auto" w:fill="auto"/>
            <w:noWrap/>
            <w:vAlign w:val="center"/>
          </w:tcPr>
          <w:p w14:paraId="3A6C1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w:t>
            </w:r>
          </w:p>
        </w:tc>
        <w:tc>
          <w:tcPr>
            <w:tcW w:w="391" w:type="pct"/>
            <w:shd w:val="clear" w:color="auto" w:fill="auto"/>
            <w:noWrap/>
            <w:vAlign w:val="center"/>
          </w:tcPr>
          <w:p w14:paraId="478E7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D7B3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AE2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B139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0CD68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会议系统专用地插盒</w:t>
            </w:r>
          </w:p>
        </w:tc>
        <w:tc>
          <w:tcPr>
            <w:tcW w:w="2879" w:type="pct"/>
            <w:shd w:val="clear" w:color="auto" w:fill="auto"/>
            <w:vAlign w:val="center"/>
          </w:tcPr>
          <w:p w14:paraId="1BDF36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1、铜质面板，翻盖式；                                                                                              2、模块：一个3孔电源模块、一个2孔电源模块；1个HDMI模块、1个网络模块、1组音频模块。</w:t>
            </w:r>
          </w:p>
        </w:tc>
        <w:tc>
          <w:tcPr>
            <w:tcW w:w="255" w:type="pct"/>
            <w:shd w:val="clear" w:color="auto" w:fill="auto"/>
            <w:noWrap/>
            <w:vAlign w:val="center"/>
          </w:tcPr>
          <w:p w14:paraId="12395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391" w:type="pct"/>
            <w:shd w:val="clear" w:color="auto" w:fill="auto"/>
            <w:noWrap/>
            <w:vAlign w:val="center"/>
          </w:tcPr>
          <w:p w14:paraId="18B25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4E17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37C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25D55575">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(三)、显示子系统</w:t>
            </w:r>
          </w:p>
        </w:tc>
      </w:tr>
      <w:tr w14:paraId="01CC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blHeader/>
          <w:jc w:val="center"/>
        </w:trPr>
        <w:tc>
          <w:tcPr>
            <w:tcW w:w="269" w:type="pct"/>
            <w:shd w:val="clear" w:color="auto" w:fill="auto"/>
            <w:noWrap/>
            <w:vAlign w:val="center"/>
          </w:tcPr>
          <w:p w14:paraId="66927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3D384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会议一体机</w:t>
            </w:r>
          </w:p>
        </w:tc>
        <w:tc>
          <w:tcPr>
            <w:tcW w:w="2879" w:type="pct"/>
            <w:shd w:val="clear" w:color="auto" w:fill="auto"/>
            <w:vAlign w:val="center"/>
          </w:tcPr>
          <w:p w14:paraId="5D2023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1、外观 铝合金型材 ；                                                                  2、尺寸：98寸；                                                                                            3、显示比例 16:9；                                                                           4、分辨率 3840*2160；                                                                              4、色域85%(NTSC)；                                                                               5、扬声器                                                                                     6、处理器 四核A55；                                                                 7、4G+32G内存(RAM)3G，存储(ROM)16GB；                                                       8、接口 USB*1 Touch USB*1 HDMI2.0*2 网络接口RJ45*1 调试接口RS232*1 音频接口AUDIO OUT*1蓝牙5.2 1300WV像素，135°可视角。</w:t>
            </w:r>
          </w:p>
        </w:tc>
        <w:tc>
          <w:tcPr>
            <w:tcW w:w="255" w:type="pct"/>
            <w:shd w:val="clear" w:color="auto" w:fill="auto"/>
            <w:noWrap/>
            <w:vAlign w:val="center"/>
          </w:tcPr>
          <w:p w14:paraId="3AA3E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7C039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2DD4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31F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D43B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6F486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移动支架</w:t>
            </w:r>
          </w:p>
        </w:tc>
        <w:tc>
          <w:tcPr>
            <w:tcW w:w="2879" w:type="pct"/>
            <w:shd w:val="clear" w:color="auto" w:fill="auto"/>
            <w:vAlign w:val="center"/>
          </w:tcPr>
          <w:p w14:paraId="2D54F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配套可移动支架</w:t>
            </w:r>
          </w:p>
        </w:tc>
        <w:tc>
          <w:tcPr>
            <w:tcW w:w="255" w:type="pct"/>
            <w:shd w:val="clear" w:color="auto" w:fill="auto"/>
            <w:noWrap/>
            <w:vAlign w:val="center"/>
          </w:tcPr>
          <w:p w14:paraId="7BE71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65EA1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67137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EE3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4CE7380E">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100人会议室音频系统清单</w:t>
            </w:r>
          </w:p>
        </w:tc>
      </w:tr>
      <w:tr w14:paraId="7EAC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9199501">
            <w:pPr>
              <w:jc w:val="left"/>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(一)、音频扩声系统</w:t>
            </w:r>
          </w:p>
        </w:tc>
      </w:tr>
      <w:tr w14:paraId="18A0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blHeader/>
          <w:jc w:val="center"/>
        </w:trPr>
        <w:tc>
          <w:tcPr>
            <w:tcW w:w="269" w:type="pct"/>
            <w:shd w:val="clear" w:color="auto" w:fill="auto"/>
            <w:noWrap/>
            <w:vAlign w:val="center"/>
          </w:tcPr>
          <w:p w14:paraId="3EE3A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2E33B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柱阵列音箱</w:t>
            </w:r>
          </w:p>
        </w:tc>
        <w:tc>
          <w:tcPr>
            <w:tcW w:w="2879" w:type="pct"/>
            <w:shd w:val="clear" w:color="auto" w:fill="auto"/>
            <w:vAlign w:val="center"/>
          </w:tcPr>
          <w:p w14:paraId="33748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1.单元组成：LF3"x 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2.标称阻抗: 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 120W；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4.频率响应(-10 dB):100Hz---20KHz；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5.辐射角度(-6 dB): H x V 90°x 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6.灵敏度: 90dB/1w/1m；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7.最大声压级:110dB；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8.连接插座:2位接线端子；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9.安装方式：吊挂或者壁挂；</w:t>
            </w:r>
          </w:p>
        </w:tc>
        <w:tc>
          <w:tcPr>
            <w:tcW w:w="255" w:type="pct"/>
            <w:shd w:val="clear" w:color="auto" w:fill="auto"/>
            <w:noWrap/>
            <w:vAlign w:val="center"/>
          </w:tcPr>
          <w:p w14:paraId="3C37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6只</w:t>
            </w:r>
          </w:p>
        </w:tc>
        <w:tc>
          <w:tcPr>
            <w:tcW w:w="391" w:type="pct"/>
            <w:shd w:val="clear" w:color="auto" w:fill="auto"/>
            <w:noWrap/>
            <w:vAlign w:val="center"/>
          </w:tcPr>
          <w:p w14:paraId="67942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1874E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D0F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65D01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4AF3A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音箱壁装支架</w:t>
            </w:r>
          </w:p>
        </w:tc>
        <w:tc>
          <w:tcPr>
            <w:tcW w:w="2879" w:type="pct"/>
            <w:shd w:val="clear" w:color="auto" w:fill="auto"/>
            <w:vAlign w:val="center"/>
          </w:tcPr>
          <w:p w14:paraId="08D97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1、最大承重: 20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2、水平角度: -90°~+90°；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3、垂直下倾角度:-5°~+30°；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4、离墙最远距离:75mm；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6、适用范围:壁挂音箱；</w:t>
            </w:r>
          </w:p>
        </w:tc>
        <w:tc>
          <w:tcPr>
            <w:tcW w:w="255" w:type="pct"/>
            <w:shd w:val="clear" w:color="auto" w:fill="auto"/>
            <w:noWrap/>
            <w:vAlign w:val="center"/>
          </w:tcPr>
          <w:p w14:paraId="739A0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6只</w:t>
            </w:r>
          </w:p>
        </w:tc>
        <w:tc>
          <w:tcPr>
            <w:tcW w:w="391" w:type="pct"/>
            <w:shd w:val="clear" w:color="auto" w:fill="auto"/>
            <w:noWrap/>
            <w:vAlign w:val="center"/>
          </w:tcPr>
          <w:p w14:paraId="25878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4C19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034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0" w:hRule="atLeast"/>
          <w:tblHeader/>
          <w:jc w:val="center"/>
        </w:trPr>
        <w:tc>
          <w:tcPr>
            <w:tcW w:w="269" w:type="pct"/>
            <w:shd w:val="clear" w:color="auto" w:fill="auto"/>
            <w:noWrap/>
            <w:vAlign w:val="center"/>
          </w:tcPr>
          <w:p w14:paraId="49F14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20032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2879" w:type="pct"/>
            <w:shd w:val="clear" w:color="auto" w:fill="auto"/>
            <w:vAlign w:val="center"/>
          </w:tcPr>
          <w:p w14:paraId="697B1D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1.输出功率（8Ω）：2×250W；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2.输出功率（4Ω）：2×450W；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3.频率响应：20Hz～20KHz 0±1dB；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4.互调失真：≤0.5%；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5.转换速率：≥10V/Us；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6.阻尼系数：≥200；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7.动态范围：≥80dB；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8.信噪比：≥96dB（A计权）；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9.FFT（背景噪声电平）：≤70dB；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10.分离度：≥60dB；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11.灵敏度：0.775v；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12.输入共抑制比：≥60dB；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13.输入阻抗：平衡20KΩ/不平衡10KΩ；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14.输出阻抗：≥2欧；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15.电压：AC 110-240V/50Hz；</w:t>
            </w:r>
          </w:p>
        </w:tc>
        <w:tc>
          <w:tcPr>
            <w:tcW w:w="255" w:type="pct"/>
            <w:shd w:val="clear" w:color="auto" w:fill="auto"/>
            <w:noWrap/>
            <w:vAlign w:val="center"/>
          </w:tcPr>
          <w:p w14:paraId="5B812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3台</w:t>
            </w:r>
          </w:p>
        </w:tc>
        <w:tc>
          <w:tcPr>
            <w:tcW w:w="391" w:type="pct"/>
            <w:shd w:val="clear" w:color="auto" w:fill="auto"/>
            <w:noWrap/>
            <w:vAlign w:val="center"/>
          </w:tcPr>
          <w:p w14:paraId="47D04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ABE6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F01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blHeader/>
          <w:jc w:val="center"/>
        </w:trPr>
        <w:tc>
          <w:tcPr>
            <w:tcW w:w="269" w:type="pct"/>
            <w:shd w:val="clear" w:color="auto" w:fill="auto"/>
            <w:noWrap/>
            <w:vAlign w:val="center"/>
          </w:tcPr>
          <w:p w14:paraId="3A7F2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5A592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2879" w:type="pct"/>
            <w:shd w:val="clear" w:color="auto" w:fill="auto"/>
            <w:vAlign w:val="center"/>
          </w:tcPr>
          <w:p w14:paraId="0476B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1.超薄数码显示效果器8路2编组调音台；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2.具有3段均衡器及高通滤波器；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3.每个通道独立的幻象供电开关；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4.监听功能强大，能分别监听所有输入输出端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5.频率范围：20Hz-20KHz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6.信噪比：&gt;90dB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7.分离度：&gt;80dB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8.EQ Hi 高音：(+-15dB 12KHz)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9.EQ Mid 中音：(+-15dB 2.5KHz)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10.EQ Low 低音：(+-15dB 80Hz)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11.输入阻抗：40KΩ平衡/20KΩ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12.输出阻抗：200Ω平衡/100Ω不平衡</w:t>
            </w:r>
          </w:p>
        </w:tc>
        <w:tc>
          <w:tcPr>
            <w:tcW w:w="255" w:type="pct"/>
            <w:shd w:val="clear" w:color="auto" w:fill="auto"/>
            <w:noWrap/>
            <w:vAlign w:val="center"/>
          </w:tcPr>
          <w:p w14:paraId="61171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35F27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DDAE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02B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0" w:hRule="atLeast"/>
          <w:tblHeader/>
          <w:jc w:val="center"/>
        </w:trPr>
        <w:tc>
          <w:tcPr>
            <w:tcW w:w="269" w:type="pct"/>
            <w:shd w:val="clear" w:color="auto" w:fill="auto"/>
            <w:noWrap/>
            <w:vAlign w:val="center"/>
          </w:tcPr>
          <w:p w14:paraId="32330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78DC2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2879" w:type="pct"/>
            <w:shd w:val="clear" w:color="auto" w:fill="auto"/>
            <w:vAlign w:val="center"/>
          </w:tcPr>
          <w:p w14:paraId="08F6F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1.8路平衡式话筒\线路输入，采用凤凰插接口；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2.8路平衡式输出，采用凤凰插接口；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3.支持PC、中控平台、按键面板、触摸面板等方式进行多重控制；                              4.输入阻抗 平衡：9.4kΩ．非平衡：4.7kΩ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5.输出阻抗 平衡：100Ω，非平衡：50Ω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6.电脑接口： RS485接口，有线网络接口（RJ-45）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7.输入共模抑制比 ≥78 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8.输入到输出动态范围 112dBu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9.频率响应 20Hz~20kHz (±0.5dB)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10.信噪比 &gt;93dB@0dBu，1KHz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11.谐波失真+噪声 ≤0.005% @1kHz，0dBu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12.通道分离度 &gt;88dB(1KHz)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13.输入通道功能</w:t>
            </w:r>
          </w:p>
        </w:tc>
        <w:tc>
          <w:tcPr>
            <w:tcW w:w="255" w:type="pct"/>
            <w:shd w:val="clear" w:color="auto" w:fill="auto"/>
            <w:noWrap/>
            <w:vAlign w:val="center"/>
          </w:tcPr>
          <w:p w14:paraId="26B9D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1CCFA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8592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CC2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1A4B9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284AD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2879" w:type="pct"/>
            <w:shd w:val="clear" w:color="auto" w:fill="auto"/>
            <w:vAlign w:val="center"/>
          </w:tcPr>
          <w:p w14:paraId="76504A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1.通道数：8；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2.电源指示：指示灯；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3.最大总电流：50A；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4.电源供电：AC110V/220V50/60Hz；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5.电源接口：万能插座，DC12V（1A），控制端口带232与485接口；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6.每通道最大电流：16A。</w:t>
            </w:r>
          </w:p>
        </w:tc>
        <w:tc>
          <w:tcPr>
            <w:tcW w:w="255" w:type="pct"/>
            <w:shd w:val="clear" w:color="auto" w:fill="auto"/>
            <w:noWrap/>
            <w:vAlign w:val="center"/>
          </w:tcPr>
          <w:p w14:paraId="7224B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2466B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5ACDA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69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0" w:hRule="atLeast"/>
          <w:tblHeader/>
          <w:jc w:val="center"/>
        </w:trPr>
        <w:tc>
          <w:tcPr>
            <w:tcW w:w="269" w:type="pct"/>
            <w:shd w:val="clear" w:color="auto" w:fill="auto"/>
            <w:noWrap/>
            <w:vAlign w:val="center"/>
          </w:tcPr>
          <w:p w14:paraId="69617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5EA07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数字反馈抑制器</w:t>
            </w:r>
          </w:p>
        </w:tc>
        <w:tc>
          <w:tcPr>
            <w:tcW w:w="2879" w:type="pct"/>
            <w:shd w:val="clear" w:color="auto" w:fill="auto"/>
            <w:vAlign w:val="center"/>
          </w:tcPr>
          <w:p w14:paraId="45028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1.输入通道及插座：2路X L R母卡侬座，1路数字卡侬，同轴输入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2.输出通道及插座：2路X L R母卡侬座，1路数字卡侬，同轴输出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3.输入阻抗：平衡：20 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4.输出阻抗：平衡：100Ω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5.共模拟制比：&gt;70dB(1KHz)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6.输入范围：≤+ 25db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7.频率响应：20Hz -20KHz(-0.5db)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8.信噪比：&gt;110dB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9.失真度：&lt;0.01% OUTPUT=0db/1KHz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10.通道分离度：&gt; 110db(1KHz)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11.啸叫寻找与抑制方式：全自动式陷波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12.信号输入频率响应：20Hz - 20kHz ±0.5db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13.滤波器：每通道独立可调整最多24个，默认值12个固定点，默认值12个动态点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14.最小带宽：1/27th Octave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15.最大带宽：1/14th Octave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16.频率分辨率：0.5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17.啸叫寻找时间：0.1--0.5S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18.压缩：可调整参数为：门限值：-40dBu - +20dBu、步距为0.1dBu，压缩比1.0:1-20.0:1、步距为0.2，响应时间：10ms-200ms、步距为1ms，释放时间：10ms-5000ms、步距为1ms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19.限幅：可调整参数为：门限值：-40dBu-+20dBu、步距为0.1dBu，响应时间：10ms-200ms、步距为1ms 释放时间：10ms-5000ms、步距为1ms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20.噪声门：可调整参数为：门限值-120dBu - -40dBu，步距为1dBu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21.电源：AC110V~240V   50/60Hz</w:t>
            </w:r>
          </w:p>
        </w:tc>
        <w:tc>
          <w:tcPr>
            <w:tcW w:w="255" w:type="pct"/>
            <w:shd w:val="clear" w:color="auto" w:fill="auto"/>
            <w:noWrap/>
            <w:vAlign w:val="center"/>
          </w:tcPr>
          <w:p w14:paraId="7FA6B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0A094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D8EE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D44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blHeader/>
          <w:jc w:val="center"/>
        </w:trPr>
        <w:tc>
          <w:tcPr>
            <w:tcW w:w="269" w:type="pct"/>
            <w:shd w:val="clear" w:color="auto" w:fill="auto"/>
            <w:noWrap/>
            <w:vAlign w:val="center"/>
          </w:tcPr>
          <w:p w14:paraId="253E5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42F23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HDMI矩阵</w:t>
            </w:r>
          </w:p>
        </w:tc>
        <w:tc>
          <w:tcPr>
            <w:tcW w:w="2879" w:type="pct"/>
            <w:shd w:val="clear" w:color="auto" w:fill="auto"/>
            <w:vAlign w:val="center"/>
          </w:tcPr>
          <w:p w14:paraId="5ACFA4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1.支持8路HDMI高清音视频信号输入，8路HDMI高清音视频信号输出；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2.支持扩展HDMI输出无缝切换功能；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3.支持HDCP管理，可设置加密和解密HDCP内容，确保信号源正常显示；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4.支持EDID管理，允许读取输出设备EDID或存储的EDD井应用到任意输入卡上，可以通过串口将EDID码发送到EDID存储区，可以通过串口读出当前输出口的EDID码；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5.具有掉电记忆功能和现场记忆功能，带有断电现场保护功；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6.支持正向高速通道和内嵌控制信号分离切换模式；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7.支持全高清：HDPC:1920×1200P@60_24bit；HDTV:1920×1080P@60_36bit；5.支持分辨率：高清1080P；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10.具有1路网络端口，可以通过以太网远程控制；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11.采用国际通用的标准宽电压输入电源，电网电压在100V-250V之间波动，都能保证稳定的输出，极大提高系统的可靠性和稳定性。</w:t>
            </w:r>
          </w:p>
        </w:tc>
        <w:tc>
          <w:tcPr>
            <w:tcW w:w="255" w:type="pct"/>
            <w:shd w:val="clear" w:color="auto" w:fill="auto"/>
            <w:noWrap/>
            <w:vAlign w:val="center"/>
          </w:tcPr>
          <w:p w14:paraId="0771E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1A6EA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6B61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8A7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67FE0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45793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音箱线缆</w:t>
            </w:r>
          </w:p>
        </w:tc>
        <w:tc>
          <w:tcPr>
            <w:tcW w:w="2879" w:type="pct"/>
            <w:shd w:val="clear" w:color="auto" w:fill="auto"/>
            <w:vAlign w:val="center"/>
          </w:tcPr>
          <w:p w14:paraId="50556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1.线缆类型：EVJV2*1.0；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2.导体材料：优质无氧铜（OFC），单丝直径不低于0.145mm；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3.绝缘采用优质聚氯乙烯塑料；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4.护套采用弹性体材料，电缆外观光滑、圆整，手感柔软；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5.用于室内各种音响设备连接。</w:t>
            </w:r>
          </w:p>
        </w:tc>
        <w:tc>
          <w:tcPr>
            <w:tcW w:w="255" w:type="pct"/>
            <w:shd w:val="clear" w:color="auto" w:fill="auto"/>
            <w:noWrap/>
            <w:vAlign w:val="center"/>
          </w:tcPr>
          <w:p w14:paraId="25A01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100米</w:t>
            </w:r>
          </w:p>
        </w:tc>
        <w:tc>
          <w:tcPr>
            <w:tcW w:w="391" w:type="pct"/>
            <w:shd w:val="clear" w:color="auto" w:fill="auto"/>
            <w:noWrap/>
            <w:vAlign w:val="center"/>
          </w:tcPr>
          <w:p w14:paraId="5FE53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564E6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27B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7BF1B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3" w:type="pct"/>
            <w:shd w:val="clear" w:color="auto" w:fill="auto"/>
            <w:vAlign w:val="center"/>
          </w:tcPr>
          <w:p w14:paraId="38740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2879" w:type="pct"/>
            <w:shd w:val="clear" w:color="auto" w:fill="auto"/>
            <w:vAlign w:val="center"/>
          </w:tcPr>
          <w:p w14:paraId="3AD91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1.线缆类型：RVVP2*0.3；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2.导体材料：优质无氧铜（OFC），单丝直径不小于0.09mm。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3.绝缘采用优质聚氯乙烯塑料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4.屏蔽采用铝箔纵包+128根单丝直径不小于0.09mm的无氧铜线编织；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5.护套采用柔软级聚氯乙烯材料。</w:t>
            </w:r>
          </w:p>
        </w:tc>
        <w:tc>
          <w:tcPr>
            <w:tcW w:w="255" w:type="pct"/>
            <w:shd w:val="clear" w:color="auto" w:fill="auto"/>
            <w:noWrap/>
            <w:vAlign w:val="center"/>
          </w:tcPr>
          <w:p w14:paraId="44023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50米</w:t>
            </w:r>
          </w:p>
        </w:tc>
        <w:tc>
          <w:tcPr>
            <w:tcW w:w="391" w:type="pct"/>
            <w:shd w:val="clear" w:color="auto" w:fill="auto"/>
            <w:noWrap/>
            <w:vAlign w:val="center"/>
          </w:tcPr>
          <w:p w14:paraId="7D153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E5D8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D8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E918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3" w:type="pct"/>
            <w:shd w:val="clear" w:color="auto" w:fill="auto"/>
            <w:vAlign w:val="center"/>
          </w:tcPr>
          <w:p w14:paraId="128DF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多媒体桌插</w:t>
            </w:r>
          </w:p>
        </w:tc>
        <w:tc>
          <w:tcPr>
            <w:tcW w:w="2879" w:type="pct"/>
            <w:shd w:val="clear" w:color="auto" w:fill="auto"/>
            <w:vAlign w:val="center"/>
          </w:tcPr>
          <w:p w14:paraId="1914F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1、铜质面板，翻盖式；                                                                                              2、模块：一个3孔电源模块、一个2孔电源模块；1个HDMI模块、1个网络模块、1组音频模块。</w:t>
            </w:r>
          </w:p>
        </w:tc>
        <w:tc>
          <w:tcPr>
            <w:tcW w:w="255" w:type="pct"/>
            <w:shd w:val="clear" w:color="auto" w:fill="auto"/>
            <w:noWrap/>
            <w:vAlign w:val="center"/>
          </w:tcPr>
          <w:p w14:paraId="12813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391" w:type="pct"/>
            <w:shd w:val="clear" w:color="auto" w:fill="auto"/>
            <w:noWrap/>
            <w:vAlign w:val="center"/>
          </w:tcPr>
          <w:p w14:paraId="7346D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2CBAA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6A8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33381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3" w:type="pct"/>
            <w:shd w:val="clear" w:color="auto" w:fill="auto"/>
            <w:vAlign w:val="center"/>
          </w:tcPr>
          <w:p w14:paraId="36BA2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879" w:type="pct"/>
            <w:shd w:val="clear" w:color="auto" w:fill="auto"/>
            <w:vAlign w:val="center"/>
          </w:tcPr>
          <w:p w14:paraId="264AC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1、线型：RVV 3×2.5mm²；                                                                                       2、材料：优质无氧铜（OFC），单丝直径不低于0.245mm。                                                            3、绝缘采用优质聚氯乙烯塑料。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4、护套采用优质聚氯乙烯材料，电缆外观光滑、圆整。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5、用于室内各种设备电源或信号连接。</w:t>
            </w:r>
          </w:p>
        </w:tc>
        <w:tc>
          <w:tcPr>
            <w:tcW w:w="255" w:type="pct"/>
            <w:shd w:val="clear" w:color="auto" w:fill="auto"/>
            <w:noWrap/>
            <w:vAlign w:val="center"/>
          </w:tcPr>
          <w:p w14:paraId="09A3F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50米</w:t>
            </w:r>
          </w:p>
        </w:tc>
        <w:tc>
          <w:tcPr>
            <w:tcW w:w="391" w:type="pct"/>
            <w:shd w:val="clear" w:color="auto" w:fill="auto"/>
            <w:noWrap/>
            <w:vAlign w:val="center"/>
          </w:tcPr>
          <w:p w14:paraId="320F6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3E6D1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845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073FC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83" w:type="pct"/>
            <w:shd w:val="clear" w:color="auto" w:fill="auto"/>
            <w:vAlign w:val="center"/>
          </w:tcPr>
          <w:p w14:paraId="214D2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42U标准机柜</w:t>
            </w:r>
          </w:p>
        </w:tc>
        <w:tc>
          <w:tcPr>
            <w:tcW w:w="2879" w:type="pct"/>
            <w:shd w:val="clear" w:color="auto" w:fill="auto"/>
            <w:vAlign w:val="center"/>
          </w:tcPr>
          <w:p w14:paraId="1CA434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1、材质：优质冷轧钢板；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2、前门：钢化玻璃或金属网；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3、结构坚固，承载达500Kg增强型固定托盘，底部附有加强筋，承载达100Kg；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4、可选门板：玻璃门/金属网门。            6.尺寸：600*600*2000mm</w:t>
            </w:r>
          </w:p>
        </w:tc>
        <w:tc>
          <w:tcPr>
            <w:tcW w:w="255" w:type="pct"/>
            <w:shd w:val="clear" w:color="auto" w:fill="auto"/>
            <w:noWrap/>
            <w:vAlign w:val="center"/>
          </w:tcPr>
          <w:p w14:paraId="27434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391" w:type="pct"/>
            <w:shd w:val="clear" w:color="auto" w:fill="auto"/>
            <w:noWrap/>
            <w:vAlign w:val="center"/>
          </w:tcPr>
          <w:p w14:paraId="00D1D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E28A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A0D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BF35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83" w:type="pct"/>
            <w:shd w:val="clear" w:color="auto" w:fill="auto"/>
            <w:vAlign w:val="center"/>
          </w:tcPr>
          <w:p w14:paraId="4BF4B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辅材辅料</w:t>
            </w:r>
          </w:p>
        </w:tc>
        <w:tc>
          <w:tcPr>
            <w:tcW w:w="2879" w:type="pct"/>
            <w:shd w:val="clear" w:color="auto" w:fill="auto"/>
            <w:vAlign w:val="center"/>
          </w:tcPr>
          <w:p w14:paraId="51938A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各类音频接插件，管材管件，尼龙扎带，电工绝缘胶布，公牛插头、HDMI线等。</w:t>
            </w:r>
          </w:p>
        </w:tc>
        <w:tc>
          <w:tcPr>
            <w:tcW w:w="255" w:type="pct"/>
            <w:shd w:val="clear" w:color="auto" w:fill="auto"/>
            <w:noWrap/>
            <w:vAlign w:val="center"/>
          </w:tcPr>
          <w:p w14:paraId="7B7F6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w:t>
            </w:r>
          </w:p>
        </w:tc>
        <w:tc>
          <w:tcPr>
            <w:tcW w:w="391" w:type="pct"/>
            <w:shd w:val="clear" w:color="auto" w:fill="auto"/>
            <w:noWrap/>
            <w:vAlign w:val="center"/>
          </w:tcPr>
          <w:p w14:paraId="4EE07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B2557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FE3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3E27A253">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(二)、数字发言系统</w:t>
            </w:r>
          </w:p>
        </w:tc>
      </w:tr>
      <w:tr w14:paraId="466A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blHeader/>
          <w:jc w:val="center"/>
        </w:trPr>
        <w:tc>
          <w:tcPr>
            <w:tcW w:w="269" w:type="pct"/>
            <w:shd w:val="clear" w:color="auto" w:fill="auto"/>
            <w:noWrap/>
            <w:vAlign w:val="center"/>
          </w:tcPr>
          <w:p w14:paraId="24BEA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429B5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数字会议主机</w:t>
            </w:r>
          </w:p>
        </w:tc>
        <w:tc>
          <w:tcPr>
            <w:tcW w:w="2879" w:type="pct"/>
            <w:shd w:val="clear" w:color="auto" w:fill="auto"/>
            <w:vAlign w:val="center"/>
          </w:tcPr>
          <w:p w14:paraId="291DE5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1.符合IEC60914、GBT15381-94国际标准；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2.采用全数字会议技术，基于数字网络架构开发，内置高性能CPU处理器，处理速度更快，音质更佳，支持讨论、视像跟踪功能；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3.高性能开关电源供电，长距离传输对音质不会有任何影响；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4.具有全视角IPS电容显示屏，直观显示和方便调节系统的各项参数；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主机供电 AC110V-220V/50Hz；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5.具有4路8芯话筒单元接口，每路支持25个单元，可接100个单元；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6.单台主机通过扩展电源最多可接128台会议单元，亦可通过会议扩展主机（多个扩展主机之间手拉手串联连接），一套会议系统最多可接入达1200台会议单元；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7.单元采用“手拉手”连接方式，支持热插拔，方便安装和维护；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8.具有多种会议模式： FIFO（先进先出模式）、APPLY（申请模式）、FREE（自由模式）、LIMIT（限制模式）、VOICE（声控模式）；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9.发言人数限制功能：可以限定最多同时发言的单元数量，主席单元不受限制；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10.发言时间限制功能：可以限定发言单元的发言时间，并有定时关闭和自动关闭两种模式，主席单元不受限制；</w:t>
            </w:r>
          </w:p>
        </w:tc>
        <w:tc>
          <w:tcPr>
            <w:tcW w:w="255" w:type="pct"/>
            <w:shd w:val="clear" w:color="auto" w:fill="auto"/>
            <w:noWrap/>
            <w:vAlign w:val="center"/>
          </w:tcPr>
          <w:p w14:paraId="0CAB4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69F81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BEF92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C7A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blHeader/>
          <w:jc w:val="center"/>
        </w:trPr>
        <w:tc>
          <w:tcPr>
            <w:tcW w:w="269" w:type="pct"/>
            <w:shd w:val="clear" w:color="auto" w:fill="auto"/>
            <w:noWrap/>
            <w:vAlign w:val="center"/>
          </w:tcPr>
          <w:p w14:paraId="07039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2FD1E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主席单元</w:t>
            </w:r>
          </w:p>
        </w:tc>
        <w:tc>
          <w:tcPr>
            <w:tcW w:w="2879" w:type="pct"/>
            <w:shd w:val="clear" w:color="auto" w:fill="auto"/>
            <w:vAlign w:val="center"/>
          </w:tcPr>
          <w:p w14:paraId="38C28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1.工作电压 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2.输入、输出 DIN-8P或CAT6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3.输入：心形指向性驻极体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 -46 dBV/Pa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5.频率响应 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6.输入阻抗 2 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7.方向性0°/180° 0°/180° &gt; 20 dB (1 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8.等效噪声 20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9.话筒最大声压级 125 dB (THD&lt;3%)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10.信噪比 S/N  ＞80dB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11.通道串音 ＞80dB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12.总谐波失真 T.H.D ＜0.05%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13.显示屏 2.4 IPS TFT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14.耳机接口 3.5mm ×1</w:t>
            </w:r>
          </w:p>
        </w:tc>
        <w:tc>
          <w:tcPr>
            <w:tcW w:w="255" w:type="pct"/>
            <w:shd w:val="clear" w:color="auto" w:fill="auto"/>
            <w:noWrap/>
            <w:vAlign w:val="center"/>
          </w:tcPr>
          <w:p w14:paraId="1C29C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1只</w:t>
            </w:r>
          </w:p>
        </w:tc>
        <w:tc>
          <w:tcPr>
            <w:tcW w:w="391" w:type="pct"/>
            <w:shd w:val="clear" w:color="auto" w:fill="auto"/>
            <w:noWrap/>
            <w:vAlign w:val="center"/>
          </w:tcPr>
          <w:p w14:paraId="2B51C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01C4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CEE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blHeader/>
          <w:jc w:val="center"/>
        </w:trPr>
        <w:tc>
          <w:tcPr>
            <w:tcW w:w="269" w:type="pct"/>
            <w:shd w:val="clear" w:color="auto" w:fill="auto"/>
            <w:noWrap/>
            <w:vAlign w:val="center"/>
          </w:tcPr>
          <w:p w14:paraId="2F8CC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5D8FB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客席单元</w:t>
            </w:r>
          </w:p>
        </w:tc>
        <w:tc>
          <w:tcPr>
            <w:tcW w:w="2879" w:type="pct"/>
            <w:shd w:val="clear" w:color="auto" w:fill="auto"/>
            <w:vAlign w:val="center"/>
          </w:tcPr>
          <w:p w14:paraId="78BD98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1.工作电压 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2.输入、输出 DIN-8P或CAT6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3.输入：心形指向性驻极体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4.灵敏度 -46 dBV/Pa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5.频率响应 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6.输入阻抗 2 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7.方向性0°/180° 0°/180° &gt; 20 dB (1 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8.等效噪声 20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9.话筒最大声压级 125 dB (THD&lt;3%)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10.信噪比 S/N  ＞80dB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11.通道串音 ＞80dB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12.总谐波失真 T.H.D ＜0.05%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13.显示屏 2.4 IPS TFT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14.耳机接口 3.5mm ×1</w:t>
            </w:r>
          </w:p>
        </w:tc>
        <w:tc>
          <w:tcPr>
            <w:tcW w:w="255" w:type="pct"/>
            <w:shd w:val="clear" w:color="auto" w:fill="auto"/>
            <w:noWrap/>
            <w:vAlign w:val="center"/>
          </w:tcPr>
          <w:p w14:paraId="0D810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7只</w:t>
            </w:r>
          </w:p>
        </w:tc>
        <w:tc>
          <w:tcPr>
            <w:tcW w:w="391" w:type="pct"/>
            <w:shd w:val="clear" w:color="auto" w:fill="auto"/>
            <w:noWrap/>
            <w:vAlign w:val="center"/>
          </w:tcPr>
          <w:p w14:paraId="61E2E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16A7A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B99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5B67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50B5C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控制主线</w:t>
            </w:r>
          </w:p>
        </w:tc>
        <w:tc>
          <w:tcPr>
            <w:tcW w:w="2879" w:type="pct"/>
            <w:shd w:val="clear" w:color="auto" w:fill="auto"/>
            <w:vAlign w:val="center"/>
          </w:tcPr>
          <w:p w14:paraId="1C0B1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1.用于延长主机和话筒单元之间的距离；                                                                         2.长度：20米 8芯DIN专用线，带屏蔽。</w:t>
            </w:r>
          </w:p>
        </w:tc>
        <w:tc>
          <w:tcPr>
            <w:tcW w:w="255" w:type="pct"/>
            <w:shd w:val="clear" w:color="auto" w:fill="auto"/>
            <w:noWrap/>
            <w:vAlign w:val="center"/>
          </w:tcPr>
          <w:p w14:paraId="7E80C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w:t>
            </w:r>
          </w:p>
        </w:tc>
        <w:tc>
          <w:tcPr>
            <w:tcW w:w="391" w:type="pct"/>
            <w:shd w:val="clear" w:color="auto" w:fill="auto"/>
            <w:noWrap/>
            <w:vAlign w:val="center"/>
          </w:tcPr>
          <w:p w14:paraId="42909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82D5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99A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785E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5C6F9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会议系统专用地插盒</w:t>
            </w:r>
          </w:p>
        </w:tc>
        <w:tc>
          <w:tcPr>
            <w:tcW w:w="2879" w:type="pct"/>
            <w:shd w:val="clear" w:color="auto" w:fill="auto"/>
            <w:vAlign w:val="center"/>
          </w:tcPr>
          <w:p w14:paraId="4B582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1、铜质面板，翻盖式；                                                                                              2、模块：一个3孔电源模块、一个2孔电源模块；1个HDMI模块、1个网络模块、1组音频模块。</w:t>
            </w:r>
          </w:p>
        </w:tc>
        <w:tc>
          <w:tcPr>
            <w:tcW w:w="255" w:type="pct"/>
            <w:shd w:val="clear" w:color="auto" w:fill="auto"/>
            <w:noWrap/>
            <w:vAlign w:val="center"/>
          </w:tcPr>
          <w:p w14:paraId="21FE4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391" w:type="pct"/>
            <w:shd w:val="clear" w:color="auto" w:fill="auto"/>
            <w:noWrap/>
            <w:vAlign w:val="center"/>
          </w:tcPr>
          <w:p w14:paraId="77777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7791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71C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1C6AC4C">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(三)、显示部分</w:t>
            </w:r>
          </w:p>
        </w:tc>
      </w:tr>
      <w:tr w14:paraId="6F1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0" w:hRule="atLeast"/>
          <w:tblHeader/>
          <w:jc w:val="center"/>
        </w:trPr>
        <w:tc>
          <w:tcPr>
            <w:tcW w:w="269" w:type="pct"/>
            <w:shd w:val="clear" w:color="auto" w:fill="auto"/>
            <w:noWrap/>
            <w:vAlign w:val="center"/>
          </w:tcPr>
          <w:p w14:paraId="3EAD4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17626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室内P2.5全彩屏</w:t>
            </w:r>
          </w:p>
        </w:tc>
        <w:tc>
          <w:tcPr>
            <w:tcW w:w="2879" w:type="pct"/>
            <w:shd w:val="clear" w:color="auto" w:fill="auto"/>
            <w:vAlign w:val="center"/>
          </w:tcPr>
          <w:p w14:paraId="6FEF3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1.像素点间距：≤2.5mm、尺寸为：5.44*2.72=14.8m²；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2、像素密度：≥160000 Dots/m2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3、平均功耗：≤120W/m²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4、最大电流：≤5A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5、峰值功耗：≤300W/m²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6、整屏平整度：≤0.04mm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7、模组平整度：≤0.03mm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8、色域空间：≥120% NTSC，LED显示屏ColorSPace覆盖率≥170%YUV(PAL)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9、白平衡亮度：≥600Cd/m²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10、亮度均匀性：≥99%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11、色度均匀性：±0.001Cx、Cy内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12、电流增益：电流增益调节范围：1%～199%电流增益调节级别≥8位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13、水平视角：≥170°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14、垂直视角：≥170°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15、对比度：≥8000：1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16、刷新率：≥1920Hz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17、像素失控率：&lt;1/100000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18、发光点中心偏距：＜0.8%</w:t>
            </w:r>
          </w:p>
        </w:tc>
        <w:tc>
          <w:tcPr>
            <w:tcW w:w="255" w:type="pct"/>
            <w:shd w:val="clear" w:color="auto" w:fill="auto"/>
            <w:noWrap/>
            <w:vAlign w:val="center"/>
          </w:tcPr>
          <w:p w14:paraId="726BD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391" w:type="pct"/>
            <w:shd w:val="clear" w:color="auto" w:fill="auto"/>
            <w:noWrap/>
            <w:vAlign w:val="center"/>
          </w:tcPr>
          <w:p w14:paraId="7DD04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8D0F2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BDD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8D56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20361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钢结构及不锈钢包边</w:t>
            </w:r>
          </w:p>
        </w:tc>
        <w:tc>
          <w:tcPr>
            <w:tcW w:w="2879" w:type="pct"/>
            <w:shd w:val="clear" w:color="auto" w:fill="auto"/>
            <w:vAlign w:val="center"/>
          </w:tcPr>
          <w:p w14:paraId="21457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尺寸：5.44m*2.72m；含屏体安装支架和哑光不锈钢包边。</w:t>
            </w:r>
          </w:p>
        </w:tc>
        <w:tc>
          <w:tcPr>
            <w:tcW w:w="255" w:type="pct"/>
            <w:shd w:val="clear" w:color="auto" w:fill="auto"/>
            <w:noWrap/>
            <w:vAlign w:val="center"/>
          </w:tcPr>
          <w:p w14:paraId="1C71F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391" w:type="pct"/>
            <w:shd w:val="clear" w:color="auto" w:fill="auto"/>
            <w:noWrap/>
            <w:vAlign w:val="center"/>
          </w:tcPr>
          <w:p w14:paraId="3D2CE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CB44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B02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1BE1C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6EEFF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通用播放软件</w:t>
            </w:r>
          </w:p>
        </w:tc>
        <w:tc>
          <w:tcPr>
            <w:tcW w:w="2879" w:type="pct"/>
            <w:shd w:val="clear" w:color="auto" w:fill="auto"/>
            <w:vAlign w:val="center"/>
          </w:tcPr>
          <w:p w14:paraId="1A09B7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1.用于LED显示屏控制和播放的专业软件；                                                                             2.支持视频、音频、图像、文字、Flash、Gif 等形式的媒体文件播放；                                                      3.支持 Microsoft office 的 Word、Excel、PPT 显示;                                                             4.支持时钟、计时、天气预报显示；                                                                                     5.支持外部视频信号(TV、AV、S-Video、复合视频)播放;                                                                  6.支持多页面多分区节目编辑；</w:t>
            </w:r>
          </w:p>
        </w:tc>
        <w:tc>
          <w:tcPr>
            <w:tcW w:w="255" w:type="pct"/>
            <w:shd w:val="clear" w:color="auto" w:fill="auto"/>
            <w:noWrap/>
            <w:vAlign w:val="center"/>
          </w:tcPr>
          <w:p w14:paraId="171BB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56427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6B5D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4D8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0" w:hRule="atLeast"/>
          <w:tblHeader/>
          <w:jc w:val="center"/>
        </w:trPr>
        <w:tc>
          <w:tcPr>
            <w:tcW w:w="269" w:type="pct"/>
            <w:shd w:val="clear" w:color="auto" w:fill="auto"/>
            <w:noWrap/>
            <w:vAlign w:val="center"/>
          </w:tcPr>
          <w:p w14:paraId="0AB3A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4CEBE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同步控制系统</w:t>
            </w:r>
          </w:p>
        </w:tc>
        <w:tc>
          <w:tcPr>
            <w:tcW w:w="2879" w:type="pct"/>
            <w:shd w:val="clear" w:color="auto" w:fill="auto"/>
            <w:vAlign w:val="center"/>
          </w:tcPr>
          <w:p w14:paraId="007E3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1.集成12个HUB75；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2.单卡最大带载192×1024像素，最多支持24组并行数据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3.支持8bit色深视频源输入输出，单色灰阶为256，可搭配出16777216种混合色彩。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4.支持自适应帧率技术，不仅支持23.98/24/29.97/30/50/59.94/60Hz常规及非整数帧率，还可输出显示120/240Hz高帧率画面，大幅提升画面流畅度、减少拖影。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5.支持色温调节，提供调整色温，即饱和度调节，增强画面表现力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6.支持低亮高灰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7.支持亮色度逐点校正，能有效消除灯点色差，保证整屏的颜色亮度的均匀性和一致性，提升整体显示效果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8.支持箱体标定和快速标序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9.支持画面旋转，单个箱体画面以90°/180°/270°角度进行旋转，配合部分主控可实现单箱体画面任意角度旋转显示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10.支持数据偏移，支持误码侦测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11.支持环路备份，支持固件备份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12.8bit精度的色度，亮度一体化逐点校正，能有效消除灯点色差，保证整屏的颜色亮度的均匀性和一致性，提升整体显示效果。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13.支持一帧延迟，发送端到显示端延迟达到一帧，解决系统延迟导致的画面不同步问题；</w:t>
            </w:r>
          </w:p>
        </w:tc>
        <w:tc>
          <w:tcPr>
            <w:tcW w:w="255" w:type="pct"/>
            <w:shd w:val="clear" w:color="auto" w:fill="auto"/>
            <w:noWrap/>
            <w:vAlign w:val="center"/>
          </w:tcPr>
          <w:p w14:paraId="39509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3D451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8CDBB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A76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0" w:hRule="atLeast"/>
          <w:tblHeader/>
          <w:jc w:val="center"/>
        </w:trPr>
        <w:tc>
          <w:tcPr>
            <w:tcW w:w="269" w:type="pct"/>
            <w:shd w:val="clear" w:color="auto" w:fill="auto"/>
            <w:noWrap/>
            <w:vAlign w:val="center"/>
          </w:tcPr>
          <w:p w14:paraId="3E0A9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2B39E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2879" w:type="pct"/>
            <w:shd w:val="clear" w:color="auto" w:fill="auto"/>
            <w:vAlign w:val="center"/>
          </w:tcPr>
          <w:p w14:paraId="3460F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1.最大1920X1200@60Hz 输入分辨率；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2.最大带载390万像素，6路千兆网口输出；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3.最宽8192像素点或最高4096像素点；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4.支持4路信号输入：1xHDMI1.4，2xDVI，1xSDI；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5.支持单机或双机冗余备份；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6.支持1路独立音频输入，1路独立音频输出；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7.支持3画面显示，位置、大小可自由调节；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8.支持视频信号任意切换，裁剪，拼接，缩放；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9.支持HDCP高带宽数字内容保护技术；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10.支持亮度和色温调节；                                                      11.支持低亮高灰，能有效地保持低亮下灰阶的完整显示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12.支持自动倍频，可以将输入信号转成60Hz信号输出，提高画面显示效果，信号最高帧率可达 100Hz；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13.支持屏幕除湿功能，通过自定义设置预热屏幕减少屏幕水汽，可以减少死灯、短路、暗亮等问题，延长显示屏使用寿命.</w:t>
            </w:r>
          </w:p>
        </w:tc>
        <w:tc>
          <w:tcPr>
            <w:tcW w:w="255" w:type="pct"/>
            <w:shd w:val="clear" w:color="auto" w:fill="auto"/>
            <w:noWrap/>
            <w:vAlign w:val="center"/>
          </w:tcPr>
          <w:p w14:paraId="78DA5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71EEA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A4C1A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DF7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7BCE2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13195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管理工作站</w:t>
            </w:r>
          </w:p>
        </w:tc>
        <w:tc>
          <w:tcPr>
            <w:tcW w:w="2879" w:type="pct"/>
            <w:shd w:val="clear" w:color="auto" w:fill="auto"/>
            <w:vAlign w:val="center"/>
          </w:tcPr>
          <w:p w14:paraId="25979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2.内存容量：8GB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3.硬盘容量：128 SSD +1TB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4.支持一机双屏显示，音频：集成有线网卡：1000Mbps以太网卡数据接口：USB3.0+USB2.0、VGA、HDMI、RJ4511。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5.防水键盘、光电鼠标、21.5寸屏幕</w:t>
            </w:r>
          </w:p>
        </w:tc>
        <w:tc>
          <w:tcPr>
            <w:tcW w:w="255" w:type="pct"/>
            <w:shd w:val="clear" w:color="auto" w:fill="auto"/>
            <w:noWrap/>
            <w:vAlign w:val="center"/>
          </w:tcPr>
          <w:p w14:paraId="3DE9B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3F03E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31BFE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E92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63FE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42D7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智能配电柜</w:t>
            </w:r>
          </w:p>
        </w:tc>
        <w:tc>
          <w:tcPr>
            <w:tcW w:w="2879" w:type="pct"/>
            <w:shd w:val="clear" w:color="auto" w:fill="auto"/>
            <w:vAlign w:val="center"/>
          </w:tcPr>
          <w:p w14:paraId="02B39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1.屏体手动一键启动、关闭；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2.可以历史记录，发送工作时间；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3.具有分步顺时针上电、分步逆时针断电功能</w:t>
            </w:r>
          </w:p>
        </w:tc>
        <w:tc>
          <w:tcPr>
            <w:tcW w:w="255" w:type="pct"/>
            <w:shd w:val="clear" w:color="auto" w:fill="auto"/>
            <w:noWrap/>
            <w:vAlign w:val="center"/>
          </w:tcPr>
          <w:p w14:paraId="19E1A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0B85E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BCBC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206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E815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546E5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2879" w:type="pct"/>
            <w:shd w:val="clear" w:color="auto" w:fill="auto"/>
            <w:vAlign w:val="center"/>
          </w:tcPr>
          <w:p w14:paraId="00B14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安装辅材：高清线、信号线、胶布、扎带、HDMI线缆等。</w:t>
            </w:r>
          </w:p>
        </w:tc>
        <w:tc>
          <w:tcPr>
            <w:tcW w:w="255" w:type="pct"/>
            <w:shd w:val="clear" w:color="auto" w:fill="auto"/>
            <w:noWrap/>
            <w:vAlign w:val="center"/>
          </w:tcPr>
          <w:p w14:paraId="00588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w:t>
            </w:r>
          </w:p>
        </w:tc>
        <w:tc>
          <w:tcPr>
            <w:tcW w:w="391" w:type="pct"/>
            <w:shd w:val="clear" w:color="auto" w:fill="auto"/>
            <w:noWrap/>
            <w:vAlign w:val="center"/>
          </w:tcPr>
          <w:p w14:paraId="32436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8824E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E13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C1C2993">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四、视频监控系统</w:t>
            </w:r>
          </w:p>
        </w:tc>
      </w:tr>
      <w:tr w14:paraId="4C91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10C58EEC">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(一)、前端设备</w:t>
            </w:r>
          </w:p>
        </w:tc>
      </w:tr>
      <w:tr w14:paraId="5A1A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blHeader/>
          <w:jc w:val="center"/>
        </w:trPr>
        <w:tc>
          <w:tcPr>
            <w:tcW w:w="269" w:type="pct"/>
            <w:shd w:val="clear" w:color="auto" w:fill="auto"/>
            <w:noWrap/>
            <w:vAlign w:val="center"/>
          </w:tcPr>
          <w:p w14:paraId="63894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6DBE9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网络半球摄像机</w:t>
            </w:r>
          </w:p>
        </w:tc>
        <w:tc>
          <w:tcPr>
            <w:tcW w:w="2879" w:type="pct"/>
            <w:shd w:val="clear" w:color="auto" w:fill="auto"/>
            <w:vAlign w:val="center"/>
          </w:tcPr>
          <w:p w14:paraId="73C29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1.支持智能动检（人形）；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采用高性能不低于 400 万像素 1/2.9 英寸 CMOS 图像传感器，低照度效果好，图像清晰度高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 H.265 编码，压缩比高，实现超低码流传输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4.内置高效暖光灯，红外补光灯，最大红外监控距离 50 米，暖光监控距离 30米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5.支持宽动态，3D 降噪，强光抑制，背光补偿，数字水印，适用不同监控环境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 ROI，SMART H.264/H.265，灵活编码，适用不同带宽和存储环境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内置 1个 MIC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 DC12V/PoE 供电方式；方便工程安装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 IP67 防护等级</w:t>
            </w:r>
          </w:p>
        </w:tc>
        <w:tc>
          <w:tcPr>
            <w:tcW w:w="255" w:type="pct"/>
            <w:shd w:val="clear" w:color="auto" w:fill="auto"/>
            <w:noWrap/>
            <w:vAlign w:val="center"/>
          </w:tcPr>
          <w:p w14:paraId="4A4EA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73台</w:t>
            </w:r>
          </w:p>
        </w:tc>
        <w:tc>
          <w:tcPr>
            <w:tcW w:w="391" w:type="pct"/>
            <w:shd w:val="clear" w:color="auto" w:fill="auto"/>
            <w:noWrap/>
            <w:vAlign w:val="center"/>
          </w:tcPr>
          <w:p w14:paraId="2072B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09BA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52F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70" w:hRule="atLeast"/>
          <w:tblHeader/>
          <w:jc w:val="center"/>
        </w:trPr>
        <w:tc>
          <w:tcPr>
            <w:tcW w:w="269" w:type="pct"/>
            <w:shd w:val="clear" w:color="auto" w:fill="auto"/>
            <w:noWrap/>
            <w:vAlign w:val="center"/>
          </w:tcPr>
          <w:p w14:paraId="4657B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60F01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网络半球摄像机</w:t>
            </w:r>
          </w:p>
        </w:tc>
        <w:tc>
          <w:tcPr>
            <w:tcW w:w="2879" w:type="pct"/>
            <w:shd w:val="clear" w:color="auto" w:fill="auto"/>
            <w:vAlign w:val="center"/>
          </w:tcPr>
          <w:p w14:paraId="3391F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35"/>
                <w:lang w:val="en-US" w:eastAsia="zh-CN" w:bidi="ar"/>
              </w:rPr>
              <w:t>1.支持绊线入侵，区域入侵；</w:t>
            </w:r>
            <w:r>
              <w:rPr>
                <w:rStyle w:val="335"/>
                <w:lang w:val="en-US" w:eastAsia="zh-CN" w:bidi="ar"/>
              </w:rPr>
              <w:br w:type="textWrapping"/>
            </w:r>
            <w:r>
              <w:rPr>
                <w:rStyle w:val="336"/>
                <w:rFonts w:eastAsia="宋体"/>
                <w:lang w:val="en-US" w:eastAsia="zh-CN" w:bidi="ar"/>
              </w:rPr>
              <w:t>2.</w:t>
            </w:r>
            <w:r>
              <w:rPr>
                <w:rStyle w:val="335"/>
                <w:lang w:val="en-US" w:eastAsia="zh-CN" w:bidi="ar"/>
              </w:rPr>
              <w:t xml:space="preserve"> 采用高性能 400 万像素 1/3 英寸 CMOS 图像传感器，低照度效果好，图像清</w:t>
            </w:r>
            <w:r>
              <w:rPr>
                <w:rStyle w:val="335"/>
                <w:lang w:val="en-US" w:eastAsia="zh-CN" w:bidi="ar"/>
              </w:rPr>
              <w:br w:type="textWrapping"/>
            </w:r>
            <w:r>
              <w:rPr>
                <w:rStyle w:val="335"/>
                <w:lang w:val="en-US" w:eastAsia="zh-CN" w:bidi="ar"/>
              </w:rPr>
              <w:t>晰度高；</w:t>
            </w:r>
            <w:r>
              <w:rPr>
                <w:rStyle w:val="335"/>
                <w:lang w:val="en-US" w:eastAsia="zh-CN" w:bidi="ar"/>
              </w:rPr>
              <w:br w:type="textWrapping"/>
            </w:r>
            <w:r>
              <w:rPr>
                <w:rStyle w:val="336"/>
                <w:rFonts w:eastAsia="宋体"/>
                <w:lang w:val="en-US" w:eastAsia="zh-CN" w:bidi="ar"/>
              </w:rPr>
              <w:t>3.</w:t>
            </w:r>
            <w:r>
              <w:rPr>
                <w:rStyle w:val="335"/>
                <w:lang w:val="en-US" w:eastAsia="zh-CN" w:bidi="ar"/>
              </w:rPr>
              <w:t xml:space="preserve"> 可输出 400 万(2560×1440)@25fps，最大可输出 400 万(2688×1520)@20fps；</w:t>
            </w:r>
            <w:r>
              <w:rPr>
                <w:rStyle w:val="335"/>
                <w:lang w:val="en-US" w:eastAsia="zh-CN" w:bidi="ar"/>
              </w:rPr>
              <w:br w:type="textWrapping"/>
            </w:r>
            <w:r>
              <w:rPr>
                <w:rStyle w:val="336"/>
                <w:rFonts w:eastAsia="宋体"/>
                <w:lang w:val="en-US" w:eastAsia="zh-CN" w:bidi="ar"/>
              </w:rPr>
              <w:t>4.</w:t>
            </w:r>
            <w:r>
              <w:rPr>
                <w:rStyle w:val="335"/>
                <w:lang w:val="en-US" w:eastAsia="zh-CN" w:bidi="ar"/>
              </w:rPr>
              <w:t xml:space="preserve"> 支持 H.265 编码，压缩比高，实现超低码流传输；</w:t>
            </w:r>
            <w:r>
              <w:rPr>
                <w:rStyle w:val="335"/>
                <w:lang w:val="en-US" w:eastAsia="zh-CN" w:bidi="ar"/>
              </w:rPr>
              <w:br w:type="textWrapping"/>
            </w:r>
            <w:r>
              <w:rPr>
                <w:rStyle w:val="336"/>
                <w:rFonts w:eastAsia="宋体"/>
                <w:lang w:val="en-US" w:eastAsia="zh-CN" w:bidi="ar"/>
              </w:rPr>
              <w:t>5.</w:t>
            </w:r>
            <w:r>
              <w:rPr>
                <w:rStyle w:val="335"/>
                <w:lang w:val="en-US" w:eastAsia="zh-CN" w:bidi="ar"/>
              </w:rPr>
              <w:t>内置高效红外补光灯，最大红外监控距离 30 米；</w:t>
            </w:r>
            <w:r>
              <w:rPr>
                <w:rStyle w:val="335"/>
                <w:lang w:val="en-US" w:eastAsia="zh-CN" w:bidi="ar"/>
              </w:rPr>
              <w:br w:type="textWrapping"/>
            </w:r>
            <w:r>
              <w:rPr>
                <w:rStyle w:val="336"/>
                <w:rFonts w:eastAsia="宋体"/>
                <w:lang w:val="en-US" w:eastAsia="zh-CN" w:bidi="ar"/>
              </w:rPr>
              <w:t>6.</w:t>
            </w:r>
            <w:r>
              <w:rPr>
                <w:rStyle w:val="335"/>
                <w:lang w:val="en-US" w:eastAsia="zh-CN" w:bidi="ar"/>
              </w:rPr>
              <w:t xml:space="preserve"> 支持走廊模式，宽动态，3D 降噪，强光抑制，背光补偿，数字水印，适用不</w:t>
            </w:r>
            <w:r>
              <w:rPr>
                <w:rStyle w:val="335"/>
                <w:lang w:val="en-US" w:eastAsia="zh-CN" w:bidi="ar"/>
              </w:rPr>
              <w:br w:type="textWrapping"/>
            </w:r>
            <w:r>
              <w:rPr>
                <w:rStyle w:val="335"/>
                <w:lang w:val="en-US" w:eastAsia="zh-CN" w:bidi="ar"/>
              </w:rPr>
              <w:t>同监控环境；</w:t>
            </w:r>
            <w:r>
              <w:rPr>
                <w:rStyle w:val="335"/>
                <w:lang w:val="en-US" w:eastAsia="zh-CN" w:bidi="ar"/>
              </w:rPr>
              <w:br w:type="textWrapping"/>
            </w:r>
            <w:r>
              <w:rPr>
                <w:rStyle w:val="336"/>
                <w:rFonts w:eastAsia="宋体"/>
                <w:lang w:val="en-US" w:eastAsia="zh-CN" w:bidi="ar"/>
              </w:rPr>
              <w:t>7.</w:t>
            </w:r>
            <w:r>
              <w:rPr>
                <w:rStyle w:val="335"/>
                <w:lang w:val="en-US" w:eastAsia="zh-CN" w:bidi="ar"/>
              </w:rPr>
              <w:t xml:space="preserve"> 支持 ROI，SMART H.264/H.265，灵活编码，适用不同带宽和存储环境；</w:t>
            </w:r>
            <w:r>
              <w:rPr>
                <w:rStyle w:val="335"/>
                <w:lang w:val="en-US" w:eastAsia="zh-CN" w:bidi="ar"/>
              </w:rPr>
              <w:br w:type="textWrapping"/>
            </w:r>
            <w:r>
              <w:rPr>
                <w:rStyle w:val="336"/>
                <w:rFonts w:eastAsia="宋体"/>
                <w:lang w:val="en-US" w:eastAsia="zh-CN" w:bidi="ar"/>
              </w:rPr>
              <w:t>8.</w:t>
            </w:r>
            <w:r>
              <w:rPr>
                <w:rStyle w:val="335"/>
                <w:lang w:val="en-US" w:eastAsia="zh-CN" w:bidi="ar"/>
              </w:rPr>
              <w:t>支持报警 2 进 2 出，音频 1 进 1 出，最大支持 256G Micro SD 卡；</w:t>
            </w:r>
            <w:r>
              <w:rPr>
                <w:rStyle w:val="335"/>
                <w:lang w:val="en-US" w:eastAsia="zh-CN" w:bidi="ar"/>
              </w:rPr>
              <w:br w:type="textWrapping"/>
            </w:r>
            <w:r>
              <w:rPr>
                <w:rStyle w:val="336"/>
                <w:rFonts w:eastAsia="宋体"/>
                <w:lang w:val="en-US" w:eastAsia="zh-CN" w:bidi="ar"/>
              </w:rPr>
              <w:t>9.</w:t>
            </w:r>
            <w:r>
              <w:rPr>
                <w:rStyle w:val="335"/>
                <w:lang w:val="en-US" w:eastAsia="zh-CN" w:bidi="ar"/>
              </w:rPr>
              <w:t>支持麦克风；</w:t>
            </w:r>
            <w:r>
              <w:rPr>
                <w:rStyle w:val="335"/>
                <w:lang w:val="en-US" w:eastAsia="zh-CN" w:bidi="ar"/>
              </w:rPr>
              <w:br w:type="textWrapping"/>
            </w:r>
            <w:r>
              <w:rPr>
                <w:rStyle w:val="336"/>
                <w:rFonts w:eastAsia="宋体"/>
                <w:lang w:val="en-US" w:eastAsia="zh-CN" w:bidi="ar"/>
              </w:rPr>
              <w:t>10</w:t>
            </w:r>
            <w:r>
              <w:rPr>
                <w:rStyle w:val="335"/>
                <w:lang w:val="en-US" w:eastAsia="zh-CN" w:bidi="ar"/>
              </w:rPr>
              <w:t>支持 DC12V/PoE 供电方式，支持 12V 电源返送，最大电流 165mA,方便工程安</w:t>
            </w:r>
            <w:r>
              <w:rPr>
                <w:rStyle w:val="335"/>
                <w:lang w:val="en-US" w:eastAsia="zh-CN" w:bidi="ar"/>
              </w:rPr>
              <w:br w:type="textWrapping"/>
            </w:r>
            <w:r>
              <w:rPr>
                <w:rStyle w:val="335"/>
                <w:lang w:val="en-US" w:eastAsia="zh-CN" w:bidi="ar"/>
              </w:rPr>
              <w:t>装；</w:t>
            </w:r>
            <w:r>
              <w:rPr>
                <w:rStyle w:val="335"/>
                <w:lang w:val="en-US" w:eastAsia="zh-CN" w:bidi="ar"/>
              </w:rPr>
              <w:br w:type="textWrapping"/>
            </w:r>
            <w:r>
              <w:rPr>
                <w:rStyle w:val="336"/>
                <w:rFonts w:eastAsia="宋体"/>
                <w:lang w:val="en-US" w:eastAsia="zh-CN" w:bidi="ar"/>
              </w:rPr>
              <w:t>11</w:t>
            </w:r>
            <w:r>
              <w:rPr>
                <w:rStyle w:val="335"/>
                <w:lang w:val="en-US" w:eastAsia="zh-CN" w:bidi="ar"/>
              </w:rPr>
              <w:t xml:space="preserve"> 支持 IP67、IK10 防护等级.</w:t>
            </w:r>
          </w:p>
        </w:tc>
        <w:tc>
          <w:tcPr>
            <w:tcW w:w="255" w:type="pct"/>
            <w:shd w:val="clear" w:color="auto" w:fill="auto"/>
            <w:noWrap/>
            <w:vAlign w:val="center"/>
          </w:tcPr>
          <w:p w14:paraId="2728A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17台</w:t>
            </w:r>
          </w:p>
        </w:tc>
        <w:tc>
          <w:tcPr>
            <w:tcW w:w="391" w:type="pct"/>
            <w:shd w:val="clear" w:color="auto" w:fill="auto"/>
            <w:noWrap/>
            <w:vAlign w:val="center"/>
          </w:tcPr>
          <w:p w14:paraId="605CB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4850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9CF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blHeader/>
          <w:jc w:val="center"/>
        </w:trPr>
        <w:tc>
          <w:tcPr>
            <w:tcW w:w="269" w:type="pct"/>
            <w:shd w:val="clear" w:color="auto" w:fill="auto"/>
            <w:noWrap/>
            <w:vAlign w:val="center"/>
          </w:tcPr>
          <w:p w14:paraId="3001F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74F26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有源拾音器</w:t>
            </w:r>
          </w:p>
        </w:tc>
        <w:tc>
          <w:tcPr>
            <w:tcW w:w="2879" w:type="pct"/>
            <w:shd w:val="clear" w:color="auto" w:fill="auto"/>
            <w:vAlign w:val="center"/>
          </w:tcPr>
          <w:p w14:paraId="65092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1.频率响应: 80Hz-16KHz；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2.灵敏度: -34dB；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 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4.指向特性: 全指向；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5.动态范围: 70dB（1kHz at Max dB SPL）；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6.最大承受音压: 120dB SPL（1 KHz,THD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7.输出阻抗: 最大600 欧姆非平衡；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8.输出信号幅度: 2.5Vpp；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9.麦克风: 震膜电容咪头；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10信号处理: 采用高保真/低噪声处理芯片.</w:t>
            </w:r>
          </w:p>
        </w:tc>
        <w:tc>
          <w:tcPr>
            <w:tcW w:w="255" w:type="pct"/>
            <w:shd w:val="clear" w:color="auto" w:fill="auto"/>
            <w:noWrap/>
            <w:vAlign w:val="center"/>
          </w:tcPr>
          <w:p w14:paraId="63395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17只</w:t>
            </w:r>
          </w:p>
        </w:tc>
        <w:tc>
          <w:tcPr>
            <w:tcW w:w="391" w:type="pct"/>
            <w:shd w:val="clear" w:color="auto" w:fill="auto"/>
            <w:noWrap/>
            <w:vAlign w:val="center"/>
          </w:tcPr>
          <w:p w14:paraId="5C5EF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0B40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10B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blHeader/>
          <w:jc w:val="center"/>
        </w:trPr>
        <w:tc>
          <w:tcPr>
            <w:tcW w:w="269" w:type="pct"/>
            <w:shd w:val="clear" w:color="auto" w:fill="auto"/>
            <w:noWrap/>
            <w:vAlign w:val="center"/>
          </w:tcPr>
          <w:p w14:paraId="5D315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494AF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枪型红外网络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摄像机</w:t>
            </w:r>
          </w:p>
        </w:tc>
        <w:tc>
          <w:tcPr>
            <w:tcW w:w="2879" w:type="pct"/>
            <w:shd w:val="clear" w:color="auto" w:fill="auto"/>
            <w:vAlign w:val="center"/>
          </w:tcPr>
          <w:p w14:paraId="387D72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1.支持智能动检（人形）；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采用高性能不低于400 万像素 1/2.9 英寸 CMOS 图像传感器，低照度效果好，图像清晰度高；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内置高效暖光灯，红外补光灯，红外监控距离50- 60 米，暖光监控距离20-30米；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支持宽动态，3D 降噪，强光抑制，背光补偿，数字水印，适用不同监控环境；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 ROI，SMART H.264/H.265，灵活编码，适用不同带宽和存储环境；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内置 1 个 MIC；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 DC12V/PoE 供电方式；方便工程安装；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支持 IP67 防护等级.</w:t>
            </w:r>
          </w:p>
        </w:tc>
        <w:tc>
          <w:tcPr>
            <w:tcW w:w="255" w:type="pct"/>
            <w:shd w:val="clear" w:color="auto" w:fill="auto"/>
            <w:noWrap/>
            <w:vAlign w:val="center"/>
          </w:tcPr>
          <w:p w14:paraId="2D0BD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41台</w:t>
            </w:r>
          </w:p>
        </w:tc>
        <w:tc>
          <w:tcPr>
            <w:tcW w:w="391" w:type="pct"/>
            <w:shd w:val="clear" w:color="auto" w:fill="auto"/>
            <w:noWrap/>
            <w:vAlign w:val="center"/>
          </w:tcPr>
          <w:p w14:paraId="74FF5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AFE2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E8F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BAD8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2E02B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2879" w:type="pct"/>
            <w:shd w:val="clear" w:color="auto" w:fill="auto"/>
            <w:vAlign w:val="center"/>
          </w:tcPr>
          <w:p w14:paraId="71B4D8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配套壁装支架；铝合金材质。</w:t>
            </w:r>
          </w:p>
        </w:tc>
        <w:tc>
          <w:tcPr>
            <w:tcW w:w="255" w:type="pct"/>
            <w:shd w:val="clear" w:color="auto" w:fill="auto"/>
            <w:noWrap/>
            <w:vAlign w:val="center"/>
          </w:tcPr>
          <w:p w14:paraId="29F71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41套</w:t>
            </w:r>
          </w:p>
        </w:tc>
        <w:tc>
          <w:tcPr>
            <w:tcW w:w="391" w:type="pct"/>
            <w:shd w:val="clear" w:color="auto" w:fill="auto"/>
            <w:noWrap/>
            <w:vAlign w:val="center"/>
          </w:tcPr>
          <w:p w14:paraId="757A9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6A8E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F0C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blHeader/>
          <w:jc w:val="center"/>
        </w:trPr>
        <w:tc>
          <w:tcPr>
            <w:tcW w:w="269" w:type="pct"/>
            <w:shd w:val="clear" w:color="auto" w:fill="auto"/>
            <w:noWrap/>
            <w:vAlign w:val="center"/>
          </w:tcPr>
          <w:p w14:paraId="130C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3B84A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人脸识别摄像机</w:t>
            </w:r>
          </w:p>
        </w:tc>
        <w:tc>
          <w:tcPr>
            <w:tcW w:w="2879" w:type="pct"/>
            <w:shd w:val="clear" w:color="auto" w:fill="auto"/>
            <w:vAlign w:val="center"/>
          </w:tcPr>
          <w:p w14:paraId="50800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1.支持智能动检（人形）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2.采用高性能不低于 600 万像素 1/2.9 英寸 CMOS 图像传感器，低照度效果好，图像清晰度高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 H.265 编码，压缩比高，实现超低码流传输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4.内置高效暖光灯，红外补光灯，红外监控距离50- 60 米，暖光监控距离20-30米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5.支持宽动态，3D 降噪，强光抑制，背光补偿，数字水印，适用不同监控环境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 ROI，SMART H.264/H.265，灵活编码，适用不同带宽和存储环境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 1 个 MIC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 DC12V/PoE 供电方式；方便工程安装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 IP67 防护等级</w:t>
            </w:r>
          </w:p>
        </w:tc>
        <w:tc>
          <w:tcPr>
            <w:tcW w:w="255" w:type="pct"/>
            <w:shd w:val="clear" w:color="auto" w:fill="auto"/>
            <w:noWrap/>
            <w:vAlign w:val="center"/>
          </w:tcPr>
          <w:p w14:paraId="17125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1C7A8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20A5C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0F6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0" w:hRule="atLeast"/>
          <w:tblHeader/>
          <w:jc w:val="center"/>
        </w:trPr>
        <w:tc>
          <w:tcPr>
            <w:tcW w:w="269" w:type="pct"/>
            <w:shd w:val="clear" w:color="auto" w:fill="auto"/>
            <w:noWrap/>
            <w:vAlign w:val="center"/>
          </w:tcPr>
          <w:p w14:paraId="211E1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70D94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电梯网络半球摄像机</w:t>
            </w:r>
          </w:p>
        </w:tc>
        <w:tc>
          <w:tcPr>
            <w:tcW w:w="2879" w:type="pct"/>
            <w:shd w:val="clear" w:color="auto" w:fill="auto"/>
            <w:vAlign w:val="center"/>
          </w:tcPr>
          <w:p w14:paraId="793EB1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1.传感器类型：1/2.9英寸CMOS；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2.像素：不低于400万；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3.最低照度：0.002lux（彩色模式）；0.0002lux（黑白模式）；0lux（补光灯开启）；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4.最大补光距离：不小于10m（红外）；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5.补光灯：1颗（红外灯）；1颗（暖光灯）；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6.镜头焦距：2.1mm；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镜头光圈：F1.6；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7.视场角：水平：130°；垂直：69°；对角：155°；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瓶车入梯：支持对电瓶车进入电梯行为的检测。当电梯内有电瓶车推入触发设定规则时，联动声光报警，实现事中震慑，并联动梯控系统阻止电梯关门，有效干预；支持一个光电式楼层传感器，可检测电梯所在楼层、运行方向和速度，支持电瓶车禁止入梯楼层可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9.智能编码：H.264：支持；H.265：支持；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10.宽动态：120dB；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11.走廊模式：90°/270°.</w:t>
            </w:r>
          </w:p>
        </w:tc>
        <w:tc>
          <w:tcPr>
            <w:tcW w:w="255" w:type="pct"/>
            <w:shd w:val="clear" w:color="auto" w:fill="auto"/>
            <w:noWrap/>
            <w:vAlign w:val="center"/>
          </w:tcPr>
          <w:p w14:paraId="53A69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c>
          <w:tcPr>
            <w:tcW w:w="391" w:type="pct"/>
            <w:shd w:val="clear" w:color="auto" w:fill="auto"/>
            <w:noWrap/>
            <w:vAlign w:val="center"/>
          </w:tcPr>
          <w:p w14:paraId="0D9C2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495BA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E76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blHeader/>
          <w:jc w:val="center"/>
        </w:trPr>
        <w:tc>
          <w:tcPr>
            <w:tcW w:w="269" w:type="pct"/>
            <w:shd w:val="clear" w:color="auto" w:fill="auto"/>
            <w:noWrap/>
            <w:vAlign w:val="center"/>
          </w:tcPr>
          <w:p w14:paraId="3F1BA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25F73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电梯无线网桥</w:t>
            </w:r>
          </w:p>
        </w:tc>
        <w:tc>
          <w:tcPr>
            <w:tcW w:w="2879" w:type="pct"/>
            <w:shd w:val="clear" w:color="auto" w:fill="auto"/>
            <w:vAlign w:val="center"/>
          </w:tcPr>
          <w:p w14:paraId="07799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1.业务端口: 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2.电源模块接口: 1个POE RJ45 LAN RJ45(100Mbps) ；                                                                  3.无线标准: 支持IEEE802.11b/g/n；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4.接收灵敏度: 11b：1Mbps -92dBm；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5.工作频率: 2.4GHz；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6.调制方式: OFDM；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7.天线: 内置定向天线；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8无线方向角: 水平60度，垂直30度.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9.传输距离: 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10.空口速率: 300Mbps.</w:t>
            </w:r>
          </w:p>
        </w:tc>
        <w:tc>
          <w:tcPr>
            <w:tcW w:w="255" w:type="pct"/>
            <w:shd w:val="clear" w:color="auto" w:fill="auto"/>
            <w:noWrap/>
            <w:vAlign w:val="center"/>
          </w:tcPr>
          <w:p w14:paraId="53ED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4对</w:t>
            </w:r>
          </w:p>
        </w:tc>
        <w:tc>
          <w:tcPr>
            <w:tcW w:w="391" w:type="pct"/>
            <w:shd w:val="clear" w:color="auto" w:fill="auto"/>
            <w:noWrap/>
            <w:vAlign w:val="center"/>
          </w:tcPr>
          <w:p w14:paraId="70256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4E92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0DF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0" w:hRule="atLeast"/>
          <w:tblHeader/>
          <w:jc w:val="center"/>
        </w:trPr>
        <w:tc>
          <w:tcPr>
            <w:tcW w:w="269" w:type="pct"/>
            <w:shd w:val="clear" w:color="auto" w:fill="auto"/>
            <w:noWrap/>
            <w:vAlign w:val="center"/>
          </w:tcPr>
          <w:p w14:paraId="17CF9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0E22A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球型摄像机</w:t>
            </w:r>
          </w:p>
        </w:tc>
        <w:tc>
          <w:tcPr>
            <w:tcW w:w="2879" w:type="pct"/>
            <w:shd w:val="clear" w:color="auto" w:fill="auto"/>
            <w:vAlign w:val="center"/>
          </w:tcPr>
          <w:p w14:paraId="10BCC8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1.支持人脸检测；支持人脸轨迹框；支持抓拍；                        2.支持人脸增强；支持人脸抠图区域可设：人脸，单寸照；支持实时抓拍，质量优先二种抓拍策略；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3.支持绊线入侵、区域入侵、穿越围栏、徘徊、物品遗留、物品搬移、快速移动、停车、人员聚集检测；支持人车分类报警；支持联动跟踪；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4.支持32倍光学变倍，16倍数字变倍；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5.采用不低于400万像素1/2.8英寸CMOS传感器；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6.支持星光级超低照度，彩色：0.005Lux@F1.6；黑白：0.0005Lux@F1.6；0Lux，红外灯开启支持H.265编码，实现超低码流传输；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水平方向360°连续旋转，垂直方向-20°～90°自动翻转180°后连续监视,无监视盲区、支持300个预置位，8条巡航路径，5条巡迹路径；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7、支持1路音频输入和1路音频输出；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内置2路报警输入和1路报警输出，支持报警联动功能；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8、支持IP66防护等级，6000V防雷、防浪涌和防突波保护；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9、支持DC24V±25%宽电压输入.</w:t>
            </w:r>
          </w:p>
        </w:tc>
        <w:tc>
          <w:tcPr>
            <w:tcW w:w="255" w:type="pct"/>
            <w:shd w:val="clear" w:color="auto" w:fill="auto"/>
            <w:noWrap/>
            <w:vAlign w:val="center"/>
          </w:tcPr>
          <w:p w14:paraId="37AC2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8台</w:t>
            </w:r>
          </w:p>
        </w:tc>
        <w:tc>
          <w:tcPr>
            <w:tcW w:w="391" w:type="pct"/>
            <w:shd w:val="clear" w:color="auto" w:fill="auto"/>
            <w:noWrap/>
            <w:vAlign w:val="center"/>
          </w:tcPr>
          <w:p w14:paraId="0481A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E0175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EE5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C71F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3" w:type="pct"/>
            <w:shd w:val="clear" w:color="auto" w:fill="auto"/>
            <w:vAlign w:val="center"/>
          </w:tcPr>
          <w:p w14:paraId="0D726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2879" w:type="pct"/>
            <w:shd w:val="clear" w:color="auto" w:fill="auto"/>
            <w:vAlign w:val="center"/>
          </w:tcPr>
          <w:p w14:paraId="74A5F8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配套壁装支架，铝合金材质</w:t>
            </w:r>
          </w:p>
        </w:tc>
        <w:tc>
          <w:tcPr>
            <w:tcW w:w="255" w:type="pct"/>
            <w:shd w:val="clear" w:color="auto" w:fill="auto"/>
            <w:noWrap/>
            <w:vAlign w:val="center"/>
          </w:tcPr>
          <w:p w14:paraId="2607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391" w:type="pct"/>
            <w:shd w:val="clear" w:color="auto" w:fill="auto"/>
            <w:noWrap/>
            <w:vAlign w:val="center"/>
          </w:tcPr>
          <w:p w14:paraId="6D773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E4032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D77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28C8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3" w:type="pct"/>
            <w:shd w:val="clear" w:color="auto" w:fill="auto"/>
            <w:vAlign w:val="center"/>
          </w:tcPr>
          <w:p w14:paraId="096A0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电梯专用摄像机电源</w:t>
            </w:r>
          </w:p>
        </w:tc>
        <w:tc>
          <w:tcPr>
            <w:tcW w:w="2879" w:type="pct"/>
            <w:shd w:val="clear" w:color="auto" w:fill="auto"/>
            <w:vAlign w:val="center"/>
          </w:tcPr>
          <w:p w14:paraId="4F61E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DC12V/2A</w:t>
            </w:r>
          </w:p>
        </w:tc>
        <w:tc>
          <w:tcPr>
            <w:tcW w:w="255" w:type="pct"/>
            <w:shd w:val="clear" w:color="auto" w:fill="auto"/>
            <w:noWrap/>
            <w:vAlign w:val="center"/>
          </w:tcPr>
          <w:p w14:paraId="02833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3台</w:t>
            </w:r>
          </w:p>
        </w:tc>
        <w:tc>
          <w:tcPr>
            <w:tcW w:w="391" w:type="pct"/>
            <w:shd w:val="clear" w:color="auto" w:fill="auto"/>
            <w:noWrap/>
            <w:vAlign w:val="center"/>
          </w:tcPr>
          <w:p w14:paraId="715C4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5138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2C9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E1A8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3" w:type="pct"/>
            <w:shd w:val="clear" w:color="auto" w:fill="auto"/>
            <w:vAlign w:val="center"/>
          </w:tcPr>
          <w:p w14:paraId="4A475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摄像机电源</w:t>
            </w:r>
          </w:p>
        </w:tc>
        <w:tc>
          <w:tcPr>
            <w:tcW w:w="2879" w:type="pct"/>
            <w:shd w:val="clear" w:color="auto" w:fill="auto"/>
            <w:vAlign w:val="center"/>
          </w:tcPr>
          <w:p w14:paraId="40357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DC12V/10A</w:t>
            </w:r>
          </w:p>
        </w:tc>
        <w:tc>
          <w:tcPr>
            <w:tcW w:w="255" w:type="pct"/>
            <w:shd w:val="clear" w:color="auto" w:fill="auto"/>
            <w:noWrap/>
            <w:vAlign w:val="center"/>
          </w:tcPr>
          <w:p w14:paraId="4D58F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30台</w:t>
            </w:r>
          </w:p>
        </w:tc>
        <w:tc>
          <w:tcPr>
            <w:tcW w:w="391" w:type="pct"/>
            <w:shd w:val="clear" w:color="auto" w:fill="auto"/>
            <w:noWrap/>
            <w:vAlign w:val="center"/>
          </w:tcPr>
          <w:p w14:paraId="58AD4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FD72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F93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23DF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83" w:type="pct"/>
            <w:shd w:val="clear" w:color="auto" w:fill="auto"/>
            <w:vAlign w:val="center"/>
          </w:tcPr>
          <w:p w14:paraId="6DBF7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室外监控背包箱</w:t>
            </w:r>
          </w:p>
        </w:tc>
        <w:tc>
          <w:tcPr>
            <w:tcW w:w="2879" w:type="pct"/>
            <w:shd w:val="clear" w:color="auto" w:fill="auto"/>
            <w:vAlign w:val="center"/>
          </w:tcPr>
          <w:p w14:paraId="58C50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混凝土基础安装，定制（400*300，含空开、线槽、接线板等）。</w:t>
            </w:r>
          </w:p>
        </w:tc>
        <w:tc>
          <w:tcPr>
            <w:tcW w:w="255" w:type="pct"/>
            <w:shd w:val="clear" w:color="auto" w:fill="auto"/>
            <w:noWrap/>
            <w:vAlign w:val="center"/>
          </w:tcPr>
          <w:p w14:paraId="529B4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6套</w:t>
            </w:r>
          </w:p>
        </w:tc>
        <w:tc>
          <w:tcPr>
            <w:tcW w:w="391" w:type="pct"/>
            <w:shd w:val="clear" w:color="auto" w:fill="auto"/>
            <w:noWrap/>
            <w:vAlign w:val="center"/>
          </w:tcPr>
          <w:p w14:paraId="1E89E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DB872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55A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685D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83" w:type="pct"/>
            <w:shd w:val="clear" w:color="auto" w:fill="auto"/>
            <w:vAlign w:val="center"/>
          </w:tcPr>
          <w:p w14:paraId="42D24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摄像机立杆</w:t>
            </w:r>
          </w:p>
        </w:tc>
        <w:tc>
          <w:tcPr>
            <w:tcW w:w="2879" w:type="pct"/>
            <w:shd w:val="clear" w:color="auto" w:fill="auto"/>
            <w:vAlign w:val="center"/>
          </w:tcPr>
          <w:p w14:paraId="36C8C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3.5M立杆（含地笼）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接地采用TN-C-S系统，在电源进线处零线作重复接地。在控制箱处制作接地坑，并与接地扁钢连接，接地电阻不超过4欧姆。</w:t>
            </w:r>
          </w:p>
        </w:tc>
        <w:tc>
          <w:tcPr>
            <w:tcW w:w="255" w:type="pct"/>
            <w:shd w:val="clear" w:color="auto" w:fill="auto"/>
            <w:noWrap/>
            <w:vAlign w:val="center"/>
          </w:tcPr>
          <w:p w14:paraId="3A4E3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12根</w:t>
            </w:r>
          </w:p>
        </w:tc>
        <w:tc>
          <w:tcPr>
            <w:tcW w:w="391" w:type="pct"/>
            <w:shd w:val="clear" w:color="auto" w:fill="auto"/>
            <w:noWrap/>
            <w:vAlign w:val="center"/>
          </w:tcPr>
          <w:p w14:paraId="2ECEE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EA18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036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47E2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3" w:type="pct"/>
            <w:shd w:val="clear" w:color="auto" w:fill="auto"/>
            <w:vAlign w:val="center"/>
          </w:tcPr>
          <w:p w14:paraId="71AB8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混泥土基础</w:t>
            </w:r>
          </w:p>
        </w:tc>
        <w:tc>
          <w:tcPr>
            <w:tcW w:w="2879" w:type="pct"/>
            <w:shd w:val="clear" w:color="auto" w:fill="auto"/>
            <w:vAlign w:val="center"/>
          </w:tcPr>
          <w:p w14:paraId="5F277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摄像机立杆安装用，C25混泥土基础.</w:t>
            </w:r>
          </w:p>
        </w:tc>
        <w:tc>
          <w:tcPr>
            <w:tcW w:w="255" w:type="pct"/>
            <w:shd w:val="clear" w:color="auto" w:fill="auto"/>
            <w:noWrap/>
            <w:vAlign w:val="center"/>
          </w:tcPr>
          <w:p w14:paraId="68382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12个</w:t>
            </w:r>
          </w:p>
        </w:tc>
        <w:tc>
          <w:tcPr>
            <w:tcW w:w="391" w:type="pct"/>
            <w:shd w:val="clear" w:color="auto" w:fill="auto"/>
            <w:noWrap/>
            <w:vAlign w:val="center"/>
          </w:tcPr>
          <w:p w14:paraId="4302E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50611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BA1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00C9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83" w:type="pct"/>
            <w:shd w:val="clear" w:color="auto" w:fill="auto"/>
            <w:vAlign w:val="center"/>
          </w:tcPr>
          <w:p w14:paraId="0688C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室外网络防雷器</w:t>
            </w:r>
          </w:p>
        </w:tc>
        <w:tc>
          <w:tcPr>
            <w:tcW w:w="2879" w:type="pct"/>
            <w:shd w:val="clear" w:color="auto" w:fill="auto"/>
            <w:vAlign w:val="center"/>
          </w:tcPr>
          <w:p w14:paraId="23541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二合一；IMAX放电电流 10KA；额定负载电流IL 2A； 传输速率100Mbps；标准释放电流1.5KA。</w:t>
            </w:r>
          </w:p>
        </w:tc>
        <w:tc>
          <w:tcPr>
            <w:tcW w:w="255" w:type="pct"/>
            <w:shd w:val="clear" w:color="auto" w:fill="auto"/>
            <w:noWrap/>
            <w:vAlign w:val="center"/>
          </w:tcPr>
          <w:p w14:paraId="61F72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22对</w:t>
            </w:r>
          </w:p>
        </w:tc>
        <w:tc>
          <w:tcPr>
            <w:tcW w:w="391" w:type="pct"/>
            <w:shd w:val="clear" w:color="auto" w:fill="auto"/>
            <w:noWrap/>
            <w:vAlign w:val="center"/>
          </w:tcPr>
          <w:p w14:paraId="22224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DC7C1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03C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6D611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83" w:type="pct"/>
            <w:shd w:val="clear" w:color="auto" w:fill="auto"/>
            <w:vAlign w:val="center"/>
          </w:tcPr>
          <w:p w14:paraId="43090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8口接入交换机</w:t>
            </w:r>
          </w:p>
        </w:tc>
        <w:tc>
          <w:tcPr>
            <w:tcW w:w="2879" w:type="pct"/>
            <w:shd w:val="clear" w:color="auto" w:fill="auto"/>
            <w:vAlign w:val="center"/>
          </w:tcPr>
          <w:p w14:paraId="494549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1、提供8个千兆电口，2千兆自适应SFP光口；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2、交换容量≥256Gbps，包转发能力≥15Mpps；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3、支持静态路由，rip/ospf动态路由；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4、支持IGMPv1/v2/v3、PIM-SM、PIM-DM，支持组播流量跨VLAN复制功能；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5、支持DHCP snooping，DHCP server，DHCP raleay；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6、支持Console、Telnet、SSH、WEB；</w:t>
            </w:r>
          </w:p>
        </w:tc>
        <w:tc>
          <w:tcPr>
            <w:tcW w:w="255" w:type="pct"/>
            <w:shd w:val="clear" w:color="auto" w:fill="auto"/>
            <w:noWrap/>
            <w:vAlign w:val="center"/>
          </w:tcPr>
          <w:p w14:paraId="76933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6台</w:t>
            </w:r>
          </w:p>
        </w:tc>
        <w:tc>
          <w:tcPr>
            <w:tcW w:w="391" w:type="pct"/>
            <w:shd w:val="clear" w:color="auto" w:fill="auto"/>
            <w:noWrap/>
            <w:vAlign w:val="center"/>
          </w:tcPr>
          <w:p w14:paraId="62A9E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4B50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C1C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4401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3" w:type="pct"/>
            <w:shd w:val="clear" w:color="auto" w:fill="auto"/>
            <w:vAlign w:val="center"/>
          </w:tcPr>
          <w:p w14:paraId="77C6F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2879" w:type="pct"/>
            <w:shd w:val="clear" w:color="auto" w:fill="auto"/>
            <w:vAlign w:val="center"/>
          </w:tcPr>
          <w:p w14:paraId="4CFBB3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1、单模单纤，传输速率：千兆（1000Mbps）；                                                                           2、传输距离：传输距离有10km；                                                                     3、工作波长：通常采用1310nm。</w:t>
            </w:r>
          </w:p>
        </w:tc>
        <w:tc>
          <w:tcPr>
            <w:tcW w:w="255" w:type="pct"/>
            <w:shd w:val="clear" w:color="auto" w:fill="auto"/>
            <w:noWrap/>
            <w:vAlign w:val="center"/>
          </w:tcPr>
          <w:p w14:paraId="75C5B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6对</w:t>
            </w:r>
          </w:p>
        </w:tc>
        <w:tc>
          <w:tcPr>
            <w:tcW w:w="391" w:type="pct"/>
            <w:shd w:val="clear" w:color="auto" w:fill="auto"/>
            <w:noWrap/>
            <w:vAlign w:val="center"/>
          </w:tcPr>
          <w:p w14:paraId="45D3F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1C39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2FA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1F255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83" w:type="pct"/>
            <w:shd w:val="clear" w:color="auto" w:fill="auto"/>
            <w:vAlign w:val="center"/>
          </w:tcPr>
          <w:p w14:paraId="63E67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室外光纤</w:t>
            </w:r>
          </w:p>
        </w:tc>
        <w:tc>
          <w:tcPr>
            <w:tcW w:w="2879" w:type="pct"/>
            <w:shd w:val="clear" w:color="auto" w:fill="auto"/>
            <w:vAlign w:val="center"/>
          </w:tcPr>
          <w:p w14:paraId="17408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1、四芯单模光纤；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2、适用于多芯光纤活动连接器，建筑物内水平布线,也可作为垂直布线  使用、符合标准：YD/T1258.4-2005IEC 60794-2-20/21；                                                                                           3、护套：PVC 材料。</w:t>
            </w:r>
          </w:p>
        </w:tc>
        <w:tc>
          <w:tcPr>
            <w:tcW w:w="255" w:type="pct"/>
            <w:shd w:val="clear" w:color="auto" w:fill="auto"/>
            <w:noWrap/>
            <w:vAlign w:val="center"/>
          </w:tcPr>
          <w:p w14:paraId="7D2D6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2100米</w:t>
            </w:r>
          </w:p>
        </w:tc>
        <w:tc>
          <w:tcPr>
            <w:tcW w:w="391" w:type="pct"/>
            <w:shd w:val="clear" w:color="auto" w:fill="auto"/>
            <w:noWrap/>
            <w:vAlign w:val="center"/>
          </w:tcPr>
          <w:p w14:paraId="544B6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8E313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6B8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249CDFA6">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(二)、中心控制设备</w:t>
            </w:r>
          </w:p>
        </w:tc>
      </w:tr>
      <w:tr w14:paraId="5A44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blHeader/>
          <w:jc w:val="center"/>
        </w:trPr>
        <w:tc>
          <w:tcPr>
            <w:tcW w:w="269" w:type="pct"/>
            <w:shd w:val="clear" w:color="auto" w:fill="auto"/>
            <w:noWrap/>
            <w:vAlign w:val="center"/>
          </w:tcPr>
          <w:p w14:paraId="737E2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58FBC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视频综合管理平台服务器</w:t>
            </w:r>
          </w:p>
        </w:tc>
        <w:tc>
          <w:tcPr>
            <w:tcW w:w="2879" w:type="pct"/>
            <w:shd w:val="clear" w:color="auto" w:fill="auto"/>
            <w:vAlign w:val="center"/>
          </w:tcPr>
          <w:p w14:paraId="6FC0F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平台基础程序包括系统管理、视频管理、设备运维，支持模块化扩展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 B/S、C/S 的桌面式终端和苹果、安卓的移动终端应用；支持提供在线式的平台开放API 开发手册；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支持管理 1 万个角色信息、50 万个用户信息、100 万个人员信息、50 万个车辆信息、100 万张卡片信息、10 万路通道信息。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应能按照指定设备、指定通道进行图像的实时点播，支持点播图像的显示、缩放、抓拍和录像，支持多用户对同一图像资源的同时点播。宜支持基于 GIS 地图的图像点播。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支持预案上墙，支持配置上墙轮巡计划，可根据时间点、时间间隔进行自动切换；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 1/4/6/8/9/13/16/20/25/36/64 多分屏画面显示，支持自定义分屏；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 AD 域配置、导入 AD 域用户，可通过 AD 域用户账户登录平台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8.主处理器:1颗国产化CPU，8 核，2.8GHz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9.外观高度:1U 机架式服务器机箱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10.芯片组:板载 BMC 管理芯片 Aspeed 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11.硬盘:配置 2 块 2T 3.5 吋 SATA 热插拔机械硬盘最大支持 4 块3.5 吋/2.5 吋 SSD/SAS/SATA 硬盘</w:t>
            </w:r>
          </w:p>
        </w:tc>
        <w:tc>
          <w:tcPr>
            <w:tcW w:w="255" w:type="pct"/>
            <w:shd w:val="clear" w:color="auto" w:fill="auto"/>
            <w:noWrap/>
            <w:vAlign w:val="center"/>
          </w:tcPr>
          <w:p w14:paraId="65D98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69CF8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6C61B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8F9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64961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09C54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视频综合管理平台链路对接软件</w:t>
            </w:r>
          </w:p>
        </w:tc>
        <w:tc>
          <w:tcPr>
            <w:tcW w:w="2879" w:type="pct"/>
            <w:shd w:val="clear" w:color="auto" w:fill="auto"/>
            <w:vAlign w:val="center"/>
          </w:tcPr>
          <w:p w14:paraId="322D79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1、业务数据级联汇聚转发，按指定的数据传输协议接收汇聚多个下级平台数据上报，同时支持将采集的数据按指定的传输协议转发给多个上级汇聚平台；                                                                    2、支持社区部标协议、内保部标协议、1400视图库协议和1400内保扩展协议。</w:t>
            </w:r>
          </w:p>
        </w:tc>
        <w:tc>
          <w:tcPr>
            <w:tcW w:w="255" w:type="pct"/>
            <w:shd w:val="clear" w:color="auto" w:fill="auto"/>
            <w:noWrap/>
            <w:vAlign w:val="center"/>
          </w:tcPr>
          <w:p w14:paraId="4D02C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0F698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E64D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C41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blHeader/>
          <w:jc w:val="center"/>
        </w:trPr>
        <w:tc>
          <w:tcPr>
            <w:tcW w:w="269" w:type="pct"/>
            <w:shd w:val="clear" w:color="auto" w:fill="auto"/>
            <w:noWrap/>
            <w:vAlign w:val="center"/>
          </w:tcPr>
          <w:p w14:paraId="3F0D5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69DF5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视频综合管理平台链路对接软件板卡</w:t>
            </w:r>
          </w:p>
        </w:tc>
        <w:tc>
          <w:tcPr>
            <w:tcW w:w="2879" w:type="pct"/>
            <w:shd w:val="clear" w:color="auto" w:fill="auto"/>
            <w:vAlign w:val="center"/>
          </w:tcPr>
          <w:p w14:paraId="6513B9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基于GB/T 28181等联网标准实现视频监控平台间的级联、互联功能，支持多平台多层次级联，实现平台之间的跨域互联互通与资源共享，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支持协议版本：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1、GB/T 28181-2011 安全防范视频监控联网系统信息传输、交换、控制技术要求。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2、GB/T 28181 修改补充文件。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3、GB/T 28181-2016 公共安全视频监控联网系统信息传输、交换、控制技术要求；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4.级联添加的上级域或下级域个数授权。</w:t>
            </w:r>
          </w:p>
        </w:tc>
        <w:tc>
          <w:tcPr>
            <w:tcW w:w="255" w:type="pct"/>
            <w:shd w:val="clear" w:color="auto" w:fill="auto"/>
            <w:noWrap/>
            <w:vAlign w:val="center"/>
          </w:tcPr>
          <w:p w14:paraId="0E752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2套</w:t>
            </w:r>
          </w:p>
        </w:tc>
        <w:tc>
          <w:tcPr>
            <w:tcW w:w="391" w:type="pct"/>
            <w:shd w:val="clear" w:color="auto" w:fill="auto"/>
            <w:noWrap/>
            <w:vAlign w:val="center"/>
          </w:tcPr>
          <w:p w14:paraId="52001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F0625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585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0" w:hRule="atLeast"/>
          <w:tblHeader/>
          <w:jc w:val="center"/>
        </w:trPr>
        <w:tc>
          <w:tcPr>
            <w:tcW w:w="269" w:type="pct"/>
            <w:shd w:val="clear" w:color="auto" w:fill="auto"/>
            <w:noWrap/>
            <w:vAlign w:val="center"/>
          </w:tcPr>
          <w:p w14:paraId="49A54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61792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人脸识别分析主机</w:t>
            </w:r>
          </w:p>
        </w:tc>
        <w:tc>
          <w:tcPr>
            <w:tcW w:w="2879" w:type="pct"/>
            <w:shd w:val="clear" w:color="auto" w:fill="auto"/>
            <w:vAlign w:val="center"/>
          </w:tcPr>
          <w:p w14:paraId="1B16B4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 WEB、本地 GUI 界面操作；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2.支持最大 16 路网络视频接入，网络性能 384Mbps 接入、384Mbps 储存、384Mbps转发；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 1 路 32MP@25fps；1 路 24MP@25fps；2 路 16MP@30fps；4 路 12MP@30fps；6路 8MP@30fps；8 路 6MP@30fps；8 路 5MP@30fps；12 路 4MP@30fps 解码。最大支持 16 路视频回放；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 32MP; 24MP; 16MP; 12MP; 8MP; 6MP; 5MP; 4MP; 3MP; 1080p; 960p; 720p;D1; CIF; QCIF IPC 分辨率接入；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5.支持前智能：高空抛物检测、人脸检测比对、周界防范、视频结构化、通用行为分析、立体行为分析、人群分布、人数统计、热度图、车牌识别、智能动检、物品监控、电瓶车入梯；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 2 路后智能人脸检测比对；或 4 路后智能周界防范；或 8 路后智能智能动检；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7.支持最大 20 个人脸库，共 2 万张人脸图片。</w:t>
            </w:r>
          </w:p>
        </w:tc>
        <w:tc>
          <w:tcPr>
            <w:tcW w:w="255" w:type="pct"/>
            <w:shd w:val="clear" w:color="auto" w:fill="auto"/>
            <w:noWrap/>
            <w:vAlign w:val="center"/>
          </w:tcPr>
          <w:p w14:paraId="09F99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698C4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FC1B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4D2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D770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60BC2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公安对接专网</w:t>
            </w:r>
          </w:p>
        </w:tc>
        <w:tc>
          <w:tcPr>
            <w:tcW w:w="2879" w:type="pct"/>
            <w:shd w:val="clear" w:color="auto" w:fill="auto"/>
            <w:vAlign w:val="center"/>
          </w:tcPr>
          <w:p w14:paraId="6A55F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专线人脸识别、车辆抓拍数据接入肥东县 公安局社会资源整合平台运营商50M光纤专线链路</w:t>
            </w:r>
          </w:p>
        </w:tc>
        <w:tc>
          <w:tcPr>
            <w:tcW w:w="255" w:type="pct"/>
            <w:shd w:val="clear" w:color="auto" w:fill="auto"/>
            <w:noWrap/>
            <w:vAlign w:val="center"/>
          </w:tcPr>
          <w:p w14:paraId="0A5F0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3年</w:t>
            </w:r>
          </w:p>
        </w:tc>
        <w:tc>
          <w:tcPr>
            <w:tcW w:w="391" w:type="pct"/>
            <w:shd w:val="clear" w:color="auto" w:fill="auto"/>
            <w:noWrap/>
            <w:vAlign w:val="center"/>
          </w:tcPr>
          <w:p w14:paraId="79B02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7E8B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2CF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2960F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031FA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监控级硬盘6T</w:t>
            </w:r>
          </w:p>
        </w:tc>
        <w:tc>
          <w:tcPr>
            <w:tcW w:w="2879" w:type="pct"/>
            <w:shd w:val="clear" w:color="auto" w:fill="auto"/>
            <w:vAlign w:val="center"/>
          </w:tcPr>
          <w:p w14:paraId="0C32C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1.单盘容量：6TB；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2.缓存：256MB；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3.转速：7200RPM；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4.硬盘接口：SATA。</w:t>
            </w:r>
          </w:p>
        </w:tc>
        <w:tc>
          <w:tcPr>
            <w:tcW w:w="255" w:type="pct"/>
            <w:shd w:val="clear" w:color="auto" w:fill="auto"/>
            <w:noWrap/>
            <w:vAlign w:val="center"/>
          </w:tcPr>
          <w:p w14:paraId="5A8C2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2块</w:t>
            </w:r>
          </w:p>
        </w:tc>
        <w:tc>
          <w:tcPr>
            <w:tcW w:w="391" w:type="pct"/>
            <w:shd w:val="clear" w:color="auto" w:fill="auto"/>
            <w:noWrap/>
            <w:vAlign w:val="center"/>
          </w:tcPr>
          <w:p w14:paraId="4384D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E45D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063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blHeader/>
          <w:jc w:val="center"/>
        </w:trPr>
        <w:tc>
          <w:tcPr>
            <w:tcW w:w="269" w:type="pct"/>
            <w:shd w:val="clear" w:color="auto" w:fill="auto"/>
            <w:noWrap/>
            <w:vAlign w:val="center"/>
          </w:tcPr>
          <w:p w14:paraId="15E17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31864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视频存储服务器</w:t>
            </w:r>
          </w:p>
        </w:tc>
        <w:tc>
          <w:tcPr>
            <w:tcW w:w="2879" w:type="pct"/>
            <w:shd w:val="clear" w:color="auto" w:fill="auto"/>
            <w:vAlign w:val="center"/>
          </w:tcPr>
          <w:p w14:paraId="700EC7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1、单颗 64 位多核高性能处理器，默认 2 个内存条，共 8GB 内存，可扩展至64GB 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2、36 盘位，1+1 冗余电源，可支持对硬盘、电源、风扇、控制器模块热插拔维护；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3、具有不少于4个10/100/1000Mbps 自适应以太网电口，1 个 10/100Mbps 自适用管理网口；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 SATA 硬盘，CMR单盘最大支持24TB硬盘，SMR单盘最大支持 30TB；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5、1个HDMI，4个USB，1个eSATA，1个RS232；                                                                  6、支持 RAID0/1/5/6/10/50/60，SRAID，支持全局热备和局部热备盘；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 450 路 H.264/H.265 混合接入，网络带宽 1024Mbps 接1024Mbps存储，1024Mbps 转发；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8、支持通过 ONVIF、GB28181、RTSP、视图库、主动注册等协议管理不同厂家前端摄像头，实现视频存储；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 iSCSI 客户端模式，访问第三方存储资源，增加存储空间，延长存储周期；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11、支持硬盘健康状态监测，定期巡检，针对异常硬盘风险预警，支持系统盘、风扇、电源等异常告警；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12、支持配合智能前端摄像头，实现结构化告警、周界告警、入户电梯告警等多种报警事件、图片透传平台；                                               13、支持关键录像加锁，确保不被循环覆盖；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 N+M 集群模式，可实现单台或多台设备故障时，故障设备业务自动迁移到其它健康设备上，保障业务不中断；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15、采用国产操作系统，性能高、稳定、可控，安全性高。</w:t>
            </w:r>
          </w:p>
        </w:tc>
        <w:tc>
          <w:tcPr>
            <w:tcW w:w="255" w:type="pct"/>
            <w:shd w:val="clear" w:color="auto" w:fill="auto"/>
            <w:noWrap/>
            <w:vAlign w:val="center"/>
          </w:tcPr>
          <w:p w14:paraId="5DF0C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18652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6AE6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B98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blHeader/>
          <w:jc w:val="center"/>
        </w:trPr>
        <w:tc>
          <w:tcPr>
            <w:tcW w:w="269" w:type="pct"/>
            <w:shd w:val="clear" w:color="auto" w:fill="auto"/>
            <w:noWrap/>
            <w:vAlign w:val="center"/>
          </w:tcPr>
          <w:p w14:paraId="3C196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0F530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监控级硬盘8T</w:t>
            </w:r>
          </w:p>
        </w:tc>
        <w:tc>
          <w:tcPr>
            <w:tcW w:w="2879" w:type="pct"/>
            <w:shd w:val="clear" w:color="auto" w:fill="auto"/>
            <w:vAlign w:val="center"/>
          </w:tcPr>
          <w:p w14:paraId="2BBD85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1.单盘容量：8TB；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2.缓存：256MB；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3.转速：7200RPM；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4.硬盘接口：SATA.</w:t>
            </w:r>
          </w:p>
        </w:tc>
        <w:tc>
          <w:tcPr>
            <w:tcW w:w="255" w:type="pct"/>
            <w:shd w:val="clear" w:color="auto" w:fill="auto"/>
            <w:noWrap/>
            <w:vAlign w:val="center"/>
          </w:tcPr>
          <w:p w14:paraId="609D8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30台</w:t>
            </w:r>
          </w:p>
        </w:tc>
        <w:tc>
          <w:tcPr>
            <w:tcW w:w="391" w:type="pct"/>
            <w:shd w:val="clear" w:color="auto" w:fill="auto"/>
            <w:noWrap/>
            <w:vAlign w:val="center"/>
          </w:tcPr>
          <w:p w14:paraId="5D72D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7D68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115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blHeader/>
          <w:jc w:val="center"/>
        </w:trPr>
        <w:tc>
          <w:tcPr>
            <w:tcW w:w="269" w:type="pct"/>
            <w:shd w:val="clear" w:color="auto" w:fill="auto"/>
            <w:noWrap/>
            <w:vAlign w:val="center"/>
          </w:tcPr>
          <w:p w14:paraId="15D84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3DE58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液晶拼接屏</w:t>
            </w:r>
          </w:p>
        </w:tc>
        <w:tc>
          <w:tcPr>
            <w:tcW w:w="2879" w:type="pct"/>
            <w:shd w:val="clear" w:color="auto" w:fill="auto"/>
            <w:vAlign w:val="center"/>
          </w:tcPr>
          <w:p w14:paraId="7D5805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1、55寸工业级面板，支持7*24小时连续工作；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2、3.5mm双边拼缝；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3、亮度：500cd/㎡；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4、对比度：1400:1；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5、物理分辨率支持1920*1080；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6、支持挂架、支架、机柜等多种方式；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7、金属外壳，防辐射、防磁场、防强电场干扰；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8、电压AC90~264V(±5%),50/60Hz。</w:t>
            </w:r>
          </w:p>
        </w:tc>
        <w:tc>
          <w:tcPr>
            <w:tcW w:w="255" w:type="pct"/>
            <w:shd w:val="clear" w:color="auto" w:fill="auto"/>
            <w:noWrap/>
            <w:vAlign w:val="center"/>
          </w:tcPr>
          <w:p w14:paraId="098F7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4块</w:t>
            </w:r>
          </w:p>
        </w:tc>
        <w:tc>
          <w:tcPr>
            <w:tcW w:w="391" w:type="pct"/>
            <w:shd w:val="clear" w:color="auto" w:fill="auto"/>
            <w:noWrap/>
            <w:vAlign w:val="center"/>
          </w:tcPr>
          <w:p w14:paraId="003A3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2CCE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FAD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03AA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3" w:type="pct"/>
            <w:shd w:val="clear" w:color="auto" w:fill="auto"/>
            <w:vAlign w:val="center"/>
          </w:tcPr>
          <w:p w14:paraId="17A68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拼接屏支架</w:t>
            </w:r>
          </w:p>
        </w:tc>
        <w:tc>
          <w:tcPr>
            <w:tcW w:w="2879" w:type="pct"/>
            <w:shd w:val="clear" w:color="auto" w:fill="auto"/>
            <w:vAlign w:val="center"/>
          </w:tcPr>
          <w:p w14:paraId="466B7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w:t>
            </w:r>
          </w:p>
        </w:tc>
        <w:tc>
          <w:tcPr>
            <w:tcW w:w="255" w:type="pct"/>
            <w:shd w:val="clear" w:color="auto" w:fill="auto"/>
            <w:noWrap/>
            <w:vAlign w:val="center"/>
          </w:tcPr>
          <w:p w14:paraId="57BAB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4套</w:t>
            </w:r>
          </w:p>
        </w:tc>
        <w:tc>
          <w:tcPr>
            <w:tcW w:w="391" w:type="pct"/>
            <w:shd w:val="clear" w:color="auto" w:fill="auto"/>
            <w:noWrap/>
            <w:vAlign w:val="center"/>
          </w:tcPr>
          <w:p w14:paraId="5D2C5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BA39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B87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blHeader/>
          <w:jc w:val="center"/>
        </w:trPr>
        <w:tc>
          <w:tcPr>
            <w:tcW w:w="269" w:type="pct"/>
            <w:shd w:val="clear" w:color="auto" w:fill="auto"/>
            <w:noWrap/>
            <w:vAlign w:val="center"/>
          </w:tcPr>
          <w:p w14:paraId="62B0E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3" w:type="pct"/>
            <w:shd w:val="clear" w:color="auto" w:fill="auto"/>
            <w:vAlign w:val="center"/>
          </w:tcPr>
          <w:p w14:paraId="6348C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高清上墙解码器</w:t>
            </w:r>
          </w:p>
        </w:tc>
        <w:tc>
          <w:tcPr>
            <w:tcW w:w="2879" w:type="pct"/>
            <w:shd w:val="clear" w:color="auto" w:fill="auto"/>
            <w:vAlign w:val="center"/>
          </w:tcPr>
          <w:p w14:paraId="020EE3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 2 路 HDMI 信号输入接口；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 4 路 HDMI 信号输出接口；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 1 个 3.5mm 口音频输出；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 MPEG2/MPEG4/H.264/H.265/SVAC/MJPEG 标准网络视频流解码；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5、支持QCIF/CIF/2CIF/HD1/D1/720p/1080p/3MP/5MP/6MP/8MP/12MP/32MP 视频解码；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6、支持通过串口控制屏幕开关最大支持 2 路 32MP@25fps / 7 路 12MP@25fps / 10 路 8MP@25fps / 14 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6MP@25fps / 18 路 5MP@25fps / 28 路 3MP@25fps / 36 路 1080p @30fps /144路 D1@30fps 同时解码；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7、支持单屏 1/4/6/8/9/16/25/36 分割，支持 M×N 自由分割HDMI 输出接口支持 3840×2160，1920×1080， 1280×1024， 1280×720，1024×768 五种显示分辨率HDMI 输入接口最大支持 3840×2160 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 Onvif、RTSP 协议接入，支持国标 GB28181 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9、支持预案轮巡、支持底色选择、支持自定义分辨率输出，支持小间距 LED 对接、支持多屏融合拼接，跨屏画面毫秒级完美同步；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 1 个 10M/100M/1000M 自适应以太网接口。</w:t>
            </w:r>
          </w:p>
        </w:tc>
        <w:tc>
          <w:tcPr>
            <w:tcW w:w="255" w:type="pct"/>
            <w:shd w:val="clear" w:color="auto" w:fill="auto"/>
            <w:noWrap/>
            <w:vAlign w:val="center"/>
          </w:tcPr>
          <w:p w14:paraId="4104A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246E2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167C2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2D0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4454C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3" w:type="pct"/>
            <w:shd w:val="clear" w:color="auto" w:fill="auto"/>
            <w:vAlign w:val="center"/>
          </w:tcPr>
          <w:p w14:paraId="1CBC0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管理工作站</w:t>
            </w:r>
          </w:p>
        </w:tc>
        <w:tc>
          <w:tcPr>
            <w:tcW w:w="2879" w:type="pct"/>
            <w:shd w:val="clear" w:color="auto" w:fill="auto"/>
            <w:vAlign w:val="center"/>
          </w:tcPr>
          <w:p w14:paraId="19D21B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2.内存容量：8GB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3.硬盘容量：128 SSD +1TB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4.支持一机双屏显示，音频：集成有线网卡：1000Mbps以太网卡数据接口：USB3.0+USB2.0、VGA、HDMI、RJ4511。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5.防水键盘、光电鼠标、21.5寸屏幕</w:t>
            </w:r>
          </w:p>
        </w:tc>
        <w:tc>
          <w:tcPr>
            <w:tcW w:w="255" w:type="pct"/>
            <w:shd w:val="clear" w:color="auto" w:fill="auto"/>
            <w:noWrap/>
            <w:vAlign w:val="center"/>
          </w:tcPr>
          <w:p w14:paraId="00AA4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69516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113D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0CE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1C03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83" w:type="pct"/>
            <w:shd w:val="clear" w:color="auto" w:fill="auto"/>
            <w:vAlign w:val="center"/>
          </w:tcPr>
          <w:p w14:paraId="5BD93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控制台</w:t>
            </w:r>
          </w:p>
        </w:tc>
        <w:tc>
          <w:tcPr>
            <w:tcW w:w="2879" w:type="pct"/>
            <w:shd w:val="clear" w:color="auto" w:fill="auto"/>
            <w:vAlign w:val="center"/>
          </w:tcPr>
          <w:p w14:paraId="690E9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1.定制，3组;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2.尺寸：长1800mm；宽 900mm；高 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3.材质：优质冷轧钢板。</w:t>
            </w:r>
          </w:p>
        </w:tc>
        <w:tc>
          <w:tcPr>
            <w:tcW w:w="255" w:type="pct"/>
            <w:shd w:val="clear" w:color="auto" w:fill="auto"/>
            <w:noWrap/>
            <w:vAlign w:val="center"/>
          </w:tcPr>
          <w:p w14:paraId="540B8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7F1BB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8AE6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479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30D9F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83" w:type="pct"/>
            <w:shd w:val="clear" w:color="auto" w:fill="auto"/>
            <w:vAlign w:val="center"/>
          </w:tcPr>
          <w:p w14:paraId="17594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42U标准机柜</w:t>
            </w:r>
          </w:p>
        </w:tc>
        <w:tc>
          <w:tcPr>
            <w:tcW w:w="2879" w:type="pct"/>
            <w:shd w:val="clear" w:color="auto" w:fill="auto"/>
            <w:vAlign w:val="center"/>
          </w:tcPr>
          <w:p w14:paraId="0AC45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1.材质：优质冷轧钢板；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2.前门：钢化玻璃或金属网；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3.结构坚固，承载达500Kg增强型固定托盘，底部附有加强筋，承载达100Kg；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4、门板类型：玻璃门/金属网门。                     5.尺寸：600*600*2000mm</w:t>
            </w:r>
          </w:p>
        </w:tc>
        <w:tc>
          <w:tcPr>
            <w:tcW w:w="255" w:type="pct"/>
            <w:shd w:val="clear" w:color="auto" w:fill="auto"/>
            <w:noWrap/>
            <w:vAlign w:val="center"/>
          </w:tcPr>
          <w:p w14:paraId="3C6EE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55074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94E39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2B6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410E0BD1">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(三)、管线部分</w:t>
            </w:r>
          </w:p>
        </w:tc>
      </w:tr>
      <w:tr w14:paraId="0A1D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blHeader/>
          <w:jc w:val="center"/>
        </w:trPr>
        <w:tc>
          <w:tcPr>
            <w:tcW w:w="269" w:type="pct"/>
            <w:shd w:val="clear" w:color="auto" w:fill="auto"/>
            <w:noWrap/>
            <w:vAlign w:val="center"/>
          </w:tcPr>
          <w:p w14:paraId="3EE96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309AB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六类四对非屏蔽双绞线</w:t>
            </w:r>
          </w:p>
        </w:tc>
        <w:tc>
          <w:tcPr>
            <w:tcW w:w="2879" w:type="pct"/>
            <w:shd w:val="clear" w:color="auto" w:fill="auto"/>
            <w:vAlign w:val="center"/>
          </w:tcPr>
          <w:p w14:paraId="65F83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1.带宽：≥250 HMz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2.2支持1000 Base-T并向下兼容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3.线规：23AWG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4.导体材质：采用高品质99.99%无氧铜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5.绝缘层材料：高密度聚乙烯(HDPE)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6.外护套材料：聚氯乙烯(PVC)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7.骨芯结构：十字龙骨芯                                                                     8.长度305米/箱.</w:t>
            </w:r>
          </w:p>
        </w:tc>
        <w:tc>
          <w:tcPr>
            <w:tcW w:w="255" w:type="pct"/>
            <w:shd w:val="clear" w:color="auto" w:fill="auto"/>
            <w:noWrap/>
            <w:vAlign w:val="center"/>
          </w:tcPr>
          <w:p w14:paraId="7EF13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28箱</w:t>
            </w:r>
          </w:p>
        </w:tc>
        <w:tc>
          <w:tcPr>
            <w:tcW w:w="391" w:type="pct"/>
            <w:shd w:val="clear" w:color="auto" w:fill="auto"/>
            <w:noWrap/>
            <w:vAlign w:val="center"/>
          </w:tcPr>
          <w:p w14:paraId="1B6BB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84E8F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8FE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B991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17230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879" w:type="pct"/>
            <w:shd w:val="clear" w:color="auto" w:fill="auto"/>
            <w:vAlign w:val="center"/>
          </w:tcPr>
          <w:p w14:paraId="4A40F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RVV2*1.0。</w:t>
            </w:r>
          </w:p>
        </w:tc>
        <w:tc>
          <w:tcPr>
            <w:tcW w:w="255" w:type="pct"/>
            <w:shd w:val="clear" w:color="auto" w:fill="auto"/>
            <w:noWrap/>
            <w:vAlign w:val="center"/>
          </w:tcPr>
          <w:p w14:paraId="04DDF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9000米</w:t>
            </w:r>
          </w:p>
        </w:tc>
        <w:tc>
          <w:tcPr>
            <w:tcW w:w="391" w:type="pct"/>
            <w:shd w:val="clear" w:color="auto" w:fill="auto"/>
            <w:noWrap/>
            <w:vAlign w:val="center"/>
          </w:tcPr>
          <w:p w14:paraId="6AC2A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B2EF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0EB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37E0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45AA4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2879" w:type="pct"/>
            <w:shd w:val="clear" w:color="auto" w:fill="auto"/>
            <w:vAlign w:val="center"/>
          </w:tcPr>
          <w:p w14:paraId="6A4934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RVVP2*0.5。</w:t>
            </w:r>
          </w:p>
        </w:tc>
        <w:tc>
          <w:tcPr>
            <w:tcW w:w="255" w:type="pct"/>
            <w:shd w:val="clear" w:color="auto" w:fill="auto"/>
            <w:noWrap/>
            <w:vAlign w:val="center"/>
          </w:tcPr>
          <w:p w14:paraId="096CE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400米</w:t>
            </w:r>
          </w:p>
        </w:tc>
        <w:tc>
          <w:tcPr>
            <w:tcW w:w="391" w:type="pct"/>
            <w:shd w:val="clear" w:color="auto" w:fill="auto"/>
            <w:noWrap/>
            <w:vAlign w:val="center"/>
          </w:tcPr>
          <w:p w14:paraId="4BCC6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21434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DE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2E88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5E013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主干电源线</w:t>
            </w:r>
          </w:p>
        </w:tc>
        <w:tc>
          <w:tcPr>
            <w:tcW w:w="2879" w:type="pct"/>
            <w:shd w:val="clear" w:color="auto" w:fill="auto"/>
            <w:vAlign w:val="center"/>
          </w:tcPr>
          <w:p w14:paraId="696CB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255" w:type="pct"/>
            <w:shd w:val="clear" w:color="auto" w:fill="auto"/>
            <w:noWrap/>
            <w:vAlign w:val="center"/>
          </w:tcPr>
          <w:p w14:paraId="2DBFE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400米</w:t>
            </w:r>
          </w:p>
        </w:tc>
        <w:tc>
          <w:tcPr>
            <w:tcW w:w="391" w:type="pct"/>
            <w:shd w:val="clear" w:color="auto" w:fill="auto"/>
            <w:noWrap/>
            <w:vAlign w:val="center"/>
          </w:tcPr>
          <w:p w14:paraId="41A54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B36E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BC0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8931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28E28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室外主干电源</w:t>
            </w:r>
          </w:p>
        </w:tc>
        <w:tc>
          <w:tcPr>
            <w:tcW w:w="2879" w:type="pct"/>
            <w:shd w:val="clear" w:color="auto" w:fill="auto"/>
            <w:vAlign w:val="center"/>
          </w:tcPr>
          <w:p w14:paraId="4F8762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RVV3*2.5。</w:t>
            </w:r>
          </w:p>
        </w:tc>
        <w:tc>
          <w:tcPr>
            <w:tcW w:w="255" w:type="pct"/>
            <w:shd w:val="clear" w:color="auto" w:fill="auto"/>
            <w:noWrap/>
            <w:vAlign w:val="center"/>
          </w:tcPr>
          <w:p w14:paraId="042DE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1000米</w:t>
            </w:r>
          </w:p>
        </w:tc>
        <w:tc>
          <w:tcPr>
            <w:tcW w:w="391" w:type="pct"/>
            <w:shd w:val="clear" w:color="auto" w:fill="auto"/>
            <w:noWrap/>
            <w:vAlign w:val="center"/>
          </w:tcPr>
          <w:p w14:paraId="5D726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A220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936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724F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04C66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879" w:type="pct"/>
            <w:shd w:val="clear" w:color="auto" w:fill="auto"/>
            <w:vAlign w:val="center"/>
          </w:tcPr>
          <w:p w14:paraId="6C31D9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含水晶头、法兰、尾纤、跳线等所有辅材</w:t>
            </w:r>
          </w:p>
        </w:tc>
        <w:tc>
          <w:tcPr>
            <w:tcW w:w="255" w:type="pct"/>
            <w:shd w:val="clear" w:color="auto" w:fill="auto"/>
            <w:noWrap/>
            <w:vAlign w:val="center"/>
          </w:tcPr>
          <w:p w14:paraId="2B5DF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480BE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982D8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18C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0CE8E338">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五、残卫报警系统</w:t>
            </w:r>
          </w:p>
        </w:tc>
      </w:tr>
      <w:tr w14:paraId="3B7A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53C3ABBA">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(一)、前端设备</w:t>
            </w:r>
          </w:p>
        </w:tc>
      </w:tr>
      <w:tr w14:paraId="0FB5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D865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64605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紧急求助按钮</w:t>
            </w:r>
          </w:p>
        </w:tc>
        <w:tc>
          <w:tcPr>
            <w:tcW w:w="2879" w:type="pct"/>
            <w:shd w:val="clear" w:color="auto" w:fill="auto"/>
            <w:vAlign w:val="center"/>
          </w:tcPr>
          <w:p w14:paraId="64C57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1.报警输出支持常开；常闭的触点模式；                                                                              2.86盒安装方式，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3.ABS材质.</w:t>
            </w:r>
          </w:p>
        </w:tc>
        <w:tc>
          <w:tcPr>
            <w:tcW w:w="255" w:type="pct"/>
            <w:shd w:val="clear" w:color="auto" w:fill="auto"/>
            <w:noWrap/>
            <w:vAlign w:val="center"/>
          </w:tcPr>
          <w:p w14:paraId="574E1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5只</w:t>
            </w:r>
          </w:p>
        </w:tc>
        <w:tc>
          <w:tcPr>
            <w:tcW w:w="391" w:type="pct"/>
            <w:shd w:val="clear" w:color="auto" w:fill="auto"/>
            <w:noWrap/>
            <w:vAlign w:val="center"/>
          </w:tcPr>
          <w:p w14:paraId="294FC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EDDE3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F95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6ACFE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3FC1E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2879" w:type="pct"/>
            <w:shd w:val="clear" w:color="auto" w:fill="auto"/>
            <w:vAlign w:val="center"/>
          </w:tcPr>
          <w:p w14:paraId="0FDAE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1.声光报警一体式警；                                                                                               2.ABS材质；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3.闪动次数/分钟：300±30次；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4.声压：108±3dB（30cm处）VDC；                                                                              5.工作电压范围：9~15VDC；额定电流≤140mA.</w:t>
            </w:r>
          </w:p>
        </w:tc>
        <w:tc>
          <w:tcPr>
            <w:tcW w:w="255" w:type="pct"/>
            <w:shd w:val="clear" w:color="auto" w:fill="auto"/>
            <w:noWrap/>
            <w:vAlign w:val="center"/>
          </w:tcPr>
          <w:p w14:paraId="73EC8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5只</w:t>
            </w:r>
          </w:p>
        </w:tc>
        <w:tc>
          <w:tcPr>
            <w:tcW w:w="391" w:type="pct"/>
            <w:shd w:val="clear" w:color="auto" w:fill="auto"/>
            <w:noWrap/>
            <w:vAlign w:val="center"/>
          </w:tcPr>
          <w:p w14:paraId="16EC1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8728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B59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blHeader/>
          <w:jc w:val="center"/>
        </w:trPr>
        <w:tc>
          <w:tcPr>
            <w:tcW w:w="269" w:type="pct"/>
            <w:shd w:val="clear" w:color="auto" w:fill="auto"/>
            <w:noWrap/>
            <w:vAlign w:val="center"/>
          </w:tcPr>
          <w:p w14:paraId="187F3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516DB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网络报警主机</w:t>
            </w:r>
          </w:p>
        </w:tc>
        <w:tc>
          <w:tcPr>
            <w:tcW w:w="2879" w:type="pct"/>
            <w:shd w:val="clear" w:color="auto" w:fill="auto"/>
            <w:vAlign w:val="center"/>
          </w:tcPr>
          <w:p w14:paraId="73D296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1.支持本地≥16路报警输入；最大可扩展到≥256路；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2.支持接入常开或常闭型探测器；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3.支持探测器防拆、防短、防遮挡功能;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4.支持本地≥4路报警输出，最大可扩展到≥256路；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5.支持强制开启、强制关闭、自动控制功能，支持报警联动;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6.支持即时防区、延时防区、24小时无声等多种防区类型;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支持报警输入输出接口电路保护功能;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8.支持异常报警，包括主机防拆报警、键盘防拆报警、主电掉电报警、蓄电池掉电报警、蓄电池欠压报警、PSTN掉线报警、网络断开报警、IP冲突报警、MAC冲突报警等;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9.支持≥2路RS-485接口，支持最大32路键盘接入，支持打印机接入;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10.支持火警、医疗、胁迫等紧急报警;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11.支持键盘、WEB多种配置方式，支持快速配置向导，支持远程配置及查询;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12.支持多个接警中心和报警数据上传策略;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13.支持海量日志查询功能;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14.支持远程升级;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15.支持多种设备恢复方式.</w:t>
            </w:r>
          </w:p>
        </w:tc>
        <w:tc>
          <w:tcPr>
            <w:tcW w:w="255" w:type="pct"/>
            <w:shd w:val="clear" w:color="auto" w:fill="auto"/>
            <w:noWrap/>
            <w:vAlign w:val="center"/>
          </w:tcPr>
          <w:p w14:paraId="13F28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1D0FF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1371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28E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blHeader/>
          <w:jc w:val="center"/>
        </w:trPr>
        <w:tc>
          <w:tcPr>
            <w:tcW w:w="269" w:type="pct"/>
            <w:shd w:val="clear" w:color="auto" w:fill="auto"/>
            <w:noWrap/>
            <w:vAlign w:val="center"/>
          </w:tcPr>
          <w:p w14:paraId="299C2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6CC8E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主机键盘</w:t>
            </w:r>
          </w:p>
        </w:tc>
        <w:tc>
          <w:tcPr>
            <w:tcW w:w="2879" w:type="pct"/>
            <w:shd w:val="clear" w:color="auto" w:fill="auto"/>
            <w:vAlign w:val="center"/>
          </w:tcPr>
          <w:p w14:paraId="1E4AB6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1、屏幕分辨率：≥128x64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2、具防区状态指示灯、故障指示灯、布撤防指示灯、网络指示灯、通讯指示灯；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3、具有0~9数字键和菜单键；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4、具蜂鸣器、壳体防拆功能；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5、对主机编程、布撤防、消警、旁路/旁路恢复、 子系统操作、继电器操作、防区状态查询、步测模式等功能；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6、支持防区状态、系统故障、程序版本、通信参数查询；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7、支持无线433MHz,支持无线遥控器，RS485接口与主机连接。</w:t>
            </w:r>
          </w:p>
        </w:tc>
        <w:tc>
          <w:tcPr>
            <w:tcW w:w="255" w:type="pct"/>
            <w:shd w:val="clear" w:color="auto" w:fill="auto"/>
            <w:noWrap/>
            <w:vAlign w:val="center"/>
          </w:tcPr>
          <w:p w14:paraId="47476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391" w:type="pct"/>
            <w:shd w:val="clear" w:color="auto" w:fill="auto"/>
            <w:noWrap/>
            <w:vAlign w:val="center"/>
          </w:tcPr>
          <w:p w14:paraId="3910A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B1880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181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2386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4E2EA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后备电池</w:t>
            </w:r>
          </w:p>
        </w:tc>
        <w:tc>
          <w:tcPr>
            <w:tcW w:w="2879" w:type="pct"/>
            <w:shd w:val="clear" w:color="auto" w:fill="auto"/>
            <w:vAlign w:val="center"/>
          </w:tcPr>
          <w:p w14:paraId="06E59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输出电压：≥12V7A</w:t>
            </w:r>
          </w:p>
        </w:tc>
        <w:tc>
          <w:tcPr>
            <w:tcW w:w="255" w:type="pct"/>
            <w:shd w:val="clear" w:color="auto" w:fill="auto"/>
            <w:noWrap/>
            <w:vAlign w:val="center"/>
          </w:tcPr>
          <w:p w14:paraId="5444F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391" w:type="pct"/>
            <w:shd w:val="clear" w:color="auto" w:fill="auto"/>
            <w:noWrap/>
            <w:vAlign w:val="center"/>
          </w:tcPr>
          <w:p w14:paraId="383AE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35A7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A90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6246E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208A6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报警管理软件</w:t>
            </w:r>
          </w:p>
        </w:tc>
        <w:tc>
          <w:tcPr>
            <w:tcW w:w="2879" w:type="pct"/>
            <w:shd w:val="clear" w:color="auto" w:fill="auto"/>
            <w:vAlign w:val="center"/>
          </w:tcPr>
          <w:p w14:paraId="6A37FF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入侵报警应用基于前端防区探测器进行园区范围内的入侵行为或意外事件的迅速感知和处理，实现针对园区内部的高效安全防范。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1、支持报警子系统管理能力，包含布防、撤防、消警控制操作；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2、支持防区管理能力，包含旁路、旁路恢复操作；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3、支持实时入侵报警能力；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4、支持历史入侵报警事件查询及导出能力</w:t>
            </w:r>
          </w:p>
        </w:tc>
        <w:tc>
          <w:tcPr>
            <w:tcW w:w="255" w:type="pct"/>
            <w:shd w:val="clear" w:color="auto" w:fill="auto"/>
            <w:noWrap/>
            <w:vAlign w:val="center"/>
          </w:tcPr>
          <w:p w14:paraId="35725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20238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34BC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CE0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7215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46A9A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安防信号线</w:t>
            </w:r>
          </w:p>
        </w:tc>
        <w:tc>
          <w:tcPr>
            <w:tcW w:w="2879" w:type="pct"/>
            <w:shd w:val="clear" w:color="auto" w:fill="auto"/>
            <w:vAlign w:val="center"/>
          </w:tcPr>
          <w:p w14:paraId="117AB0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RVV2x1.0</w:t>
            </w:r>
          </w:p>
        </w:tc>
        <w:tc>
          <w:tcPr>
            <w:tcW w:w="255" w:type="pct"/>
            <w:shd w:val="clear" w:color="auto" w:fill="auto"/>
            <w:noWrap/>
            <w:vAlign w:val="center"/>
          </w:tcPr>
          <w:p w14:paraId="50194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330米</w:t>
            </w:r>
          </w:p>
        </w:tc>
        <w:tc>
          <w:tcPr>
            <w:tcW w:w="391" w:type="pct"/>
            <w:shd w:val="clear" w:color="auto" w:fill="auto"/>
            <w:noWrap/>
            <w:vAlign w:val="center"/>
          </w:tcPr>
          <w:p w14:paraId="553C8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BF556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08B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9E79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2E74C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879" w:type="pct"/>
            <w:shd w:val="clear" w:color="auto" w:fill="auto"/>
            <w:vAlign w:val="center"/>
          </w:tcPr>
          <w:p w14:paraId="2153B7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胶布、扎带、接线端子等。</w:t>
            </w:r>
          </w:p>
        </w:tc>
        <w:tc>
          <w:tcPr>
            <w:tcW w:w="255" w:type="pct"/>
            <w:shd w:val="clear" w:color="auto" w:fill="auto"/>
            <w:noWrap/>
            <w:vAlign w:val="center"/>
          </w:tcPr>
          <w:p w14:paraId="3142A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0FAC2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9C84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B81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05F170A8">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六、水控管理系统</w:t>
            </w:r>
          </w:p>
        </w:tc>
      </w:tr>
      <w:tr w14:paraId="282F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0F751F3B">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（一）、水控系统</w:t>
            </w:r>
          </w:p>
        </w:tc>
      </w:tr>
      <w:tr w14:paraId="782C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79A17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27C20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水控管理工作站</w:t>
            </w:r>
          </w:p>
        </w:tc>
        <w:tc>
          <w:tcPr>
            <w:tcW w:w="2879" w:type="pct"/>
            <w:shd w:val="clear" w:color="auto" w:fill="auto"/>
            <w:vAlign w:val="center"/>
          </w:tcPr>
          <w:p w14:paraId="7CD966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2.内存容量：8GB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3.硬盘容量：128 SSD +1TB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4.支持一机双屏显示，音频：集成有线网卡：1000Mbps以太网卡数据接口：USB3.0+USB2.0、VGA、HDMI、RJ4511。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5.防水键盘、光电鼠标、21.5寸屏幕</w:t>
            </w:r>
          </w:p>
        </w:tc>
        <w:tc>
          <w:tcPr>
            <w:tcW w:w="255" w:type="pct"/>
            <w:shd w:val="clear" w:color="auto" w:fill="auto"/>
            <w:noWrap/>
            <w:vAlign w:val="center"/>
          </w:tcPr>
          <w:p w14:paraId="14468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37255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360CE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4BC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blHeader/>
          <w:jc w:val="center"/>
        </w:trPr>
        <w:tc>
          <w:tcPr>
            <w:tcW w:w="269" w:type="pct"/>
            <w:shd w:val="clear" w:color="auto" w:fill="auto"/>
            <w:noWrap/>
            <w:vAlign w:val="center"/>
          </w:tcPr>
          <w:p w14:paraId="58886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5DB11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水控管理软件</w:t>
            </w:r>
          </w:p>
        </w:tc>
        <w:tc>
          <w:tcPr>
            <w:tcW w:w="2879" w:type="pct"/>
            <w:shd w:val="clear" w:color="auto" w:fill="auto"/>
            <w:vAlign w:val="center"/>
          </w:tcPr>
          <w:p w14:paraId="486227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1、设备管理：水控设备搜索、查询、添加、修改、状态查询、刷新时间、查询记录数，设置扣费规则，同步秘钥，可自定义设 备群组 ；                                                         2、扣费规则设置：计费方式支持按流量、按时间两种，使用模 式支持有线模式、485模式三种，设置冷、热水的费率计算规则有插卡和预扣费两种模式，支持在线制作水控设置卡                     3、支持单次消费上限金额设置，最小收费单位设置；                                                4、水控报表：消费明细表、消费汇总表、充值报表、余额报表， 报表信息均支持查询和导出。</w:t>
            </w:r>
          </w:p>
        </w:tc>
        <w:tc>
          <w:tcPr>
            <w:tcW w:w="255" w:type="pct"/>
            <w:shd w:val="clear" w:color="auto" w:fill="auto"/>
            <w:noWrap/>
            <w:vAlign w:val="center"/>
          </w:tcPr>
          <w:p w14:paraId="380DD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1574E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59EE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AE1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blHeader/>
          <w:jc w:val="center"/>
        </w:trPr>
        <w:tc>
          <w:tcPr>
            <w:tcW w:w="269" w:type="pct"/>
            <w:shd w:val="clear" w:color="auto" w:fill="auto"/>
            <w:noWrap/>
            <w:vAlign w:val="center"/>
          </w:tcPr>
          <w:p w14:paraId="2DE18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56B8E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发卡器</w:t>
            </w:r>
          </w:p>
        </w:tc>
        <w:tc>
          <w:tcPr>
            <w:tcW w:w="2879" w:type="pct"/>
            <w:shd w:val="clear" w:color="auto" w:fill="auto"/>
            <w:vAlign w:val="center"/>
          </w:tcPr>
          <w:p w14:paraId="637F4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1.配置双色指示灯，配置蜂鸣器提示，在读卡写卡时反映系统的当前工作状态提醒功能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2.设备支持USB通讯功能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3.支持卡片放入自动读取卡号功能，增加读写卡稳定控制可防止读写不成功情况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4.配置一个PSAM卡槽功能实现高强度加密认证功能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5.支持WinXP、Win7、Win10系统免驱动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6.USB输入电压DC5V</w:t>
            </w:r>
          </w:p>
        </w:tc>
        <w:tc>
          <w:tcPr>
            <w:tcW w:w="255" w:type="pct"/>
            <w:shd w:val="clear" w:color="auto" w:fill="auto"/>
            <w:noWrap/>
            <w:vAlign w:val="center"/>
          </w:tcPr>
          <w:p w14:paraId="6E8D9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23161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0630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5E4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52AA5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15A77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水控机</w:t>
            </w:r>
          </w:p>
        </w:tc>
        <w:tc>
          <w:tcPr>
            <w:tcW w:w="2879" w:type="pct"/>
            <w:shd w:val="clear" w:color="auto" w:fill="auto"/>
            <w:vAlign w:val="center"/>
          </w:tcPr>
          <w:p w14:paraId="76FC6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1、防暴设计，采用新型防水模具，三层防水技术设计。                                      2、工作电压：DC12V±10%,额定电流0.2A。                                                          3、系统采用IC卡，可采用计算流量或计算时间两种计费方式， 如需按流量计费则需要配备脉冲式流量计。                                                                                          4、屏幕：液晶屏。                                                                                    5、工作模式：读写卡模式，可脱机使用；联机模式上传消费记录。</w:t>
            </w:r>
          </w:p>
        </w:tc>
        <w:tc>
          <w:tcPr>
            <w:tcW w:w="255" w:type="pct"/>
            <w:shd w:val="clear" w:color="auto" w:fill="auto"/>
            <w:noWrap/>
            <w:vAlign w:val="center"/>
          </w:tcPr>
          <w:p w14:paraId="7413B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28台</w:t>
            </w:r>
          </w:p>
        </w:tc>
        <w:tc>
          <w:tcPr>
            <w:tcW w:w="391" w:type="pct"/>
            <w:shd w:val="clear" w:color="auto" w:fill="auto"/>
            <w:noWrap/>
            <w:vAlign w:val="center"/>
          </w:tcPr>
          <w:p w14:paraId="4A075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6357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B99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28D5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7B378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专业电源</w:t>
            </w:r>
          </w:p>
        </w:tc>
        <w:tc>
          <w:tcPr>
            <w:tcW w:w="2879" w:type="pct"/>
            <w:shd w:val="clear" w:color="auto" w:fill="auto"/>
            <w:vAlign w:val="center"/>
          </w:tcPr>
          <w:p w14:paraId="71E24A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1、集中供电电源，高保障双回路供电：读识设备与门锁分 开供电 ；                                             2、输入电压：AC 220V±10%;输出电压：DC 12V±10%</w:t>
            </w:r>
          </w:p>
        </w:tc>
        <w:tc>
          <w:tcPr>
            <w:tcW w:w="255" w:type="pct"/>
            <w:shd w:val="clear" w:color="auto" w:fill="auto"/>
            <w:noWrap/>
            <w:vAlign w:val="center"/>
          </w:tcPr>
          <w:p w14:paraId="0605D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28台</w:t>
            </w:r>
          </w:p>
        </w:tc>
        <w:tc>
          <w:tcPr>
            <w:tcW w:w="391" w:type="pct"/>
            <w:shd w:val="clear" w:color="auto" w:fill="auto"/>
            <w:noWrap/>
            <w:vAlign w:val="center"/>
          </w:tcPr>
          <w:p w14:paraId="588FD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B87A5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52E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3CEF07FB">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（二）、线材</w:t>
            </w:r>
          </w:p>
        </w:tc>
      </w:tr>
      <w:tr w14:paraId="5F84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blHeader/>
          <w:jc w:val="center"/>
        </w:trPr>
        <w:tc>
          <w:tcPr>
            <w:tcW w:w="269" w:type="pct"/>
            <w:shd w:val="clear" w:color="auto" w:fill="auto"/>
            <w:noWrap/>
            <w:vAlign w:val="center"/>
          </w:tcPr>
          <w:p w14:paraId="7F5C8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7D351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六类四对非屏蔽双绞线</w:t>
            </w:r>
          </w:p>
        </w:tc>
        <w:tc>
          <w:tcPr>
            <w:tcW w:w="2879" w:type="pct"/>
            <w:shd w:val="clear" w:color="auto" w:fill="auto"/>
            <w:vAlign w:val="center"/>
          </w:tcPr>
          <w:p w14:paraId="2C807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1.带宽：≥250 HMz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2.应用：支持1000 Base-T并向下兼容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3.线规：23AWG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4.导体材质：采用高品质99.99%无氧铜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5.绝缘层材料：高密度聚乙烯(HDPE)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6.外护套材料：聚氯乙烯(PVC)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7.骨芯结构：十字龙骨芯                                                                          8.长度305米/箱.</w:t>
            </w:r>
          </w:p>
        </w:tc>
        <w:tc>
          <w:tcPr>
            <w:tcW w:w="255" w:type="pct"/>
            <w:shd w:val="clear" w:color="auto" w:fill="auto"/>
            <w:noWrap/>
            <w:vAlign w:val="center"/>
          </w:tcPr>
          <w:p w14:paraId="1391A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391" w:type="pct"/>
            <w:shd w:val="clear" w:color="auto" w:fill="auto"/>
            <w:noWrap/>
            <w:vAlign w:val="center"/>
          </w:tcPr>
          <w:p w14:paraId="461C1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AF4D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A46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32D1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37E77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2879" w:type="pct"/>
            <w:shd w:val="clear" w:color="auto" w:fill="auto"/>
            <w:vAlign w:val="center"/>
          </w:tcPr>
          <w:p w14:paraId="48154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RVV4*1.0</w:t>
            </w:r>
          </w:p>
        </w:tc>
        <w:tc>
          <w:tcPr>
            <w:tcW w:w="255" w:type="pct"/>
            <w:shd w:val="clear" w:color="auto" w:fill="auto"/>
            <w:noWrap/>
            <w:vAlign w:val="center"/>
          </w:tcPr>
          <w:p w14:paraId="7E6B2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1400米</w:t>
            </w:r>
          </w:p>
        </w:tc>
        <w:tc>
          <w:tcPr>
            <w:tcW w:w="391" w:type="pct"/>
            <w:shd w:val="clear" w:color="auto" w:fill="auto"/>
            <w:noWrap/>
            <w:vAlign w:val="center"/>
          </w:tcPr>
          <w:p w14:paraId="333E7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98DE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25A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CA0F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4C7B5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辅料</w:t>
            </w:r>
          </w:p>
        </w:tc>
        <w:tc>
          <w:tcPr>
            <w:tcW w:w="2879" w:type="pct"/>
            <w:shd w:val="clear" w:color="auto" w:fill="auto"/>
            <w:vAlign w:val="center"/>
          </w:tcPr>
          <w:p w14:paraId="67C214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含水晶头、软管、扎带、标识标签、钢丝、铁钉、螺栓、构配件等所有辅材</w:t>
            </w:r>
          </w:p>
        </w:tc>
        <w:tc>
          <w:tcPr>
            <w:tcW w:w="255" w:type="pct"/>
            <w:shd w:val="clear" w:color="auto" w:fill="auto"/>
            <w:noWrap/>
            <w:vAlign w:val="center"/>
          </w:tcPr>
          <w:p w14:paraId="0C156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391" w:type="pct"/>
            <w:shd w:val="clear" w:color="auto" w:fill="auto"/>
            <w:noWrap/>
            <w:vAlign w:val="center"/>
          </w:tcPr>
          <w:p w14:paraId="3321A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9847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FA1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69D37C00">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七、车辆管理系统</w:t>
            </w:r>
          </w:p>
        </w:tc>
      </w:tr>
      <w:tr w14:paraId="15E8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269" w:type="pct"/>
            <w:shd w:val="clear" w:color="auto" w:fill="auto"/>
            <w:noWrap/>
            <w:vAlign w:val="center"/>
          </w:tcPr>
          <w:p w14:paraId="3D89520F">
            <w:pPr>
              <w:jc w:val="center"/>
              <w:rPr>
                <w:rFonts w:hint="eastAsia" w:ascii="宋体" w:hAnsi="宋体" w:eastAsia="宋体" w:cs="宋体"/>
                <w:i w:val="0"/>
                <w:iCs w:val="0"/>
                <w:color w:val="000000"/>
                <w:sz w:val="20"/>
                <w:szCs w:val="20"/>
                <w:u w:val="none"/>
              </w:rPr>
            </w:pPr>
          </w:p>
        </w:tc>
        <w:tc>
          <w:tcPr>
            <w:tcW w:w="4730" w:type="pct"/>
            <w:gridSpan w:val="5"/>
            <w:shd w:val="clear" w:color="auto" w:fill="auto"/>
            <w:noWrap/>
            <w:vAlign w:val="center"/>
          </w:tcPr>
          <w:p w14:paraId="4AD64B05">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（一）、入口设备</w:t>
            </w:r>
          </w:p>
        </w:tc>
      </w:tr>
      <w:tr w14:paraId="6143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40" w:hRule="atLeast"/>
          <w:tblHeader/>
          <w:jc w:val="center"/>
        </w:trPr>
        <w:tc>
          <w:tcPr>
            <w:tcW w:w="269" w:type="pct"/>
            <w:shd w:val="clear" w:color="auto" w:fill="auto"/>
            <w:noWrap/>
            <w:vAlign w:val="center"/>
          </w:tcPr>
          <w:p w14:paraId="2811A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012FA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入口柜式抓拍一体机</w:t>
            </w:r>
          </w:p>
        </w:tc>
        <w:tc>
          <w:tcPr>
            <w:tcW w:w="2879" w:type="pct"/>
            <w:shd w:val="clear" w:color="auto" w:fill="auto"/>
            <w:vAlign w:val="center"/>
          </w:tcPr>
          <w:p w14:paraId="58281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1、不低于400万双光变焦智能出入口杆式抓拍一体机，内置1/1.8英寸CMOS图像传感器，包括LED屏（4行4字）、立柱；抓拍机；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2、内置2.7-12 mm电动变焦镜头，焦距镜头可调；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3、护罩内置3颗LED灯(暖光灯与红外灯可切换，暖光灯色温3000K±10%)，支持根据环境光亮度，自动控制LED灯亮灭及亮度调节。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4、语音播报功能：内置喇叭，输出音量调节0～100 级可调，语速0～100级可调，发音人员男音、女音可配；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5、支持对打印车牌、单独车牌照片和单独车牌等虚假车牌进行过滤；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6、LED屏显示雷达调试信息功能检查：雷达调试过程中，LED屏支持显示雷达监测范围内目标物体坐标位置；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7、智能识别功能检查：支持12种车型识别，包括大客车、大货车、中货车、轿车、面包车、小货车、suv、mpv、中客车、皮卡车、微型车、公交车；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8、智能识别功能检查：在天气晴朗无雾，车牌无遮挡，无污损，车身无大面积遮挡的条件下进项测试，白天测试时的环境光照度应不低于2001x，晚上测试时的辅助设备照明度应不高于301x。车标识别率：≥99%。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9、支持对抓拍的车辆进行车牌、车身，并对应生成小图；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10、支持通过USB扩展WiFi接入，登入Web界面，进行WiFi无线调试。；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11、支持根据相机内部温度及设定阈值，自动开启玻璃加热；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12、闸口跟车功能设置检查：具有闸口跟车设置功能，可设置跟随车辆间隔时间，并输出报警；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13、具有智能除雾技术，有效杜绝玻璃结冰、起雾现象，满足全天候使用。</w:t>
            </w:r>
          </w:p>
        </w:tc>
        <w:tc>
          <w:tcPr>
            <w:tcW w:w="255" w:type="pct"/>
            <w:shd w:val="clear" w:color="auto" w:fill="auto"/>
            <w:noWrap/>
            <w:vAlign w:val="center"/>
          </w:tcPr>
          <w:p w14:paraId="5A37D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7CD62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126A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978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blHeader/>
          <w:jc w:val="center"/>
        </w:trPr>
        <w:tc>
          <w:tcPr>
            <w:tcW w:w="269" w:type="pct"/>
            <w:shd w:val="clear" w:color="auto" w:fill="auto"/>
            <w:noWrap/>
            <w:vAlign w:val="center"/>
          </w:tcPr>
          <w:p w14:paraId="44D64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088C0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右向直臂道闸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4米</w:t>
            </w:r>
          </w:p>
        </w:tc>
        <w:tc>
          <w:tcPr>
            <w:tcW w:w="2879" w:type="pct"/>
            <w:shd w:val="clear" w:color="auto" w:fill="auto"/>
            <w:vAlign w:val="center"/>
          </w:tcPr>
          <w:p w14:paraId="20AA6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1、左机右向栏栅道闸，箱体应采用钣金设计；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2、支持直臂杆长≥4米，自带防砸胶条，起杆速度≤1.5秒；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3、支持防撞功能，栏杆臂与闸机主轴间装有回转装置，在栏杆臂受撞击时可转开；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4、支持断电抬杆功能，停电时，栏杆臂会自动抬起；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5.支持外接雷达、线圈、红外防砸功能；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6、设备需具有放行计数控制功能，设备记录接收放行指令的次数与通过车辆检测器感知车辆通过的次数，判定相等并在车辆检测信号为无车时，设备自动运行到禁行状态；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7、具备闸机栏杆机受到车辆撞击后，栏杆可以向行车方向及时打开，避免冲击损坏主机和杆臂功能；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8.支持遥控远程控制，最大距离不小于50米；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防护等级：不低于IP54；</w:t>
            </w:r>
          </w:p>
        </w:tc>
        <w:tc>
          <w:tcPr>
            <w:tcW w:w="255" w:type="pct"/>
            <w:shd w:val="clear" w:color="auto" w:fill="auto"/>
            <w:noWrap/>
            <w:vAlign w:val="center"/>
          </w:tcPr>
          <w:p w14:paraId="66A3E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0A048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05FE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1F6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7D856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4B02B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出入口防砸雷达</w:t>
            </w:r>
          </w:p>
        </w:tc>
        <w:tc>
          <w:tcPr>
            <w:tcW w:w="2879" w:type="pct"/>
            <w:shd w:val="clear" w:color="auto" w:fill="auto"/>
            <w:vAlign w:val="center"/>
          </w:tcPr>
          <w:p w14:paraId="375F39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1、发射频率：77GHz～81GHz；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2、检测区域：1m～6m（可调）；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3、防砸区域：广告杆、栅栏杆：左侧0.7m～1.5m（可调），右侧0.7m～1.5m（可调）折臂杆、直杆：左侧0.1m～1.5m（可调），右侧0.1m～1.5m（可调）；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4、检测目标：人、车；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5、升级功能：支持（RS485上位机软件、手机APP通过蓝牙连接）；</w:t>
            </w:r>
          </w:p>
        </w:tc>
        <w:tc>
          <w:tcPr>
            <w:tcW w:w="255" w:type="pct"/>
            <w:shd w:val="clear" w:color="auto" w:fill="auto"/>
            <w:noWrap/>
            <w:vAlign w:val="center"/>
          </w:tcPr>
          <w:p w14:paraId="21B8A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391" w:type="pct"/>
            <w:shd w:val="clear" w:color="auto" w:fill="auto"/>
            <w:noWrap/>
            <w:vAlign w:val="center"/>
          </w:tcPr>
          <w:p w14:paraId="39C34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EB72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4A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164F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19104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2879" w:type="pct"/>
            <w:shd w:val="clear" w:color="auto" w:fill="auto"/>
            <w:vAlign w:val="center"/>
          </w:tcPr>
          <w:p w14:paraId="250F7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1、支持AC180~264V电压供电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2、电源适配器，输出12V2A</w:t>
            </w:r>
          </w:p>
        </w:tc>
        <w:tc>
          <w:tcPr>
            <w:tcW w:w="255" w:type="pct"/>
            <w:shd w:val="clear" w:color="auto" w:fill="auto"/>
            <w:noWrap/>
            <w:vAlign w:val="center"/>
          </w:tcPr>
          <w:p w14:paraId="60F4D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60584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B28B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4E3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3D2AB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09119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停车场行业可视对讲自助终端</w:t>
            </w:r>
          </w:p>
        </w:tc>
        <w:tc>
          <w:tcPr>
            <w:tcW w:w="2879" w:type="pct"/>
            <w:shd w:val="clear" w:color="auto" w:fill="auto"/>
            <w:vAlign w:val="center"/>
          </w:tcPr>
          <w:p w14:paraId="37BF0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1、集成≥200万高清摄像机、喇叭、麦克风、呼叫按钮为一体，实现无牌车自助扫描入场、出场扫描支付及可视对讲功能。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2、其中机体可粘贴显示二维码信息，呼叫按钮实现可视对讲功能。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3、支持通过呼叫按钮发起语音对讲，在平台端打开视频并接通语音对讲，实现可视对讲功能，执行人工服务。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4、支持刷卡。</w:t>
            </w:r>
          </w:p>
        </w:tc>
        <w:tc>
          <w:tcPr>
            <w:tcW w:w="255" w:type="pct"/>
            <w:shd w:val="clear" w:color="auto" w:fill="auto"/>
            <w:noWrap/>
            <w:vAlign w:val="center"/>
          </w:tcPr>
          <w:p w14:paraId="59F4F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45A22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FC14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58D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81FC9D9">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（二）、出口设备</w:t>
            </w:r>
          </w:p>
        </w:tc>
      </w:tr>
      <w:tr w14:paraId="6172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blHeader/>
          <w:jc w:val="center"/>
        </w:trPr>
        <w:tc>
          <w:tcPr>
            <w:tcW w:w="269" w:type="pct"/>
            <w:shd w:val="clear" w:color="auto" w:fill="auto"/>
            <w:noWrap/>
            <w:vAlign w:val="center"/>
          </w:tcPr>
          <w:p w14:paraId="59869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0B069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入口抓拍一体机</w:t>
            </w:r>
          </w:p>
        </w:tc>
        <w:tc>
          <w:tcPr>
            <w:tcW w:w="2879" w:type="pct"/>
            <w:shd w:val="clear" w:color="auto" w:fill="auto"/>
            <w:vAlign w:val="center"/>
          </w:tcPr>
          <w:p w14:paraId="423C84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1、不低于400万双光变焦智能出入口杆式抓拍一体机，内置1/1.8英寸CMOS图像传感器，包括LED屏（4行4字）、立柱；抓拍机；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2、内置2.7-12 mm电动变焦镜头，焦距镜头可调；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3、护罩内置3颗LED灯(暖光灯与红外灯可切换，暖光灯色温3000K±10%)，支持根据环境光亮度，自动控制LED灯亮灭及亮度调节。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4、语音播报功能：内置喇叭，输出音量调节0～100 级可调，语速0～100级可调，发音人员男音、女音可配；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5、支持对打印车牌、单独车牌照片和单独车牌等虚假车牌进行过滤；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6、LED屏显示雷达调试信息功能检查：雷达调试过程中，LED屏支持显示雷达监测范围内目标物体坐标位置；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7、智能识别功能检查：支持12种车型识别，包括大客车、大货车、中货车、轿车、面包车、小货车、suv、mpv、中客车、皮卡车、微型车、公交车；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8、智能识别功能检查：在天气晴朗无雾，车牌无遮挡，无污损，车身无大面积遮挡的条件下进项测试，白天测试时的环境光照度应不低于2001x，晚上测试时的辅助设备照明度应不高于301x。车标识别率：≥99%。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9、支持对抓拍的车辆进行车牌、车身，并对应生成小图；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10、支持根据相机内部温度及设定阈值，自动开启玻璃加热；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11、闸口跟车功能设置检查：具有闸口跟车设置功能，可设置跟随车辆间隔时间，并输出报警；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12、采用智能除雾技术，有效杜绝玻璃结冰、起雾现象，满足全天候使用。</w:t>
            </w:r>
          </w:p>
        </w:tc>
        <w:tc>
          <w:tcPr>
            <w:tcW w:w="255" w:type="pct"/>
            <w:shd w:val="clear" w:color="auto" w:fill="auto"/>
            <w:noWrap/>
            <w:vAlign w:val="center"/>
          </w:tcPr>
          <w:p w14:paraId="09B96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6A0B4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B882E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B36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blHeader/>
          <w:jc w:val="center"/>
        </w:trPr>
        <w:tc>
          <w:tcPr>
            <w:tcW w:w="269" w:type="pct"/>
            <w:shd w:val="clear" w:color="auto" w:fill="auto"/>
            <w:noWrap/>
            <w:vAlign w:val="center"/>
          </w:tcPr>
          <w:p w14:paraId="17393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5B4AB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右向直臂道闸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4米</w:t>
            </w:r>
          </w:p>
        </w:tc>
        <w:tc>
          <w:tcPr>
            <w:tcW w:w="2879" w:type="pct"/>
            <w:shd w:val="clear" w:color="auto" w:fill="auto"/>
            <w:vAlign w:val="center"/>
          </w:tcPr>
          <w:p w14:paraId="03EB74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1、左机右向栏栅道闸，箱体应采用钣金材质；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2、支持直臂杆长≥3.5米，自带防砸胶条，起杆速度≤1.5秒；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3、支持防撞功能，栏杆臂与闸机主轴间装有回转装置，在栏杆臂受撞击时可转开；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4、断电抬杆功能，停电时，栏杆臂会自动抬起；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5.支持外接雷达、线圈、红外防砸功能；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6、设备宜具有放行计数控制功能，设备记录接收放行指令的次数与通过车辆检测器感知车辆通过的次数，判定相等并在车辆检测信号为无车时，设备自动运行到禁行状态；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7、闸机栏杆机受到车辆撞击后，栏杆可以向行车方向及时打开，避免冲击损坏主机和杆臂；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8.设备完成禁行/放行状态的单程运行时间，直杆支持运行时间1s~4s；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9.支持遥控远程控制，最大距离不小于50米；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防护等级：不低于IP54；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1、发射频率：77GHz～81GHz；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2、检测区域：1m～6m（可调）；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3、防砸区域：广告杆、栅栏杆：左侧0.7m～1.5m（可调），右侧0.7m～1.5m（可调）折臂杆、直杆：左侧0.1m～1.5m（可调），右侧0.1m～1.5m（可调）；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4、升级功能：支持（RS485上位机软件、手机APP通过蓝牙连接）；</w:t>
            </w:r>
          </w:p>
        </w:tc>
        <w:tc>
          <w:tcPr>
            <w:tcW w:w="255" w:type="pct"/>
            <w:shd w:val="clear" w:color="auto" w:fill="auto"/>
            <w:noWrap/>
            <w:vAlign w:val="center"/>
          </w:tcPr>
          <w:p w14:paraId="7F36B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157F5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8810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D6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69814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00307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出入口防砸雷达</w:t>
            </w:r>
          </w:p>
        </w:tc>
        <w:tc>
          <w:tcPr>
            <w:tcW w:w="2879" w:type="pct"/>
            <w:shd w:val="clear" w:color="auto" w:fill="auto"/>
            <w:vAlign w:val="center"/>
          </w:tcPr>
          <w:p w14:paraId="775136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1、发射频率：77GHz～81GHz；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2、检测区域：1m～6m（可调）；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3、防砸区域：广告杆、栅栏杆：左侧0.7m～1.5m（可调），右侧0.7m～1.5m（可调）折臂杆、直杆：左侧0.1m～1.5m（可调），右侧0.1m～1.5m（可调）；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4、升级功能：支持（RS485上位机软件、手机APP通过蓝牙连接）；</w:t>
            </w:r>
          </w:p>
        </w:tc>
        <w:tc>
          <w:tcPr>
            <w:tcW w:w="255" w:type="pct"/>
            <w:shd w:val="clear" w:color="auto" w:fill="auto"/>
            <w:noWrap/>
            <w:vAlign w:val="center"/>
          </w:tcPr>
          <w:p w14:paraId="2B2CB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391" w:type="pct"/>
            <w:shd w:val="clear" w:color="auto" w:fill="auto"/>
            <w:noWrap/>
            <w:vAlign w:val="center"/>
          </w:tcPr>
          <w:p w14:paraId="6767A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37EB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629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CA1D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20CEC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2879" w:type="pct"/>
            <w:shd w:val="clear" w:color="auto" w:fill="auto"/>
            <w:vAlign w:val="center"/>
          </w:tcPr>
          <w:p w14:paraId="1077B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供电电压：2AC100V~240V</w:t>
            </w:r>
          </w:p>
        </w:tc>
        <w:tc>
          <w:tcPr>
            <w:tcW w:w="255" w:type="pct"/>
            <w:shd w:val="clear" w:color="auto" w:fill="auto"/>
            <w:noWrap/>
            <w:vAlign w:val="center"/>
          </w:tcPr>
          <w:p w14:paraId="7BA4B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79BD4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4A5D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D0A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13143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65286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停车场行业可视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对讲自助终端</w:t>
            </w:r>
          </w:p>
        </w:tc>
        <w:tc>
          <w:tcPr>
            <w:tcW w:w="2879" w:type="pct"/>
            <w:shd w:val="clear" w:color="auto" w:fill="auto"/>
            <w:vAlign w:val="center"/>
          </w:tcPr>
          <w:p w14:paraId="65E9F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1、集成≥200万高清摄像机、喇叭、麦克风、呼叫按钮为一体，实现无牌车自助扫描入场、出场扫描支付及可视对讲功能。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2、其中机体可粘贴显示二维码信息，呼叫按钮实现可视对讲功能。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3、支持通过呼叫按钮发起语音对讲，在平台端打开视频并接通语音对讲，实现可视对讲功能，执行人工服务。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4、支持刷卡。</w:t>
            </w:r>
          </w:p>
        </w:tc>
        <w:tc>
          <w:tcPr>
            <w:tcW w:w="255" w:type="pct"/>
            <w:shd w:val="clear" w:color="auto" w:fill="auto"/>
            <w:noWrap/>
            <w:vAlign w:val="center"/>
          </w:tcPr>
          <w:p w14:paraId="1E1DE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61958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94731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C03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08AAA960">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（三）、后端管理设备</w:t>
            </w:r>
          </w:p>
        </w:tc>
      </w:tr>
      <w:tr w14:paraId="7FEC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BD76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354D2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出入口车道数量授权</w:t>
            </w:r>
          </w:p>
        </w:tc>
        <w:tc>
          <w:tcPr>
            <w:tcW w:w="2879" w:type="pct"/>
            <w:shd w:val="clear" w:color="auto" w:fill="auto"/>
            <w:vAlign w:val="center"/>
          </w:tcPr>
          <w:p w14:paraId="16B6E0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1、实现数据汇聚；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2、支持对管理车道单个授权管理；</w:t>
            </w:r>
          </w:p>
        </w:tc>
        <w:tc>
          <w:tcPr>
            <w:tcW w:w="255" w:type="pct"/>
            <w:shd w:val="clear" w:color="auto" w:fill="auto"/>
            <w:noWrap/>
            <w:vAlign w:val="center"/>
          </w:tcPr>
          <w:p w14:paraId="36CD5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2路</w:t>
            </w:r>
          </w:p>
        </w:tc>
        <w:tc>
          <w:tcPr>
            <w:tcW w:w="391" w:type="pct"/>
            <w:shd w:val="clear" w:color="auto" w:fill="auto"/>
            <w:noWrap/>
            <w:vAlign w:val="center"/>
          </w:tcPr>
          <w:p w14:paraId="3D024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AED1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002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blHeader/>
          <w:jc w:val="center"/>
        </w:trPr>
        <w:tc>
          <w:tcPr>
            <w:tcW w:w="269" w:type="pct"/>
            <w:shd w:val="clear" w:color="auto" w:fill="auto"/>
            <w:noWrap/>
            <w:vAlign w:val="center"/>
          </w:tcPr>
          <w:p w14:paraId="02647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10CD7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出入口管理终端</w:t>
            </w:r>
          </w:p>
        </w:tc>
        <w:tc>
          <w:tcPr>
            <w:tcW w:w="2879" w:type="pct"/>
            <w:shd w:val="clear" w:color="auto" w:fill="auto"/>
            <w:vAlign w:val="center"/>
          </w:tcPr>
          <w:p w14:paraId="1104F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1、内存：≥8GB，预留≥1个DDR内存条卡槽；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2、车场管理：支持1个母车场+1个子停车场；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3、车道配置：车道绑定主相机、辅相机、对讲设备和监控相机，支持车道道闸设置常开、常闭时间段；支持混进混出配置；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4、车类管理：支持5类车类：免费车、月租车、储值车、临时车和职工车；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5、车型管理：支持3种车型：黄牌、蓝牌和绿牌；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6、记录中心：支持进出记录、在场车辆、充值记录查询；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7、中心值守：支持车道对讲接入、车牌号纠正、手动匹配在场记录、远程开闸、车辆费用信息展示等；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8、云平台接入：支持接入云平台实现电子支付；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9、异常处理：支持手动放行、手动抓拍、手动匹配、手动修改车牌；</w:t>
            </w:r>
          </w:p>
        </w:tc>
        <w:tc>
          <w:tcPr>
            <w:tcW w:w="255" w:type="pct"/>
            <w:shd w:val="clear" w:color="auto" w:fill="auto"/>
            <w:noWrap/>
            <w:vAlign w:val="center"/>
          </w:tcPr>
          <w:p w14:paraId="5999A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292E8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30CC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17A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58335C5C">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（四）、管线部分</w:t>
            </w:r>
          </w:p>
        </w:tc>
      </w:tr>
      <w:tr w14:paraId="5FDA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7EE9C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1410E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六类四对非屏蔽双绞线</w:t>
            </w:r>
          </w:p>
        </w:tc>
        <w:tc>
          <w:tcPr>
            <w:tcW w:w="2879" w:type="pct"/>
            <w:shd w:val="clear" w:color="auto" w:fill="auto"/>
            <w:vAlign w:val="center"/>
          </w:tcPr>
          <w:p w14:paraId="20858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1.带宽：≥250 HMz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2.应用：支持1000 Base-T并向下兼容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3.线规：23AWG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4.导体材质：采用高品质99.99%无氧铜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5.绝缘层材料：高密度聚乙烯(HDPE)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6.外护套材料：聚氯乙烯(PVC)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7.骨芯结构：十字龙骨芯                   8.长度305米/箱.</w:t>
            </w:r>
          </w:p>
        </w:tc>
        <w:tc>
          <w:tcPr>
            <w:tcW w:w="255" w:type="pct"/>
            <w:shd w:val="clear" w:color="auto" w:fill="auto"/>
            <w:noWrap/>
            <w:vAlign w:val="center"/>
          </w:tcPr>
          <w:p w14:paraId="56F2D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391" w:type="pct"/>
            <w:shd w:val="clear" w:color="auto" w:fill="auto"/>
            <w:noWrap/>
            <w:vAlign w:val="center"/>
          </w:tcPr>
          <w:p w14:paraId="402F2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1D18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90A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1CDB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43D82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879" w:type="pct"/>
            <w:shd w:val="clear" w:color="auto" w:fill="auto"/>
            <w:vAlign w:val="center"/>
          </w:tcPr>
          <w:p w14:paraId="2E7E8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RVV3*2.5</w:t>
            </w:r>
          </w:p>
        </w:tc>
        <w:tc>
          <w:tcPr>
            <w:tcW w:w="255" w:type="pct"/>
            <w:shd w:val="clear" w:color="auto" w:fill="auto"/>
            <w:noWrap/>
            <w:vAlign w:val="center"/>
          </w:tcPr>
          <w:p w14:paraId="3A786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200米</w:t>
            </w:r>
          </w:p>
        </w:tc>
        <w:tc>
          <w:tcPr>
            <w:tcW w:w="391" w:type="pct"/>
            <w:shd w:val="clear" w:color="auto" w:fill="auto"/>
            <w:noWrap/>
            <w:vAlign w:val="center"/>
          </w:tcPr>
          <w:p w14:paraId="63BD6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9C5C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D6D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3439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1B53A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安全岛</w:t>
            </w:r>
          </w:p>
        </w:tc>
        <w:tc>
          <w:tcPr>
            <w:tcW w:w="2879" w:type="pct"/>
            <w:shd w:val="clear" w:color="auto" w:fill="auto"/>
            <w:vAlign w:val="center"/>
          </w:tcPr>
          <w:p w14:paraId="28510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1、现场浇筑；                                                                                                     2、尺寸：300cm*60cm*20cm9(具体尺寸可根据现场调整）。</w:t>
            </w:r>
          </w:p>
        </w:tc>
        <w:tc>
          <w:tcPr>
            <w:tcW w:w="255" w:type="pct"/>
            <w:shd w:val="clear" w:color="auto" w:fill="auto"/>
            <w:noWrap/>
            <w:vAlign w:val="center"/>
          </w:tcPr>
          <w:p w14:paraId="7CC1F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391" w:type="pct"/>
            <w:shd w:val="clear" w:color="auto" w:fill="auto"/>
            <w:noWrap/>
            <w:vAlign w:val="center"/>
          </w:tcPr>
          <w:p w14:paraId="56E6C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FB2F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CD3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2A8638C">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八、机房工程</w:t>
            </w:r>
          </w:p>
        </w:tc>
      </w:tr>
      <w:tr w14:paraId="14CB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00989592">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1层消防控制室</w:t>
            </w:r>
          </w:p>
        </w:tc>
      </w:tr>
      <w:tr w14:paraId="5131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3C367428">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（一）机房配电</w:t>
            </w:r>
          </w:p>
        </w:tc>
      </w:tr>
      <w:tr w14:paraId="3597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FC46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32A66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2879" w:type="pct"/>
            <w:shd w:val="clear" w:color="auto" w:fill="auto"/>
            <w:vAlign w:val="center"/>
          </w:tcPr>
          <w:p w14:paraId="689350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配电柜（UPS输出配电柜，，电子元器件详见图纸）</w:t>
            </w:r>
          </w:p>
        </w:tc>
        <w:tc>
          <w:tcPr>
            <w:tcW w:w="255" w:type="pct"/>
            <w:shd w:val="clear" w:color="auto" w:fill="auto"/>
            <w:noWrap/>
            <w:vAlign w:val="center"/>
          </w:tcPr>
          <w:p w14:paraId="7814B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2FA1E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2FFB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352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C183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4280E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托架</w:t>
            </w:r>
          </w:p>
        </w:tc>
        <w:tc>
          <w:tcPr>
            <w:tcW w:w="2879" w:type="pct"/>
            <w:shd w:val="clear" w:color="auto" w:fill="auto"/>
            <w:vAlign w:val="center"/>
          </w:tcPr>
          <w:p w14:paraId="5D9FC5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配电柜支撑架</w:t>
            </w:r>
          </w:p>
        </w:tc>
        <w:tc>
          <w:tcPr>
            <w:tcW w:w="255" w:type="pct"/>
            <w:shd w:val="clear" w:color="auto" w:fill="auto"/>
            <w:noWrap/>
            <w:vAlign w:val="center"/>
          </w:tcPr>
          <w:p w14:paraId="707F9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17FE0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DA6D2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433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E853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0D75A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879" w:type="pct"/>
            <w:shd w:val="clear" w:color="auto" w:fill="auto"/>
            <w:vAlign w:val="center"/>
          </w:tcPr>
          <w:p w14:paraId="0017E3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WDZB-YJY-5*16</w:t>
            </w:r>
          </w:p>
        </w:tc>
        <w:tc>
          <w:tcPr>
            <w:tcW w:w="255" w:type="pct"/>
            <w:shd w:val="clear" w:color="auto" w:fill="auto"/>
            <w:noWrap/>
            <w:vAlign w:val="center"/>
          </w:tcPr>
          <w:p w14:paraId="7B8E6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w:t>
            </w:r>
          </w:p>
        </w:tc>
        <w:tc>
          <w:tcPr>
            <w:tcW w:w="391" w:type="pct"/>
            <w:shd w:val="clear" w:color="auto" w:fill="auto"/>
            <w:noWrap/>
            <w:vAlign w:val="center"/>
          </w:tcPr>
          <w:p w14:paraId="5F663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3141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04E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69" w:type="pct"/>
            <w:shd w:val="clear" w:color="auto" w:fill="auto"/>
            <w:noWrap/>
            <w:vAlign w:val="center"/>
          </w:tcPr>
          <w:p w14:paraId="68E28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1580F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空调电缆</w:t>
            </w:r>
          </w:p>
        </w:tc>
        <w:tc>
          <w:tcPr>
            <w:tcW w:w="2879" w:type="pct"/>
            <w:shd w:val="clear" w:color="auto" w:fill="auto"/>
            <w:vAlign w:val="center"/>
          </w:tcPr>
          <w:p w14:paraId="050124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WDZBN-BYJ-3*4</w:t>
            </w:r>
          </w:p>
        </w:tc>
        <w:tc>
          <w:tcPr>
            <w:tcW w:w="255" w:type="pct"/>
            <w:shd w:val="clear" w:color="auto" w:fill="auto"/>
            <w:noWrap/>
            <w:vAlign w:val="center"/>
          </w:tcPr>
          <w:p w14:paraId="2B980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w:t>
            </w:r>
          </w:p>
        </w:tc>
        <w:tc>
          <w:tcPr>
            <w:tcW w:w="391" w:type="pct"/>
            <w:shd w:val="clear" w:color="auto" w:fill="auto"/>
            <w:noWrap/>
            <w:vAlign w:val="center"/>
          </w:tcPr>
          <w:p w14:paraId="63269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BBE0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520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4E04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49AF3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2879" w:type="pct"/>
            <w:shd w:val="clear" w:color="auto" w:fill="auto"/>
            <w:vAlign w:val="center"/>
          </w:tcPr>
          <w:p w14:paraId="27BBD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管内穿线ZR-BV4mm2</w:t>
            </w:r>
          </w:p>
        </w:tc>
        <w:tc>
          <w:tcPr>
            <w:tcW w:w="255" w:type="pct"/>
            <w:shd w:val="clear" w:color="auto" w:fill="auto"/>
            <w:noWrap/>
            <w:vAlign w:val="center"/>
          </w:tcPr>
          <w:p w14:paraId="7C019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w:t>
            </w:r>
          </w:p>
        </w:tc>
        <w:tc>
          <w:tcPr>
            <w:tcW w:w="391" w:type="pct"/>
            <w:shd w:val="clear" w:color="auto" w:fill="auto"/>
            <w:noWrap/>
            <w:vAlign w:val="center"/>
          </w:tcPr>
          <w:p w14:paraId="452AB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EF47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08B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FD77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33DE1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2879" w:type="pct"/>
            <w:shd w:val="clear" w:color="auto" w:fill="auto"/>
            <w:vAlign w:val="center"/>
          </w:tcPr>
          <w:p w14:paraId="27C2AB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管内穿线ZR-BV2.5mm2</w:t>
            </w:r>
          </w:p>
        </w:tc>
        <w:tc>
          <w:tcPr>
            <w:tcW w:w="255" w:type="pct"/>
            <w:shd w:val="clear" w:color="auto" w:fill="auto"/>
            <w:noWrap/>
            <w:vAlign w:val="center"/>
          </w:tcPr>
          <w:p w14:paraId="3CBB4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280m</w:t>
            </w:r>
          </w:p>
        </w:tc>
        <w:tc>
          <w:tcPr>
            <w:tcW w:w="391" w:type="pct"/>
            <w:shd w:val="clear" w:color="auto" w:fill="auto"/>
            <w:noWrap/>
            <w:vAlign w:val="center"/>
          </w:tcPr>
          <w:p w14:paraId="3B91D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8D919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701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F283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43CEC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LED照明灯具</w:t>
            </w:r>
          </w:p>
        </w:tc>
        <w:tc>
          <w:tcPr>
            <w:tcW w:w="2879" w:type="pct"/>
            <w:shd w:val="clear" w:color="auto" w:fill="auto"/>
            <w:vAlign w:val="center"/>
          </w:tcPr>
          <w:p w14:paraId="0A589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LED集成吊顶600*600平板灯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1.尺寸：600*600*30MM</w:t>
            </w:r>
          </w:p>
        </w:tc>
        <w:tc>
          <w:tcPr>
            <w:tcW w:w="255" w:type="pct"/>
            <w:shd w:val="clear" w:color="auto" w:fill="auto"/>
            <w:noWrap/>
            <w:vAlign w:val="center"/>
          </w:tcPr>
          <w:p w14:paraId="05EC5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8套</w:t>
            </w:r>
          </w:p>
        </w:tc>
        <w:tc>
          <w:tcPr>
            <w:tcW w:w="391" w:type="pct"/>
            <w:shd w:val="clear" w:color="auto" w:fill="auto"/>
            <w:noWrap/>
            <w:vAlign w:val="center"/>
          </w:tcPr>
          <w:p w14:paraId="3EAE4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A1AC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42B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E088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60362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应急筒灯</w:t>
            </w:r>
          </w:p>
        </w:tc>
        <w:tc>
          <w:tcPr>
            <w:tcW w:w="2879" w:type="pct"/>
            <w:shd w:val="clear" w:color="auto" w:fill="auto"/>
            <w:vAlign w:val="center"/>
          </w:tcPr>
          <w:p w14:paraId="6BF939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1.名称：应急筒灯4寸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2.安装形式：嵌入式安装</w:t>
            </w:r>
          </w:p>
        </w:tc>
        <w:tc>
          <w:tcPr>
            <w:tcW w:w="255" w:type="pct"/>
            <w:shd w:val="clear" w:color="auto" w:fill="auto"/>
            <w:noWrap/>
            <w:vAlign w:val="center"/>
          </w:tcPr>
          <w:p w14:paraId="59034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4套</w:t>
            </w:r>
          </w:p>
        </w:tc>
        <w:tc>
          <w:tcPr>
            <w:tcW w:w="391" w:type="pct"/>
            <w:shd w:val="clear" w:color="auto" w:fill="auto"/>
            <w:noWrap/>
            <w:vAlign w:val="center"/>
          </w:tcPr>
          <w:p w14:paraId="1C4AE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955EC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F59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10AA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5141E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疏散指示灯</w:t>
            </w:r>
          </w:p>
        </w:tc>
        <w:tc>
          <w:tcPr>
            <w:tcW w:w="2879" w:type="pct"/>
            <w:shd w:val="clear" w:color="auto" w:fill="auto"/>
            <w:vAlign w:val="center"/>
          </w:tcPr>
          <w:p w14:paraId="6E4F2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1.产品名称：安全出口疏散灯；</w:t>
            </w:r>
          </w:p>
        </w:tc>
        <w:tc>
          <w:tcPr>
            <w:tcW w:w="255" w:type="pct"/>
            <w:shd w:val="clear" w:color="auto" w:fill="auto"/>
            <w:noWrap/>
            <w:vAlign w:val="center"/>
          </w:tcPr>
          <w:p w14:paraId="67DD2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2套</w:t>
            </w:r>
          </w:p>
        </w:tc>
        <w:tc>
          <w:tcPr>
            <w:tcW w:w="391" w:type="pct"/>
            <w:shd w:val="clear" w:color="auto" w:fill="auto"/>
            <w:noWrap/>
            <w:vAlign w:val="center"/>
          </w:tcPr>
          <w:p w14:paraId="300E0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8581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81F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FF59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3" w:type="pct"/>
            <w:shd w:val="clear" w:color="auto" w:fill="auto"/>
            <w:vAlign w:val="center"/>
          </w:tcPr>
          <w:p w14:paraId="2D380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翘板开关</w:t>
            </w:r>
          </w:p>
        </w:tc>
        <w:tc>
          <w:tcPr>
            <w:tcW w:w="2879" w:type="pct"/>
            <w:shd w:val="clear" w:color="auto" w:fill="auto"/>
            <w:vAlign w:val="center"/>
          </w:tcPr>
          <w:p w14:paraId="71DAC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1.名称：大翘板单控双联开关；</w:t>
            </w:r>
          </w:p>
        </w:tc>
        <w:tc>
          <w:tcPr>
            <w:tcW w:w="255" w:type="pct"/>
            <w:shd w:val="clear" w:color="auto" w:fill="auto"/>
            <w:noWrap/>
            <w:vAlign w:val="center"/>
          </w:tcPr>
          <w:p w14:paraId="1495C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391" w:type="pct"/>
            <w:shd w:val="clear" w:color="auto" w:fill="auto"/>
            <w:noWrap/>
            <w:vAlign w:val="center"/>
          </w:tcPr>
          <w:p w14:paraId="6DB87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8AD79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155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86DE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3" w:type="pct"/>
            <w:shd w:val="clear" w:color="auto" w:fill="auto"/>
            <w:vAlign w:val="center"/>
          </w:tcPr>
          <w:p w14:paraId="5F1B1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w:t>
            </w:r>
          </w:p>
        </w:tc>
        <w:tc>
          <w:tcPr>
            <w:tcW w:w="2879" w:type="pct"/>
            <w:shd w:val="clear" w:color="auto" w:fill="auto"/>
            <w:vAlign w:val="center"/>
          </w:tcPr>
          <w:p w14:paraId="187766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1.规格：10A五孔插座；</w:t>
            </w:r>
          </w:p>
        </w:tc>
        <w:tc>
          <w:tcPr>
            <w:tcW w:w="255" w:type="pct"/>
            <w:shd w:val="clear" w:color="auto" w:fill="auto"/>
            <w:noWrap/>
            <w:vAlign w:val="center"/>
          </w:tcPr>
          <w:p w14:paraId="35838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w:t>
            </w:r>
          </w:p>
        </w:tc>
        <w:tc>
          <w:tcPr>
            <w:tcW w:w="391" w:type="pct"/>
            <w:shd w:val="clear" w:color="auto" w:fill="auto"/>
            <w:noWrap/>
            <w:vAlign w:val="center"/>
          </w:tcPr>
          <w:p w14:paraId="7C366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03BD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8B4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047D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3" w:type="pct"/>
            <w:shd w:val="clear" w:color="auto" w:fill="auto"/>
            <w:vAlign w:val="center"/>
          </w:tcPr>
          <w:p w14:paraId="37590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工业连接器16A</w:t>
            </w:r>
          </w:p>
        </w:tc>
        <w:tc>
          <w:tcPr>
            <w:tcW w:w="2879" w:type="pct"/>
            <w:shd w:val="clear" w:color="auto" w:fill="auto"/>
            <w:vAlign w:val="center"/>
          </w:tcPr>
          <w:p w14:paraId="210C0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3芯220V(16A)暗装插座,防水工业插头,航空防爆对接。</w:t>
            </w:r>
          </w:p>
        </w:tc>
        <w:tc>
          <w:tcPr>
            <w:tcW w:w="255" w:type="pct"/>
            <w:shd w:val="clear" w:color="auto" w:fill="auto"/>
            <w:noWrap/>
            <w:vAlign w:val="center"/>
          </w:tcPr>
          <w:p w14:paraId="2EF98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w:t>
            </w:r>
          </w:p>
        </w:tc>
        <w:tc>
          <w:tcPr>
            <w:tcW w:w="391" w:type="pct"/>
            <w:shd w:val="clear" w:color="auto" w:fill="auto"/>
            <w:noWrap/>
            <w:vAlign w:val="center"/>
          </w:tcPr>
          <w:p w14:paraId="15330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373D4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883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69C5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83" w:type="pct"/>
            <w:shd w:val="clear" w:color="auto" w:fill="auto"/>
            <w:vAlign w:val="center"/>
          </w:tcPr>
          <w:p w14:paraId="54162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p>
        </w:tc>
        <w:tc>
          <w:tcPr>
            <w:tcW w:w="2879" w:type="pct"/>
            <w:shd w:val="clear" w:color="auto" w:fill="auto"/>
            <w:vAlign w:val="center"/>
          </w:tcPr>
          <w:p w14:paraId="08E0E7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KBG25</w:t>
            </w:r>
          </w:p>
        </w:tc>
        <w:tc>
          <w:tcPr>
            <w:tcW w:w="255" w:type="pct"/>
            <w:shd w:val="clear" w:color="auto" w:fill="auto"/>
            <w:noWrap/>
            <w:vAlign w:val="center"/>
          </w:tcPr>
          <w:p w14:paraId="0DC8F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w:t>
            </w:r>
          </w:p>
        </w:tc>
        <w:tc>
          <w:tcPr>
            <w:tcW w:w="391" w:type="pct"/>
            <w:shd w:val="clear" w:color="auto" w:fill="auto"/>
            <w:noWrap/>
            <w:vAlign w:val="center"/>
          </w:tcPr>
          <w:p w14:paraId="76481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AB35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8B1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B75F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83" w:type="pct"/>
            <w:shd w:val="clear" w:color="auto" w:fill="auto"/>
            <w:vAlign w:val="center"/>
          </w:tcPr>
          <w:p w14:paraId="5C5EA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p>
        </w:tc>
        <w:tc>
          <w:tcPr>
            <w:tcW w:w="2879" w:type="pct"/>
            <w:shd w:val="clear" w:color="auto" w:fill="auto"/>
            <w:vAlign w:val="center"/>
          </w:tcPr>
          <w:p w14:paraId="12063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KBG20</w:t>
            </w:r>
          </w:p>
        </w:tc>
        <w:tc>
          <w:tcPr>
            <w:tcW w:w="255" w:type="pct"/>
            <w:shd w:val="clear" w:color="auto" w:fill="auto"/>
            <w:noWrap/>
            <w:vAlign w:val="center"/>
          </w:tcPr>
          <w:p w14:paraId="43526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391" w:type="pct"/>
            <w:shd w:val="clear" w:color="auto" w:fill="auto"/>
            <w:noWrap/>
            <w:vAlign w:val="center"/>
          </w:tcPr>
          <w:p w14:paraId="432C1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A21D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5EE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blHeader/>
          <w:jc w:val="center"/>
        </w:trPr>
        <w:tc>
          <w:tcPr>
            <w:tcW w:w="269" w:type="pct"/>
            <w:shd w:val="clear" w:color="auto" w:fill="auto"/>
            <w:noWrap/>
            <w:vAlign w:val="center"/>
          </w:tcPr>
          <w:p w14:paraId="0264E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3" w:type="pct"/>
            <w:shd w:val="clear" w:color="auto" w:fill="auto"/>
            <w:vAlign w:val="center"/>
          </w:tcPr>
          <w:p w14:paraId="6513E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p>
        </w:tc>
        <w:tc>
          <w:tcPr>
            <w:tcW w:w="2879" w:type="pct"/>
            <w:shd w:val="clear" w:color="auto" w:fill="auto"/>
            <w:vAlign w:val="center"/>
          </w:tcPr>
          <w:p w14:paraId="0848B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金属软管敷设DN16</w:t>
            </w:r>
          </w:p>
        </w:tc>
        <w:tc>
          <w:tcPr>
            <w:tcW w:w="255" w:type="pct"/>
            <w:shd w:val="clear" w:color="auto" w:fill="auto"/>
            <w:noWrap/>
            <w:vAlign w:val="center"/>
          </w:tcPr>
          <w:p w14:paraId="56DEF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391" w:type="pct"/>
            <w:shd w:val="clear" w:color="auto" w:fill="auto"/>
            <w:noWrap/>
            <w:vAlign w:val="center"/>
          </w:tcPr>
          <w:p w14:paraId="7A3E7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DB77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305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269" w:type="pct"/>
            <w:shd w:val="clear" w:color="auto" w:fill="auto"/>
            <w:noWrap/>
            <w:vAlign w:val="center"/>
          </w:tcPr>
          <w:p w14:paraId="143C9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83" w:type="pct"/>
            <w:shd w:val="clear" w:color="auto" w:fill="auto"/>
            <w:vAlign w:val="center"/>
          </w:tcPr>
          <w:p w14:paraId="4F523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电缆桥架</w:t>
            </w:r>
          </w:p>
        </w:tc>
        <w:tc>
          <w:tcPr>
            <w:tcW w:w="2879" w:type="pct"/>
            <w:shd w:val="clear" w:color="auto" w:fill="auto"/>
            <w:vAlign w:val="center"/>
          </w:tcPr>
          <w:p w14:paraId="7CC28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金属槽式桥架100*100（强电）</w:t>
            </w:r>
          </w:p>
        </w:tc>
        <w:tc>
          <w:tcPr>
            <w:tcW w:w="255" w:type="pct"/>
            <w:shd w:val="clear" w:color="auto" w:fill="auto"/>
            <w:noWrap/>
            <w:vAlign w:val="center"/>
          </w:tcPr>
          <w:p w14:paraId="7F690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17m</w:t>
            </w:r>
          </w:p>
        </w:tc>
        <w:tc>
          <w:tcPr>
            <w:tcW w:w="391" w:type="pct"/>
            <w:shd w:val="clear" w:color="auto" w:fill="auto"/>
            <w:noWrap/>
            <w:vAlign w:val="center"/>
          </w:tcPr>
          <w:p w14:paraId="70BB9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1B9F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7BA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BD6A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83" w:type="pct"/>
            <w:shd w:val="clear" w:color="auto" w:fill="auto"/>
            <w:vAlign w:val="center"/>
          </w:tcPr>
          <w:p w14:paraId="56751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电缆桥架</w:t>
            </w:r>
          </w:p>
        </w:tc>
        <w:tc>
          <w:tcPr>
            <w:tcW w:w="2879" w:type="pct"/>
            <w:shd w:val="clear" w:color="auto" w:fill="auto"/>
            <w:vAlign w:val="center"/>
          </w:tcPr>
          <w:p w14:paraId="0969F7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金属槽式桥架200*100（弱电）</w:t>
            </w:r>
          </w:p>
        </w:tc>
        <w:tc>
          <w:tcPr>
            <w:tcW w:w="255" w:type="pct"/>
            <w:shd w:val="clear" w:color="auto" w:fill="auto"/>
            <w:noWrap/>
            <w:vAlign w:val="center"/>
          </w:tcPr>
          <w:p w14:paraId="11613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391" w:type="pct"/>
            <w:shd w:val="clear" w:color="auto" w:fill="auto"/>
            <w:noWrap/>
            <w:vAlign w:val="center"/>
          </w:tcPr>
          <w:p w14:paraId="56723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C803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705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566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3" w:type="pct"/>
            <w:shd w:val="clear" w:color="auto" w:fill="auto"/>
            <w:vAlign w:val="center"/>
          </w:tcPr>
          <w:p w14:paraId="5D823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电缆桥架</w:t>
            </w:r>
          </w:p>
        </w:tc>
        <w:tc>
          <w:tcPr>
            <w:tcW w:w="2879" w:type="pct"/>
            <w:shd w:val="clear" w:color="auto" w:fill="auto"/>
            <w:vAlign w:val="center"/>
          </w:tcPr>
          <w:p w14:paraId="17F4A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金属槽式桥架100*100（弱电）</w:t>
            </w:r>
          </w:p>
        </w:tc>
        <w:tc>
          <w:tcPr>
            <w:tcW w:w="255" w:type="pct"/>
            <w:shd w:val="clear" w:color="auto" w:fill="auto"/>
            <w:noWrap/>
            <w:vAlign w:val="center"/>
          </w:tcPr>
          <w:p w14:paraId="5E4D0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w:t>
            </w:r>
          </w:p>
        </w:tc>
        <w:tc>
          <w:tcPr>
            <w:tcW w:w="391" w:type="pct"/>
            <w:shd w:val="clear" w:color="auto" w:fill="auto"/>
            <w:noWrap/>
            <w:vAlign w:val="center"/>
          </w:tcPr>
          <w:p w14:paraId="41349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E328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B0F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9A3E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83" w:type="pct"/>
            <w:shd w:val="clear" w:color="auto" w:fill="auto"/>
            <w:vAlign w:val="center"/>
          </w:tcPr>
          <w:p w14:paraId="60B60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879" w:type="pct"/>
            <w:shd w:val="clear" w:color="auto" w:fill="auto"/>
            <w:vAlign w:val="center"/>
          </w:tcPr>
          <w:p w14:paraId="2E646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扎带、绝缘胶布、骑马卡、塑料膨胀管、膨胀螺丝、吊筋等</w:t>
            </w:r>
          </w:p>
        </w:tc>
        <w:tc>
          <w:tcPr>
            <w:tcW w:w="255" w:type="pct"/>
            <w:shd w:val="clear" w:color="auto" w:fill="auto"/>
            <w:noWrap/>
            <w:vAlign w:val="center"/>
          </w:tcPr>
          <w:p w14:paraId="62A73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w:t>
            </w:r>
          </w:p>
        </w:tc>
        <w:tc>
          <w:tcPr>
            <w:tcW w:w="391" w:type="pct"/>
            <w:shd w:val="clear" w:color="auto" w:fill="auto"/>
            <w:noWrap/>
            <w:vAlign w:val="center"/>
          </w:tcPr>
          <w:p w14:paraId="42EFF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2B33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7E8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5334E27A">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二）机房UPS电源</w:t>
            </w:r>
          </w:p>
        </w:tc>
      </w:tr>
      <w:tr w14:paraId="7FC8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blHeader/>
          <w:jc w:val="center"/>
        </w:trPr>
        <w:tc>
          <w:tcPr>
            <w:tcW w:w="269" w:type="pct"/>
            <w:shd w:val="clear" w:color="auto" w:fill="auto"/>
            <w:noWrap/>
            <w:vAlign w:val="center"/>
          </w:tcPr>
          <w:p w14:paraId="609B0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22E4A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10KVA UPS</w:t>
            </w:r>
          </w:p>
        </w:tc>
        <w:tc>
          <w:tcPr>
            <w:tcW w:w="2879" w:type="pct"/>
            <w:shd w:val="clear" w:color="auto" w:fill="auto"/>
            <w:vAlign w:val="center"/>
          </w:tcPr>
          <w:p w14:paraId="38BCE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1、高频在线式,液晶显示面板、带冗余并机功能，额定容量：10KVA/8000W ；                                                                                                                                                                                                                                            2、输入：电压125VAC-275VAC；频率50/60Hz±10%；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3、输出：电压：220/230±1%VAC；频率：50/60Hz±0.5%；失真率（满载）：线性负载时＜3%；非线性负载时＜5%；负载峰值比：3:1(MAX)；                                                                                                                                                              4、具备电池冷启动功能；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5、过载能力：105-120%可持续10秒转旁路、120-140% 200毫秒秒转旁路。                                                                                                                                                                                              6、网络管理功能：支持RS232、SNMP等多种后台通讯方式。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7、主机为双变换在线设计，带智能电池管理功能，有效延长电池寿命。                                                                                                                                                                                                                8、工作温度0-40摄氏度。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9、标称单组电池电压192VDC</w:t>
            </w:r>
          </w:p>
        </w:tc>
        <w:tc>
          <w:tcPr>
            <w:tcW w:w="255" w:type="pct"/>
            <w:shd w:val="clear" w:color="auto" w:fill="auto"/>
            <w:noWrap/>
            <w:vAlign w:val="center"/>
          </w:tcPr>
          <w:p w14:paraId="74AA7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0E943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B516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1D3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0" w:hRule="atLeast"/>
          <w:tblHeader/>
          <w:jc w:val="center"/>
        </w:trPr>
        <w:tc>
          <w:tcPr>
            <w:tcW w:w="269" w:type="pct"/>
            <w:shd w:val="clear" w:color="auto" w:fill="auto"/>
            <w:noWrap/>
            <w:vAlign w:val="center"/>
          </w:tcPr>
          <w:p w14:paraId="4C5B9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0E6E3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w:t>
            </w:r>
          </w:p>
        </w:tc>
        <w:tc>
          <w:tcPr>
            <w:tcW w:w="2879" w:type="pct"/>
            <w:shd w:val="clear" w:color="auto" w:fill="auto"/>
            <w:vAlign w:val="center"/>
          </w:tcPr>
          <w:p w14:paraId="64D80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1、铅酸免维护电池，12V，标称容量≥65AH。                                                                         2、采用ABS阻燃工程材料，阻燃特性优良，防膨胀及破裂；无游离电解液，侧倒90度仍能使用；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3、自放后电剩余容量（25摄氏度）：3个月后：≥92%；6个月后：≥83%；12个月后：≥65%；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4、不同温度下放电容量：40摄氏度≥103%；25摄氏度≥100%；0摄氏度≥86%；零下15摄氏度≥66%；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5、设计寿命：循环600次以上；浮充10年以上；                                                                                                                                                                                                           6、能承受50kPa的正压不破裂、不开胶；压力释放后壳体无残余变形。                                                                                                                            7、以30I10放电3min,极柱应不熔断、内部 汇流排应不熔断，外观应不岀现异常。                                                                                                                                 8、完全充电后的电池以0. 3I10。连续充电160h,外观应无明显变形及渗液。30天过度放电结束后，容量恢复值应≥90%。                                                                                                      9、环境温度-30°C~+65°C之间，封口剂应无裂纹与溢流现象。                                                                                                                                       10、蓄电池内阻≤3.4mΩ，同组蓄电池内阻偏差应≤4.7%。充电过程中遇明火，内部应不引燃及引爆。同组蓄电池10h率容量试验时，最大实际容量与最小实际容量差值应≤2.7%。</w:t>
            </w:r>
          </w:p>
        </w:tc>
        <w:tc>
          <w:tcPr>
            <w:tcW w:w="255" w:type="pct"/>
            <w:shd w:val="clear" w:color="auto" w:fill="auto"/>
            <w:noWrap/>
            <w:vAlign w:val="center"/>
          </w:tcPr>
          <w:p w14:paraId="41F51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32个</w:t>
            </w:r>
          </w:p>
        </w:tc>
        <w:tc>
          <w:tcPr>
            <w:tcW w:w="391" w:type="pct"/>
            <w:shd w:val="clear" w:color="auto" w:fill="auto"/>
            <w:noWrap/>
            <w:vAlign w:val="center"/>
          </w:tcPr>
          <w:p w14:paraId="7FF21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9240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AAF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6A96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554FC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电池柜</w:t>
            </w:r>
          </w:p>
        </w:tc>
        <w:tc>
          <w:tcPr>
            <w:tcW w:w="2879" w:type="pct"/>
            <w:shd w:val="clear" w:color="auto" w:fill="auto"/>
            <w:vAlign w:val="center"/>
          </w:tcPr>
          <w:p w14:paraId="7F415F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与主机与蓄电池配套，满足国标,内含16方蓄电池连接线材及空开。</w:t>
            </w:r>
          </w:p>
        </w:tc>
        <w:tc>
          <w:tcPr>
            <w:tcW w:w="255" w:type="pct"/>
            <w:shd w:val="clear" w:color="auto" w:fill="auto"/>
            <w:noWrap/>
            <w:vAlign w:val="center"/>
          </w:tcPr>
          <w:p w14:paraId="15A3C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582E4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E72E6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1AF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0F98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2E8D5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托架</w:t>
            </w:r>
          </w:p>
        </w:tc>
        <w:tc>
          <w:tcPr>
            <w:tcW w:w="2879" w:type="pct"/>
            <w:shd w:val="clear" w:color="auto" w:fill="auto"/>
            <w:vAlign w:val="center"/>
          </w:tcPr>
          <w:p w14:paraId="5E6EA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UPS及电池柜支撑架</w:t>
            </w:r>
          </w:p>
        </w:tc>
        <w:tc>
          <w:tcPr>
            <w:tcW w:w="255" w:type="pct"/>
            <w:shd w:val="clear" w:color="auto" w:fill="auto"/>
            <w:noWrap/>
            <w:vAlign w:val="center"/>
          </w:tcPr>
          <w:p w14:paraId="2F296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42CB2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CDFE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154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4A2D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26EF4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879" w:type="pct"/>
            <w:shd w:val="clear" w:color="auto" w:fill="auto"/>
            <w:vAlign w:val="center"/>
          </w:tcPr>
          <w:p w14:paraId="2C722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扎带、绝缘胶布、铜线鼻等</w:t>
            </w:r>
          </w:p>
        </w:tc>
        <w:tc>
          <w:tcPr>
            <w:tcW w:w="255" w:type="pct"/>
            <w:shd w:val="clear" w:color="auto" w:fill="auto"/>
            <w:noWrap/>
            <w:vAlign w:val="center"/>
          </w:tcPr>
          <w:p w14:paraId="616CE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w:t>
            </w:r>
          </w:p>
        </w:tc>
        <w:tc>
          <w:tcPr>
            <w:tcW w:w="391" w:type="pct"/>
            <w:shd w:val="clear" w:color="auto" w:fill="auto"/>
            <w:noWrap/>
            <w:vAlign w:val="center"/>
          </w:tcPr>
          <w:p w14:paraId="5E40A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4297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0B3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6F249725">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（三）机房空调</w:t>
            </w:r>
          </w:p>
        </w:tc>
      </w:tr>
      <w:tr w14:paraId="7A28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5711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60432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立式空调</w:t>
            </w:r>
          </w:p>
        </w:tc>
        <w:tc>
          <w:tcPr>
            <w:tcW w:w="2879" w:type="pct"/>
            <w:shd w:val="clear" w:color="auto" w:fill="auto"/>
            <w:vAlign w:val="center"/>
          </w:tcPr>
          <w:p w14:paraId="2F667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立式空调(3P),含原厂来电自启动功能</w:t>
            </w:r>
          </w:p>
        </w:tc>
        <w:tc>
          <w:tcPr>
            <w:tcW w:w="255" w:type="pct"/>
            <w:shd w:val="clear" w:color="auto" w:fill="auto"/>
            <w:noWrap/>
            <w:vAlign w:val="center"/>
          </w:tcPr>
          <w:p w14:paraId="48DA3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75596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7AED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FB6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E381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51F2F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879" w:type="pct"/>
            <w:shd w:val="clear" w:color="auto" w:fill="auto"/>
            <w:vAlign w:val="center"/>
          </w:tcPr>
          <w:p w14:paraId="4F4C43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无缝铜管(气管、液管、保温护套)，含氟利昂、内外机连接电缆、信号线等</w:t>
            </w:r>
          </w:p>
        </w:tc>
        <w:tc>
          <w:tcPr>
            <w:tcW w:w="255" w:type="pct"/>
            <w:shd w:val="clear" w:color="auto" w:fill="auto"/>
            <w:noWrap/>
            <w:vAlign w:val="center"/>
          </w:tcPr>
          <w:p w14:paraId="2A570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w:t>
            </w:r>
          </w:p>
        </w:tc>
        <w:tc>
          <w:tcPr>
            <w:tcW w:w="391" w:type="pct"/>
            <w:shd w:val="clear" w:color="auto" w:fill="auto"/>
            <w:noWrap/>
            <w:vAlign w:val="center"/>
          </w:tcPr>
          <w:p w14:paraId="2FEAE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B0AD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70C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296A2B90">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（四）机房防雷接地</w:t>
            </w:r>
          </w:p>
        </w:tc>
      </w:tr>
      <w:tr w14:paraId="6744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5834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29046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一级电源防护</w:t>
            </w:r>
          </w:p>
        </w:tc>
        <w:tc>
          <w:tcPr>
            <w:tcW w:w="2879" w:type="pct"/>
            <w:shd w:val="clear" w:color="auto" w:fill="auto"/>
            <w:vAlign w:val="center"/>
          </w:tcPr>
          <w:p w14:paraId="23372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标称通流量50KA(8/20us),最大通流量80KA(8/20us)，具有遥信接口</w:t>
            </w:r>
          </w:p>
        </w:tc>
        <w:tc>
          <w:tcPr>
            <w:tcW w:w="255" w:type="pct"/>
            <w:shd w:val="clear" w:color="auto" w:fill="auto"/>
            <w:noWrap/>
            <w:vAlign w:val="center"/>
          </w:tcPr>
          <w:p w14:paraId="3A3A2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553C1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2DDE5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707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6CD0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1EF56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二级电源防护</w:t>
            </w:r>
          </w:p>
        </w:tc>
        <w:tc>
          <w:tcPr>
            <w:tcW w:w="2879" w:type="pct"/>
            <w:shd w:val="clear" w:color="auto" w:fill="auto"/>
            <w:vAlign w:val="center"/>
          </w:tcPr>
          <w:p w14:paraId="5453D5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标称通流量30KA(8/20us),最大通流量60KA(8/20us)，具有遥信接口</w:t>
            </w:r>
          </w:p>
        </w:tc>
        <w:tc>
          <w:tcPr>
            <w:tcW w:w="255" w:type="pct"/>
            <w:shd w:val="clear" w:color="auto" w:fill="auto"/>
            <w:noWrap/>
            <w:vAlign w:val="center"/>
          </w:tcPr>
          <w:p w14:paraId="62D8F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09194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F79F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12E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86C5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2E1A4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三级电源防护</w:t>
            </w:r>
          </w:p>
        </w:tc>
        <w:tc>
          <w:tcPr>
            <w:tcW w:w="2879" w:type="pct"/>
            <w:shd w:val="clear" w:color="auto" w:fill="auto"/>
            <w:vAlign w:val="center"/>
          </w:tcPr>
          <w:p w14:paraId="4875C8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标称通流量20KA(8/20us),最大通流量40KA(8/20us)，具有遥信接口</w:t>
            </w:r>
          </w:p>
        </w:tc>
        <w:tc>
          <w:tcPr>
            <w:tcW w:w="255" w:type="pct"/>
            <w:shd w:val="clear" w:color="auto" w:fill="auto"/>
            <w:noWrap/>
            <w:vAlign w:val="center"/>
          </w:tcPr>
          <w:p w14:paraId="3E7BC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2套</w:t>
            </w:r>
          </w:p>
        </w:tc>
        <w:tc>
          <w:tcPr>
            <w:tcW w:w="391" w:type="pct"/>
            <w:shd w:val="clear" w:color="auto" w:fill="auto"/>
            <w:noWrap/>
            <w:vAlign w:val="center"/>
          </w:tcPr>
          <w:p w14:paraId="0A264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10F66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096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9700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39F3A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2879" w:type="pct"/>
            <w:shd w:val="clear" w:color="auto" w:fill="auto"/>
            <w:vAlign w:val="center"/>
          </w:tcPr>
          <w:p w14:paraId="0BC112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接地母线BVR35</w:t>
            </w:r>
          </w:p>
        </w:tc>
        <w:tc>
          <w:tcPr>
            <w:tcW w:w="255" w:type="pct"/>
            <w:shd w:val="clear" w:color="auto" w:fill="auto"/>
            <w:noWrap/>
            <w:vAlign w:val="center"/>
          </w:tcPr>
          <w:p w14:paraId="75891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w:t>
            </w:r>
          </w:p>
        </w:tc>
        <w:tc>
          <w:tcPr>
            <w:tcW w:w="391" w:type="pct"/>
            <w:shd w:val="clear" w:color="auto" w:fill="auto"/>
            <w:noWrap/>
            <w:vAlign w:val="center"/>
          </w:tcPr>
          <w:p w14:paraId="29516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EAEC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106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25EC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2DA94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2879" w:type="pct"/>
            <w:shd w:val="clear" w:color="auto" w:fill="auto"/>
            <w:vAlign w:val="center"/>
          </w:tcPr>
          <w:p w14:paraId="6A70F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接地分线BVR6</w:t>
            </w:r>
          </w:p>
        </w:tc>
        <w:tc>
          <w:tcPr>
            <w:tcW w:w="255" w:type="pct"/>
            <w:shd w:val="clear" w:color="auto" w:fill="auto"/>
            <w:noWrap/>
            <w:vAlign w:val="center"/>
          </w:tcPr>
          <w:p w14:paraId="281B8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w:t>
            </w:r>
          </w:p>
        </w:tc>
        <w:tc>
          <w:tcPr>
            <w:tcW w:w="391" w:type="pct"/>
            <w:shd w:val="clear" w:color="auto" w:fill="auto"/>
            <w:noWrap/>
            <w:vAlign w:val="center"/>
          </w:tcPr>
          <w:p w14:paraId="76B32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B75B4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D9A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0721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285F4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接地铜排</w:t>
            </w:r>
          </w:p>
        </w:tc>
        <w:tc>
          <w:tcPr>
            <w:tcW w:w="2879" w:type="pct"/>
            <w:shd w:val="clear" w:color="auto" w:fill="auto"/>
            <w:vAlign w:val="center"/>
          </w:tcPr>
          <w:p w14:paraId="62BA2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接地铜排30*3mm2</w:t>
            </w:r>
          </w:p>
        </w:tc>
        <w:tc>
          <w:tcPr>
            <w:tcW w:w="255" w:type="pct"/>
            <w:shd w:val="clear" w:color="auto" w:fill="auto"/>
            <w:noWrap/>
            <w:vAlign w:val="center"/>
          </w:tcPr>
          <w:p w14:paraId="3A2C1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35m</w:t>
            </w:r>
          </w:p>
        </w:tc>
        <w:tc>
          <w:tcPr>
            <w:tcW w:w="391" w:type="pct"/>
            <w:shd w:val="clear" w:color="auto" w:fill="auto"/>
            <w:noWrap/>
            <w:vAlign w:val="center"/>
          </w:tcPr>
          <w:p w14:paraId="16FB1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9BCA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5E0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B69E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6D6A4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绝缘子</w:t>
            </w:r>
          </w:p>
        </w:tc>
        <w:tc>
          <w:tcPr>
            <w:tcW w:w="2879" w:type="pct"/>
            <w:shd w:val="clear" w:color="auto" w:fill="auto"/>
            <w:vAlign w:val="center"/>
          </w:tcPr>
          <w:p w14:paraId="3B2E3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绝缘子</w:t>
            </w:r>
          </w:p>
        </w:tc>
        <w:tc>
          <w:tcPr>
            <w:tcW w:w="255" w:type="pct"/>
            <w:shd w:val="clear" w:color="auto" w:fill="auto"/>
            <w:noWrap/>
            <w:vAlign w:val="center"/>
          </w:tcPr>
          <w:p w14:paraId="0EEEE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35个</w:t>
            </w:r>
          </w:p>
        </w:tc>
        <w:tc>
          <w:tcPr>
            <w:tcW w:w="391" w:type="pct"/>
            <w:shd w:val="clear" w:color="auto" w:fill="auto"/>
            <w:noWrap/>
            <w:vAlign w:val="center"/>
          </w:tcPr>
          <w:p w14:paraId="7578E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DDB8E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489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EF0D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4A5AF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等电位连接器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SGP</w:t>
            </w:r>
          </w:p>
        </w:tc>
        <w:tc>
          <w:tcPr>
            <w:tcW w:w="2879" w:type="pct"/>
            <w:shd w:val="clear" w:color="auto" w:fill="auto"/>
            <w:vAlign w:val="center"/>
          </w:tcPr>
          <w:p w14:paraId="54E6C1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标称导通电压Un：15V-600V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标称放电电流(8/20μs)ln：50kA</w:t>
            </w:r>
          </w:p>
        </w:tc>
        <w:tc>
          <w:tcPr>
            <w:tcW w:w="255" w:type="pct"/>
            <w:shd w:val="clear" w:color="auto" w:fill="auto"/>
            <w:noWrap/>
            <w:vAlign w:val="center"/>
          </w:tcPr>
          <w:p w14:paraId="4997C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1只</w:t>
            </w:r>
          </w:p>
        </w:tc>
        <w:tc>
          <w:tcPr>
            <w:tcW w:w="391" w:type="pct"/>
            <w:shd w:val="clear" w:color="auto" w:fill="auto"/>
            <w:noWrap/>
            <w:vAlign w:val="center"/>
          </w:tcPr>
          <w:p w14:paraId="574F3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509B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3E8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2BE6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60824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等电位接地端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子箱</w:t>
            </w:r>
          </w:p>
        </w:tc>
        <w:tc>
          <w:tcPr>
            <w:tcW w:w="2879" w:type="pct"/>
            <w:shd w:val="clear" w:color="auto" w:fill="auto"/>
            <w:vAlign w:val="center"/>
          </w:tcPr>
          <w:p w14:paraId="28F98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明装总等电位箱接地端子箱300x200x120防静电接线箱国标端子箱</w:t>
            </w:r>
          </w:p>
        </w:tc>
        <w:tc>
          <w:tcPr>
            <w:tcW w:w="255" w:type="pct"/>
            <w:shd w:val="clear" w:color="auto" w:fill="auto"/>
            <w:noWrap/>
            <w:vAlign w:val="center"/>
          </w:tcPr>
          <w:p w14:paraId="3321D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1只</w:t>
            </w:r>
          </w:p>
        </w:tc>
        <w:tc>
          <w:tcPr>
            <w:tcW w:w="391" w:type="pct"/>
            <w:shd w:val="clear" w:color="auto" w:fill="auto"/>
            <w:noWrap/>
            <w:vAlign w:val="center"/>
          </w:tcPr>
          <w:p w14:paraId="10220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8A8C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60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34B85988">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（五）其他</w:t>
            </w:r>
          </w:p>
        </w:tc>
      </w:tr>
      <w:tr w14:paraId="2B7E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9290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7E701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超声波驱鼠器</w:t>
            </w:r>
          </w:p>
        </w:tc>
        <w:tc>
          <w:tcPr>
            <w:tcW w:w="2879" w:type="pct"/>
            <w:shd w:val="clear" w:color="auto" w:fill="auto"/>
            <w:vAlign w:val="center"/>
          </w:tcPr>
          <w:p w14:paraId="1695C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1.电源电压：220V/50Hz，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2.有效面积：150平方米；</w:t>
            </w:r>
          </w:p>
        </w:tc>
        <w:tc>
          <w:tcPr>
            <w:tcW w:w="255" w:type="pct"/>
            <w:shd w:val="clear" w:color="auto" w:fill="auto"/>
            <w:noWrap/>
            <w:vAlign w:val="center"/>
          </w:tcPr>
          <w:p w14:paraId="66CFC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23158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90E6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0D7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EE23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41B3A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手持灭火器</w:t>
            </w:r>
          </w:p>
        </w:tc>
        <w:tc>
          <w:tcPr>
            <w:tcW w:w="2879" w:type="pct"/>
            <w:shd w:val="clear" w:color="auto" w:fill="auto"/>
            <w:vAlign w:val="center"/>
          </w:tcPr>
          <w:p w14:paraId="333E98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3kg二氧化碳手持灭火器</w:t>
            </w:r>
          </w:p>
        </w:tc>
        <w:tc>
          <w:tcPr>
            <w:tcW w:w="255" w:type="pct"/>
            <w:shd w:val="clear" w:color="auto" w:fill="auto"/>
            <w:noWrap/>
            <w:vAlign w:val="center"/>
          </w:tcPr>
          <w:p w14:paraId="5D66E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4各</w:t>
            </w:r>
          </w:p>
        </w:tc>
        <w:tc>
          <w:tcPr>
            <w:tcW w:w="391" w:type="pct"/>
            <w:shd w:val="clear" w:color="auto" w:fill="auto"/>
            <w:noWrap/>
            <w:vAlign w:val="center"/>
          </w:tcPr>
          <w:p w14:paraId="2123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C727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E81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A003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6A3FE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自救式呼吸器</w:t>
            </w:r>
          </w:p>
        </w:tc>
        <w:tc>
          <w:tcPr>
            <w:tcW w:w="2879" w:type="pct"/>
            <w:shd w:val="clear" w:color="auto" w:fill="auto"/>
            <w:vAlign w:val="center"/>
          </w:tcPr>
          <w:p w14:paraId="39672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过滤式自救呼吸器</w:t>
            </w:r>
          </w:p>
        </w:tc>
        <w:tc>
          <w:tcPr>
            <w:tcW w:w="255" w:type="pct"/>
            <w:shd w:val="clear" w:color="auto" w:fill="auto"/>
            <w:noWrap/>
            <w:vAlign w:val="center"/>
          </w:tcPr>
          <w:p w14:paraId="42FBD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391" w:type="pct"/>
            <w:shd w:val="clear" w:color="auto" w:fill="auto"/>
            <w:noWrap/>
            <w:vAlign w:val="center"/>
          </w:tcPr>
          <w:p w14:paraId="7AA08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2F1A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E1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20635243">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3层弱电机房</w:t>
            </w:r>
          </w:p>
        </w:tc>
      </w:tr>
      <w:tr w14:paraId="4EED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66BE32D4">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（一）机房配电</w:t>
            </w:r>
          </w:p>
        </w:tc>
      </w:tr>
      <w:tr w14:paraId="13E0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9761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51776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2879" w:type="pct"/>
            <w:shd w:val="clear" w:color="auto" w:fill="auto"/>
            <w:vAlign w:val="center"/>
          </w:tcPr>
          <w:p w14:paraId="266DD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配电柜（UPS输出配电柜，电子元器件详见图纸）</w:t>
            </w:r>
          </w:p>
        </w:tc>
        <w:tc>
          <w:tcPr>
            <w:tcW w:w="255" w:type="pct"/>
            <w:shd w:val="clear" w:color="auto" w:fill="auto"/>
            <w:noWrap/>
            <w:vAlign w:val="center"/>
          </w:tcPr>
          <w:p w14:paraId="41905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7F99E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C090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95E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FD6F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0B268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托架</w:t>
            </w:r>
          </w:p>
        </w:tc>
        <w:tc>
          <w:tcPr>
            <w:tcW w:w="2879" w:type="pct"/>
            <w:shd w:val="clear" w:color="auto" w:fill="auto"/>
            <w:vAlign w:val="center"/>
          </w:tcPr>
          <w:p w14:paraId="6F188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配电柜支撑架</w:t>
            </w:r>
          </w:p>
        </w:tc>
        <w:tc>
          <w:tcPr>
            <w:tcW w:w="255" w:type="pct"/>
            <w:shd w:val="clear" w:color="auto" w:fill="auto"/>
            <w:noWrap/>
            <w:vAlign w:val="center"/>
          </w:tcPr>
          <w:p w14:paraId="71981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2套</w:t>
            </w:r>
          </w:p>
        </w:tc>
        <w:tc>
          <w:tcPr>
            <w:tcW w:w="391" w:type="pct"/>
            <w:shd w:val="clear" w:color="auto" w:fill="auto"/>
            <w:noWrap/>
            <w:vAlign w:val="center"/>
          </w:tcPr>
          <w:p w14:paraId="7155F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CB815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65D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E935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3848B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879" w:type="pct"/>
            <w:shd w:val="clear" w:color="auto" w:fill="auto"/>
            <w:vAlign w:val="center"/>
          </w:tcPr>
          <w:p w14:paraId="51118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WDZB-YJY-5*16</w:t>
            </w:r>
          </w:p>
        </w:tc>
        <w:tc>
          <w:tcPr>
            <w:tcW w:w="255" w:type="pct"/>
            <w:shd w:val="clear" w:color="auto" w:fill="auto"/>
            <w:noWrap/>
            <w:vAlign w:val="center"/>
          </w:tcPr>
          <w:p w14:paraId="27C18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w:t>
            </w:r>
          </w:p>
        </w:tc>
        <w:tc>
          <w:tcPr>
            <w:tcW w:w="391" w:type="pct"/>
            <w:shd w:val="clear" w:color="auto" w:fill="auto"/>
            <w:noWrap/>
            <w:vAlign w:val="center"/>
          </w:tcPr>
          <w:p w14:paraId="2B8D8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B1AE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CA2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5E0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3D82C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空调电缆</w:t>
            </w:r>
          </w:p>
        </w:tc>
        <w:tc>
          <w:tcPr>
            <w:tcW w:w="2879" w:type="pct"/>
            <w:shd w:val="clear" w:color="auto" w:fill="auto"/>
            <w:vAlign w:val="center"/>
          </w:tcPr>
          <w:p w14:paraId="02901B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WDZB-YJY-5x10</w:t>
            </w:r>
          </w:p>
        </w:tc>
        <w:tc>
          <w:tcPr>
            <w:tcW w:w="255" w:type="pct"/>
            <w:shd w:val="clear" w:color="auto" w:fill="auto"/>
            <w:noWrap/>
            <w:vAlign w:val="center"/>
          </w:tcPr>
          <w:p w14:paraId="49418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w:t>
            </w:r>
          </w:p>
        </w:tc>
        <w:tc>
          <w:tcPr>
            <w:tcW w:w="391" w:type="pct"/>
            <w:shd w:val="clear" w:color="auto" w:fill="auto"/>
            <w:noWrap/>
            <w:vAlign w:val="center"/>
          </w:tcPr>
          <w:p w14:paraId="2D59D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D9C9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BB7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EC4E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691C1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2879" w:type="pct"/>
            <w:shd w:val="clear" w:color="auto" w:fill="auto"/>
            <w:vAlign w:val="center"/>
          </w:tcPr>
          <w:p w14:paraId="6F517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管内穿线ZR-BV4mm2</w:t>
            </w:r>
          </w:p>
        </w:tc>
        <w:tc>
          <w:tcPr>
            <w:tcW w:w="255" w:type="pct"/>
            <w:shd w:val="clear" w:color="auto" w:fill="auto"/>
            <w:noWrap/>
            <w:vAlign w:val="center"/>
          </w:tcPr>
          <w:p w14:paraId="75BA6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w:t>
            </w:r>
          </w:p>
        </w:tc>
        <w:tc>
          <w:tcPr>
            <w:tcW w:w="391" w:type="pct"/>
            <w:shd w:val="clear" w:color="auto" w:fill="auto"/>
            <w:noWrap/>
            <w:vAlign w:val="center"/>
          </w:tcPr>
          <w:p w14:paraId="77D2B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5797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C1C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3561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76EF3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2879" w:type="pct"/>
            <w:shd w:val="clear" w:color="auto" w:fill="auto"/>
            <w:vAlign w:val="center"/>
          </w:tcPr>
          <w:p w14:paraId="2DF57E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管内穿线ZR-BV2.5mm2</w:t>
            </w:r>
          </w:p>
        </w:tc>
        <w:tc>
          <w:tcPr>
            <w:tcW w:w="255" w:type="pct"/>
            <w:shd w:val="clear" w:color="auto" w:fill="auto"/>
            <w:noWrap/>
            <w:vAlign w:val="center"/>
          </w:tcPr>
          <w:p w14:paraId="2B1DE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360m</w:t>
            </w:r>
          </w:p>
        </w:tc>
        <w:tc>
          <w:tcPr>
            <w:tcW w:w="391" w:type="pct"/>
            <w:shd w:val="clear" w:color="auto" w:fill="auto"/>
            <w:noWrap/>
            <w:vAlign w:val="center"/>
          </w:tcPr>
          <w:p w14:paraId="40003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892E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CE9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A93A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66D67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LED照明灯具</w:t>
            </w:r>
          </w:p>
        </w:tc>
        <w:tc>
          <w:tcPr>
            <w:tcW w:w="2879" w:type="pct"/>
            <w:shd w:val="clear" w:color="auto" w:fill="auto"/>
            <w:vAlign w:val="center"/>
          </w:tcPr>
          <w:p w14:paraId="4146E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LED集成吊顶600*600平板灯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尺寸：600*600*30MM</w:t>
            </w:r>
          </w:p>
        </w:tc>
        <w:tc>
          <w:tcPr>
            <w:tcW w:w="255" w:type="pct"/>
            <w:shd w:val="clear" w:color="auto" w:fill="auto"/>
            <w:noWrap/>
            <w:vAlign w:val="center"/>
          </w:tcPr>
          <w:p w14:paraId="65AC8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15套</w:t>
            </w:r>
          </w:p>
        </w:tc>
        <w:tc>
          <w:tcPr>
            <w:tcW w:w="391" w:type="pct"/>
            <w:shd w:val="clear" w:color="auto" w:fill="auto"/>
            <w:noWrap/>
            <w:vAlign w:val="center"/>
          </w:tcPr>
          <w:p w14:paraId="5296B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7F11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633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DA62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7E1CE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应急筒灯</w:t>
            </w:r>
          </w:p>
        </w:tc>
        <w:tc>
          <w:tcPr>
            <w:tcW w:w="2879" w:type="pct"/>
            <w:shd w:val="clear" w:color="auto" w:fill="auto"/>
            <w:vAlign w:val="center"/>
          </w:tcPr>
          <w:p w14:paraId="587EA9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1.名称：应急筒灯4寸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2.安装形式：嵌入式安装</w:t>
            </w:r>
          </w:p>
        </w:tc>
        <w:tc>
          <w:tcPr>
            <w:tcW w:w="255" w:type="pct"/>
            <w:shd w:val="clear" w:color="auto" w:fill="auto"/>
            <w:noWrap/>
            <w:vAlign w:val="center"/>
          </w:tcPr>
          <w:p w14:paraId="6DB0A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5套</w:t>
            </w:r>
          </w:p>
        </w:tc>
        <w:tc>
          <w:tcPr>
            <w:tcW w:w="391" w:type="pct"/>
            <w:shd w:val="clear" w:color="auto" w:fill="auto"/>
            <w:noWrap/>
            <w:vAlign w:val="center"/>
          </w:tcPr>
          <w:p w14:paraId="7C273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0704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466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2DC4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1D09C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疏散指示灯</w:t>
            </w:r>
          </w:p>
        </w:tc>
        <w:tc>
          <w:tcPr>
            <w:tcW w:w="2879" w:type="pct"/>
            <w:shd w:val="clear" w:color="auto" w:fill="auto"/>
            <w:vAlign w:val="center"/>
          </w:tcPr>
          <w:p w14:paraId="3F73E3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1.产品名称：安全出口疏散灯；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2.输出电压：AC220V；</w:t>
            </w:r>
          </w:p>
        </w:tc>
        <w:tc>
          <w:tcPr>
            <w:tcW w:w="255" w:type="pct"/>
            <w:shd w:val="clear" w:color="auto" w:fill="auto"/>
            <w:noWrap/>
            <w:vAlign w:val="center"/>
          </w:tcPr>
          <w:p w14:paraId="4AEF5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77D4B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31BE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691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64C5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3" w:type="pct"/>
            <w:shd w:val="clear" w:color="auto" w:fill="auto"/>
            <w:vAlign w:val="center"/>
          </w:tcPr>
          <w:p w14:paraId="3C5AC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翘板开关</w:t>
            </w:r>
          </w:p>
        </w:tc>
        <w:tc>
          <w:tcPr>
            <w:tcW w:w="2879" w:type="pct"/>
            <w:shd w:val="clear" w:color="auto" w:fill="auto"/>
            <w:vAlign w:val="center"/>
          </w:tcPr>
          <w:p w14:paraId="78AA6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1.名称：大翘板单控三联开关；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2.尺寸：86mm*86mm；</w:t>
            </w:r>
          </w:p>
        </w:tc>
        <w:tc>
          <w:tcPr>
            <w:tcW w:w="255" w:type="pct"/>
            <w:shd w:val="clear" w:color="auto" w:fill="auto"/>
            <w:noWrap/>
            <w:vAlign w:val="center"/>
          </w:tcPr>
          <w:p w14:paraId="296D5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391" w:type="pct"/>
            <w:shd w:val="clear" w:color="auto" w:fill="auto"/>
            <w:noWrap/>
            <w:vAlign w:val="center"/>
          </w:tcPr>
          <w:p w14:paraId="694B2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A382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D94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713B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3" w:type="pct"/>
            <w:shd w:val="clear" w:color="auto" w:fill="auto"/>
            <w:vAlign w:val="center"/>
          </w:tcPr>
          <w:p w14:paraId="05362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w:t>
            </w:r>
          </w:p>
        </w:tc>
        <w:tc>
          <w:tcPr>
            <w:tcW w:w="2879" w:type="pct"/>
            <w:shd w:val="clear" w:color="auto" w:fill="auto"/>
            <w:vAlign w:val="center"/>
          </w:tcPr>
          <w:p w14:paraId="6687B8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1.规格：10A五孔插座；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2.尺寸：86mm*86mm；</w:t>
            </w:r>
          </w:p>
        </w:tc>
        <w:tc>
          <w:tcPr>
            <w:tcW w:w="255" w:type="pct"/>
            <w:shd w:val="clear" w:color="auto" w:fill="auto"/>
            <w:noWrap/>
            <w:vAlign w:val="center"/>
          </w:tcPr>
          <w:p w14:paraId="73F83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w:t>
            </w:r>
          </w:p>
        </w:tc>
        <w:tc>
          <w:tcPr>
            <w:tcW w:w="391" w:type="pct"/>
            <w:shd w:val="clear" w:color="auto" w:fill="auto"/>
            <w:noWrap/>
            <w:vAlign w:val="center"/>
          </w:tcPr>
          <w:p w14:paraId="40CC6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4E0D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D33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8106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3" w:type="pct"/>
            <w:shd w:val="clear" w:color="auto" w:fill="auto"/>
            <w:vAlign w:val="center"/>
          </w:tcPr>
          <w:p w14:paraId="2D208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工业连接器16A</w:t>
            </w:r>
          </w:p>
        </w:tc>
        <w:tc>
          <w:tcPr>
            <w:tcW w:w="2879" w:type="pct"/>
            <w:shd w:val="clear" w:color="auto" w:fill="auto"/>
            <w:vAlign w:val="center"/>
          </w:tcPr>
          <w:p w14:paraId="172F2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3芯220V(16A)暗装插座,防水工业插头,航空防爆对接。</w:t>
            </w:r>
          </w:p>
        </w:tc>
        <w:tc>
          <w:tcPr>
            <w:tcW w:w="255" w:type="pct"/>
            <w:shd w:val="clear" w:color="auto" w:fill="auto"/>
            <w:noWrap/>
            <w:vAlign w:val="center"/>
          </w:tcPr>
          <w:p w14:paraId="725D8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28个</w:t>
            </w:r>
          </w:p>
        </w:tc>
        <w:tc>
          <w:tcPr>
            <w:tcW w:w="391" w:type="pct"/>
            <w:shd w:val="clear" w:color="auto" w:fill="auto"/>
            <w:noWrap/>
            <w:vAlign w:val="center"/>
          </w:tcPr>
          <w:p w14:paraId="46697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5C66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45F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5BFB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83" w:type="pct"/>
            <w:shd w:val="clear" w:color="auto" w:fill="auto"/>
            <w:vAlign w:val="center"/>
          </w:tcPr>
          <w:p w14:paraId="1339B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p>
        </w:tc>
        <w:tc>
          <w:tcPr>
            <w:tcW w:w="2879" w:type="pct"/>
            <w:shd w:val="clear" w:color="auto" w:fill="auto"/>
            <w:vAlign w:val="center"/>
          </w:tcPr>
          <w:p w14:paraId="06F014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KBG25</w:t>
            </w:r>
          </w:p>
        </w:tc>
        <w:tc>
          <w:tcPr>
            <w:tcW w:w="255" w:type="pct"/>
            <w:shd w:val="clear" w:color="auto" w:fill="auto"/>
            <w:noWrap/>
            <w:vAlign w:val="center"/>
          </w:tcPr>
          <w:p w14:paraId="24F45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391" w:type="pct"/>
            <w:shd w:val="clear" w:color="auto" w:fill="auto"/>
            <w:noWrap/>
            <w:vAlign w:val="center"/>
          </w:tcPr>
          <w:p w14:paraId="2DBF1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D1E5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B82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49F4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83" w:type="pct"/>
            <w:shd w:val="clear" w:color="auto" w:fill="auto"/>
            <w:vAlign w:val="center"/>
          </w:tcPr>
          <w:p w14:paraId="43EC6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p>
        </w:tc>
        <w:tc>
          <w:tcPr>
            <w:tcW w:w="2879" w:type="pct"/>
            <w:shd w:val="clear" w:color="auto" w:fill="auto"/>
            <w:vAlign w:val="center"/>
          </w:tcPr>
          <w:p w14:paraId="4FC48F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KBG20</w:t>
            </w:r>
          </w:p>
        </w:tc>
        <w:tc>
          <w:tcPr>
            <w:tcW w:w="255" w:type="pct"/>
            <w:shd w:val="clear" w:color="auto" w:fill="auto"/>
            <w:noWrap/>
            <w:vAlign w:val="center"/>
          </w:tcPr>
          <w:p w14:paraId="69683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180m</w:t>
            </w:r>
          </w:p>
        </w:tc>
        <w:tc>
          <w:tcPr>
            <w:tcW w:w="391" w:type="pct"/>
            <w:shd w:val="clear" w:color="auto" w:fill="auto"/>
            <w:noWrap/>
            <w:vAlign w:val="center"/>
          </w:tcPr>
          <w:p w14:paraId="732BF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06C2C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CF5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0589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3" w:type="pct"/>
            <w:shd w:val="clear" w:color="auto" w:fill="auto"/>
            <w:vAlign w:val="center"/>
          </w:tcPr>
          <w:p w14:paraId="147C7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p>
        </w:tc>
        <w:tc>
          <w:tcPr>
            <w:tcW w:w="2879" w:type="pct"/>
            <w:shd w:val="clear" w:color="auto" w:fill="auto"/>
            <w:vAlign w:val="center"/>
          </w:tcPr>
          <w:p w14:paraId="15491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金属软管敷设DN16</w:t>
            </w:r>
          </w:p>
        </w:tc>
        <w:tc>
          <w:tcPr>
            <w:tcW w:w="255" w:type="pct"/>
            <w:shd w:val="clear" w:color="auto" w:fill="auto"/>
            <w:noWrap/>
            <w:vAlign w:val="center"/>
          </w:tcPr>
          <w:p w14:paraId="2A677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391" w:type="pct"/>
            <w:shd w:val="clear" w:color="auto" w:fill="auto"/>
            <w:noWrap/>
            <w:vAlign w:val="center"/>
          </w:tcPr>
          <w:p w14:paraId="47D17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F65D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59F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6724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83" w:type="pct"/>
            <w:shd w:val="clear" w:color="auto" w:fill="auto"/>
            <w:vAlign w:val="center"/>
          </w:tcPr>
          <w:p w14:paraId="356EF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电缆桥架</w:t>
            </w:r>
          </w:p>
        </w:tc>
        <w:tc>
          <w:tcPr>
            <w:tcW w:w="2879" w:type="pct"/>
            <w:shd w:val="clear" w:color="auto" w:fill="auto"/>
            <w:vAlign w:val="center"/>
          </w:tcPr>
          <w:p w14:paraId="07C169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金属槽式桥架100*100（强电）</w:t>
            </w:r>
          </w:p>
        </w:tc>
        <w:tc>
          <w:tcPr>
            <w:tcW w:w="255" w:type="pct"/>
            <w:shd w:val="clear" w:color="auto" w:fill="auto"/>
            <w:noWrap/>
            <w:vAlign w:val="center"/>
          </w:tcPr>
          <w:p w14:paraId="0BED8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w:t>
            </w:r>
          </w:p>
        </w:tc>
        <w:tc>
          <w:tcPr>
            <w:tcW w:w="391" w:type="pct"/>
            <w:shd w:val="clear" w:color="auto" w:fill="auto"/>
            <w:noWrap/>
            <w:vAlign w:val="center"/>
          </w:tcPr>
          <w:p w14:paraId="78681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0D5D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886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D7FE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83" w:type="pct"/>
            <w:shd w:val="clear" w:color="auto" w:fill="auto"/>
            <w:vAlign w:val="center"/>
          </w:tcPr>
          <w:p w14:paraId="18892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电缆桥架</w:t>
            </w:r>
          </w:p>
        </w:tc>
        <w:tc>
          <w:tcPr>
            <w:tcW w:w="2879" w:type="pct"/>
            <w:shd w:val="clear" w:color="auto" w:fill="auto"/>
            <w:vAlign w:val="center"/>
          </w:tcPr>
          <w:p w14:paraId="0DD94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金属槽式桥架200*100（弱电）</w:t>
            </w:r>
          </w:p>
        </w:tc>
        <w:tc>
          <w:tcPr>
            <w:tcW w:w="255" w:type="pct"/>
            <w:shd w:val="clear" w:color="auto" w:fill="auto"/>
            <w:noWrap/>
            <w:vAlign w:val="center"/>
          </w:tcPr>
          <w:p w14:paraId="1E09C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19m</w:t>
            </w:r>
          </w:p>
        </w:tc>
        <w:tc>
          <w:tcPr>
            <w:tcW w:w="391" w:type="pct"/>
            <w:shd w:val="clear" w:color="auto" w:fill="auto"/>
            <w:noWrap/>
            <w:vAlign w:val="center"/>
          </w:tcPr>
          <w:p w14:paraId="095DD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B10F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7D9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46A5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3" w:type="pct"/>
            <w:shd w:val="clear" w:color="auto" w:fill="auto"/>
            <w:vAlign w:val="center"/>
          </w:tcPr>
          <w:p w14:paraId="6EC94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879" w:type="pct"/>
            <w:shd w:val="clear" w:color="auto" w:fill="auto"/>
            <w:vAlign w:val="center"/>
          </w:tcPr>
          <w:p w14:paraId="2D075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扎带、绝缘胶布、骑马卡、塑料膨胀管、膨胀螺丝、吊筋等</w:t>
            </w:r>
          </w:p>
        </w:tc>
        <w:tc>
          <w:tcPr>
            <w:tcW w:w="255" w:type="pct"/>
            <w:shd w:val="clear" w:color="auto" w:fill="auto"/>
            <w:noWrap/>
            <w:vAlign w:val="center"/>
          </w:tcPr>
          <w:p w14:paraId="11B17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w:t>
            </w:r>
          </w:p>
        </w:tc>
        <w:tc>
          <w:tcPr>
            <w:tcW w:w="391" w:type="pct"/>
            <w:shd w:val="clear" w:color="auto" w:fill="auto"/>
            <w:noWrap/>
            <w:vAlign w:val="center"/>
          </w:tcPr>
          <w:p w14:paraId="7FCA8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FDC0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303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4334B33">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（二）机房UPS电源</w:t>
            </w:r>
          </w:p>
        </w:tc>
      </w:tr>
      <w:tr w14:paraId="76FE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blHeader/>
          <w:jc w:val="center"/>
        </w:trPr>
        <w:tc>
          <w:tcPr>
            <w:tcW w:w="269" w:type="pct"/>
            <w:shd w:val="clear" w:color="auto" w:fill="auto"/>
            <w:noWrap/>
            <w:vAlign w:val="center"/>
          </w:tcPr>
          <w:p w14:paraId="52124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7DE71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30KVA UPS</w:t>
            </w:r>
          </w:p>
        </w:tc>
        <w:tc>
          <w:tcPr>
            <w:tcW w:w="2879" w:type="pct"/>
            <w:shd w:val="clear" w:color="auto" w:fill="auto"/>
            <w:vAlign w:val="center"/>
          </w:tcPr>
          <w:p w14:paraId="4A3CB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1、双变换纯在线式三进三出30KVA.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2、380V输入，380V输出，双变换在线式，带液晶中英文显示操作面板。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3、输入电压范围380VAC±25%,频率范围50/60Hz±10%；输出电压：220VAC±1%。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4、冗余并机模式：可进行8台并机，按UPS大小自动分配负载量；并采用IGBT技术。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5、逆变器效率93%以上，输入输出功率均需大于0.8。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6、逆变过载能力：125%负载30分钟，150%负载1分钟，大于150%负载300ms。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7、噪声48-65DB，MTBF≥30万小时。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8、含RS232\SNMP、RS485等多种智能通讯接口，能实现UPS的远程监控及手机短信报警功能。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9、主机带智能电池管理功能，可有效延长电池寿命。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10、UPS主机电池电压灵活变动，标称单组电池电压384V。</w:t>
            </w:r>
          </w:p>
        </w:tc>
        <w:tc>
          <w:tcPr>
            <w:tcW w:w="255" w:type="pct"/>
            <w:shd w:val="clear" w:color="auto" w:fill="auto"/>
            <w:noWrap/>
            <w:vAlign w:val="center"/>
          </w:tcPr>
          <w:p w14:paraId="12B99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525FC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54C5F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052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blHeader/>
          <w:jc w:val="center"/>
        </w:trPr>
        <w:tc>
          <w:tcPr>
            <w:tcW w:w="269" w:type="pct"/>
            <w:shd w:val="clear" w:color="auto" w:fill="auto"/>
            <w:noWrap/>
            <w:vAlign w:val="center"/>
          </w:tcPr>
          <w:p w14:paraId="33A4F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493A4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w:t>
            </w:r>
          </w:p>
        </w:tc>
        <w:tc>
          <w:tcPr>
            <w:tcW w:w="2879" w:type="pct"/>
            <w:shd w:val="clear" w:color="auto" w:fill="auto"/>
            <w:vAlign w:val="center"/>
          </w:tcPr>
          <w:p w14:paraId="53161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1、铅酸免维护电池，12V，标称容量≥100AH；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2、循环使用寿命应达600次以上；适应温度广（-15-45摄氏度）；自放电小，20摄氏度平均每月的自放电率小于3%；采用ABS阻燃工程材料，阻燃特性优良，防膨胀及破裂；无游离电解液，。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3、自放后电剩余容量（25摄氏度）：3个月后：≥92%；6个月后：≥83%；12个月后：≥65%；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4、不同温度下放电容量：40摄氏度≥103%；25摄氏度≥100%；0摄氏度≥86%；零下15摄氏度≥66%；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5、设计寿命：需达到循环600次以上；浮充10年以上；                                               6、蓄电池壳、盖、连接条保护罩应符合 GB/T2408-2008 中要求。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7、能承受50kPa的正压不破裂、不开胶；压力释放后壳体无残余变形；                                                                                                               8、以30I10放电3min,极柱应不熔断、内部 汇流排应不熔断，外观应不岀现异常；                                                                                                                   9、完全充电后的电池以0.3I10。连续充电160h,外观应无明显变形及渗液。30天过度放电结束后，容量恢复值应≥90%。 10、环境温度-30°C~+65°C之间，封口剂应无裂纹与溢流现象；                                                 10、蓄电池内阻≤3.4mΩ，同组蓄电池内阻偏差应≤4.7%。充电过程中遇明火，内部应不引燃及引爆。同组蓄电池10h率容量试验时，最大实际容量与最小实际容量差值应≤2.7%。</w:t>
            </w:r>
          </w:p>
        </w:tc>
        <w:tc>
          <w:tcPr>
            <w:tcW w:w="255" w:type="pct"/>
            <w:shd w:val="clear" w:color="auto" w:fill="auto"/>
            <w:noWrap/>
            <w:vAlign w:val="center"/>
          </w:tcPr>
          <w:p w14:paraId="50681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32个</w:t>
            </w:r>
          </w:p>
        </w:tc>
        <w:tc>
          <w:tcPr>
            <w:tcW w:w="391" w:type="pct"/>
            <w:shd w:val="clear" w:color="auto" w:fill="auto"/>
            <w:noWrap/>
            <w:vAlign w:val="center"/>
          </w:tcPr>
          <w:p w14:paraId="2322C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66A08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3D5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4D03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678FE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电池柜</w:t>
            </w:r>
          </w:p>
        </w:tc>
        <w:tc>
          <w:tcPr>
            <w:tcW w:w="2879" w:type="pct"/>
            <w:shd w:val="clear" w:color="auto" w:fill="auto"/>
            <w:vAlign w:val="center"/>
          </w:tcPr>
          <w:p w14:paraId="3C2180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与主机与蓄电池配套，满足国标,内含16方蓄电池连接线材。</w:t>
            </w:r>
          </w:p>
        </w:tc>
        <w:tc>
          <w:tcPr>
            <w:tcW w:w="255" w:type="pct"/>
            <w:shd w:val="clear" w:color="auto" w:fill="auto"/>
            <w:noWrap/>
            <w:vAlign w:val="center"/>
          </w:tcPr>
          <w:p w14:paraId="4D342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2048C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0B9B0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69C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51B2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41E04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托架</w:t>
            </w:r>
          </w:p>
        </w:tc>
        <w:tc>
          <w:tcPr>
            <w:tcW w:w="2879" w:type="pct"/>
            <w:shd w:val="clear" w:color="auto" w:fill="auto"/>
            <w:vAlign w:val="center"/>
          </w:tcPr>
          <w:p w14:paraId="5C28F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UPS及电池柜支撑架</w:t>
            </w:r>
          </w:p>
        </w:tc>
        <w:tc>
          <w:tcPr>
            <w:tcW w:w="255" w:type="pct"/>
            <w:shd w:val="clear" w:color="auto" w:fill="auto"/>
            <w:noWrap/>
            <w:vAlign w:val="center"/>
          </w:tcPr>
          <w:p w14:paraId="0A186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6D38E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0498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242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8547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6A84E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879" w:type="pct"/>
            <w:shd w:val="clear" w:color="auto" w:fill="auto"/>
            <w:vAlign w:val="center"/>
          </w:tcPr>
          <w:p w14:paraId="1C807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扎带、绝缘胶布、铜线鼻等</w:t>
            </w:r>
          </w:p>
        </w:tc>
        <w:tc>
          <w:tcPr>
            <w:tcW w:w="255" w:type="pct"/>
            <w:shd w:val="clear" w:color="auto" w:fill="auto"/>
            <w:noWrap/>
            <w:vAlign w:val="center"/>
          </w:tcPr>
          <w:p w14:paraId="39F37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w:t>
            </w:r>
          </w:p>
        </w:tc>
        <w:tc>
          <w:tcPr>
            <w:tcW w:w="391" w:type="pct"/>
            <w:shd w:val="clear" w:color="auto" w:fill="auto"/>
            <w:noWrap/>
            <w:vAlign w:val="center"/>
          </w:tcPr>
          <w:p w14:paraId="3AA1F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B0C5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DE5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17F4A552">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（三）机房防雷接地</w:t>
            </w:r>
          </w:p>
        </w:tc>
      </w:tr>
      <w:tr w14:paraId="1B2E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CA72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637C8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一级电源防护</w:t>
            </w:r>
          </w:p>
        </w:tc>
        <w:tc>
          <w:tcPr>
            <w:tcW w:w="2879" w:type="pct"/>
            <w:shd w:val="clear" w:color="auto" w:fill="auto"/>
            <w:vAlign w:val="center"/>
          </w:tcPr>
          <w:p w14:paraId="5E2A7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标称通流量50KA(8/20us),最大通流量80KA(8/20us)，具有遥信接口</w:t>
            </w:r>
          </w:p>
        </w:tc>
        <w:tc>
          <w:tcPr>
            <w:tcW w:w="255" w:type="pct"/>
            <w:shd w:val="clear" w:color="auto" w:fill="auto"/>
            <w:noWrap/>
            <w:vAlign w:val="center"/>
          </w:tcPr>
          <w:p w14:paraId="57E67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51B5E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7828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617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32E0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08EA1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二级电源防护</w:t>
            </w:r>
          </w:p>
        </w:tc>
        <w:tc>
          <w:tcPr>
            <w:tcW w:w="2879" w:type="pct"/>
            <w:shd w:val="clear" w:color="auto" w:fill="auto"/>
            <w:vAlign w:val="center"/>
          </w:tcPr>
          <w:p w14:paraId="24141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标称通流量30KA(8/20us),最大通流量60KA(8/20us)，具有遥信接口</w:t>
            </w:r>
          </w:p>
        </w:tc>
        <w:tc>
          <w:tcPr>
            <w:tcW w:w="255" w:type="pct"/>
            <w:shd w:val="clear" w:color="auto" w:fill="auto"/>
            <w:noWrap/>
            <w:vAlign w:val="center"/>
          </w:tcPr>
          <w:p w14:paraId="5D6B6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4B170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E71A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721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795D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60A5D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三级电源防护</w:t>
            </w:r>
          </w:p>
        </w:tc>
        <w:tc>
          <w:tcPr>
            <w:tcW w:w="2879" w:type="pct"/>
            <w:shd w:val="clear" w:color="auto" w:fill="auto"/>
            <w:vAlign w:val="center"/>
          </w:tcPr>
          <w:p w14:paraId="1031B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标称通流量20KA(8/20us),最大通流量40KA(8/20us)，具有遥信接口</w:t>
            </w:r>
          </w:p>
        </w:tc>
        <w:tc>
          <w:tcPr>
            <w:tcW w:w="255" w:type="pct"/>
            <w:shd w:val="clear" w:color="auto" w:fill="auto"/>
            <w:noWrap/>
            <w:vAlign w:val="center"/>
          </w:tcPr>
          <w:p w14:paraId="77723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2套</w:t>
            </w:r>
          </w:p>
        </w:tc>
        <w:tc>
          <w:tcPr>
            <w:tcW w:w="391" w:type="pct"/>
            <w:shd w:val="clear" w:color="auto" w:fill="auto"/>
            <w:noWrap/>
            <w:vAlign w:val="center"/>
          </w:tcPr>
          <w:p w14:paraId="48B84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07F0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34E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30AC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15337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2879" w:type="pct"/>
            <w:shd w:val="clear" w:color="auto" w:fill="auto"/>
            <w:vAlign w:val="center"/>
          </w:tcPr>
          <w:p w14:paraId="7DEFF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接地母线BVR35</w:t>
            </w:r>
          </w:p>
        </w:tc>
        <w:tc>
          <w:tcPr>
            <w:tcW w:w="255" w:type="pct"/>
            <w:shd w:val="clear" w:color="auto" w:fill="auto"/>
            <w:noWrap/>
            <w:vAlign w:val="center"/>
          </w:tcPr>
          <w:p w14:paraId="7A50E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w:t>
            </w:r>
          </w:p>
        </w:tc>
        <w:tc>
          <w:tcPr>
            <w:tcW w:w="391" w:type="pct"/>
            <w:shd w:val="clear" w:color="auto" w:fill="auto"/>
            <w:noWrap/>
            <w:vAlign w:val="center"/>
          </w:tcPr>
          <w:p w14:paraId="3AE30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43A92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5BB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2B98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141B3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p>
        </w:tc>
        <w:tc>
          <w:tcPr>
            <w:tcW w:w="2879" w:type="pct"/>
            <w:shd w:val="clear" w:color="auto" w:fill="auto"/>
            <w:vAlign w:val="center"/>
          </w:tcPr>
          <w:p w14:paraId="2CFBC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接地分线BVR6</w:t>
            </w:r>
          </w:p>
        </w:tc>
        <w:tc>
          <w:tcPr>
            <w:tcW w:w="255" w:type="pct"/>
            <w:shd w:val="clear" w:color="auto" w:fill="auto"/>
            <w:noWrap/>
            <w:vAlign w:val="center"/>
          </w:tcPr>
          <w:p w14:paraId="59975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391" w:type="pct"/>
            <w:shd w:val="clear" w:color="auto" w:fill="auto"/>
            <w:noWrap/>
            <w:vAlign w:val="center"/>
          </w:tcPr>
          <w:p w14:paraId="0B236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42FD9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1A9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436F1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70B69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接地铜排</w:t>
            </w:r>
          </w:p>
        </w:tc>
        <w:tc>
          <w:tcPr>
            <w:tcW w:w="2879" w:type="pct"/>
            <w:shd w:val="clear" w:color="auto" w:fill="auto"/>
            <w:vAlign w:val="center"/>
          </w:tcPr>
          <w:p w14:paraId="2CD76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接地铜排30*3mm2</w:t>
            </w:r>
          </w:p>
        </w:tc>
        <w:tc>
          <w:tcPr>
            <w:tcW w:w="255" w:type="pct"/>
            <w:shd w:val="clear" w:color="auto" w:fill="auto"/>
            <w:noWrap/>
            <w:vAlign w:val="center"/>
          </w:tcPr>
          <w:p w14:paraId="65900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43m</w:t>
            </w:r>
          </w:p>
        </w:tc>
        <w:tc>
          <w:tcPr>
            <w:tcW w:w="391" w:type="pct"/>
            <w:shd w:val="clear" w:color="auto" w:fill="auto"/>
            <w:noWrap/>
            <w:vAlign w:val="center"/>
          </w:tcPr>
          <w:p w14:paraId="10E2F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00B3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D31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A353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7FCDA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绝缘子</w:t>
            </w:r>
          </w:p>
        </w:tc>
        <w:tc>
          <w:tcPr>
            <w:tcW w:w="2879" w:type="pct"/>
            <w:shd w:val="clear" w:color="auto" w:fill="auto"/>
            <w:vAlign w:val="center"/>
          </w:tcPr>
          <w:p w14:paraId="04FC9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绝缘子</w:t>
            </w:r>
          </w:p>
        </w:tc>
        <w:tc>
          <w:tcPr>
            <w:tcW w:w="255" w:type="pct"/>
            <w:shd w:val="clear" w:color="auto" w:fill="auto"/>
            <w:noWrap/>
            <w:vAlign w:val="center"/>
          </w:tcPr>
          <w:p w14:paraId="201EC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43个</w:t>
            </w:r>
          </w:p>
        </w:tc>
        <w:tc>
          <w:tcPr>
            <w:tcW w:w="391" w:type="pct"/>
            <w:shd w:val="clear" w:color="auto" w:fill="auto"/>
            <w:noWrap/>
            <w:vAlign w:val="center"/>
          </w:tcPr>
          <w:p w14:paraId="56D57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731E3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25C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EE8A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0E6CE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等电位连接器SGP</w:t>
            </w:r>
          </w:p>
        </w:tc>
        <w:tc>
          <w:tcPr>
            <w:tcW w:w="2879" w:type="pct"/>
            <w:shd w:val="clear" w:color="auto" w:fill="auto"/>
            <w:vAlign w:val="center"/>
          </w:tcPr>
          <w:p w14:paraId="326EF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标称导通电压Un：15V-600V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标称放电电流(8/20μs)ln：50kA</w:t>
            </w:r>
          </w:p>
        </w:tc>
        <w:tc>
          <w:tcPr>
            <w:tcW w:w="255" w:type="pct"/>
            <w:shd w:val="clear" w:color="auto" w:fill="auto"/>
            <w:noWrap/>
            <w:vAlign w:val="center"/>
          </w:tcPr>
          <w:p w14:paraId="68E10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1只</w:t>
            </w:r>
          </w:p>
        </w:tc>
        <w:tc>
          <w:tcPr>
            <w:tcW w:w="391" w:type="pct"/>
            <w:shd w:val="clear" w:color="auto" w:fill="auto"/>
            <w:noWrap/>
            <w:vAlign w:val="center"/>
          </w:tcPr>
          <w:p w14:paraId="0E417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40FE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A6A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67AC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2AE2E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等电位接地端子箱</w:t>
            </w:r>
          </w:p>
        </w:tc>
        <w:tc>
          <w:tcPr>
            <w:tcW w:w="2879" w:type="pct"/>
            <w:shd w:val="clear" w:color="auto" w:fill="auto"/>
            <w:vAlign w:val="center"/>
          </w:tcPr>
          <w:p w14:paraId="78B495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明装总等电位箱接地端子箱300x200x120防静电接线箱国标端子箱</w:t>
            </w:r>
          </w:p>
        </w:tc>
        <w:tc>
          <w:tcPr>
            <w:tcW w:w="255" w:type="pct"/>
            <w:shd w:val="clear" w:color="auto" w:fill="auto"/>
            <w:noWrap/>
            <w:vAlign w:val="center"/>
          </w:tcPr>
          <w:p w14:paraId="4C638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1只</w:t>
            </w:r>
          </w:p>
        </w:tc>
        <w:tc>
          <w:tcPr>
            <w:tcW w:w="391" w:type="pct"/>
            <w:shd w:val="clear" w:color="auto" w:fill="auto"/>
            <w:noWrap/>
            <w:vAlign w:val="center"/>
          </w:tcPr>
          <w:p w14:paraId="4BBC4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E2FE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ACF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6E0E46DD">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（四）空气调节系统</w:t>
            </w:r>
          </w:p>
        </w:tc>
      </w:tr>
      <w:tr w14:paraId="4F52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atLeast"/>
          <w:tblHeader/>
          <w:jc w:val="center"/>
        </w:trPr>
        <w:tc>
          <w:tcPr>
            <w:tcW w:w="269" w:type="pct"/>
            <w:shd w:val="clear" w:color="auto" w:fill="auto"/>
            <w:noWrap/>
            <w:vAlign w:val="center"/>
          </w:tcPr>
          <w:p w14:paraId="127FA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5B46B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精密空调</w:t>
            </w:r>
          </w:p>
        </w:tc>
        <w:tc>
          <w:tcPr>
            <w:tcW w:w="2879" w:type="pct"/>
            <w:shd w:val="clear" w:color="auto" w:fill="auto"/>
            <w:vAlign w:val="center"/>
          </w:tcPr>
          <w:p w14:paraId="1BD56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1.房间级精密空调，上送风，单系统；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2.制冷量：≥20KW，风量≥5400m3/h；能效比（EER）≥3.0，单冷。室内空调机组要求100% 全正面维护。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3.空调主电源开关和接触器要求：主电源开关和接触器采用国际知名一线品牌。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4.压缩机：为保证机房专用空调节能性，采用高能效的涡旋式压缩机，压缩机品牌：为保证压缩机高效可靠运行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5.室内风机：为保证良好的制冷效果，空调应有较大的送风量，需标配国际知名品牌EC风机。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6.室内风机属于关键器件，需采用可抽拉设计，便于运维和更换；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换热盘管及冷媒管要求：换热盘管应采用铜管铝翅片形式，应具有较高的换热效率、较好的耐腐蚀性、较长的使用寿命。换热盘管翅片应采用亲水铝箔“/”字型蒸发器，在保证较大换热面积的同时应尽可能降低风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8.膨胀阀：为保证系统运行的高效性和稳定性，空调须配置电子膨胀阀。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9.控制系统应具有多级密码保护功能。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10.具有LCD屏幕全触摸中文显示器，能显示温湿度，具有图形显示机组内各组件的运行状态的功能，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11.维护性要求：精密空调应能够在设备的正面进行全面维修。空调本体外部应预留各种管道接口（冷媒管、加湿管、凝水管），包括下 、后、侧面三方向预留各种管道接口，以便现场安装。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12.所有空调机组需采用R410A制冷剂。</w:t>
            </w:r>
          </w:p>
        </w:tc>
        <w:tc>
          <w:tcPr>
            <w:tcW w:w="255" w:type="pct"/>
            <w:shd w:val="clear" w:color="auto" w:fill="auto"/>
            <w:noWrap/>
            <w:vAlign w:val="center"/>
          </w:tcPr>
          <w:p w14:paraId="5BBA8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551E0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002EE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02A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460F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2750C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空调安装及附</w:t>
            </w:r>
          </w:p>
        </w:tc>
        <w:tc>
          <w:tcPr>
            <w:tcW w:w="2879" w:type="pct"/>
            <w:shd w:val="clear" w:color="auto" w:fill="auto"/>
            <w:vAlign w:val="center"/>
          </w:tcPr>
          <w:p w14:paraId="46D87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含无缝铜管(气管19mm+液管12mm+保温护套)、电源线、信号线、制冷剂、水管等安装辅</w:t>
            </w:r>
          </w:p>
        </w:tc>
        <w:tc>
          <w:tcPr>
            <w:tcW w:w="255" w:type="pct"/>
            <w:shd w:val="clear" w:color="auto" w:fill="auto"/>
            <w:noWrap/>
            <w:vAlign w:val="center"/>
          </w:tcPr>
          <w:p w14:paraId="5F8C6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w:t>
            </w:r>
          </w:p>
        </w:tc>
        <w:tc>
          <w:tcPr>
            <w:tcW w:w="391" w:type="pct"/>
            <w:shd w:val="clear" w:color="auto" w:fill="auto"/>
            <w:noWrap/>
            <w:vAlign w:val="center"/>
          </w:tcPr>
          <w:p w14:paraId="1E866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ECA3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E6A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C117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501E4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空调底部支架</w:t>
            </w:r>
          </w:p>
        </w:tc>
        <w:tc>
          <w:tcPr>
            <w:tcW w:w="2879" w:type="pct"/>
            <w:shd w:val="clear" w:color="auto" w:fill="auto"/>
            <w:vAlign w:val="center"/>
          </w:tcPr>
          <w:p w14:paraId="40EC6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L50角钢拼接</w:t>
            </w:r>
          </w:p>
        </w:tc>
        <w:tc>
          <w:tcPr>
            <w:tcW w:w="255" w:type="pct"/>
            <w:shd w:val="clear" w:color="auto" w:fill="auto"/>
            <w:noWrap/>
            <w:vAlign w:val="center"/>
          </w:tcPr>
          <w:p w14:paraId="49AAD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12DC9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940A8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B6F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229E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43EF4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空调室外机安</w:t>
            </w:r>
          </w:p>
        </w:tc>
        <w:tc>
          <w:tcPr>
            <w:tcW w:w="2879" w:type="pct"/>
            <w:shd w:val="clear" w:color="auto" w:fill="auto"/>
            <w:vAlign w:val="center"/>
          </w:tcPr>
          <w:p w14:paraId="411E17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L50角钢拼接</w:t>
            </w:r>
          </w:p>
        </w:tc>
        <w:tc>
          <w:tcPr>
            <w:tcW w:w="255" w:type="pct"/>
            <w:shd w:val="clear" w:color="auto" w:fill="auto"/>
            <w:noWrap/>
            <w:vAlign w:val="center"/>
          </w:tcPr>
          <w:p w14:paraId="3152F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1283F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9B01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8FF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6EC0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4FC13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w:t>
            </w:r>
          </w:p>
        </w:tc>
        <w:tc>
          <w:tcPr>
            <w:tcW w:w="2879" w:type="pct"/>
            <w:shd w:val="clear" w:color="auto" w:fill="auto"/>
            <w:vAlign w:val="center"/>
          </w:tcPr>
          <w:p w14:paraId="601A2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洁净室专用地漏，DN50</w:t>
            </w:r>
          </w:p>
        </w:tc>
        <w:tc>
          <w:tcPr>
            <w:tcW w:w="255" w:type="pct"/>
            <w:shd w:val="clear" w:color="auto" w:fill="auto"/>
            <w:noWrap/>
            <w:vAlign w:val="center"/>
          </w:tcPr>
          <w:p w14:paraId="02536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1只</w:t>
            </w:r>
          </w:p>
        </w:tc>
        <w:tc>
          <w:tcPr>
            <w:tcW w:w="391" w:type="pct"/>
            <w:shd w:val="clear" w:color="auto" w:fill="auto"/>
            <w:noWrap/>
            <w:vAlign w:val="center"/>
          </w:tcPr>
          <w:p w14:paraId="150CA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4C38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15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B305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6B8F7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挡水坝</w:t>
            </w:r>
          </w:p>
        </w:tc>
        <w:tc>
          <w:tcPr>
            <w:tcW w:w="2879" w:type="pct"/>
            <w:shd w:val="clear" w:color="auto" w:fill="auto"/>
            <w:vAlign w:val="center"/>
          </w:tcPr>
          <w:p w14:paraId="588F3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专用空调区地板下挡水墙（100*50）</w:t>
            </w:r>
          </w:p>
        </w:tc>
        <w:tc>
          <w:tcPr>
            <w:tcW w:w="255" w:type="pct"/>
            <w:shd w:val="clear" w:color="auto" w:fill="auto"/>
            <w:noWrap/>
            <w:vAlign w:val="center"/>
          </w:tcPr>
          <w:p w14:paraId="3D77F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391" w:type="pct"/>
            <w:shd w:val="clear" w:color="auto" w:fill="auto"/>
            <w:noWrap/>
            <w:vAlign w:val="center"/>
          </w:tcPr>
          <w:p w14:paraId="350CA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0BAF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1CF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39D7F6C4">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（五）其他</w:t>
            </w:r>
          </w:p>
        </w:tc>
      </w:tr>
      <w:tr w14:paraId="2C3C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2D8D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3D93B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超声波驱鼠器</w:t>
            </w:r>
          </w:p>
        </w:tc>
        <w:tc>
          <w:tcPr>
            <w:tcW w:w="2879" w:type="pct"/>
            <w:shd w:val="clear" w:color="auto" w:fill="auto"/>
            <w:vAlign w:val="center"/>
          </w:tcPr>
          <w:p w14:paraId="16844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1.电源电压：220V/50Hz，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2.有效面积：150平方米；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3.外壳材质：防火材质</w:t>
            </w:r>
          </w:p>
        </w:tc>
        <w:tc>
          <w:tcPr>
            <w:tcW w:w="255" w:type="pct"/>
            <w:shd w:val="clear" w:color="auto" w:fill="auto"/>
            <w:noWrap/>
            <w:vAlign w:val="center"/>
          </w:tcPr>
          <w:p w14:paraId="38A1D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4D876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3552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337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05A3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5516D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七氟丙烷灭火剂</w:t>
            </w:r>
          </w:p>
        </w:tc>
        <w:tc>
          <w:tcPr>
            <w:tcW w:w="2879" w:type="pct"/>
            <w:shd w:val="clear" w:color="auto" w:fill="auto"/>
            <w:vAlign w:val="center"/>
          </w:tcPr>
          <w:p w14:paraId="73AA06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70L单瓶组含相关附件</w:t>
            </w:r>
          </w:p>
        </w:tc>
        <w:tc>
          <w:tcPr>
            <w:tcW w:w="255" w:type="pct"/>
            <w:shd w:val="clear" w:color="auto" w:fill="auto"/>
            <w:noWrap/>
            <w:vAlign w:val="center"/>
          </w:tcPr>
          <w:p w14:paraId="2E608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2套</w:t>
            </w:r>
          </w:p>
        </w:tc>
        <w:tc>
          <w:tcPr>
            <w:tcW w:w="391" w:type="pct"/>
            <w:shd w:val="clear" w:color="auto" w:fill="auto"/>
            <w:noWrap/>
            <w:vAlign w:val="center"/>
          </w:tcPr>
          <w:p w14:paraId="70B60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46F0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50BF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blHeader/>
          <w:jc w:val="center"/>
        </w:trPr>
        <w:tc>
          <w:tcPr>
            <w:tcW w:w="269" w:type="pct"/>
            <w:shd w:val="clear" w:color="auto" w:fill="auto"/>
            <w:noWrap/>
            <w:vAlign w:val="center"/>
          </w:tcPr>
          <w:p w14:paraId="6BCE2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1BFE5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七氟丙烷灭火剂</w:t>
            </w:r>
          </w:p>
        </w:tc>
        <w:tc>
          <w:tcPr>
            <w:tcW w:w="2879" w:type="pct"/>
            <w:shd w:val="clear" w:color="auto" w:fill="auto"/>
            <w:vAlign w:val="center"/>
          </w:tcPr>
          <w:p w14:paraId="3B86C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灭火剂贮存压力： 2.5MPa。                                                                                    最大工作压力：4.2MP。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灭火剂充装密度：≤1250kg/m³。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工作启动电源：DC24V。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灭火技术方式：全淹没。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灭火剂喷射时间：≤10S。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启动方式：自动、手动、机械应急操作。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驱动气体 / 动力气体：氮气。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动力气体充装压力：13.5MPa（20℃）。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驱动气体充装压力：6MPa（20℃）。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使用环境温度：0℃～50℃。</w:t>
            </w:r>
          </w:p>
        </w:tc>
        <w:tc>
          <w:tcPr>
            <w:tcW w:w="255" w:type="pct"/>
            <w:shd w:val="clear" w:color="auto" w:fill="auto"/>
            <w:noWrap/>
            <w:vAlign w:val="center"/>
          </w:tcPr>
          <w:p w14:paraId="06F6E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80KG</w:t>
            </w:r>
          </w:p>
        </w:tc>
        <w:tc>
          <w:tcPr>
            <w:tcW w:w="391" w:type="pct"/>
            <w:shd w:val="clear" w:color="auto" w:fill="auto"/>
            <w:noWrap/>
            <w:vAlign w:val="center"/>
          </w:tcPr>
          <w:p w14:paraId="0A7DA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481B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71B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9F26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307D7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自救式呼吸器</w:t>
            </w:r>
          </w:p>
        </w:tc>
        <w:tc>
          <w:tcPr>
            <w:tcW w:w="2879" w:type="pct"/>
            <w:shd w:val="clear" w:color="auto" w:fill="auto"/>
            <w:vAlign w:val="center"/>
          </w:tcPr>
          <w:p w14:paraId="1ED21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过滤式自救呼吸器</w:t>
            </w:r>
          </w:p>
        </w:tc>
        <w:tc>
          <w:tcPr>
            <w:tcW w:w="255" w:type="pct"/>
            <w:shd w:val="clear" w:color="auto" w:fill="auto"/>
            <w:noWrap/>
            <w:vAlign w:val="center"/>
          </w:tcPr>
          <w:p w14:paraId="6DC5E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391" w:type="pct"/>
            <w:shd w:val="clear" w:color="auto" w:fill="auto"/>
            <w:noWrap/>
            <w:vAlign w:val="center"/>
          </w:tcPr>
          <w:p w14:paraId="31C6B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ED314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CD8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1D5B537">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九、LED屏、门诊信息显示系统</w:t>
            </w:r>
          </w:p>
        </w:tc>
      </w:tr>
      <w:tr w14:paraId="0177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63DF8AE2">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(一)、信息发布管理端</w:t>
            </w:r>
          </w:p>
        </w:tc>
      </w:tr>
      <w:tr w14:paraId="7D53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27444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3BBF5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管理工作站</w:t>
            </w:r>
          </w:p>
        </w:tc>
        <w:tc>
          <w:tcPr>
            <w:tcW w:w="2879" w:type="pct"/>
            <w:shd w:val="clear" w:color="auto" w:fill="auto"/>
            <w:vAlign w:val="center"/>
          </w:tcPr>
          <w:p w14:paraId="5526D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2.内存容量：8GB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3.硬盘容量：128 SSD +1TB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4.支持一机双屏显示，音频：集成有线网卡：1000Mbps以太网卡数据接口：USB3.0+USB2.0、VGA、HDMI、RJ4511。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5.防水键盘、光电鼠标、21.5寸屏幕</w:t>
            </w:r>
          </w:p>
        </w:tc>
        <w:tc>
          <w:tcPr>
            <w:tcW w:w="255" w:type="pct"/>
            <w:shd w:val="clear" w:color="auto" w:fill="auto"/>
            <w:noWrap/>
            <w:vAlign w:val="center"/>
          </w:tcPr>
          <w:p w14:paraId="2F6D5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3624A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A696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3F9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blHeader/>
          <w:jc w:val="center"/>
        </w:trPr>
        <w:tc>
          <w:tcPr>
            <w:tcW w:w="269" w:type="pct"/>
            <w:shd w:val="clear" w:color="auto" w:fill="auto"/>
            <w:noWrap/>
            <w:vAlign w:val="center"/>
          </w:tcPr>
          <w:p w14:paraId="0F452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6AB66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门诊显示系统管理软件</w:t>
            </w:r>
          </w:p>
        </w:tc>
        <w:tc>
          <w:tcPr>
            <w:tcW w:w="2879" w:type="pct"/>
            <w:shd w:val="clear" w:color="auto" w:fill="auto"/>
            <w:vAlign w:val="center"/>
          </w:tcPr>
          <w:p w14:paraId="5377B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1.排队系统与医院的接口可以根据医院情况多种方案定制接口。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2.系统可以获取医院不同渠道来源的数据，排队方式可以灵活多样。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3.系统针对不同科室和场景，设置不同的管理叫号流程。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4.排队系统支持从his系统自动获取队列模式。患者不用签到，直接等候就诊。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5.系统需支持多种签到方式，可实现多种报到模式，支持扫码、刷诊疗卡、身份证、社保卡等多种报到模式。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6.系统支持优先方案，满足特殊患者（老弱病残等）根据设定的插队规则进行插队。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7.系统支持预约优先，爽约处罚。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8.系统支持二次分诊或多重分诊，多区域实现自动呼叫功能，支持护士站转诊功能。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9.系统支持对挂不同的科室或医生的号的患者分队列管理排队，满足按照挂号类别对分诊的患者进行筛选，如：专家号，教授号，专科号等。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10.叫号子系统接到医生工作站发出的指令，将医生呼叫的患者信息同时显示在一体机上。以上叫号显示均为同步语音提示。可显示当前呼叫号码和多位等待号码，同时显示过号信息。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11.系统支持患者跟随医生，医生可以在科室随意的诊室坐诊。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12.系统支持微信公众号实时显示排队信息。</w:t>
            </w:r>
          </w:p>
        </w:tc>
        <w:tc>
          <w:tcPr>
            <w:tcW w:w="255" w:type="pct"/>
            <w:shd w:val="clear" w:color="auto" w:fill="auto"/>
            <w:noWrap/>
            <w:vAlign w:val="center"/>
          </w:tcPr>
          <w:p w14:paraId="39C68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2D8AE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55BF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282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2EFF66D8">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(二)一层导诊台LED屏</w:t>
            </w:r>
          </w:p>
        </w:tc>
      </w:tr>
      <w:tr w14:paraId="7C88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0" w:hRule="atLeast"/>
          <w:tblHeader/>
          <w:jc w:val="center"/>
        </w:trPr>
        <w:tc>
          <w:tcPr>
            <w:tcW w:w="269" w:type="pct"/>
            <w:shd w:val="clear" w:color="auto" w:fill="auto"/>
            <w:noWrap/>
            <w:vAlign w:val="center"/>
          </w:tcPr>
          <w:p w14:paraId="4826F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3B722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室内P2.5全彩屏</w:t>
            </w:r>
          </w:p>
        </w:tc>
        <w:tc>
          <w:tcPr>
            <w:tcW w:w="2879" w:type="pct"/>
            <w:shd w:val="clear" w:color="auto" w:fill="auto"/>
            <w:vAlign w:val="center"/>
          </w:tcPr>
          <w:p w14:paraId="349C0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1、像素点间距≤2.5mm  显示尺寸：4.8*2.4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2、像素密度：≥160000 Dots/m2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3、平均功耗：≤120W/m²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4、最大电流：≤5A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5、峰值功耗：≤300W/m²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6、整屏平整度：≤0.04mm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7、模组平整度：≤0.03mm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8、色域空间：≥120% NTSC，LED显示屏ColorSPace覆盖率≥170%YUV(PAL)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9、白平衡亮度：≥600Cd/m²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10、亮度均匀性：≥99%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11、色度均匀性：±0.001Cx、Cy内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12、电流增益：电流增益调节范围：1%～199%电流增益调节级别≥8位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13、水平视角：≥170°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14、垂直视角：≥170°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15、对比度：≥8000：1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16、刷新率：≥1920Hz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17、像素失控率：&lt;1/100000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18、发光点中心偏距：＜0.8%</w:t>
            </w:r>
          </w:p>
        </w:tc>
        <w:tc>
          <w:tcPr>
            <w:tcW w:w="255" w:type="pct"/>
            <w:shd w:val="clear" w:color="auto" w:fill="auto"/>
            <w:noWrap/>
            <w:vAlign w:val="center"/>
          </w:tcPr>
          <w:p w14:paraId="044EE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c>
          <w:tcPr>
            <w:tcW w:w="391" w:type="pct"/>
            <w:shd w:val="clear" w:color="auto" w:fill="auto"/>
            <w:noWrap/>
            <w:vAlign w:val="center"/>
          </w:tcPr>
          <w:p w14:paraId="0B82E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DCD22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648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60" w:hRule="atLeast"/>
          <w:tblHeader/>
          <w:jc w:val="center"/>
        </w:trPr>
        <w:tc>
          <w:tcPr>
            <w:tcW w:w="269" w:type="pct"/>
            <w:shd w:val="clear" w:color="auto" w:fill="auto"/>
            <w:noWrap/>
            <w:vAlign w:val="center"/>
          </w:tcPr>
          <w:p w14:paraId="68167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3EEAF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彩屏电源</w:t>
            </w:r>
          </w:p>
        </w:tc>
        <w:tc>
          <w:tcPr>
            <w:tcW w:w="2879" w:type="pct"/>
            <w:shd w:val="clear" w:color="auto" w:fill="auto"/>
            <w:vAlign w:val="center"/>
          </w:tcPr>
          <w:p w14:paraId="3687DA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输入电压范围： 176～264VAC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纹波和噪声：150mVp-p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过载保护：额定负载的110~150%范围内电源保护，去载恢复正常输出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短路保护：输出端短路时电源保护，输出关断，去掉短路恢复正常输出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安全标准：符合GB4943-2001，UL1012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抗电强度：I/P-O/P、I/P-FG：1.5KVAC    O/P-FG：0.5KVAC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绝缘电阻：I/P-O/P、I/P-FG、O/P-FG：100MΩ/500VDC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（电磁干扰）传导和辐射：符合EN55022，Class 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平均无故障工作时间（MTBF）：100，000小时</w:t>
            </w:r>
          </w:p>
        </w:tc>
        <w:tc>
          <w:tcPr>
            <w:tcW w:w="255" w:type="pct"/>
            <w:shd w:val="clear" w:color="auto" w:fill="auto"/>
            <w:noWrap/>
            <w:vAlign w:val="center"/>
          </w:tcPr>
          <w:p w14:paraId="44672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39BFD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4A90A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E72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blHeader/>
          <w:jc w:val="center"/>
        </w:trPr>
        <w:tc>
          <w:tcPr>
            <w:tcW w:w="269" w:type="pct"/>
            <w:shd w:val="clear" w:color="auto" w:fill="auto"/>
            <w:noWrap/>
            <w:vAlign w:val="center"/>
          </w:tcPr>
          <w:p w14:paraId="67449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676A0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接收卡</w:t>
            </w:r>
          </w:p>
        </w:tc>
        <w:tc>
          <w:tcPr>
            <w:tcW w:w="2879" w:type="pct"/>
            <w:shd w:val="clear" w:color="auto" w:fill="auto"/>
            <w:vAlign w:val="center"/>
          </w:tcPr>
          <w:p w14:paraId="0E5E9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集成12路HUB75接口，无需再配转接板，更方便，成本更低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2、减少接插连接件，减少故障点，故障率更低；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3、支持常规芯片实现高刷新、高灰度、高亮度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4、支持市场主流常规芯片、PWM芯片、士兰芯片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5、全新灰度引擎，低灰度表现更佳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6、可消除单元板设计引起的某行偏暗、低灰偏红、鬼影等细节问题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7、支持高精度的色度、亮度一体化逐点校正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8、支持静态到64扫之间的任意扫描类型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9、支持灵活抽点、抽行抽列、数据组偏移，可轻松实现各种异型屏、创意显示屏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10、单卡支持24组RGB信号输出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11、支持箱体标定标序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12、支持超大带载面积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13、支持DC 3.8V~5.5V超宽工作电压</w:t>
            </w:r>
          </w:p>
        </w:tc>
        <w:tc>
          <w:tcPr>
            <w:tcW w:w="255" w:type="pct"/>
            <w:shd w:val="clear" w:color="auto" w:fill="auto"/>
            <w:noWrap/>
            <w:vAlign w:val="center"/>
          </w:tcPr>
          <w:p w14:paraId="3FEA2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21A84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5B1A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A51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blHeader/>
          <w:jc w:val="center"/>
        </w:trPr>
        <w:tc>
          <w:tcPr>
            <w:tcW w:w="269" w:type="pct"/>
            <w:shd w:val="clear" w:color="auto" w:fill="auto"/>
            <w:noWrap/>
            <w:vAlign w:val="center"/>
          </w:tcPr>
          <w:p w14:paraId="4201E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03E54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视频控制器</w:t>
            </w:r>
          </w:p>
        </w:tc>
        <w:tc>
          <w:tcPr>
            <w:tcW w:w="2879" w:type="pct"/>
            <w:shd w:val="clear" w:color="auto" w:fill="auto"/>
            <w:vAlign w:val="center"/>
          </w:tcPr>
          <w:p w14:paraId="3D0F9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•支持丰富的数字信号接口，包括1路SDI，1路HDMI，2路DVI；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•最大输入分辨率1920*1200@60Hz，支持分辨率任意设置；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•最大带载260万像素，最宽可达8192点，或最高可达4096点；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•支持视频源任意切换，任意缩放；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•支持三画面显示，位置、大小可自由调节；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•支持HDCP高带宽数字内容保护技术；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•双USB2.0高速通讯接口，用于电脑调试和主控间任意级联；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•支持亮度和色温调节；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•支持低亮高灰；</w:t>
            </w:r>
          </w:p>
        </w:tc>
        <w:tc>
          <w:tcPr>
            <w:tcW w:w="255" w:type="pct"/>
            <w:shd w:val="clear" w:color="auto" w:fill="auto"/>
            <w:noWrap/>
            <w:vAlign w:val="center"/>
          </w:tcPr>
          <w:p w14:paraId="47E5A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39F65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FFB13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FC0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4BE96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29C57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播控软件</w:t>
            </w:r>
          </w:p>
        </w:tc>
        <w:tc>
          <w:tcPr>
            <w:tcW w:w="2879" w:type="pct"/>
            <w:shd w:val="clear" w:color="auto" w:fill="auto"/>
            <w:vAlign w:val="center"/>
          </w:tcPr>
          <w:p w14:paraId="102691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 LED 显示屏控制和播放的专业软件。该软件功能丰富、性能优越，兼具良好 的操作界面，易学易用。支持视频、音频、图像、文字、Flash、Gif 等形式的媒体文件播放;支持 Microsoft office 的 Word、Excel、PPT 显示;支持时钟、计时、天气预报显示;支持外部视频信号(TV、AV、S-Video、 复合视频)播放;支持多页面多分区节目编辑;软件提供了丰富灵活的视频切换功能、分区特效，以 及三维特效动画，让显示屏的显示效果得到完美展现。</w:t>
            </w:r>
          </w:p>
        </w:tc>
        <w:tc>
          <w:tcPr>
            <w:tcW w:w="255" w:type="pct"/>
            <w:shd w:val="clear" w:color="auto" w:fill="auto"/>
            <w:noWrap/>
            <w:vAlign w:val="center"/>
          </w:tcPr>
          <w:p w14:paraId="414F3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02954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CF1F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E6C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11E4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038AF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开关配电箱</w:t>
            </w:r>
          </w:p>
        </w:tc>
        <w:tc>
          <w:tcPr>
            <w:tcW w:w="2879" w:type="pct"/>
            <w:shd w:val="clear" w:color="auto" w:fill="auto"/>
            <w:vAlign w:val="center"/>
          </w:tcPr>
          <w:p w14:paraId="41E08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1、屏体手动一键启动、关闭；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2、可以历史记录，发送工作时间；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3、具有分步顺时针上电、分步逆时针断电功能</w:t>
            </w:r>
          </w:p>
        </w:tc>
        <w:tc>
          <w:tcPr>
            <w:tcW w:w="255" w:type="pct"/>
            <w:shd w:val="clear" w:color="auto" w:fill="auto"/>
            <w:noWrap/>
            <w:vAlign w:val="center"/>
          </w:tcPr>
          <w:p w14:paraId="674C1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52BFA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9E52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CD8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06E41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0EBA8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管理工作站</w:t>
            </w:r>
          </w:p>
        </w:tc>
        <w:tc>
          <w:tcPr>
            <w:tcW w:w="2879" w:type="pct"/>
            <w:shd w:val="clear" w:color="auto" w:fill="auto"/>
            <w:vAlign w:val="center"/>
          </w:tcPr>
          <w:p w14:paraId="33F4B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2.内存容量：8GB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3.硬盘容量：128 SSD +1TB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4.支持一机双屏显示，音频：集成有线网卡：1000Mbps以太网卡数据接口：USB3.0+USB2.0、VGA、HDMI、RJ4511。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5.防水键盘、光电鼠标、21.5寸屏幕</w:t>
            </w:r>
          </w:p>
        </w:tc>
        <w:tc>
          <w:tcPr>
            <w:tcW w:w="255" w:type="pct"/>
            <w:shd w:val="clear" w:color="auto" w:fill="auto"/>
            <w:noWrap/>
            <w:vAlign w:val="center"/>
          </w:tcPr>
          <w:p w14:paraId="4C039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28DDF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987FB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0E3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D028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35611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钢结构和装饰包边</w:t>
            </w:r>
          </w:p>
        </w:tc>
        <w:tc>
          <w:tcPr>
            <w:tcW w:w="2879" w:type="pct"/>
            <w:shd w:val="clear" w:color="auto" w:fill="auto"/>
            <w:vAlign w:val="center"/>
          </w:tcPr>
          <w:p w14:paraId="50A117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构件制造完全遵守图纸中的要求、规定。框架采用铝塑板包边，颜色根据现场环境及业主要求定制，显示屏框架施工严格按照方案图纸施工。</w:t>
            </w:r>
          </w:p>
        </w:tc>
        <w:tc>
          <w:tcPr>
            <w:tcW w:w="255" w:type="pct"/>
            <w:shd w:val="clear" w:color="auto" w:fill="auto"/>
            <w:noWrap/>
            <w:vAlign w:val="center"/>
          </w:tcPr>
          <w:p w14:paraId="64583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6978C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435A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777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5162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3" w:type="pct"/>
            <w:shd w:val="clear" w:color="auto" w:fill="auto"/>
            <w:vAlign w:val="center"/>
          </w:tcPr>
          <w:p w14:paraId="42E23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879" w:type="pct"/>
            <w:shd w:val="clear" w:color="auto" w:fill="auto"/>
            <w:vAlign w:val="center"/>
          </w:tcPr>
          <w:p w14:paraId="6A5EA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YJV3*6</w:t>
            </w:r>
          </w:p>
        </w:tc>
        <w:tc>
          <w:tcPr>
            <w:tcW w:w="255" w:type="pct"/>
            <w:shd w:val="clear" w:color="auto" w:fill="auto"/>
            <w:noWrap/>
            <w:vAlign w:val="center"/>
          </w:tcPr>
          <w:p w14:paraId="5B105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50米</w:t>
            </w:r>
          </w:p>
        </w:tc>
        <w:tc>
          <w:tcPr>
            <w:tcW w:w="391" w:type="pct"/>
            <w:shd w:val="clear" w:color="auto" w:fill="auto"/>
            <w:noWrap/>
            <w:vAlign w:val="center"/>
          </w:tcPr>
          <w:p w14:paraId="206C2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13D0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846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0" w:hRule="atLeast"/>
          <w:tblHeader/>
          <w:jc w:val="center"/>
        </w:trPr>
        <w:tc>
          <w:tcPr>
            <w:tcW w:w="269" w:type="pct"/>
            <w:shd w:val="clear" w:color="auto" w:fill="auto"/>
            <w:noWrap/>
            <w:vAlign w:val="center"/>
          </w:tcPr>
          <w:p w14:paraId="3E145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3" w:type="pct"/>
            <w:shd w:val="clear" w:color="auto" w:fill="auto"/>
            <w:vAlign w:val="center"/>
          </w:tcPr>
          <w:p w14:paraId="4D7A6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诊室门口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w:t>
            </w:r>
          </w:p>
        </w:tc>
        <w:tc>
          <w:tcPr>
            <w:tcW w:w="2879" w:type="pct"/>
            <w:shd w:val="clear" w:color="auto" w:fill="auto"/>
            <w:vAlign w:val="center"/>
          </w:tcPr>
          <w:p w14:paraId="77A908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液晶网络一体机（21.5寸壁挂）：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1.支持横、竖挂墙或吊装；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2.支持1080P文件解码播放，内嵌二级分诊系统软件；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3.可用于显示诊室号、医生简介、排队信息、医生排班和温馨提示等信息；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4.CPU：主频 1.5G；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5.内存：1GB；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6.EMMC：16GB；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7.屏幕分辨率：1920*1080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8.喇叭：8Ω/2W；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9.数据接口：USB2.0*2/IR；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10.视频接口：HDMI-out；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11.音频接口：Line-out。</w:t>
            </w:r>
          </w:p>
        </w:tc>
        <w:tc>
          <w:tcPr>
            <w:tcW w:w="255" w:type="pct"/>
            <w:shd w:val="clear" w:color="auto" w:fill="auto"/>
            <w:noWrap/>
            <w:vAlign w:val="center"/>
          </w:tcPr>
          <w:p w14:paraId="00AB4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16台</w:t>
            </w:r>
          </w:p>
        </w:tc>
        <w:tc>
          <w:tcPr>
            <w:tcW w:w="391" w:type="pct"/>
            <w:shd w:val="clear" w:color="auto" w:fill="auto"/>
            <w:noWrap/>
            <w:vAlign w:val="center"/>
          </w:tcPr>
          <w:p w14:paraId="78FDB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3E8AF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E2A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5339BA8A">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（三）、管线及辅材</w:t>
            </w:r>
          </w:p>
        </w:tc>
      </w:tr>
      <w:tr w14:paraId="4256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blHeader/>
          <w:jc w:val="center"/>
        </w:trPr>
        <w:tc>
          <w:tcPr>
            <w:tcW w:w="269" w:type="pct"/>
            <w:shd w:val="clear" w:color="auto" w:fill="auto"/>
            <w:noWrap/>
            <w:vAlign w:val="center"/>
          </w:tcPr>
          <w:p w14:paraId="4EF6F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2DE46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六类四对非屏蔽双绞线</w:t>
            </w:r>
          </w:p>
        </w:tc>
        <w:tc>
          <w:tcPr>
            <w:tcW w:w="2879" w:type="pct"/>
            <w:shd w:val="clear" w:color="auto" w:fill="auto"/>
            <w:vAlign w:val="center"/>
          </w:tcPr>
          <w:p w14:paraId="369FB2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1.带宽：≥250 HMz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2.支持1000 Base-T并向下兼容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3.线规：23AWG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4.导体材质：采用高品质99.99%无氧铜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5.绝缘层材料：高密度聚乙烯(HDPE)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6.外护套材料：聚氯乙烯(PVC)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7.骨芯结构：十字龙骨芯                                                                        8.长度305米/箱.</w:t>
            </w:r>
          </w:p>
        </w:tc>
        <w:tc>
          <w:tcPr>
            <w:tcW w:w="255" w:type="pct"/>
            <w:shd w:val="clear" w:color="auto" w:fill="auto"/>
            <w:noWrap/>
            <w:vAlign w:val="center"/>
          </w:tcPr>
          <w:p w14:paraId="46C1E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w:t>
            </w:r>
          </w:p>
        </w:tc>
        <w:tc>
          <w:tcPr>
            <w:tcW w:w="391" w:type="pct"/>
            <w:shd w:val="clear" w:color="auto" w:fill="auto"/>
            <w:noWrap/>
            <w:vAlign w:val="center"/>
          </w:tcPr>
          <w:p w14:paraId="5FA11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682D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62B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11CF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77F39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879" w:type="pct"/>
            <w:shd w:val="clear" w:color="auto" w:fill="auto"/>
            <w:vAlign w:val="center"/>
          </w:tcPr>
          <w:p w14:paraId="33ADA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RVV2x1.0</w:t>
            </w:r>
          </w:p>
        </w:tc>
        <w:tc>
          <w:tcPr>
            <w:tcW w:w="255" w:type="pct"/>
            <w:shd w:val="clear" w:color="auto" w:fill="auto"/>
            <w:noWrap/>
            <w:vAlign w:val="center"/>
          </w:tcPr>
          <w:p w14:paraId="012F8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800米</w:t>
            </w:r>
          </w:p>
        </w:tc>
        <w:tc>
          <w:tcPr>
            <w:tcW w:w="391" w:type="pct"/>
            <w:shd w:val="clear" w:color="auto" w:fill="auto"/>
            <w:noWrap/>
            <w:vAlign w:val="center"/>
          </w:tcPr>
          <w:p w14:paraId="045E0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9575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5AC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4579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648EB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安装辅材</w:t>
            </w:r>
          </w:p>
        </w:tc>
        <w:tc>
          <w:tcPr>
            <w:tcW w:w="2879" w:type="pct"/>
            <w:shd w:val="clear" w:color="auto" w:fill="auto"/>
            <w:vAlign w:val="center"/>
          </w:tcPr>
          <w:p w14:paraId="16E22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HDMI线、扎带、胶布、水晶头等安装辅材。</w:t>
            </w:r>
          </w:p>
        </w:tc>
        <w:tc>
          <w:tcPr>
            <w:tcW w:w="255" w:type="pct"/>
            <w:shd w:val="clear" w:color="auto" w:fill="auto"/>
            <w:noWrap/>
            <w:vAlign w:val="center"/>
          </w:tcPr>
          <w:p w14:paraId="2CA76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w:t>
            </w:r>
          </w:p>
        </w:tc>
        <w:tc>
          <w:tcPr>
            <w:tcW w:w="391" w:type="pct"/>
            <w:shd w:val="clear" w:color="auto" w:fill="auto"/>
            <w:noWrap/>
            <w:vAlign w:val="center"/>
          </w:tcPr>
          <w:p w14:paraId="15250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F7EF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BBA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299C689">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十、五方对讲系统</w:t>
            </w:r>
          </w:p>
        </w:tc>
      </w:tr>
      <w:tr w14:paraId="23B1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AF50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2A0A9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五方对讲通信线</w:t>
            </w:r>
          </w:p>
        </w:tc>
        <w:tc>
          <w:tcPr>
            <w:tcW w:w="2879" w:type="pct"/>
            <w:shd w:val="clear" w:color="auto" w:fill="auto"/>
            <w:vAlign w:val="center"/>
          </w:tcPr>
          <w:p w14:paraId="70612F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名称：五方对讲通信线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规格：RVVP6*1.0</w:t>
            </w:r>
          </w:p>
        </w:tc>
        <w:tc>
          <w:tcPr>
            <w:tcW w:w="255" w:type="pct"/>
            <w:shd w:val="clear" w:color="auto" w:fill="auto"/>
            <w:noWrap/>
            <w:vAlign w:val="center"/>
          </w:tcPr>
          <w:p w14:paraId="3CA3A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600米</w:t>
            </w:r>
          </w:p>
        </w:tc>
        <w:tc>
          <w:tcPr>
            <w:tcW w:w="391" w:type="pct"/>
            <w:shd w:val="clear" w:color="auto" w:fill="auto"/>
            <w:noWrap/>
            <w:vAlign w:val="center"/>
          </w:tcPr>
          <w:p w14:paraId="6F16B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C8C1B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B4A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269" w:type="pct"/>
            <w:shd w:val="clear" w:color="auto" w:fill="auto"/>
            <w:noWrap/>
            <w:vAlign w:val="center"/>
          </w:tcPr>
          <w:p w14:paraId="675B38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583" w:type="pct"/>
            <w:shd w:val="clear" w:color="auto" w:fill="auto"/>
            <w:noWrap/>
            <w:vAlign w:val="center"/>
          </w:tcPr>
          <w:p w14:paraId="0A97E6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879" w:type="pct"/>
            <w:shd w:val="clear" w:color="auto" w:fill="auto"/>
            <w:noWrap/>
            <w:vAlign w:val="center"/>
          </w:tcPr>
          <w:p w14:paraId="49B4D12A">
            <w:pPr>
              <w:jc w:val="left"/>
              <w:rPr>
                <w:rFonts w:hint="eastAsia" w:ascii="宋体" w:hAnsi="宋体" w:eastAsia="宋体" w:cs="宋体"/>
                <w:b/>
                <w:bCs/>
                <w:i w:val="0"/>
                <w:iCs w:val="0"/>
                <w:color w:val="000000"/>
                <w:sz w:val="20"/>
                <w:szCs w:val="20"/>
                <w:u w:val="none"/>
              </w:rPr>
            </w:pPr>
          </w:p>
        </w:tc>
        <w:tc>
          <w:tcPr>
            <w:tcW w:w="255" w:type="pct"/>
            <w:shd w:val="clear" w:color="auto" w:fill="auto"/>
            <w:noWrap/>
            <w:vAlign w:val="center"/>
          </w:tcPr>
          <w:p w14:paraId="019ED9C4">
            <w:pPr>
              <w:jc w:val="center"/>
              <w:rPr>
                <w:rFonts w:hint="eastAsia" w:ascii="宋体" w:hAnsi="宋体" w:eastAsia="宋体" w:cs="宋体"/>
                <w:b/>
                <w:bCs/>
                <w:i w:val="0"/>
                <w:iCs w:val="0"/>
                <w:color w:val="000000"/>
                <w:sz w:val="20"/>
                <w:szCs w:val="20"/>
                <w:u w:val="none"/>
              </w:rPr>
            </w:pPr>
          </w:p>
        </w:tc>
        <w:tc>
          <w:tcPr>
            <w:tcW w:w="391" w:type="pct"/>
            <w:shd w:val="clear" w:color="auto" w:fill="auto"/>
            <w:noWrap/>
            <w:vAlign w:val="center"/>
          </w:tcPr>
          <w:p w14:paraId="3F78F25B">
            <w:pPr>
              <w:rPr>
                <w:rFonts w:hint="eastAsia" w:ascii="宋体" w:hAnsi="宋体" w:eastAsia="宋体" w:cs="宋体"/>
                <w:i w:val="0"/>
                <w:iCs w:val="0"/>
                <w:color w:val="000000"/>
                <w:sz w:val="20"/>
                <w:szCs w:val="20"/>
                <w:u w:val="none"/>
              </w:rPr>
            </w:pPr>
          </w:p>
        </w:tc>
        <w:tc>
          <w:tcPr>
            <w:tcW w:w="621" w:type="pct"/>
            <w:shd w:val="clear" w:color="auto" w:fill="auto"/>
            <w:vAlign w:val="center"/>
          </w:tcPr>
          <w:p w14:paraId="78389D5C">
            <w:pPr>
              <w:rPr>
                <w:rFonts w:hint="eastAsia" w:ascii="宋体" w:hAnsi="宋体" w:eastAsia="宋体" w:cs="宋体"/>
                <w:i w:val="0"/>
                <w:iCs w:val="0"/>
                <w:color w:val="000000"/>
                <w:sz w:val="20"/>
                <w:szCs w:val="20"/>
                <w:u w:val="none"/>
              </w:rPr>
            </w:pPr>
          </w:p>
        </w:tc>
      </w:tr>
      <w:tr w14:paraId="4A81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6F3A3D5B">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十一、护理呼叫系统</w:t>
            </w:r>
          </w:p>
        </w:tc>
      </w:tr>
      <w:tr w14:paraId="6FC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0DB31503">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（一）、机房设备</w:t>
            </w:r>
          </w:p>
        </w:tc>
      </w:tr>
      <w:tr w14:paraId="7696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blHeader/>
          <w:jc w:val="center"/>
        </w:trPr>
        <w:tc>
          <w:tcPr>
            <w:tcW w:w="269" w:type="pct"/>
            <w:shd w:val="clear" w:color="auto" w:fill="auto"/>
            <w:noWrap/>
            <w:vAlign w:val="center"/>
          </w:tcPr>
          <w:p w14:paraId="6C79A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6ACDA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系统服务器</w:t>
            </w:r>
          </w:p>
        </w:tc>
        <w:tc>
          <w:tcPr>
            <w:tcW w:w="2879" w:type="pct"/>
            <w:shd w:val="clear" w:color="auto" w:fill="auto"/>
            <w:vAlign w:val="center"/>
          </w:tcPr>
          <w:p w14:paraId="3D9BF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 2U机架服务器；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2、内存：配置≥32GB DDR4 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3、硬盘：配置≥2块1.2T SAS盘；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4、Raid卡：8222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5、IO扩展：最大支持11个PCIe插槽；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6、网卡：配置≥2个千兆电口；≥2个万兆网卡。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7、电源及外设：配置≥550W冗余（1+1）电源；冗余散热风扇，机架安装导轨；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支持对所有设备的注册和管理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支持设备在跨网段跨路由环境下可视对讲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支持与 HIS ，LIS,PACS等系统对接，实现数据信息的同步更新与应用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支持与第三方平台对接，实现数据的交互共享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支持本地数据库的备份和还原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支持与 NTP 服务器时间同步，并提供系统时间同步服务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支持远程在线升级</w:t>
            </w:r>
          </w:p>
        </w:tc>
        <w:tc>
          <w:tcPr>
            <w:tcW w:w="255" w:type="pct"/>
            <w:shd w:val="clear" w:color="auto" w:fill="auto"/>
            <w:noWrap/>
            <w:vAlign w:val="center"/>
          </w:tcPr>
          <w:p w14:paraId="65FDC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0282F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DC5F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DC6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27363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1380D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管理工作站</w:t>
            </w:r>
          </w:p>
        </w:tc>
        <w:tc>
          <w:tcPr>
            <w:tcW w:w="2879" w:type="pct"/>
            <w:shd w:val="clear" w:color="auto" w:fill="auto"/>
            <w:vAlign w:val="center"/>
          </w:tcPr>
          <w:p w14:paraId="18AAA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2.内存容量：8GB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3.硬盘容量：128 SSD +1TB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4.支持一机双屏显示，音频：集成有线网卡：1000Mbps以太网卡数据接口：USB3.0+USB2.0、VGA、HDMI、RJ4511。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5.防水键盘、光电鼠标、21.5寸屏幕</w:t>
            </w:r>
          </w:p>
        </w:tc>
        <w:tc>
          <w:tcPr>
            <w:tcW w:w="255" w:type="pct"/>
            <w:shd w:val="clear" w:color="auto" w:fill="auto"/>
            <w:noWrap/>
            <w:vAlign w:val="center"/>
          </w:tcPr>
          <w:p w14:paraId="767CE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0643D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77E8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762A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0" w:hRule="atLeast"/>
          <w:tblHeader/>
          <w:jc w:val="center"/>
        </w:trPr>
        <w:tc>
          <w:tcPr>
            <w:tcW w:w="269" w:type="pct"/>
            <w:shd w:val="clear" w:color="auto" w:fill="auto"/>
            <w:noWrap/>
            <w:vAlign w:val="center"/>
          </w:tcPr>
          <w:p w14:paraId="7B290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7EA16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IP智慧呼叫系统管理软件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V1.0</w:t>
            </w:r>
          </w:p>
        </w:tc>
        <w:tc>
          <w:tcPr>
            <w:tcW w:w="2879" w:type="pct"/>
            <w:shd w:val="clear" w:color="auto" w:fill="auto"/>
            <w:vAlign w:val="center"/>
          </w:tcPr>
          <w:p w14:paraId="46322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1、软件安装于中央服务器，含中央服务器数据管理模块，支持与大型数据库进行视图对接，支持Web Service、HTTP等多种方式进行协议对接；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2、含HIS对接模块，实时接受HIS系统传来的信息并自动更新；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3、含信息看板交互模块，安装在信息看板电视上，可显示科室医护患护理信息，可设置自动轮播、固定展示、自定切换等，可根据需求增加或删减看板页面；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4、支持系统拓展升级；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5、系统具有巡检故障分机，系统工作日志，异常分析记录，实时监测各网络对讲设备的在线状态等多种故障检测方法，确保系统正常运作；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6、手机端、web端等多种在线注册方式，可通过浏览器直接进行数据统计和导出、设备管理、信息编辑；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7、含护士站医护管理互联和科室病人回访模块，可设置独立的患者/护士/医生/科室账户，连接关爱病人回访系统，通过PC端软件、小程序等对病人进行回访、在线交流、健康数据查询、信息记录、分层管理；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8、含信息看板交互模块，安装在信息看板电视上，可显示科室医护患护理信息，可设置自动轮播、固定展示、自定切换等，可根据需求增加或删减看板页面；</w:t>
            </w:r>
          </w:p>
        </w:tc>
        <w:tc>
          <w:tcPr>
            <w:tcW w:w="255" w:type="pct"/>
            <w:shd w:val="clear" w:color="auto" w:fill="auto"/>
            <w:noWrap/>
            <w:vAlign w:val="center"/>
          </w:tcPr>
          <w:p w14:paraId="46E8A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72E0A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3EBF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39A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4E791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65BEF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智慧呼叫系统看板软件V1.0</w:t>
            </w:r>
          </w:p>
        </w:tc>
        <w:tc>
          <w:tcPr>
            <w:tcW w:w="2879" w:type="pct"/>
            <w:shd w:val="clear" w:color="auto" w:fill="auto"/>
            <w:vAlign w:val="center"/>
          </w:tcPr>
          <w:p w14:paraId="66C40B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适配普通安卓电视基于 TCP/IP 网络协议传输数据信息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同步HIS系统数据信息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支持呼叫弹窗显示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支持空床隐藏显示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支持显示呼叫记录信息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支持“加床”显示</w:t>
            </w:r>
          </w:p>
        </w:tc>
        <w:tc>
          <w:tcPr>
            <w:tcW w:w="255" w:type="pct"/>
            <w:shd w:val="clear" w:color="auto" w:fill="auto"/>
            <w:noWrap/>
            <w:vAlign w:val="center"/>
          </w:tcPr>
          <w:p w14:paraId="1CECB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68DF8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B614F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DC5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blHeader/>
          <w:jc w:val="center"/>
        </w:trPr>
        <w:tc>
          <w:tcPr>
            <w:tcW w:w="269" w:type="pct"/>
            <w:shd w:val="clear" w:color="auto" w:fill="auto"/>
            <w:noWrap/>
            <w:vAlign w:val="center"/>
          </w:tcPr>
          <w:p w14:paraId="764D8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21FF8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与HIS数据对接</w:t>
            </w:r>
          </w:p>
        </w:tc>
        <w:tc>
          <w:tcPr>
            <w:tcW w:w="2879" w:type="pct"/>
            <w:shd w:val="clear" w:color="auto" w:fill="auto"/>
            <w:vAlign w:val="center"/>
          </w:tcPr>
          <w:p w14:paraId="7C13B6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视图对接：HIS系统提供数据库视图，交互软件使用数据库连接方式从HIS系统读取数据。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IS系统需要提供只有读视图权限的用户，就可以保证交互软件无法对HIS数据库进行任何更改，保证HIS系统的安全性。交互软件内部实现了数据库连接池技术，该技术可以保证数据库连接的高效复用，大大减少向数据库发起连接的频率和数量，对HIS服务器造成的负担很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WebService对接：HIS系统按照提供的WebService协议实现服务接口，交互软件作为WebService的客户端向HIS服务器请求数据。双方在开发过程中需要充分沟通，严格按照协议进行软件开发，才能保证数据准确无误。</w:t>
            </w:r>
          </w:p>
        </w:tc>
        <w:tc>
          <w:tcPr>
            <w:tcW w:w="255" w:type="pct"/>
            <w:shd w:val="clear" w:color="auto" w:fill="auto"/>
            <w:noWrap/>
            <w:vAlign w:val="center"/>
          </w:tcPr>
          <w:p w14:paraId="3E9A2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79488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B5E9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18D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55153E8">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（二）、护士站设备</w:t>
            </w:r>
          </w:p>
        </w:tc>
      </w:tr>
      <w:tr w14:paraId="006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tblHeader/>
          <w:jc w:val="center"/>
        </w:trPr>
        <w:tc>
          <w:tcPr>
            <w:tcW w:w="269" w:type="pct"/>
            <w:shd w:val="clear" w:color="auto" w:fill="auto"/>
            <w:noWrap/>
            <w:vAlign w:val="center"/>
          </w:tcPr>
          <w:p w14:paraId="3CD74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62845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护士站管理机</w:t>
            </w:r>
          </w:p>
        </w:tc>
        <w:tc>
          <w:tcPr>
            <w:tcW w:w="2879" w:type="pct"/>
            <w:shd w:val="clear" w:color="auto" w:fill="auto"/>
            <w:vAlign w:val="center"/>
          </w:tcPr>
          <w:p w14:paraId="00D00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1、基于TCP/IP网络协议传输对讲语音和数据信息；支持系统自检和在线升级，支持主机手柄、免提两种方式全双工对讲，声音清晰、洪亮、无回音；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2、不小于10.1英寸液晶显示屏，触摸操作，分辨率不低于1024*600像素；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3、支持多层主机管理，可根据需求设置为护士主机、医生主机或总控主机，满足不同主机之间的双向呼叫对讲、呼叫托管、转移等；支持1个科室多台平行主机，任意一台受理后呼叫停止                                                                                                            4、支持对床位分机进行分区广播、喊话广播、本地文件广播，播放文件广播的同时可以对讲通话；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5、主机支持语音播报或音乐播报，播报次数和时长可自定义设置； 可对床位设置不同呼叫级别，设置高级别优先呼叫接听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6、主机支持不限床位管理路数，随着床位数增多可以无限滚动页面展示；</w:t>
            </w:r>
          </w:p>
        </w:tc>
        <w:tc>
          <w:tcPr>
            <w:tcW w:w="255" w:type="pct"/>
            <w:shd w:val="clear" w:color="auto" w:fill="auto"/>
            <w:noWrap/>
            <w:vAlign w:val="center"/>
          </w:tcPr>
          <w:p w14:paraId="34587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58641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9D34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94F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8C7F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028C2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管理机电源</w:t>
            </w:r>
          </w:p>
        </w:tc>
        <w:tc>
          <w:tcPr>
            <w:tcW w:w="2879" w:type="pct"/>
            <w:shd w:val="clear" w:color="auto" w:fill="auto"/>
            <w:vAlign w:val="center"/>
          </w:tcPr>
          <w:p w14:paraId="71216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配套于管理机，每台管理机配1台，12V/2A</w:t>
            </w:r>
          </w:p>
        </w:tc>
        <w:tc>
          <w:tcPr>
            <w:tcW w:w="255" w:type="pct"/>
            <w:shd w:val="clear" w:color="auto" w:fill="auto"/>
            <w:noWrap/>
            <w:vAlign w:val="center"/>
          </w:tcPr>
          <w:p w14:paraId="19348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0BEBC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D7BE1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8D9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11033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5D9CF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护士站信息屏</w:t>
            </w:r>
          </w:p>
        </w:tc>
        <w:tc>
          <w:tcPr>
            <w:tcW w:w="2879" w:type="pct"/>
            <w:shd w:val="clear" w:color="auto" w:fill="auto"/>
            <w:vAlign w:val="center"/>
          </w:tcPr>
          <w:p w14:paraId="0C4F4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屏幕尺寸：55英寸液晶屏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屏幕分辨率：1920*1080分辨率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CPU四核 1.2GHz；1G运存、8G内存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可网线可wifi联网：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接口：USB接口+网线接口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可视角度：178°/178°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最大功率：105W</w:t>
            </w:r>
          </w:p>
        </w:tc>
        <w:tc>
          <w:tcPr>
            <w:tcW w:w="255" w:type="pct"/>
            <w:shd w:val="clear" w:color="auto" w:fill="auto"/>
            <w:noWrap/>
            <w:vAlign w:val="center"/>
          </w:tcPr>
          <w:p w14:paraId="5826F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4A1FD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A264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AE2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269" w:type="pct"/>
            <w:shd w:val="clear" w:color="auto" w:fill="auto"/>
            <w:noWrap/>
            <w:vAlign w:val="center"/>
          </w:tcPr>
          <w:p w14:paraId="62E7B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06F7B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走廊显示屏</w:t>
            </w:r>
          </w:p>
        </w:tc>
        <w:tc>
          <w:tcPr>
            <w:tcW w:w="2879" w:type="pct"/>
            <w:shd w:val="clear" w:color="auto" w:fill="auto"/>
            <w:vAlign w:val="center"/>
          </w:tcPr>
          <w:p w14:paraId="326C3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尺寸：82*5.5*17.5cm（长宽高）                                                                 双面双行滚动显示，吊装在病区走廊。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220V输入RJ接口基于 TCP/IP 网络协议传输数据信息。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支持显示病床呼叫、洗手间报警、护理增援等信息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支持电源适配器供电</w:t>
            </w:r>
          </w:p>
        </w:tc>
        <w:tc>
          <w:tcPr>
            <w:tcW w:w="255" w:type="pct"/>
            <w:shd w:val="clear" w:color="auto" w:fill="auto"/>
            <w:noWrap/>
            <w:vAlign w:val="center"/>
          </w:tcPr>
          <w:p w14:paraId="28B7C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c>
          <w:tcPr>
            <w:tcW w:w="391" w:type="pct"/>
            <w:shd w:val="clear" w:color="auto" w:fill="auto"/>
            <w:noWrap/>
            <w:vAlign w:val="center"/>
          </w:tcPr>
          <w:p w14:paraId="4D68C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6824C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55F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80B5A27">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（三）、病房设备</w:t>
            </w:r>
          </w:p>
        </w:tc>
      </w:tr>
      <w:tr w14:paraId="07AB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blHeader/>
          <w:jc w:val="center"/>
        </w:trPr>
        <w:tc>
          <w:tcPr>
            <w:tcW w:w="269" w:type="pct"/>
            <w:shd w:val="clear" w:color="auto" w:fill="auto"/>
            <w:noWrap/>
            <w:vAlign w:val="center"/>
          </w:tcPr>
          <w:p w14:paraId="2B1EB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20C34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10寸病房门口机</w:t>
            </w:r>
          </w:p>
        </w:tc>
        <w:tc>
          <w:tcPr>
            <w:tcW w:w="2879" w:type="pct"/>
            <w:shd w:val="clear" w:color="auto" w:fill="auto"/>
            <w:vAlign w:val="center"/>
          </w:tcPr>
          <w:p w14:paraId="10DF7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 英寸高清IPS液晶显示屏，分辨率为 1024x600 像素，触摸式操作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2、墙面嵌入式安装，支持手拉手串联方式4、支持图像和文字传输，可显示照片；显示病房、床号、责任医生、责任护士等信息；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3、基于 TCP/IP 网络协议传输数据信息，可集中供电，支持 POE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4、可与护士站主机全双工语音对讲，对讲音频采样率为 20-44KHz；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5、支持一键呼叫护士站“增援”功能；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6、支持“进入护理”模式；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7、支持一键解除该房间呼叫报警信息；支持获取 HIS 数据信息,同步显示病房号、床位号、主治医生、主管护士、患者信息等信息；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8、支持接收服务器发布的广播，宣教等信息；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9、支持接收显示信息发布推送内容；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10、支持外接门灯、防水按钮等；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11、支持远程在线升级软件.</w:t>
            </w:r>
          </w:p>
        </w:tc>
        <w:tc>
          <w:tcPr>
            <w:tcW w:w="255" w:type="pct"/>
            <w:shd w:val="clear" w:color="auto" w:fill="auto"/>
            <w:noWrap/>
            <w:vAlign w:val="center"/>
          </w:tcPr>
          <w:p w14:paraId="64403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28台</w:t>
            </w:r>
          </w:p>
        </w:tc>
        <w:tc>
          <w:tcPr>
            <w:tcW w:w="391" w:type="pct"/>
            <w:shd w:val="clear" w:color="auto" w:fill="auto"/>
            <w:noWrap/>
            <w:vAlign w:val="center"/>
          </w:tcPr>
          <w:p w14:paraId="0150F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E703D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DD1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blHeader/>
          <w:jc w:val="center"/>
        </w:trPr>
        <w:tc>
          <w:tcPr>
            <w:tcW w:w="269" w:type="pct"/>
            <w:shd w:val="clear" w:color="auto" w:fill="auto"/>
            <w:noWrap/>
            <w:vAlign w:val="center"/>
          </w:tcPr>
          <w:p w14:paraId="6FCBE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5EC5E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7寸病床分机</w:t>
            </w:r>
          </w:p>
        </w:tc>
        <w:tc>
          <w:tcPr>
            <w:tcW w:w="2879" w:type="pct"/>
            <w:shd w:val="clear" w:color="auto" w:fill="auto"/>
            <w:vAlign w:val="center"/>
          </w:tcPr>
          <w:p w14:paraId="60375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1、7英寸电容式彩色液晶显示屏，屏幕分辨率不低于1024*600；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2、基于 TCP/IP 网络协议传输数据信息；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3、支持同步HIS数据信息，显示患者的姓名、性别、年龄、入院时间、过敏信息、二维码等，可查询医院、医生、科室、患者等相关信息；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4、过敏信息以文字和背景不同颜色两种方式相结合，醒目提示，方便护理人员和家人护理；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5、支持增援呼叫，可向其他医护人员请求应急帮助；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6、支持护理信息名称自定义，护理等级、医保类型、过敏等；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7、支持夜晚模式，可在护士主机设置夜晚模式进入息屏状态；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8、支持外接防水按钮、门灯；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9、支持远程在线升级软件；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 POE ，也可集中供电，机身内置交换机，可与门口机及其他分机之间串联，方便现场实施。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11、分机支持按照科室需求做多个呼叫事件细分，例如换药、量体温、查房等多功能事件，事件名称和数量可自定义，提升医患沟通效率，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12、分机支持按照科室需求做点餐服务，优化床旁便民服务的便利。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13、床头分机支持体征监测数据上传，例如心率、血压、血氧、睡眠、体温、压力值等数据上传床头分机。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14、分机端界面支持做多级菜单细分，可匹配移动APP，提供给科室和患者使用，满足移动端呼叫需求。</w:t>
            </w:r>
          </w:p>
        </w:tc>
        <w:tc>
          <w:tcPr>
            <w:tcW w:w="255" w:type="pct"/>
            <w:shd w:val="clear" w:color="auto" w:fill="auto"/>
            <w:noWrap/>
            <w:vAlign w:val="center"/>
          </w:tcPr>
          <w:p w14:paraId="64042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84台</w:t>
            </w:r>
          </w:p>
        </w:tc>
        <w:tc>
          <w:tcPr>
            <w:tcW w:w="391" w:type="pct"/>
            <w:shd w:val="clear" w:color="auto" w:fill="auto"/>
            <w:noWrap/>
            <w:vAlign w:val="center"/>
          </w:tcPr>
          <w:p w14:paraId="53373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F362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99E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66A9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76DC5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卫生间紧急按钮</w:t>
            </w:r>
          </w:p>
        </w:tc>
        <w:tc>
          <w:tcPr>
            <w:tcW w:w="2879" w:type="pct"/>
            <w:shd w:val="clear" w:color="auto" w:fill="auto"/>
            <w:vAlign w:val="center"/>
          </w:tcPr>
          <w:p w14:paraId="25DC5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1、紧急情况的呼叫设计，优先级最高；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2、防水防尘设计，防水等级IPX8，适合卫生间、淋浴间等潮湿环境使用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3、可一键呼叫或清除；红色醒目大按键设计，方便病人查找；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4、呼叫时有明显的红光报警提示，同时管理主机会播报卫生间分机号码、走廊显示屏会显示卫生间分机号码；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5、卫生间分机按键、拉绳两用报警方式。</w:t>
            </w:r>
          </w:p>
        </w:tc>
        <w:tc>
          <w:tcPr>
            <w:tcW w:w="255" w:type="pct"/>
            <w:shd w:val="clear" w:color="auto" w:fill="auto"/>
            <w:noWrap/>
            <w:vAlign w:val="center"/>
          </w:tcPr>
          <w:p w14:paraId="2B00B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28台</w:t>
            </w:r>
          </w:p>
        </w:tc>
        <w:tc>
          <w:tcPr>
            <w:tcW w:w="391" w:type="pct"/>
            <w:shd w:val="clear" w:color="auto" w:fill="auto"/>
            <w:noWrap/>
            <w:vAlign w:val="center"/>
          </w:tcPr>
          <w:p w14:paraId="5353E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D855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E4E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blHeader/>
          <w:jc w:val="center"/>
        </w:trPr>
        <w:tc>
          <w:tcPr>
            <w:tcW w:w="269" w:type="pct"/>
            <w:shd w:val="clear" w:color="auto" w:fill="auto"/>
            <w:noWrap/>
            <w:vAlign w:val="center"/>
          </w:tcPr>
          <w:p w14:paraId="4990C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47FB7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24口POE交换机</w:t>
            </w:r>
          </w:p>
        </w:tc>
        <w:tc>
          <w:tcPr>
            <w:tcW w:w="2879" w:type="pct"/>
            <w:shd w:val="clear" w:color="auto" w:fill="auto"/>
            <w:vAlign w:val="center"/>
          </w:tcPr>
          <w:p w14:paraId="7ECEF8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1、固化千兆电接口≥24个，千兆光电复用口接口≥4个，支持POE供电，整机供电功率≥370W；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2、交换容量≥3.36Tbps，包转发率≥126Mpps；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3、具有IPv4、IPv6静态路由、RIP、RIPng、OSPFv2、OSPFv3等三层路由和组播功能；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4、具有Telnet 访问连接数量限制和基于IPv6 的Telnet 访问连接数量限制功能，                                                                                                                                                                                                                                                                                                                                             5、设备支持链路聚合和聚合零丢包；</w:t>
            </w:r>
          </w:p>
        </w:tc>
        <w:tc>
          <w:tcPr>
            <w:tcW w:w="255" w:type="pct"/>
            <w:shd w:val="clear" w:color="auto" w:fill="auto"/>
            <w:noWrap/>
            <w:vAlign w:val="center"/>
          </w:tcPr>
          <w:p w14:paraId="5E9C9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6台</w:t>
            </w:r>
          </w:p>
        </w:tc>
        <w:tc>
          <w:tcPr>
            <w:tcW w:w="391" w:type="pct"/>
            <w:shd w:val="clear" w:color="auto" w:fill="auto"/>
            <w:noWrap/>
            <w:vAlign w:val="center"/>
          </w:tcPr>
          <w:p w14:paraId="1A052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0C7F6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634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682A389">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（四）、线材</w:t>
            </w:r>
          </w:p>
        </w:tc>
      </w:tr>
      <w:tr w14:paraId="5FE8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blHeader/>
          <w:jc w:val="center"/>
        </w:trPr>
        <w:tc>
          <w:tcPr>
            <w:tcW w:w="269" w:type="pct"/>
            <w:shd w:val="clear" w:color="auto" w:fill="auto"/>
            <w:noWrap/>
            <w:vAlign w:val="center"/>
          </w:tcPr>
          <w:p w14:paraId="4BE64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32049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六类四对非屏蔽双绞线</w:t>
            </w:r>
          </w:p>
        </w:tc>
        <w:tc>
          <w:tcPr>
            <w:tcW w:w="2879" w:type="pct"/>
            <w:shd w:val="clear" w:color="auto" w:fill="auto"/>
            <w:vAlign w:val="center"/>
          </w:tcPr>
          <w:p w14:paraId="4F2FE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1.带宽：≥250 HMz；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2.应用：支持1000 Base-T并向下兼容；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3.线规：23AWG；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4.导体材质：采用高品质99.99%无氧铜；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5.绝缘层材料：高密度聚乙烯(HDPE)；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6.外护套材料：聚氯乙烯(PVC)；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7.线缆外径：5.8±0.5mm；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8.骨芯结构：十字龙骨芯。                          8. 长度305米/箱.</w:t>
            </w:r>
          </w:p>
        </w:tc>
        <w:tc>
          <w:tcPr>
            <w:tcW w:w="255" w:type="pct"/>
            <w:shd w:val="clear" w:color="auto" w:fill="auto"/>
            <w:noWrap/>
            <w:vAlign w:val="center"/>
          </w:tcPr>
          <w:p w14:paraId="20048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20箱</w:t>
            </w:r>
          </w:p>
        </w:tc>
        <w:tc>
          <w:tcPr>
            <w:tcW w:w="391" w:type="pct"/>
            <w:shd w:val="clear" w:color="auto" w:fill="auto"/>
            <w:noWrap/>
            <w:vAlign w:val="center"/>
          </w:tcPr>
          <w:p w14:paraId="074DB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48F53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819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74594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0333A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门口机电源线</w:t>
            </w:r>
          </w:p>
        </w:tc>
        <w:tc>
          <w:tcPr>
            <w:tcW w:w="2879" w:type="pct"/>
            <w:shd w:val="clear" w:color="auto" w:fill="auto"/>
            <w:vAlign w:val="center"/>
          </w:tcPr>
          <w:p w14:paraId="28AD73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RVV2x1.0</w:t>
            </w:r>
          </w:p>
        </w:tc>
        <w:tc>
          <w:tcPr>
            <w:tcW w:w="255" w:type="pct"/>
            <w:shd w:val="clear" w:color="auto" w:fill="auto"/>
            <w:noWrap/>
            <w:vAlign w:val="center"/>
          </w:tcPr>
          <w:p w14:paraId="540D9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1800米</w:t>
            </w:r>
          </w:p>
        </w:tc>
        <w:tc>
          <w:tcPr>
            <w:tcW w:w="391" w:type="pct"/>
            <w:shd w:val="clear" w:color="auto" w:fill="auto"/>
            <w:noWrap/>
            <w:vAlign w:val="center"/>
          </w:tcPr>
          <w:p w14:paraId="15997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D2E9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D04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BB7D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0081F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紧急按钮用线</w:t>
            </w:r>
          </w:p>
        </w:tc>
        <w:tc>
          <w:tcPr>
            <w:tcW w:w="2879" w:type="pct"/>
            <w:shd w:val="clear" w:color="auto" w:fill="auto"/>
            <w:vAlign w:val="center"/>
          </w:tcPr>
          <w:p w14:paraId="1A916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用于连接紧急按钮、门灯与病房门口机之间的信号</w:t>
            </w:r>
          </w:p>
        </w:tc>
        <w:tc>
          <w:tcPr>
            <w:tcW w:w="255" w:type="pct"/>
            <w:shd w:val="clear" w:color="auto" w:fill="auto"/>
            <w:noWrap/>
            <w:vAlign w:val="center"/>
          </w:tcPr>
          <w:p w14:paraId="03A75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w:t>
            </w:r>
          </w:p>
        </w:tc>
        <w:tc>
          <w:tcPr>
            <w:tcW w:w="391" w:type="pct"/>
            <w:shd w:val="clear" w:color="auto" w:fill="auto"/>
            <w:noWrap/>
            <w:vAlign w:val="center"/>
          </w:tcPr>
          <w:p w14:paraId="7CE11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511F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301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292AB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084AE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879" w:type="pct"/>
            <w:shd w:val="clear" w:color="auto" w:fill="auto"/>
            <w:vAlign w:val="center"/>
          </w:tcPr>
          <w:p w14:paraId="49BA8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扎带、胶布、跳线、专业接头等。</w:t>
            </w:r>
          </w:p>
        </w:tc>
        <w:tc>
          <w:tcPr>
            <w:tcW w:w="255" w:type="pct"/>
            <w:shd w:val="clear" w:color="auto" w:fill="auto"/>
            <w:noWrap/>
            <w:vAlign w:val="center"/>
          </w:tcPr>
          <w:p w14:paraId="1FBC6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w:t>
            </w:r>
          </w:p>
        </w:tc>
        <w:tc>
          <w:tcPr>
            <w:tcW w:w="391" w:type="pct"/>
            <w:shd w:val="clear" w:color="auto" w:fill="auto"/>
            <w:noWrap/>
            <w:vAlign w:val="center"/>
          </w:tcPr>
          <w:p w14:paraId="7BC71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DFD6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06C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6FA20EDA">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十二、智能输液管理系统</w:t>
            </w:r>
          </w:p>
        </w:tc>
      </w:tr>
      <w:tr w14:paraId="7F72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0" w:hRule="atLeast"/>
          <w:tblHeader/>
          <w:jc w:val="center"/>
        </w:trPr>
        <w:tc>
          <w:tcPr>
            <w:tcW w:w="269" w:type="pct"/>
            <w:shd w:val="clear" w:color="auto" w:fill="auto"/>
            <w:noWrap/>
            <w:vAlign w:val="center"/>
          </w:tcPr>
          <w:p w14:paraId="7B33F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4152C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系统服务器</w:t>
            </w:r>
          </w:p>
        </w:tc>
        <w:tc>
          <w:tcPr>
            <w:tcW w:w="2879" w:type="pct"/>
            <w:shd w:val="clear" w:color="auto" w:fill="auto"/>
            <w:vAlign w:val="center"/>
          </w:tcPr>
          <w:p w14:paraId="335C0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1、规格：2U机架服务器；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2、内存：配置≥32GBDDR4内存；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3、硬盘：配置≥2块1.2TSAS盘；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4、Raid卡：8222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5、IO扩展：最大支持11个PCIe插槽；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6、网卡：配置≥2个千兆电口；≥2个万兆网卡。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7、电源及外设：配置≥550W冗余（1+1）电源；冗余散热风扇，机架安装导轨；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支持对所有设备的注册和管理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支持设备在跨网段跨路由环境下可视对讲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支持与HIS，LIS,PACS等系统对接，实现数据信息的同步更新与应用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支持与第三方平台对接，实现数据的交互共享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支持本地数据库的备份和还原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支持与NTP服务器时间同步，并提供系统时间同步服务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支持远程在线升级</w:t>
            </w:r>
          </w:p>
        </w:tc>
        <w:tc>
          <w:tcPr>
            <w:tcW w:w="255" w:type="pct"/>
            <w:shd w:val="clear" w:color="auto" w:fill="auto"/>
            <w:noWrap/>
            <w:vAlign w:val="center"/>
          </w:tcPr>
          <w:p w14:paraId="3F047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391" w:type="pct"/>
            <w:shd w:val="clear" w:color="auto" w:fill="auto"/>
            <w:noWrap/>
            <w:vAlign w:val="center"/>
          </w:tcPr>
          <w:p w14:paraId="48012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CD155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22B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269" w:type="pct"/>
            <w:shd w:val="clear" w:color="auto" w:fill="auto"/>
            <w:noWrap/>
            <w:vAlign w:val="center"/>
          </w:tcPr>
          <w:p w14:paraId="5DDCF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085C0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管理工作站</w:t>
            </w:r>
          </w:p>
        </w:tc>
        <w:tc>
          <w:tcPr>
            <w:tcW w:w="2879" w:type="pct"/>
            <w:shd w:val="clear" w:color="auto" w:fill="auto"/>
            <w:vAlign w:val="center"/>
          </w:tcPr>
          <w:p w14:paraId="1453F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2.内存容量：8GB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3.硬盘容量：128 SSD +1TB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4.支持一机双屏显示，音频：集成有线网卡：1000Mbps以太网卡数据接口：USB3.0+USB2.0、VGA、HDMI、RJ4511。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5.防水键盘、光电鼠标、21.5寸屏幕</w:t>
            </w:r>
          </w:p>
        </w:tc>
        <w:tc>
          <w:tcPr>
            <w:tcW w:w="255" w:type="pct"/>
            <w:shd w:val="clear" w:color="auto" w:fill="auto"/>
            <w:noWrap/>
            <w:vAlign w:val="center"/>
          </w:tcPr>
          <w:p w14:paraId="77655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391" w:type="pct"/>
            <w:shd w:val="clear" w:color="auto" w:fill="auto"/>
            <w:noWrap/>
            <w:vAlign w:val="center"/>
          </w:tcPr>
          <w:p w14:paraId="7A5EA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7C55B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EAD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0" w:hRule="atLeast"/>
          <w:tblHeader/>
          <w:jc w:val="center"/>
        </w:trPr>
        <w:tc>
          <w:tcPr>
            <w:tcW w:w="269" w:type="pct"/>
            <w:shd w:val="clear" w:color="auto" w:fill="auto"/>
            <w:noWrap/>
            <w:vAlign w:val="center"/>
          </w:tcPr>
          <w:p w14:paraId="04709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1B6E3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护理终端一体机</w:t>
            </w:r>
          </w:p>
        </w:tc>
        <w:tc>
          <w:tcPr>
            <w:tcW w:w="2879" w:type="pct"/>
            <w:shd w:val="clear" w:color="auto" w:fill="auto"/>
            <w:vAlign w:val="center"/>
          </w:tcPr>
          <w:p w14:paraId="5ADBF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1.显示技术：(16：9)，LED背光源，55寸液晶屏；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2.尺寸：≥55英寸；1209.6x680.4 mm (H×V)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3.分辨率：1920(RGB)×1080，显示色彩16.7M（8bit）68% NTSC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4.红外触摸4G+64，安卓11 ；                                                    5.亮度：450cd/m²(Typ.) 对比度 1100：1 (Typ.) (透射)；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6.可视角度 89/89 (Min.)(CR≥10)显示模式 S-IPS，常黑显示，透射式像素特征 点间距(W×H) 0.210×0.630 mm像素间距(W×H)0.630×0.630mm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7.功耗特性 电压输入24.0±1.2V电流输入</w:t>
            </w:r>
          </w:p>
        </w:tc>
        <w:tc>
          <w:tcPr>
            <w:tcW w:w="255" w:type="pct"/>
            <w:shd w:val="clear" w:color="auto" w:fill="auto"/>
            <w:noWrap/>
            <w:vAlign w:val="center"/>
          </w:tcPr>
          <w:p w14:paraId="6808D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3台</w:t>
            </w:r>
          </w:p>
        </w:tc>
        <w:tc>
          <w:tcPr>
            <w:tcW w:w="391" w:type="pct"/>
            <w:shd w:val="clear" w:color="auto" w:fill="auto"/>
            <w:noWrap/>
            <w:vAlign w:val="center"/>
          </w:tcPr>
          <w:p w14:paraId="361A2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F6ED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167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0" w:hRule="atLeast"/>
          <w:tblHeader/>
          <w:jc w:val="center"/>
        </w:trPr>
        <w:tc>
          <w:tcPr>
            <w:tcW w:w="269" w:type="pct"/>
            <w:shd w:val="clear" w:color="auto" w:fill="auto"/>
            <w:noWrap/>
            <w:vAlign w:val="center"/>
          </w:tcPr>
          <w:p w14:paraId="4C84A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5D1C2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输液管理工作站客户端软件</w:t>
            </w:r>
          </w:p>
        </w:tc>
        <w:tc>
          <w:tcPr>
            <w:tcW w:w="2879" w:type="pct"/>
            <w:shd w:val="clear" w:color="auto" w:fill="auto"/>
            <w:vAlign w:val="center"/>
          </w:tcPr>
          <w:p w14:paraId="3A3B5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1、根据医嘱要求确定输液速度，设备应按设定值精准输液；                    2、实时监控所有进行输液监控的床位患者的输液状态，显示：剩余液量、预计剩余输液时间、滴速、流速、床号 累积量 机器号；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3、对患者输液状态实时监控，包括滴速监控、输液暂停监控、余量提醒监控、流速监控、离线/在线监控。                                                                       4、本工作站可实现远程控制，也就是从护士工作站平台能方便对本病区的每一个终端实现调整及运行控制。</w:t>
            </w:r>
          </w:p>
        </w:tc>
        <w:tc>
          <w:tcPr>
            <w:tcW w:w="255" w:type="pct"/>
            <w:shd w:val="clear" w:color="auto" w:fill="auto"/>
            <w:noWrap/>
            <w:vAlign w:val="center"/>
          </w:tcPr>
          <w:p w14:paraId="4C5DA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52AC9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66775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83B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blHeader/>
          <w:jc w:val="center"/>
        </w:trPr>
        <w:tc>
          <w:tcPr>
            <w:tcW w:w="269" w:type="pct"/>
            <w:shd w:val="clear" w:color="auto" w:fill="auto"/>
            <w:noWrap/>
            <w:vAlign w:val="center"/>
          </w:tcPr>
          <w:p w14:paraId="70724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3" w:type="pct"/>
            <w:shd w:val="clear" w:color="auto" w:fill="auto"/>
            <w:vAlign w:val="center"/>
          </w:tcPr>
          <w:p w14:paraId="0912E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智能输液系统管理软件</w:t>
            </w:r>
          </w:p>
        </w:tc>
        <w:tc>
          <w:tcPr>
            <w:tcW w:w="2879" w:type="pct"/>
            <w:shd w:val="clear" w:color="auto" w:fill="auto"/>
            <w:vAlign w:val="center"/>
          </w:tcPr>
          <w:p w14:paraId="404BD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1、智能输液信息交互；HIS系统对接交互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2.持久化存储：实时存储各个输液、医疗的设备关键信息数据并永久保持；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3.实时推送：输液设备参数发送变化时，实时向显示设备或硬件设备推送更新数据；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4.数据处理：作为数据处理中心，与前端显示，硬件设备进行实时的数据监控和交互；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5.自动备份：到达指定时间可自动对所存储的输液数据进行备份，以防突发情况导致数据丢失。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6.查询数据：提供接口使显示设备能够获取所存储的输液信息；                                                 7.设备管理：护士能根据医嘱针对不同的药物与患者，精确设定不同的滴速，并且使输液滴速全程稳定保持在设定值，全面提升输液疗效与输液安全；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8、输液终端可扩展输液加温功能及输液泵、注射泵、营养泵等输注产品。</w:t>
            </w:r>
          </w:p>
        </w:tc>
        <w:tc>
          <w:tcPr>
            <w:tcW w:w="255" w:type="pct"/>
            <w:shd w:val="clear" w:color="auto" w:fill="auto"/>
            <w:noWrap/>
            <w:vAlign w:val="center"/>
          </w:tcPr>
          <w:p w14:paraId="1D341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391" w:type="pct"/>
            <w:shd w:val="clear" w:color="auto" w:fill="auto"/>
            <w:noWrap/>
            <w:vAlign w:val="center"/>
          </w:tcPr>
          <w:p w14:paraId="4FB99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04E75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2252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0" w:hRule="atLeast"/>
          <w:tblHeader/>
          <w:jc w:val="center"/>
        </w:trPr>
        <w:tc>
          <w:tcPr>
            <w:tcW w:w="269" w:type="pct"/>
            <w:shd w:val="clear" w:color="auto" w:fill="auto"/>
            <w:noWrap/>
            <w:vAlign w:val="center"/>
          </w:tcPr>
          <w:p w14:paraId="0A9F8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3" w:type="pct"/>
            <w:shd w:val="clear" w:color="auto" w:fill="auto"/>
            <w:vAlign w:val="center"/>
          </w:tcPr>
          <w:p w14:paraId="7548A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数据交互系统网关</w:t>
            </w:r>
          </w:p>
        </w:tc>
        <w:tc>
          <w:tcPr>
            <w:tcW w:w="2879" w:type="pct"/>
            <w:shd w:val="clear" w:color="auto" w:fill="auto"/>
            <w:vAlign w:val="center"/>
          </w:tcPr>
          <w:p w14:paraId="754BDF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1.规格：数据交互系统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2.USB即插即用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3.频率：载波频率 430~510MHZ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4.产品尺寸：长*宽*高=158*76*36mm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控制芯片： 采用三芯片结构；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6.无线通信： 基于射频 LoRa扩频调制技术；载波频率 430~510MHZ；采用高效前向纠错编码技术和跳频机制，抗干扰能力强，误码率低；空旷地有效通讯距离200米；内置看门狗，保证长期可靠稳定运行。负责与输液控制器进行无线数据交互。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7.数据接口： 提供以太网和USB两种数据接口，可根据实际选择。负责与服务器交互数据/安卓大屏交互数据。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8.工作电压： 5V 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9.工作环境： - 10～+60 ℃ ,10%～90%相对湿度，无冷凝(工业级别)</w:t>
            </w:r>
          </w:p>
        </w:tc>
        <w:tc>
          <w:tcPr>
            <w:tcW w:w="255" w:type="pct"/>
            <w:shd w:val="clear" w:color="auto" w:fill="auto"/>
            <w:noWrap/>
            <w:vAlign w:val="center"/>
          </w:tcPr>
          <w:p w14:paraId="58076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3台</w:t>
            </w:r>
          </w:p>
        </w:tc>
        <w:tc>
          <w:tcPr>
            <w:tcW w:w="391" w:type="pct"/>
            <w:shd w:val="clear" w:color="auto" w:fill="auto"/>
            <w:noWrap/>
            <w:vAlign w:val="center"/>
          </w:tcPr>
          <w:p w14:paraId="66DB1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64D2F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8A5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blHeader/>
          <w:jc w:val="center"/>
        </w:trPr>
        <w:tc>
          <w:tcPr>
            <w:tcW w:w="269" w:type="pct"/>
            <w:shd w:val="clear" w:color="auto" w:fill="auto"/>
            <w:noWrap/>
            <w:vAlign w:val="center"/>
          </w:tcPr>
          <w:p w14:paraId="40B10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3" w:type="pct"/>
            <w:shd w:val="clear" w:color="auto" w:fill="auto"/>
            <w:vAlign w:val="center"/>
          </w:tcPr>
          <w:p w14:paraId="6CE96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输液控制</w:t>
            </w:r>
          </w:p>
        </w:tc>
        <w:tc>
          <w:tcPr>
            <w:tcW w:w="2879" w:type="pct"/>
            <w:shd w:val="clear" w:color="auto" w:fill="auto"/>
            <w:vAlign w:val="center"/>
          </w:tcPr>
          <w:p w14:paraId="7074D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1.工作原理：红外光束监测滴液信号，自动调节输液速度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2.工作模式：滴/分钟、毫升/小时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3.输注精度：滴速精度误差±5%、流速精度误差±10%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4.输液速度设定范围（20d/ml管型）不低于：3ml/h-480ml/h（1d/min-160d/min）。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5.输液预置量：0--9999ml，                                                                   6.累计量：0--9999ml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7.报警：电池欠压、空瓶、检测不到液滴时发出声光报警并关闭输液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8.电池时间：连续运行≥50小时，备用充电电池方便更换。                                                                             </w:t>
            </w:r>
          </w:p>
        </w:tc>
        <w:tc>
          <w:tcPr>
            <w:tcW w:w="255" w:type="pct"/>
            <w:shd w:val="clear" w:color="auto" w:fill="auto"/>
            <w:noWrap/>
            <w:vAlign w:val="center"/>
          </w:tcPr>
          <w:p w14:paraId="76176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93台</w:t>
            </w:r>
          </w:p>
        </w:tc>
        <w:tc>
          <w:tcPr>
            <w:tcW w:w="391" w:type="pct"/>
            <w:shd w:val="clear" w:color="auto" w:fill="auto"/>
            <w:noWrap/>
            <w:vAlign w:val="center"/>
          </w:tcPr>
          <w:p w14:paraId="4742D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29EC9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A18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65F08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3" w:type="pct"/>
            <w:shd w:val="clear" w:color="auto" w:fill="auto"/>
            <w:vAlign w:val="center"/>
          </w:tcPr>
          <w:p w14:paraId="131D9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充电器及备用电池</w:t>
            </w:r>
          </w:p>
        </w:tc>
        <w:tc>
          <w:tcPr>
            <w:tcW w:w="2879" w:type="pct"/>
            <w:shd w:val="clear" w:color="auto" w:fill="auto"/>
            <w:vAlign w:val="center"/>
          </w:tcPr>
          <w:p w14:paraId="59C51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一组充电器配20块备用电池</w:t>
            </w:r>
          </w:p>
        </w:tc>
        <w:tc>
          <w:tcPr>
            <w:tcW w:w="255" w:type="pct"/>
            <w:shd w:val="clear" w:color="auto" w:fill="auto"/>
            <w:noWrap/>
            <w:vAlign w:val="center"/>
          </w:tcPr>
          <w:p w14:paraId="5817A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w:t>
            </w:r>
          </w:p>
        </w:tc>
        <w:tc>
          <w:tcPr>
            <w:tcW w:w="391" w:type="pct"/>
            <w:shd w:val="clear" w:color="auto" w:fill="auto"/>
            <w:noWrap/>
            <w:vAlign w:val="center"/>
          </w:tcPr>
          <w:p w14:paraId="08959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E210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C8C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5E11758B">
            <w:pPr>
              <w:jc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十三、综合管网工程</w:t>
            </w:r>
          </w:p>
        </w:tc>
      </w:tr>
      <w:tr w14:paraId="4460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2ED7CD4E">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（一）、桥架部分</w:t>
            </w:r>
          </w:p>
        </w:tc>
      </w:tr>
      <w:tr w14:paraId="40FA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0AE68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4D6C9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水平桥架</w:t>
            </w:r>
          </w:p>
        </w:tc>
        <w:tc>
          <w:tcPr>
            <w:tcW w:w="2879" w:type="pct"/>
            <w:shd w:val="clear" w:color="auto" w:fill="auto"/>
            <w:vAlign w:val="center"/>
          </w:tcPr>
          <w:p w14:paraId="66AB7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200*100；国标镀锌，含弯头、三通</w:t>
            </w:r>
          </w:p>
        </w:tc>
        <w:tc>
          <w:tcPr>
            <w:tcW w:w="255" w:type="pct"/>
            <w:shd w:val="clear" w:color="auto" w:fill="auto"/>
            <w:noWrap/>
            <w:vAlign w:val="center"/>
          </w:tcPr>
          <w:p w14:paraId="23DFE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750米</w:t>
            </w:r>
          </w:p>
        </w:tc>
        <w:tc>
          <w:tcPr>
            <w:tcW w:w="391" w:type="pct"/>
            <w:shd w:val="clear" w:color="auto" w:fill="auto"/>
            <w:noWrap/>
            <w:vAlign w:val="center"/>
          </w:tcPr>
          <w:p w14:paraId="4583A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FC29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0128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EBDD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61F45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垂直桥架</w:t>
            </w:r>
          </w:p>
        </w:tc>
        <w:tc>
          <w:tcPr>
            <w:tcW w:w="2879" w:type="pct"/>
            <w:shd w:val="clear" w:color="auto" w:fill="auto"/>
            <w:vAlign w:val="center"/>
          </w:tcPr>
          <w:p w14:paraId="704B0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200*100；国标镀锌，含弯头、三通</w:t>
            </w:r>
          </w:p>
        </w:tc>
        <w:tc>
          <w:tcPr>
            <w:tcW w:w="255" w:type="pct"/>
            <w:shd w:val="clear" w:color="auto" w:fill="auto"/>
            <w:noWrap/>
            <w:vAlign w:val="center"/>
          </w:tcPr>
          <w:p w14:paraId="7CA47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50米</w:t>
            </w:r>
          </w:p>
        </w:tc>
        <w:tc>
          <w:tcPr>
            <w:tcW w:w="391" w:type="pct"/>
            <w:shd w:val="clear" w:color="auto" w:fill="auto"/>
            <w:noWrap/>
            <w:vAlign w:val="center"/>
          </w:tcPr>
          <w:p w14:paraId="7F1CF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54B39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49E3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121CD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08F6B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安装附件</w:t>
            </w:r>
          </w:p>
        </w:tc>
        <w:tc>
          <w:tcPr>
            <w:tcW w:w="2879" w:type="pct"/>
            <w:shd w:val="clear" w:color="auto" w:fill="auto"/>
            <w:vAlign w:val="center"/>
          </w:tcPr>
          <w:p w14:paraId="602E0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吊杆、内膨胀螺丝、桥架支架、以及各种软硬街头等</w:t>
            </w:r>
          </w:p>
        </w:tc>
        <w:tc>
          <w:tcPr>
            <w:tcW w:w="255" w:type="pct"/>
            <w:shd w:val="clear" w:color="auto" w:fill="auto"/>
            <w:noWrap/>
            <w:vAlign w:val="center"/>
          </w:tcPr>
          <w:p w14:paraId="15E46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391" w:type="pct"/>
            <w:shd w:val="clear" w:color="auto" w:fill="auto"/>
            <w:noWrap/>
            <w:vAlign w:val="center"/>
          </w:tcPr>
          <w:p w14:paraId="0E868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2725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35E3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blHeader/>
          <w:jc w:val="center"/>
        </w:trPr>
        <w:tc>
          <w:tcPr>
            <w:tcW w:w="5000" w:type="pct"/>
            <w:gridSpan w:val="6"/>
            <w:shd w:val="clear" w:color="auto" w:fill="auto"/>
            <w:noWrap/>
            <w:vAlign w:val="center"/>
          </w:tcPr>
          <w:p w14:paraId="74A92DBA">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（二）、镀锌管及附件</w:t>
            </w:r>
          </w:p>
        </w:tc>
      </w:tr>
      <w:tr w14:paraId="1EB1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55E3A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3" w:type="pct"/>
            <w:shd w:val="clear" w:color="auto" w:fill="auto"/>
            <w:vAlign w:val="center"/>
          </w:tcPr>
          <w:p w14:paraId="68C4D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KBG管</w:t>
            </w:r>
          </w:p>
        </w:tc>
        <w:tc>
          <w:tcPr>
            <w:tcW w:w="2879" w:type="pct"/>
            <w:shd w:val="clear" w:color="auto" w:fill="auto"/>
            <w:vAlign w:val="center"/>
          </w:tcPr>
          <w:p w14:paraId="6615F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Ø20，国标。</w:t>
            </w:r>
          </w:p>
        </w:tc>
        <w:tc>
          <w:tcPr>
            <w:tcW w:w="255" w:type="pct"/>
            <w:shd w:val="clear" w:color="auto" w:fill="auto"/>
            <w:noWrap/>
            <w:vAlign w:val="center"/>
          </w:tcPr>
          <w:p w14:paraId="03B71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8850米</w:t>
            </w:r>
          </w:p>
        </w:tc>
        <w:tc>
          <w:tcPr>
            <w:tcW w:w="391" w:type="pct"/>
            <w:shd w:val="clear" w:color="auto" w:fill="auto"/>
            <w:noWrap/>
            <w:vAlign w:val="center"/>
          </w:tcPr>
          <w:p w14:paraId="64E9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2D5A0D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39C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26B7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3" w:type="pct"/>
            <w:shd w:val="clear" w:color="auto" w:fill="auto"/>
            <w:vAlign w:val="center"/>
          </w:tcPr>
          <w:p w14:paraId="48FE0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KBG管</w:t>
            </w:r>
          </w:p>
        </w:tc>
        <w:tc>
          <w:tcPr>
            <w:tcW w:w="2879" w:type="pct"/>
            <w:shd w:val="clear" w:color="auto" w:fill="auto"/>
            <w:vAlign w:val="center"/>
          </w:tcPr>
          <w:p w14:paraId="5D351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Ø25，国标。</w:t>
            </w:r>
          </w:p>
        </w:tc>
        <w:tc>
          <w:tcPr>
            <w:tcW w:w="255" w:type="pct"/>
            <w:shd w:val="clear" w:color="auto" w:fill="auto"/>
            <w:noWrap/>
            <w:vAlign w:val="center"/>
          </w:tcPr>
          <w:p w14:paraId="20C13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2300米</w:t>
            </w:r>
          </w:p>
        </w:tc>
        <w:tc>
          <w:tcPr>
            <w:tcW w:w="391" w:type="pct"/>
            <w:shd w:val="clear" w:color="auto" w:fill="auto"/>
            <w:noWrap/>
            <w:vAlign w:val="center"/>
          </w:tcPr>
          <w:p w14:paraId="5F5C4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4C8DA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6079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56D6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3" w:type="pct"/>
            <w:shd w:val="clear" w:color="auto" w:fill="auto"/>
            <w:vAlign w:val="center"/>
          </w:tcPr>
          <w:p w14:paraId="469D7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86盒</w:t>
            </w:r>
          </w:p>
        </w:tc>
        <w:tc>
          <w:tcPr>
            <w:tcW w:w="2879" w:type="pct"/>
            <w:shd w:val="clear" w:color="auto" w:fill="auto"/>
            <w:vAlign w:val="center"/>
          </w:tcPr>
          <w:p w14:paraId="068CA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86型开关底盒，尺寸：86mm×86mm。</w:t>
            </w:r>
          </w:p>
        </w:tc>
        <w:tc>
          <w:tcPr>
            <w:tcW w:w="255" w:type="pct"/>
            <w:shd w:val="clear" w:color="auto" w:fill="auto"/>
            <w:noWrap/>
            <w:vAlign w:val="center"/>
          </w:tcPr>
          <w:p w14:paraId="04C6C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2000个</w:t>
            </w:r>
          </w:p>
        </w:tc>
        <w:tc>
          <w:tcPr>
            <w:tcW w:w="391" w:type="pct"/>
            <w:shd w:val="clear" w:color="auto" w:fill="auto"/>
            <w:noWrap/>
            <w:vAlign w:val="center"/>
          </w:tcPr>
          <w:p w14:paraId="02890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10072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r w14:paraId="1B49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269" w:type="pct"/>
            <w:shd w:val="clear" w:color="auto" w:fill="auto"/>
            <w:noWrap/>
            <w:vAlign w:val="center"/>
          </w:tcPr>
          <w:p w14:paraId="312D1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3" w:type="pct"/>
            <w:shd w:val="clear" w:color="auto" w:fill="auto"/>
            <w:vAlign w:val="center"/>
          </w:tcPr>
          <w:p w14:paraId="7B70F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安装附件</w:t>
            </w:r>
          </w:p>
        </w:tc>
        <w:tc>
          <w:tcPr>
            <w:tcW w:w="2879" w:type="pct"/>
            <w:shd w:val="clear" w:color="auto" w:fill="auto"/>
            <w:vAlign w:val="center"/>
          </w:tcPr>
          <w:p w14:paraId="09E5F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吊杆、内膨胀螺丝、管接头、管线垫层材料等</w:t>
            </w:r>
          </w:p>
        </w:tc>
        <w:tc>
          <w:tcPr>
            <w:tcW w:w="255" w:type="pct"/>
            <w:shd w:val="clear" w:color="auto" w:fill="auto"/>
            <w:noWrap/>
            <w:vAlign w:val="center"/>
          </w:tcPr>
          <w:p w14:paraId="3FC0D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w:t>
            </w:r>
          </w:p>
        </w:tc>
        <w:tc>
          <w:tcPr>
            <w:tcW w:w="391" w:type="pct"/>
            <w:shd w:val="clear" w:color="auto" w:fill="auto"/>
            <w:noWrap/>
            <w:vAlign w:val="center"/>
          </w:tcPr>
          <w:p w14:paraId="17AB2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180天</w:t>
            </w:r>
          </w:p>
        </w:tc>
        <w:tc>
          <w:tcPr>
            <w:tcW w:w="621" w:type="pct"/>
            <w:shd w:val="clear" w:color="auto" w:fill="auto"/>
            <w:vAlign w:val="center"/>
          </w:tcPr>
          <w:p w14:paraId="3B254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肥东县梁园镇中心卫生院（肥东县第七人民医院）内</w:t>
            </w:r>
          </w:p>
        </w:tc>
      </w:tr>
    </w:tbl>
    <w:p w14:paraId="35E0E366">
      <w:pPr>
        <w:pStyle w:val="4"/>
        <w:spacing w:before="0" w:after="0" w:line="360" w:lineRule="auto"/>
        <w:rPr>
          <w:rFonts w:hint="eastAsia" w:ascii="黑体" w:hAnsi="黑体" w:eastAsia="黑体" w:cs="黑体"/>
          <w:b w:val="0"/>
          <w:sz w:val="28"/>
          <w:szCs w:val="28"/>
          <w:highlight w:val="none"/>
        </w:rPr>
      </w:pPr>
      <w:r>
        <w:rPr>
          <w:rFonts w:hint="eastAsia" w:ascii="黑体" w:hAnsi="黑体" w:eastAsia="黑体" w:cs="黑体"/>
          <w:b w:val="0"/>
          <w:sz w:val="28"/>
          <w:szCs w:val="28"/>
          <w:highlight w:val="none"/>
        </w:rPr>
        <w:t>三、技术性能指标</w:t>
      </w:r>
      <w:bookmarkEnd w:id="1038"/>
      <w:bookmarkEnd w:id="1039"/>
      <w:bookmarkEnd w:id="1040"/>
      <w:bookmarkEnd w:id="1041"/>
      <w:bookmarkEnd w:id="1042"/>
    </w:p>
    <w:p w14:paraId="3565CAAA">
      <w:pPr>
        <w:spacing w:line="360" w:lineRule="auto"/>
        <w:ind w:firstLine="410" w:firstLineChars="171"/>
        <w:outlineLvl w:val="2"/>
        <w:rPr>
          <w:rFonts w:hint="eastAsia" w:hAnsi="宋体" w:cs="宋体"/>
          <w:highlight w:val="none"/>
        </w:rPr>
      </w:pPr>
      <w:r>
        <w:rPr>
          <w:rFonts w:hint="eastAsia" w:hAnsi="宋体" w:cs="宋体"/>
          <w:highlight w:val="none"/>
        </w:rPr>
        <w:t>（一）说明</w:t>
      </w:r>
    </w:p>
    <w:p w14:paraId="0CEA3AC1">
      <w:pPr>
        <w:spacing w:line="360" w:lineRule="auto"/>
        <w:ind w:firstLine="410" w:firstLineChars="171"/>
        <w:rPr>
          <w:rFonts w:hint="eastAsia" w:hAnsi="宋体" w:cs="宋体"/>
          <w:highlight w:val="none"/>
        </w:rPr>
      </w:pPr>
      <w:r>
        <w:rPr>
          <w:rFonts w:hint="eastAsia" w:hAnsi="宋体" w:cs="宋体"/>
          <w:highlight w:val="none"/>
        </w:rPr>
        <w:t>1. 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3EF2B795">
      <w:pPr>
        <w:spacing w:line="360" w:lineRule="auto"/>
        <w:ind w:firstLine="410" w:firstLineChars="171"/>
        <w:rPr>
          <w:rFonts w:hint="eastAsia" w:hAnsi="宋体" w:cs="宋体"/>
          <w:highlight w:val="none"/>
        </w:rPr>
      </w:pPr>
      <w:r>
        <w:rPr>
          <w:rFonts w:hint="eastAsia" w:hAnsi="宋体" w:cs="宋体"/>
          <w:highlight w:val="none"/>
        </w:rPr>
        <w:t>2. 为鼓励不同品牌的充分竞争，如某设备的某技术参数或要求属于个别品牌专有，则该技术参数及要求不具有限制性，投标人可对该参数或要求的响应情况进行说明，且该说明须经评标委员会审核认可；</w:t>
      </w:r>
    </w:p>
    <w:p w14:paraId="47CB08B8">
      <w:pPr>
        <w:spacing w:line="360" w:lineRule="auto"/>
        <w:ind w:firstLine="410" w:firstLineChars="171"/>
        <w:rPr>
          <w:rFonts w:hint="eastAsia" w:hAnsi="宋体" w:cs="宋体"/>
          <w:highlight w:val="none"/>
        </w:rPr>
      </w:pPr>
      <w:r>
        <w:rPr>
          <w:rFonts w:hint="eastAsia" w:hAnsi="宋体" w:cs="宋体"/>
          <w:highlight w:val="none"/>
        </w:rPr>
        <w:t>3. 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768F9808">
      <w:pPr>
        <w:spacing w:line="360" w:lineRule="auto"/>
        <w:ind w:firstLine="410" w:firstLineChars="171"/>
        <w:rPr>
          <w:rFonts w:hint="eastAsia" w:hAnsi="宋体" w:cs="宋体"/>
          <w:highlight w:val="none"/>
        </w:rPr>
      </w:pPr>
      <w:r>
        <w:rPr>
          <w:rFonts w:hint="eastAsia" w:hAnsi="宋体" w:cs="宋体"/>
          <w:highlight w:val="none"/>
        </w:rPr>
        <w:t>4. 投标人应自行踏勘本项目实施现场，核对设备安装现场的土建尺寸等可能影响后期安装的全部因素，确保所投设备满足现场实际安装要求。</w:t>
      </w:r>
    </w:p>
    <w:p w14:paraId="2BD15394">
      <w:pPr>
        <w:spacing w:line="360" w:lineRule="auto"/>
        <w:ind w:firstLine="410" w:firstLineChars="171"/>
        <w:rPr>
          <w:rFonts w:hint="eastAsia" w:hAnsi="宋体" w:cs="宋体"/>
          <w:highlight w:val="none"/>
        </w:rPr>
      </w:pPr>
      <w:r>
        <w:rPr>
          <w:rFonts w:hint="eastAsia" w:hAnsi="宋体" w:cs="宋体"/>
          <w:highlight w:val="none"/>
        </w:rPr>
        <w:t>5. 招标人保留在签订合同之前对本技术规格及要求进行补充和修改的权利，投标人应予以配合。</w:t>
      </w:r>
    </w:p>
    <w:p w14:paraId="60B88CBB">
      <w:pPr>
        <w:spacing w:line="360" w:lineRule="auto"/>
        <w:ind w:firstLine="410" w:firstLineChars="171"/>
        <w:outlineLvl w:val="2"/>
        <w:rPr>
          <w:rFonts w:hint="eastAsia" w:hAnsi="宋体" w:cs="宋体"/>
          <w:highlight w:val="none"/>
        </w:rPr>
      </w:pPr>
      <w:r>
        <w:rPr>
          <w:rFonts w:hint="eastAsia" w:hAnsi="宋体" w:cs="宋体"/>
          <w:highlight w:val="none"/>
        </w:rPr>
        <w:t>（二）总体要求</w:t>
      </w:r>
    </w:p>
    <w:p w14:paraId="1E07FAEC">
      <w:pPr>
        <w:ind w:firstLine="480" w:firstLineChars="200"/>
        <w:rPr>
          <w:rFonts w:hint="eastAsia" w:hAnsi="宋体" w:cs="宋体"/>
          <w:highlight w:val="none"/>
          <w:lang w:val="en-US" w:eastAsia="zh-CN"/>
        </w:rPr>
      </w:pPr>
      <w:bookmarkStart w:id="1043" w:name="_Toc25566"/>
      <w:bookmarkStart w:id="1044" w:name="_Toc12504"/>
      <w:bookmarkStart w:id="1045" w:name="_Toc3254"/>
      <w:bookmarkStart w:id="1046" w:name="_Toc501460781"/>
      <w:r>
        <w:rPr>
          <w:rFonts w:hint="eastAsia" w:hAnsi="宋体" w:cs="宋体"/>
          <w:highlight w:val="none"/>
          <w:lang w:val="en-US" w:eastAsia="zh-CN"/>
        </w:rPr>
        <w:t>/</w:t>
      </w:r>
    </w:p>
    <w:p w14:paraId="27043A0A">
      <w:pPr>
        <w:rPr>
          <w:rFonts w:hint="eastAsia" w:ascii="黑体" w:hAnsi="黑体" w:eastAsia="黑体" w:cs="黑体"/>
          <w:b w:val="0"/>
          <w:sz w:val="28"/>
          <w:szCs w:val="28"/>
          <w:highlight w:val="none"/>
          <w:lang w:eastAsia="zh-CN"/>
        </w:rPr>
      </w:pPr>
      <w:r>
        <w:rPr>
          <w:rFonts w:hint="eastAsia" w:ascii="黑体" w:hAnsi="黑体" w:eastAsia="黑体" w:cs="黑体"/>
          <w:b w:val="0"/>
          <w:sz w:val="28"/>
          <w:szCs w:val="28"/>
          <w:highlight w:val="none"/>
        </w:rPr>
        <w:t>四、检验考核要求</w:t>
      </w:r>
      <w:bookmarkEnd w:id="1043"/>
      <w:bookmarkEnd w:id="1044"/>
      <w:bookmarkEnd w:id="1045"/>
      <w:bookmarkEnd w:id="1046"/>
      <w:bookmarkStart w:id="1227" w:name="_GoBack"/>
      <w:bookmarkEnd w:id="1227"/>
    </w:p>
    <w:p w14:paraId="71EA7CA2">
      <w:pPr>
        <w:spacing w:line="360" w:lineRule="auto"/>
        <w:ind w:firstLine="528" w:firstLineChars="220"/>
        <w:rPr>
          <w:rFonts w:hint="default" w:hAnsi="宋体" w:eastAsia="宋体" w:cs="宋体"/>
          <w:highlight w:val="none"/>
          <w:lang w:val="en-US" w:eastAsia="zh-CN"/>
        </w:rPr>
      </w:pPr>
      <w:r>
        <w:rPr>
          <w:rFonts w:hint="eastAsia" w:hAnsi="宋体" w:cs="宋体"/>
          <w:highlight w:val="none"/>
        </w:rPr>
        <w:t>符合设备需求一览表要求</w:t>
      </w:r>
      <w:r>
        <w:rPr>
          <w:rFonts w:hint="eastAsia" w:hAnsi="宋体" w:cs="宋体"/>
          <w:highlight w:val="none"/>
          <w:lang w:eastAsia="zh-CN"/>
        </w:rPr>
        <w:t>，</w:t>
      </w:r>
      <w:r>
        <w:rPr>
          <w:rFonts w:hint="eastAsia" w:hAnsi="宋体" w:cs="宋体"/>
          <w:highlight w:val="none"/>
          <w:lang w:val="en-US" w:eastAsia="zh-CN"/>
        </w:rPr>
        <w:t>中标单位需确保项目通过</w:t>
      </w:r>
      <w:r>
        <w:rPr>
          <w:rFonts w:hint="eastAsia" w:ascii="宋体" w:hAnsi="宋体" w:eastAsia="宋体" w:cs="宋体"/>
          <w:i w:val="0"/>
          <w:iCs w:val="0"/>
          <w:color w:val="000000"/>
          <w:kern w:val="0"/>
          <w:sz w:val="24"/>
          <w:szCs w:val="24"/>
          <w:highlight w:val="none"/>
          <w:u w:val="none"/>
          <w:lang w:val="en-US" w:eastAsia="zh-CN" w:bidi="ar"/>
        </w:rPr>
        <w:t>二级等保第三方测评</w:t>
      </w:r>
      <w:r>
        <w:rPr>
          <w:rFonts w:hint="eastAsia" w:hAnsi="宋体" w:cs="宋体"/>
          <w:i w:val="0"/>
          <w:iCs w:val="0"/>
          <w:color w:val="000000"/>
          <w:kern w:val="0"/>
          <w:sz w:val="24"/>
          <w:szCs w:val="24"/>
          <w:highlight w:val="none"/>
          <w:u w:val="none"/>
          <w:lang w:val="en-US" w:eastAsia="zh-CN" w:bidi="ar"/>
        </w:rPr>
        <w:t>。</w:t>
      </w:r>
    </w:p>
    <w:p w14:paraId="438F3D03">
      <w:pPr>
        <w:pStyle w:val="4"/>
        <w:spacing w:before="0" w:after="0" w:line="360" w:lineRule="auto"/>
        <w:rPr>
          <w:rFonts w:hint="eastAsia" w:ascii="黑体" w:hAnsi="黑体" w:eastAsia="黑体" w:cs="黑体"/>
          <w:b w:val="0"/>
          <w:sz w:val="28"/>
          <w:szCs w:val="28"/>
          <w:highlight w:val="none"/>
        </w:rPr>
      </w:pPr>
      <w:bookmarkStart w:id="1047" w:name="_Toc27665"/>
      <w:bookmarkStart w:id="1048" w:name="_Toc20799"/>
      <w:bookmarkStart w:id="1049" w:name="_Toc5407"/>
      <w:bookmarkStart w:id="1050" w:name="_Toc18695"/>
      <w:bookmarkStart w:id="1051" w:name="_Toc501460782"/>
      <w:r>
        <w:rPr>
          <w:rFonts w:hint="eastAsia" w:ascii="黑体" w:hAnsi="黑体" w:eastAsia="黑体" w:cs="黑体"/>
          <w:b w:val="0"/>
          <w:sz w:val="28"/>
          <w:szCs w:val="28"/>
          <w:highlight w:val="none"/>
        </w:rPr>
        <w:t>五、调试要求</w:t>
      </w:r>
      <w:bookmarkEnd w:id="1047"/>
      <w:bookmarkEnd w:id="1048"/>
      <w:bookmarkEnd w:id="1049"/>
      <w:bookmarkEnd w:id="1050"/>
    </w:p>
    <w:p w14:paraId="251461A3">
      <w:pPr>
        <w:spacing w:line="360" w:lineRule="auto"/>
        <w:ind w:firstLine="528" w:firstLineChars="220"/>
        <w:rPr>
          <w:rFonts w:hint="eastAsia" w:hAnsi="宋体" w:eastAsia="宋体" w:cs="宋体"/>
          <w:highlight w:val="none"/>
          <w:lang w:eastAsia="zh-CN"/>
        </w:rPr>
      </w:pPr>
      <w:r>
        <w:rPr>
          <w:rFonts w:hint="eastAsia" w:hAnsi="宋体" w:cs="宋体"/>
          <w:highlight w:val="none"/>
        </w:rPr>
        <w:t>设备调试运行正常</w:t>
      </w:r>
      <w:r>
        <w:rPr>
          <w:rFonts w:hint="eastAsia" w:hAnsi="宋体" w:cs="宋体"/>
          <w:highlight w:val="none"/>
          <w:lang w:eastAsia="zh-CN"/>
        </w:rPr>
        <w:t>。</w:t>
      </w:r>
    </w:p>
    <w:p w14:paraId="7F79AB64">
      <w:pPr>
        <w:pStyle w:val="4"/>
        <w:spacing w:before="0" w:after="0" w:line="360" w:lineRule="auto"/>
        <w:rPr>
          <w:rFonts w:hint="eastAsia" w:ascii="黑体" w:hAnsi="黑体" w:eastAsia="黑体" w:cs="黑体"/>
          <w:b w:val="0"/>
          <w:sz w:val="28"/>
          <w:szCs w:val="28"/>
          <w:highlight w:val="none"/>
          <w:lang w:eastAsia="zh-CN"/>
        </w:rPr>
      </w:pPr>
      <w:bookmarkStart w:id="1052" w:name="_Toc21345"/>
      <w:bookmarkStart w:id="1053" w:name="_Toc6738"/>
      <w:bookmarkStart w:id="1054" w:name="_Toc3329"/>
      <w:bookmarkStart w:id="1055" w:name="_Toc24378"/>
      <w:r>
        <w:rPr>
          <w:rFonts w:hint="eastAsia" w:ascii="黑体" w:hAnsi="黑体" w:eastAsia="黑体" w:cs="黑体"/>
          <w:b w:val="0"/>
          <w:sz w:val="28"/>
          <w:szCs w:val="28"/>
          <w:highlight w:val="none"/>
        </w:rPr>
        <w:t>六、</w:t>
      </w:r>
      <w:bookmarkEnd w:id="1051"/>
      <w:bookmarkEnd w:id="1052"/>
      <w:bookmarkEnd w:id="1053"/>
      <w:r>
        <w:rPr>
          <w:rFonts w:hint="eastAsia" w:ascii="黑体" w:hAnsi="黑体" w:eastAsia="黑体" w:cs="黑体"/>
          <w:b w:val="0"/>
          <w:sz w:val="28"/>
          <w:szCs w:val="28"/>
          <w:highlight w:val="none"/>
        </w:rPr>
        <w:t>投标货物及技术服务和质保期服务要求</w:t>
      </w:r>
      <w:bookmarkEnd w:id="1054"/>
      <w:bookmarkEnd w:id="1055"/>
    </w:p>
    <w:p w14:paraId="52E167D1">
      <w:pPr>
        <w:spacing w:line="360" w:lineRule="auto"/>
        <w:ind w:firstLine="528" w:firstLineChars="220"/>
        <w:rPr>
          <w:rFonts w:hint="eastAsia"/>
          <w:highlight w:val="none"/>
        </w:rPr>
      </w:pPr>
      <w:r>
        <w:rPr>
          <w:rFonts w:hint="eastAsia" w:hAnsi="宋体" w:cs="宋体"/>
          <w:highlight w:val="none"/>
        </w:rPr>
        <w:t>提供操作和维修培训；合同货物整体质量保证期：</w:t>
      </w:r>
      <w:r>
        <w:rPr>
          <w:rFonts w:hint="eastAsia" w:hAnsi="宋体" w:cs="宋体"/>
          <w:highlight w:val="none"/>
          <w:lang w:val="en-US" w:eastAsia="zh-CN"/>
        </w:rPr>
        <w:t>36</w:t>
      </w:r>
      <w:r>
        <w:rPr>
          <w:rFonts w:hint="eastAsia" w:hAnsi="宋体" w:cs="宋体"/>
          <w:highlight w:val="none"/>
        </w:rPr>
        <w:t>个月。</w:t>
      </w:r>
    </w:p>
    <w:p w14:paraId="74BE0565">
      <w:pPr>
        <w:spacing w:line="360" w:lineRule="auto"/>
        <w:rPr>
          <w:rFonts w:ascii="黑体" w:hAnsi="黑体" w:eastAsia="黑体" w:cs="黑体"/>
          <w:bCs/>
          <w:szCs w:val="28"/>
          <w:highlight w:val="none"/>
        </w:rPr>
      </w:pPr>
      <w:bookmarkStart w:id="1056" w:name="_Toc16625"/>
      <w:bookmarkStart w:id="1057" w:name="_Toc13628"/>
      <w:r>
        <w:rPr>
          <w:rFonts w:hint="eastAsia" w:ascii="黑体" w:hAnsi="黑体" w:eastAsia="黑体" w:cs="黑体"/>
          <w:b/>
          <w:sz w:val="28"/>
          <w:szCs w:val="28"/>
          <w:highlight w:val="none"/>
        </w:rPr>
        <w:t>七、其他要求</w:t>
      </w:r>
      <w:bookmarkEnd w:id="1056"/>
      <w:bookmarkEnd w:id="1057"/>
    </w:p>
    <w:p w14:paraId="43830054">
      <w:pPr>
        <w:spacing w:line="360" w:lineRule="auto"/>
        <w:ind w:firstLine="480" w:firstLineChars="200"/>
        <w:rPr>
          <w:rFonts w:hint="eastAsia" w:eastAsia="宋体"/>
          <w:highlight w:val="none"/>
          <w:lang w:val="en-US" w:eastAsia="zh-CN"/>
        </w:rPr>
      </w:pPr>
      <w:r>
        <w:rPr>
          <w:rFonts w:hint="eastAsia"/>
          <w:highlight w:val="none"/>
          <w:lang w:val="en-US" w:eastAsia="zh-CN"/>
        </w:rPr>
        <w:t>无。</w:t>
      </w:r>
    </w:p>
    <w:p w14:paraId="5FB34C4C">
      <w:pPr>
        <w:pStyle w:val="2"/>
        <w:spacing w:before="0" w:after="0" w:line="320" w:lineRule="exact"/>
        <w:jc w:val="center"/>
        <w:rPr>
          <w:highlight w:val="none"/>
        </w:rPr>
      </w:pPr>
      <w:r>
        <w:rPr>
          <w:rFonts w:hint="eastAsia"/>
          <w:highlight w:val="none"/>
        </w:rPr>
        <w:br w:type="page"/>
      </w:r>
      <w:bookmarkStart w:id="1058" w:name="_Toc16153"/>
      <w:r>
        <w:rPr>
          <w:rStyle w:val="71"/>
          <w:rFonts w:hint="eastAsia"/>
          <w:bCs/>
        </w:rPr>
        <w:t>第六章  投标文件格式</w:t>
      </w:r>
      <w:bookmarkEnd w:id="1058"/>
    </w:p>
    <w:p w14:paraId="2214CAFC">
      <w:pPr>
        <w:spacing w:before="480" w:beforeLines="200"/>
        <w:jc w:val="center"/>
        <w:outlineLvl w:val="0"/>
        <w:rPr>
          <w:rFonts w:hint="eastAsia" w:ascii="Times New Roman"/>
          <w:b/>
          <w:bCs/>
          <w:color w:val="auto"/>
          <w:sz w:val="44"/>
          <w:szCs w:val="44"/>
          <w:highlight w:val="none"/>
        </w:rPr>
      </w:pPr>
      <w:bookmarkStart w:id="1059" w:name="_Toc32657"/>
      <w:bookmarkStart w:id="1060" w:name="_Toc27118"/>
      <w:bookmarkStart w:id="1061" w:name="_Toc14595"/>
      <w:bookmarkStart w:id="1062" w:name="_Toc12149"/>
      <w:bookmarkStart w:id="1063" w:name="_Toc16066"/>
      <w:bookmarkStart w:id="1064" w:name="_Toc23204"/>
      <w:bookmarkStart w:id="1065" w:name="_Toc12230"/>
      <w:r>
        <w:rPr>
          <w:rFonts w:hint="eastAsia" w:ascii="Times New Roman"/>
          <w:bCs/>
          <w:sz w:val="44"/>
          <w:szCs w:val="44"/>
          <w:highlight w:val="none"/>
          <w:u w:val="single"/>
        </w:rPr>
        <w:br w:type="page"/>
      </w:r>
      <w:bookmarkEnd w:id="1059"/>
      <w:bookmarkEnd w:id="1060"/>
      <w:bookmarkEnd w:id="1061"/>
      <w:bookmarkEnd w:id="1062"/>
      <w:bookmarkEnd w:id="1063"/>
      <w:bookmarkEnd w:id="1064"/>
      <w:bookmarkEnd w:id="1065"/>
      <w:bookmarkStart w:id="1066" w:name="_Toc10631"/>
      <w:r>
        <w:rPr>
          <w:rFonts w:hint="eastAsia" w:ascii="Times New Roman"/>
          <w:b/>
          <w:bCs/>
          <w:color w:val="auto"/>
          <w:sz w:val="44"/>
          <w:szCs w:val="44"/>
          <w:highlight w:val="none"/>
          <w:u w:val="single"/>
        </w:rPr>
        <w:t>（招标项目名称）</w:t>
      </w:r>
      <w:r>
        <w:rPr>
          <w:rFonts w:hint="eastAsia" w:ascii="Times New Roman"/>
          <w:bCs/>
          <w:color w:val="auto"/>
          <w:sz w:val="44"/>
          <w:szCs w:val="44"/>
          <w:highlight w:val="none"/>
        </w:rPr>
        <w:t xml:space="preserve"> </w:t>
      </w:r>
      <w:r>
        <w:rPr>
          <w:rFonts w:hint="eastAsia" w:ascii="Times New Roman" w:eastAsia="黑体"/>
          <w:color w:val="auto"/>
          <w:sz w:val="44"/>
          <w:szCs w:val="44"/>
          <w:highlight w:val="none"/>
          <w:u w:val="single"/>
        </w:rPr>
        <w:t xml:space="preserve">      </w:t>
      </w:r>
      <w:r>
        <w:rPr>
          <w:rFonts w:hint="eastAsia" w:ascii="Times New Roman"/>
          <w:b/>
          <w:bCs/>
          <w:color w:val="auto"/>
          <w:sz w:val="44"/>
          <w:szCs w:val="44"/>
          <w:highlight w:val="none"/>
        </w:rPr>
        <w:t>标段招标</w:t>
      </w:r>
      <w:bookmarkEnd w:id="1066"/>
    </w:p>
    <w:p w14:paraId="74535C0B">
      <w:pPr>
        <w:pStyle w:val="4"/>
        <w:spacing w:before="1440" w:beforeLines="600" w:after="240" w:afterLines="100" w:line="240" w:lineRule="auto"/>
        <w:jc w:val="center"/>
        <w:rPr>
          <w:rFonts w:hint="eastAsia" w:ascii="Times New Roman" w:hAnsi="Times New Roman" w:eastAsia="黑体"/>
          <w:b w:val="0"/>
          <w:color w:val="auto"/>
          <w:sz w:val="44"/>
          <w:szCs w:val="44"/>
          <w:highlight w:val="none"/>
        </w:rPr>
      </w:pPr>
      <w:bookmarkStart w:id="1067" w:name="_Toc28604"/>
      <w:bookmarkStart w:id="1068" w:name="_Toc27086"/>
      <w:bookmarkStart w:id="1069" w:name="_Toc26391"/>
      <w:r>
        <w:rPr>
          <w:rFonts w:hint="eastAsia" w:ascii="Times New Roman" w:hAnsi="Times New Roman" w:eastAsia="黑体"/>
          <w:b w:val="0"/>
          <w:color w:val="auto"/>
          <w:sz w:val="44"/>
          <w:szCs w:val="44"/>
          <w:highlight w:val="none"/>
        </w:rPr>
        <w:t>投标文件</w:t>
      </w:r>
      <w:bookmarkEnd w:id="1067"/>
      <w:bookmarkEnd w:id="1068"/>
    </w:p>
    <w:p w14:paraId="674066C8">
      <w:pPr>
        <w:pStyle w:val="4"/>
        <w:jc w:val="center"/>
        <w:rPr>
          <w:rFonts w:hint="eastAsia" w:ascii="Times New Roman" w:hAnsi="Times New Roman" w:eastAsia="黑体"/>
          <w:b w:val="0"/>
          <w:color w:val="auto"/>
          <w:highlight w:val="none"/>
        </w:rPr>
      </w:pPr>
      <w:bookmarkStart w:id="1070" w:name="_Toc16711"/>
      <w:bookmarkStart w:id="1071" w:name="_Toc25908"/>
      <w:r>
        <w:rPr>
          <w:rFonts w:hint="eastAsia" w:ascii="Times New Roman" w:hAnsi="Times New Roman" w:eastAsia="黑体"/>
          <w:b w:val="0"/>
          <w:color w:val="auto"/>
          <w:highlight w:val="none"/>
        </w:rPr>
        <w:t>（商务文件）</w:t>
      </w:r>
      <w:bookmarkEnd w:id="1069"/>
      <w:bookmarkEnd w:id="1070"/>
      <w:bookmarkEnd w:id="1071"/>
    </w:p>
    <w:p w14:paraId="24D66ACC">
      <w:pPr>
        <w:spacing w:before="7920" w:beforeLines="3300" w:line="480" w:lineRule="auto"/>
        <w:jc w:val="center"/>
        <w:rPr>
          <w:rFonts w:hint="eastAsia" w:ascii="Times New Roman" w:eastAsia="黑体"/>
          <w:color w:val="auto"/>
          <w:sz w:val="28"/>
          <w:szCs w:val="28"/>
          <w:highlight w:val="none"/>
        </w:rPr>
      </w:pPr>
      <w:bookmarkStart w:id="1072" w:name="_Toc18532"/>
      <w:bookmarkStart w:id="1073" w:name="_Toc17206"/>
      <w:bookmarkStart w:id="1074" w:name="_Toc19022"/>
      <w:bookmarkStart w:id="1075" w:name="_Toc12206"/>
      <w:r>
        <w:rPr>
          <w:rFonts w:hint="eastAsia" w:ascii="Times New Roman" w:eastAsia="黑体"/>
          <w:color w:val="auto"/>
          <w:sz w:val="28"/>
          <w:szCs w:val="28"/>
          <w:highlight w:val="none"/>
        </w:rPr>
        <w:t>投标人：</w:t>
      </w:r>
      <w:r>
        <w:rPr>
          <w:rFonts w:hint="eastAsia" w:ascii="Times New Roman" w:eastAsia="黑体"/>
          <w:color w:val="auto"/>
          <w:sz w:val="28"/>
          <w:szCs w:val="28"/>
          <w:highlight w:val="none"/>
          <w:u w:val="single"/>
        </w:rPr>
        <w:t xml:space="preserve">                               </w:t>
      </w:r>
      <w:r>
        <w:rPr>
          <w:rFonts w:hint="eastAsia" w:ascii="Times New Roman" w:eastAsia="黑体"/>
          <w:color w:val="auto"/>
          <w:sz w:val="28"/>
          <w:szCs w:val="28"/>
          <w:highlight w:val="none"/>
        </w:rPr>
        <w:t>（盖单位章）</w:t>
      </w:r>
      <w:bookmarkEnd w:id="1072"/>
      <w:bookmarkEnd w:id="1073"/>
      <w:bookmarkEnd w:id="1074"/>
      <w:bookmarkEnd w:id="1075"/>
    </w:p>
    <w:p w14:paraId="598E6AFA">
      <w:pPr>
        <w:spacing w:line="480" w:lineRule="auto"/>
        <w:jc w:val="center"/>
        <w:rPr>
          <w:rFonts w:ascii="Times New Roman" w:eastAsia="黑体"/>
          <w:sz w:val="28"/>
          <w:szCs w:val="28"/>
          <w:highlight w:val="none"/>
        </w:rPr>
      </w:pPr>
      <w:r>
        <w:rPr>
          <w:rFonts w:hint="eastAsia" w:ascii="Times New Roman" w:eastAsia="黑体"/>
          <w:color w:val="auto"/>
          <w:sz w:val="28"/>
          <w:szCs w:val="28"/>
          <w:highlight w:val="none"/>
          <w:u w:val="single"/>
        </w:rPr>
        <w:t xml:space="preserve">    </w:t>
      </w:r>
      <w:bookmarkStart w:id="1076" w:name="_Toc21200"/>
      <w:bookmarkStart w:id="1077" w:name="_Toc16140"/>
      <w:bookmarkStart w:id="1078" w:name="_Toc1982"/>
      <w:bookmarkStart w:id="1079" w:name="_Toc25824"/>
      <w:r>
        <w:rPr>
          <w:rFonts w:hint="eastAsia" w:ascii="Times New Roman" w:eastAsia="黑体"/>
          <w:color w:val="auto"/>
          <w:sz w:val="28"/>
          <w:szCs w:val="28"/>
          <w:highlight w:val="none"/>
        </w:rPr>
        <w:t>年</w:t>
      </w:r>
      <w:r>
        <w:rPr>
          <w:rFonts w:hint="eastAsia" w:ascii="Times New Roman" w:eastAsia="黑体"/>
          <w:color w:val="auto"/>
          <w:sz w:val="28"/>
          <w:szCs w:val="28"/>
          <w:highlight w:val="none"/>
          <w:u w:val="single"/>
        </w:rPr>
        <w:t xml:space="preserve">   </w:t>
      </w:r>
      <w:r>
        <w:rPr>
          <w:rFonts w:hint="eastAsia" w:ascii="Times New Roman" w:eastAsia="黑体"/>
          <w:color w:val="auto"/>
          <w:sz w:val="28"/>
          <w:szCs w:val="28"/>
          <w:highlight w:val="none"/>
        </w:rPr>
        <w:t>月</w:t>
      </w:r>
      <w:r>
        <w:rPr>
          <w:rFonts w:hint="eastAsia" w:ascii="Times New Roman" w:eastAsia="黑体"/>
          <w:color w:val="auto"/>
          <w:sz w:val="28"/>
          <w:szCs w:val="28"/>
          <w:highlight w:val="none"/>
          <w:u w:val="single"/>
        </w:rPr>
        <w:t xml:space="preserve">   </w:t>
      </w:r>
      <w:r>
        <w:rPr>
          <w:rFonts w:hint="eastAsia" w:ascii="Times New Roman" w:eastAsia="黑体"/>
          <w:color w:val="auto"/>
          <w:sz w:val="28"/>
          <w:szCs w:val="28"/>
          <w:highlight w:val="none"/>
        </w:rPr>
        <w:t>日</w:t>
      </w:r>
      <w:bookmarkEnd w:id="1076"/>
      <w:bookmarkEnd w:id="1077"/>
      <w:bookmarkEnd w:id="1078"/>
      <w:bookmarkEnd w:id="1079"/>
    </w:p>
    <w:p w14:paraId="483A8E80">
      <w:pPr>
        <w:spacing w:beforeLines="100" w:afterLines="100"/>
        <w:ind w:firstLine="480" w:firstLineChars="200"/>
        <w:jc w:val="center"/>
        <w:rPr>
          <w:rFonts w:ascii="Times New Roman"/>
          <w:sz w:val="28"/>
          <w:szCs w:val="21"/>
          <w:highlight w:val="none"/>
        </w:rPr>
      </w:pPr>
      <w:r>
        <w:rPr>
          <w:rFonts w:ascii="Times New Roman"/>
          <w:szCs w:val="21"/>
          <w:highlight w:val="none"/>
        </w:rPr>
        <w:br w:type="page"/>
      </w:r>
      <w:r>
        <w:rPr>
          <w:rFonts w:hint="eastAsia" w:ascii="Times New Roman"/>
          <w:sz w:val="28"/>
          <w:szCs w:val="21"/>
          <w:highlight w:val="none"/>
        </w:rPr>
        <w:t>目  录</w:t>
      </w:r>
    </w:p>
    <w:p w14:paraId="1869FB93">
      <w:pPr>
        <w:spacing w:line="360" w:lineRule="auto"/>
        <w:ind w:firstLine="480" w:firstLineChars="200"/>
        <w:rPr>
          <w:rFonts w:ascii="Times New Roman"/>
          <w:szCs w:val="21"/>
          <w:highlight w:val="none"/>
        </w:rPr>
      </w:pPr>
      <w:r>
        <w:rPr>
          <w:rFonts w:hint="eastAsia" w:ascii="Times New Roman"/>
          <w:szCs w:val="21"/>
          <w:highlight w:val="none"/>
        </w:rPr>
        <w:t>一、投标函（不含报价）</w:t>
      </w:r>
    </w:p>
    <w:p w14:paraId="47BD7820">
      <w:pPr>
        <w:spacing w:line="360" w:lineRule="auto"/>
        <w:ind w:firstLine="480" w:firstLineChars="200"/>
        <w:rPr>
          <w:rFonts w:ascii="Times New Roman"/>
          <w:szCs w:val="21"/>
          <w:highlight w:val="none"/>
        </w:rPr>
      </w:pPr>
      <w:r>
        <w:rPr>
          <w:rFonts w:hint="eastAsia" w:ascii="Times New Roman"/>
          <w:szCs w:val="21"/>
          <w:highlight w:val="none"/>
        </w:rPr>
        <w:t>二、法定代表人身份证明或授权委托书</w:t>
      </w:r>
    </w:p>
    <w:p w14:paraId="38CF69AC">
      <w:pPr>
        <w:spacing w:line="360" w:lineRule="auto"/>
        <w:ind w:firstLine="480" w:firstLineChars="200"/>
        <w:rPr>
          <w:rFonts w:ascii="Times New Roman"/>
          <w:szCs w:val="21"/>
          <w:highlight w:val="none"/>
        </w:rPr>
      </w:pPr>
      <w:r>
        <w:rPr>
          <w:rFonts w:hint="eastAsia" w:ascii="Times New Roman"/>
          <w:szCs w:val="21"/>
          <w:highlight w:val="none"/>
        </w:rPr>
        <w:t>三、联合体协议书（如有）</w:t>
      </w:r>
    </w:p>
    <w:p w14:paraId="1C80DB1A">
      <w:pPr>
        <w:spacing w:line="360" w:lineRule="auto"/>
        <w:ind w:firstLine="480" w:firstLineChars="200"/>
        <w:rPr>
          <w:rFonts w:ascii="Times New Roman"/>
          <w:szCs w:val="21"/>
          <w:highlight w:val="none"/>
        </w:rPr>
      </w:pPr>
      <w:r>
        <w:rPr>
          <w:rFonts w:hint="eastAsia" w:ascii="Times New Roman"/>
          <w:szCs w:val="21"/>
          <w:highlight w:val="none"/>
        </w:rPr>
        <w:t>四、投标保证金</w:t>
      </w:r>
    </w:p>
    <w:p w14:paraId="7A97E437">
      <w:pPr>
        <w:spacing w:line="360" w:lineRule="auto"/>
        <w:ind w:firstLine="480" w:firstLineChars="200"/>
        <w:rPr>
          <w:rFonts w:ascii="Times New Roman"/>
          <w:szCs w:val="21"/>
          <w:highlight w:val="none"/>
        </w:rPr>
      </w:pPr>
      <w:r>
        <w:rPr>
          <w:rFonts w:hint="eastAsia" w:ascii="Times New Roman"/>
          <w:szCs w:val="21"/>
          <w:highlight w:val="none"/>
        </w:rPr>
        <w:t>五、商务条款偏差表；</w:t>
      </w:r>
    </w:p>
    <w:p w14:paraId="407B2DF2">
      <w:pPr>
        <w:spacing w:line="360" w:lineRule="auto"/>
        <w:ind w:firstLine="480" w:firstLineChars="200"/>
        <w:rPr>
          <w:rFonts w:ascii="Times New Roman"/>
          <w:szCs w:val="21"/>
          <w:highlight w:val="none"/>
        </w:rPr>
      </w:pPr>
      <w:r>
        <w:rPr>
          <w:rFonts w:hint="eastAsia" w:ascii="Times New Roman"/>
          <w:szCs w:val="21"/>
          <w:highlight w:val="none"/>
        </w:rPr>
        <w:t>六、资格审查资料</w:t>
      </w:r>
    </w:p>
    <w:p w14:paraId="5FADE7FA">
      <w:pPr>
        <w:spacing w:line="360" w:lineRule="auto"/>
        <w:ind w:firstLine="480" w:firstLineChars="200"/>
        <w:rPr>
          <w:rFonts w:ascii="Times New Roman"/>
          <w:szCs w:val="21"/>
          <w:highlight w:val="none"/>
        </w:rPr>
      </w:pPr>
      <w:r>
        <w:rPr>
          <w:rFonts w:hint="eastAsia" w:ascii="Times New Roman"/>
          <w:szCs w:val="21"/>
          <w:highlight w:val="none"/>
        </w:rPr>
        <w:t>七、商务文件详细评审资料</w:t>
      </w:r>
    </w:p>
    <w:p w14:paraId="7D028EF0">
      <w:pPr>
        <w:spacing w:line="360" w:lineRule="auto"/>
        <w:ind w:firstLine="480" w:firstLineChars="200"/>
        <w:rPr>
          <w:rFonts w:ascii="Times New Roman"/>
          <w:szCs w:val="21"/>
          <w:highlight w:val="none"/>
        </w:rPr>
      </w:pPr>
      <w:bookmarkStart w:id="1080" w:name="_Toc31175"/>
      <w:r>
        <w:rPr>
          <w:rFonts w:hint="eastAsia" w:ascii="Times New Roman"/>
          <w:szCs w:val="21"/>
          <w:highlight w:val="none"/>
        </w:rPr>
        <w:t>八、诚信投标承诺书</w:t>
      </w:r>
      <w:bookmarkEnd w:id="1080"/>
    </w:p>
    <w:p w14:paraId="30F3C5A8">
      <w:pPr>
        <w:spacing w:line="360" w:lineRule="auto"/>
        <w:ind w:firstLine="480" w:firstLineChars="200"/>
        <w:rPr>
          <w:rFonts w:ascii="Times New Roman"/>
          <w:szCs w:val="21"/>
          <w:highlight w:val="none"/>
        </w:rPr>
      </w:pPr>
      <w:r>
        <w:rPr>
          <w:rFonts w:hint="eastAsia" w:ascii="Times New Roman"/>
          <w:szCs w:val="21"/>
          <w:highlight w:val="none"/>
        </w:rPr>
        <w:t>九</w:t>
      </w:r>
      <w:bookmarkStart w:id="1081" w:name="_Toc19764"/>
      <w:r>
        <w:rPr>
          <w:rFonts w:hint="eastAsia" w:ascii="Times New Roman"/>
          <w:szCs w:val="21"/>
          <w:highlight w:val="none"/>
        </w:rPr>
        <w:t>、其他</w:t>
      </w:r>
      <w:bookmarkEnd w:id="1081"/>
      <w:r>
        <w:rPr>
          <w:rFonts w:hint="eastAsia" w:ascii="Times New Roman"/>
          <w:szCs w:val="21"/>
          <w:highlight w:val="none"/>
        </w:rPr>
        <w:t>材料</w:t>
      </w:r>
    </w:p>
    <w:p w14:paraId="1438D41C">
      <w:pPr>
        <w:pStyle w:val="2"/>
        <w:spacing w:beforeLines="100" w:afterLines="100" w:line="240" w:lineRule="auto"/>
        <w:jc w:val="center"/>
        <w:rPr>
          <w:rFonts w:ascii="Times New Roman" w:hAnsi="Times New Roman"/>
          <w:highlight w:val="none"/>
        </w:rPr>
      </w:pPr>
      <w:r>
        <w:rPr>
          <w:rFonts w:ascii="Times New Roman" w:hAnsi="Times New Roman"/>
          <w:szCs w:val="21"/>
          <w:highlight w:val="none"/>
        </w:rPr>
        <w:br w:type="page"/>
      </w:r>
      <w:bookmarkStart w:id="1082" w:name="_Toc460227108"/>
      <w:bookmarkStart w:id="1083" w:name="_Toc390411621"/>
      <w:bookmarkStart w:id="1084" w:name="_Toc460660223"/>
      <w:bookmarkStart w:id="1085" w:name="_Toc421917001"/>
      <w:bookmarkStart w:id="1086" w:name="_Toc224103496"/>
      <w:r>
        <w:rPr>
          <w:rFonts w:hint="eastAsia" w:ascii="Times New Roman" w:hAnsi="Times New Roman"/>
          <w:highlight w:val="none"/>
        </w:rPr>
        <w:t>一、投标函</w:t>
      </w:r>
    </w:p>
    <w:p w14:paraId="534819A2">
      <w:pPr>
        <w:adjustRightInd w:val="0"/>
        <w:snapToGrid w:val="0"/>
        <w:spacing w:line="360" w:lineRule="auto"/>
        <w:rPr>
          <w:rFonts w:hAnsi="宋体" w:cs="宋体"/>
          <w:highlight w:val="none"/>
          <w:u w:val="single"/>
        </w:rPr>
      </w:pPr>
      <w:r>
        <w:rPr>
          <w:rFonts w:hint="eastAsia" w:hAnsi="宋体" w:cs="宋体"/>
          <w:highlight w:val="none"/>
        </w:rPr>
        <w:t>致：</w:t>
      </w:r>
      <w:r>
        <w:rPr>
          <w:rFonts w:hint="eastAsia" w:hAnsi="宋体" w:cs="宋体"/>
          <w:highlight w:val="none"/>
          <w:u w:val="single"/>
          <w:lang w:val="en-US" w:eastAsia="zh-CN"/>
        </w:rPr>
        <w:t xml:space="preserve">             </w:t>
      </w:r>
      <w:r>
        <w:rPr>
          <w:rFonts w:hint="eastAsia" w:hAnsi="宋体" w:cs="宋体"/>
          <w:highlight w:val="none"/>
          <w:u w:val="none"/>
        </w:rPr>
        <w:t>（招标人）</w:t>
      </w:r>
    </w:p>
    <w:p w14:paraId="1671C927">
      <w:pPr>
        <w:spacing w:line="360" w:lineRule="auto"/>
        <w:ind w:firstLine="480" w:firstLineChars="200"/>
        <w:rPr>
          <w:rFonts w:hAnsi="宋体" w:cs="宋体"/>
          <w:highlight w:val="none"/>
        </w:rPr>
      </w:pPr>
      <w:r>
        <w:rPr>
          <w:rFonts w:hint="eastAsia" w:hAnsi="宋体" w:cs="宋体"/>
          <w:highlight w:val="none"/>
        </w:rPr>
        <w:t>1.我方已仔细研究了</w:t>
      </w:r>
      <w:r>
        <w:rPr>
          <w:rFonts w:hint="eastAsia" w:hAnsi="宋体" w:cs="宋体"/>
          <w:highlight w:val="none"/>
          <w:u w:val="single"/>
          <w:lang w:val="en-US" w:eastAsia="zh-CN"/>
        </w:rPr>
        <w:t xml:space="preserve">                       </w:t>
      </w:r>
      <w:r>
        <w:rPr>
          <w:rFonts w:hint="eastAsia" w:hAnsi="宋体" w:cs="宋体"/>
          <w:highlight w:val="none"/>
          <w:u w:val="none"/>
        </w:rPr>
        <w:t>（招标项目名称）</w:t>
      </w:r>
      <w:r>
        <w:rPr>
          <w:rFonts w:hint="eastAsia" w:hAnsi="宋体" w:cs="宋体"/>
          <w:highlight w:val="none"/>
          <w:u w:val="single"/>
          <w:lang w:val="en-US" w:eastAsia="zh-CN"/>
        </w:rPr>
        <w:t xml:space="preserve">    </w:t>
      </w:r>
      <w:r>
        <w:rPr>
          <w:rFonts w:hint="eastAsia" w:hAnsi="宋体" w:cs="宋体"/>
          <w:highlight w:val="none"/>
        </w:rPr>
        <w:t>标段招标文件的全部内容，愿以</w:t>
      </w:r>
      <w:r>
        <w:rPr>
          <w:rFonts w:hint="eastAsia" w:hAnsi="宋体" w:cs="宋体"/>
          <w:highlight w:val="none"/>
          <w:u w:val="single"/>
        </w:rPr>
        <w:t>报价文件投标函中</w:t>
      </w:r>
      <w:r>
        <w:rPr>
          <w:rFonts w:hint="eastAsia" w:hAnsi="宋体" w:cs="宋体"/>
          <w:highlight w:val="none"/>
        </w:rPr>
        <w:t>的投标总报价提供招标文件要求的货物、安装及技术服务和质保售后服务等，并按合同约定履行义务。</w:t>
      </w:r>
    </w:p>
    <w:p w14:paraId="62B2D74A">
      <w:pPr>
        <w:spacing w:line="360" w:lineRule="auto"/>
        <w:ind w:firstLine="480" w:firstLineChars="200"/>
        <w:rPr>
          <w:rFonts w:hAnsi="宋体" w:cs="宋体"/>
          <w:highlight w:val="none"/>
        </w:rPr>
      </w:pPr>
      <w:r>
        <w:rPr>
          <w:rFonts w:hint="eastAsia" w:hAnsi="宋体" w:cs="宋体"/>
          <w:highlight w:val="none"/>
        </w:rPr>
        <w:t>2.我方承诺除商务和技术偏差表列出的偏差外，我方响应招标文件的全部要求。</w:t>
      </w:r>
    </w:p>
    <w:p w14:paraId="669573E7">
      <w:pPr>
        <w:spacing w:line="360" w:lineRule="auto"/>
        <w:ind w:firstLine="480" w:firstLineChars="200"/>
        <w:rPr>
          <w:rFonts w:hAnsi="宋体" w:cs="宋体"/>
          <w:highlight w:val="none"/>
        </w:rPr>
      </w:pPr>
      <w:r>
        <w:rPr>
          <w:rFonts w:hint="eastAsia" w:hAnsi="宋体" w:cs="宋体"/>
          <w:highlight w:val="none"/>
        </w:rPr>
        <w:t>3.我方响应招标文件规定的投标有效期，并承诺在投标有效期内不撤销投标文件。</w:t>
      </w:r>
    </w:p>
    <w:p w14:paraId="5739D492">
      <w:pPr>
        <w:spacing w:line="360" w:lineRule="auto"/>
        <w:ind w:firstLine="480" w:firstLineChars="200"/>
        <w:rPr>
          <w:rFonts w:hAnsi="宋体" w:cs="宋体"/>
          <w:bCs/>
          <w:highlight w:val="none"/>
        </w:rPr>
      </w:pPr>
      <w:r>
        <w:rPr>
          <w:rFonts w:hint="eastAsia" w:hAnsi="宋体" w:cs="宋体"/>
          <w:bCs/>
          <w:highlight w:val="none"/>
        </w:rPr>
        <w:t>4.如我方中标，我方承诺：</w:t>
      </w:r>
    </w:p>
    <w:p w14:paraId="27B4CDAF">
      <w:pPr>
        <w:spacing w:line="360" w:lineRule="auto"/>
        <w:ind w:firstLine="480" w:firstLineChars="200"/>
        <w:rPr>
          <w:rFonts w:hAnsi="宋体" w:cs="宋体"/>
          <w:highlight w:val="none"/>
        </w:rPr>
      </w:pPr>
      <w:r>
        <w:rPr>
          <w:rFonts w:hint="eastAsia" w:hAnsi="宋体" w:cs="宋体"/>
          <w:highlight w:val="none"/>
        </w:rPr>
        <w:t>（1）在收到中标通知书后，在中标通知书规定的期限内与你方签订合同；</w:t>
      </w:r>
    </w:p>
    <w:p w14:paraId="2AC72840">
      <w:pPr>
        <w:spacing w:line="360" w:lineRule="auto"/>
        <w:ind w:firstLine="480" w:firstLineChars="200"/>
        <w:rPr>
          <w:rFonts w:hAnsi="宋体" w:cs="宋体"/>
          <w:highlight w:val="none"/>
        </w:rPr>
      </w:pPr>
      <w:r>
        <w:rPr>
          <w:rFonts w:hint="eastAsia" w:hAnsi="宋体" w:cs="宋体"/>
          <w:highlight w:val="none"/>
        </w:rPr>
        <w:t>（2）在签订合同时不向你方提出附加条件；</w:t>
      </w:r>
    </w:p>
    <w:p w14:paraId="5828522E">
      <w:pPr>
        <w:spacing w:line="360" w:lineRule="auto"/>
        <w:ind w:firstLine="405"/>
        <w:rPr>
          <w:rFonts w:hAnsi="宋体" w:cs="宋体"/>
          <w:highlight w:val="none"/>
        </w:rPr>
      </w:pPr>
      <w:r>
        <w:rPr>
          <w:rFonts w:hint="eastAsia" w:hAnsi="宋体" w:cs="宋体"/>
          <w:highlight w:val="none"/>
        </w:rPr>
        <w:t>（3）按照招标文件要求提交履约保证金；</w:t>
      </w:r>
      <w:bookmarkStart w:id="1087" w:name="_Toc352691658"/>
      <w:bookmarkStart w:id="1088" w:name="_Toc369531694"/>
      <w:bookmarkStart w:id="1089" w:name="_Toc1187"/>
    </w:p>
    <w:p w14:paraId="470978D9">
      <w:pPr>
        <w:spacing w:line="360" w:lineRule="auto"/>
        <w:ind w:firstLine="405"/>
        <w:rPr>
          <w:rFonts w:hAnsi="宋体" w:cs="宋体"/>
          <w:highlight w:val="none"/>
        </w:rPr>
      </w:pPr>
      <w:r>
        <w:rPr>
          <w:rFonts w:hint="eastAsia" w:hAnsi="宋体" w:cs="宋体"/>
          <w:highlight w:val="none"/>
        </w:rPr>
        <w:t>（4</w:t>
      </w:r>
      <w:bookmarkEnd w:id="1087"/>
      <w:bookmarkEnd w:id="1088"/>
      <w:bookmarkEnd w:id="1089"/>
      <w:r>
        <w:rPr>
          <w:rFonts w:hint="eastAsia" w:hAnsi="宋体" w:cs="宋体"/>
          <w:highlight w:val="none"/>
        </w:rPr>
        <w:t>）在合同约定的期限内完成合同规定的全部义务。</w:t>
      </w:r>
    </w:p>
    <w:p w14:paraId="64E89723">
      <w:pPr>
        <w:spacing w:line="360" w:lineRule="auto"/>
        <w:ind w:firstLine="480" w:firstLineChars="200"/>
        <w:rPr>
          <w:rFonts w:hAnsi="宋体" w:cs="宋体"/>
          <w:highlight w:val="none"/>
        </w:rPr>
      </w:pPr>
      <w:r>
        <w:rPr>
          <w:rFonts w:hint="eastAsia" w:hAnsi="宋体" w:cs="宋体"/>
          <w:highlight w:val="none"/>
        </w:rPr>
        <w:t>5.</w:t>
      </w:r>
      <w:r>
        <w:rPr>
          <w:rFonts w:hint="eastAsia" w:hAnsi="宋体" w:cs="宋体"/>
          <w:bCs/>
          <w:highlight w:val="none"/>
        </w:rPr>
        <w:t>除非另外达成协议并生效，你方的中标通知书和本投标文件以及招标文件、招标文件澄清、修改、补充文件将成为约束双方的合同文件的组成部分</w:t>
      </w:r>
      <w:r>
        <w:rPr>
          <w:rFonts w:hint="eastAsia" w:hAnsi="宋体" w:cs="宋体"/>
          <w:highlight w:val="none"/>
        </w:rPr>
        <w:t>。</w:t>
      </w:r>
    </w:p>
    <w:p w14:paraId="3A1E32E2">
      <w:pPr>
        <w:adjustRightInd w:val="0"/>
        <w:snapToGrid w:val="0"/>
        <w:spacing w:line="360" w:lineRule="auto"/>
        <w:ind w:firstLine="420" w:firstLineChars="175"/>
        <w:rPr>
          <w:rFonts w:hAnsi="宋体" w:cs="宋体"/>
          <w:bCs/>
          <w:highlight w:val="none"/>
          <w:u w:val="single"/>
        </w:rPr>
      </w:pPr>
      <w:r>
        <w:rPr>
          <w:rFonts w:hint="eastAsia" w:hAnsi="宋体" w:cs="宋体"/>
          <w:highlight w:val="none"/>
          <w:u w:val="single"/>
        </w:rPr>
        <w:t>6.</w:t>
      </w:r>
      <w:r>
        <w:rPr>
          <w:rFonts w:hint="eastAsia" w:hAnsi="宋体" w:cs="宋体"/>
          <w:highlight w:val="none"/>
          <w:u w:val="single"/>
          <w:lang w:val="en-US" w:eastAsia="zh-CN"/>
        </w:rPr>
        <w:t xml:space="preserve">                      </w:t>
      </w:r>
      <w:r>
        <w:rPr>
          <w:rFonts w:hint="eastAsia" w:hAnsi="宋体" w:cs="宋体"/>
          <w:highlight w:val="none"/>
          <w:u w:val="none"/>
        </w:rPr>
        <w:t>（其他补充说明）。</w:t>
      </w:r>
    </w:p>
    <w:p w14:paraId="314A3B5A">
      <w:pPr>
        <w:adjustRightInd w:val="0"/>
        <w:snapToGrid w:val="0"/>
        <w:spacing w:line="360" w:lineRule="auto"/>
        <w:ind w:firstLine="420" w:firstLineChars="175"/>
        <w:rPr>
          <w:rFonts w:hAnsi="宋体" w:cs="宋体"/>
          <w:bCs/>
          <w:highlight w:val="none"/>
        </w:rPr>
      </w:pPr>
    </w:p>
    <w:p w14:paraId="793903BF">
      <w:pPr>
        <w:adjustRightInd w:val="0"/>
        <w:snapToGrid w:val="0"/>
        <w:spacing w:line="360" w:lineRule="auto"/>
        <w:jc w:val="right"/>
        <w:rPr>
          <w:rFonts w:hint="eastAsia" w:ascii="Times New Roman"/>
          <w:bCs/>
          <w:color w:val="auto"/>
          <w:sz w:val="24"/>
          <w:szCs w:val="24"/>
          <w:highlight w:val="none"/>
          <w:u w:val="single"/>
        </w:rPr>
      </w:pPr>
      <w:r>
        <w:rPr>
          <w:rFonts w:hint="eastAsia" w:ascii="Times New Roman"/>
          <w:bCs/>
          <w:color w:val="auto"/>
          <w:spacing w:val="120"/>
          <w:kern w:val="0"/>
          <w:sz w:val="24"/>
          <w:szCs w:val="24"/>
          <w:highlight w:val="none"/>
          <w:fitText w:val="1200" w:id="1669233898"/>
        </w:rPr>
        <w:t>投标</w:t>
      </w:r>
      <w:r>
        <w:rPr>
          <w:rFonts w:hint="eastAsia" w:ascii="Times New Roman"/>
          <w:bCs/>
          <w:color w:val="auto"/>
          <w:spacing w:val="0"/>
          <w:kern w:val="0"/>
          <w:sz w:val="24"/>
          <w:szCs w:val="24"/>
          <w:highlight w:val="none"/>
          <w:fitText w:val="1200" w:id="1669233898"/>
        </w:rPr>
        <w:t>人</w:t>
      </w:r>
      <w:r>
        <w:rPr>
          <w:rFonts w:hint="eastAsia" w:ascii="Times New Roman"/>
          <w:bCs/>
          <w:color w:val="auto"/>
          <w:sz w:val="24"/>
          <w:szCs w:val="24"/>
          <w:highlight w:val="none"/>
        </w:rPr>
        <w:t>：</w:t>
      </w:r>
      <w:r>
        <w:rPr>
          <w:rFonts w:hint="eastAsia" w:ascii="Times New Roman"/>
          <w:bCs/>
          <w:color w:val="auto"/>
          <w:sz w:val="24"/>
          <w:szCs w:val="24"/>
          <w:highlight w:val="none"/>
          <w:u w:val="single"/>
        </w:rPr>
        <w:t xml:space="preserve">            </w:t>
      </w:r>
      <w:r>
        <w:rPr>
          <w:rFonts w:hint="eastAsia" w:ascii="Times New Roman"/>
          <w:bCs/>
          <w:color w:val="auto"/>
          <w:sz w:val="24"/>
          <w:szCs w:val="24"/>
          <w:highlight w:val="none"/>
        </w:rPr>
        <w:t>（盖单位章）</w:t>
      </w:r>
    </w:p>
    <w:p w14:paraId="10F8DB50">
      <w:pPr>
        <w:adjustRightInd w:val="0"/>
        <w:snapToGrid w:val="0"/>
        <w:spacing w:line="360" w:lineRule="auto"/>
        <w:jc w:val="right"/>
        <w:rPr>
          <w:rFonts w:hint="eastAsia" w:ascii="Times New Roman"/>
          <w:color w:val="auto"/>
          <w:sz w:val="24"/>
          <w:szCs w:val="24"/>
          <w:highlight w:val="none"/>
          <w:u w:val="single"/>
        </w:rPr>
      </w:pPr>
      <w:r>
        <w:rPr>
          <w:rFonts w:hint="eastAsia" w:ascii="Times New Roman"/>
          <w:color w:val="auto"/>
          <w:spacing w:val="0"/>
          <w:kern w:val="0"/>
          <w:sz w:val="24"/>
          <w:szCs w:val="24"/>
          <w:highlight w:val="none"/>
          <w:fitText w:val="1200" w:id="259157900"/>
        </w:rPr>
        <w:t>法定代表人</w:t>
      </w:r>
      <w:r>
        <w:rPr>
          <w:rFonts w:hint="eastAsia" w:ascii="Times New Roman"/>
          <w:color w:val="auto"/>
          <w:sz w:val="24"/>
          <w:szCs w:val="24"/>
          <w:highlight w:val="none"/>
        </w:rPr>
        <w:t>：</w:t>
      </w:r>
      <w:r>
        <w:rPr>
          <w:rFonts w:hint="eastAsia" w:ascii="Times New Roman"/>
          <w:bCs/>
          <w:color w:val="auto"/>
          <w:sz w:val="24"/>
          <w:szCs w:val="24"/>
          <w:highlight w:val="none"/>
          <w:u w:val="single"/>
        </w:rPr>
        <w:t xml:space="preserve">          </w:t>
      </w:r>
      <w:r>
        <w:rPr>
          <w:rFonts w:hint="eastAsia" w:ascii="Times New Roman"/>
          <w:color w:val="auto"/>
          <w:sz w:val="24"/>
          <w:szCs w:val="24"/>
          <w:highlight w:val="none"/>
        </w:rPr>
        <w:t>（签字或盖章）</w:t>
      </w:r>
    </w:p>
    <w:p w14:paraId="0952612E">
      <w:pPr>
        <w:adjustRightInd w:val="0"/>
        <w:snapToGrid w:val="0"/>
        <w:spacing w:line="360" w:lineRule="auto"/>
        <w:ind w:firstLine="1680" w:firstLineChars="175"/>
        <w:jc w:val="right"/>
        <w:rPr>
          <w:rFonts w:hAnsi="宋体" w:cs="宋体"/>
          <w:highlight w:val="none"/>
        </w:rPr>
      </w:pPr>
      <w:r>
        <w:rPr>
          <w:rFonts w:hint="eastAsia" w:ascii="Times New Roman"/>
          <w:bCs/>
          <w:color w:val="auto"/>
          <w:spacing w:val="360"/>
          <w:kern w:val="0"/>
          <w:sz w:val="24"/>
          <w:szCs w:val="24"/>
          <w:highlight w:val="none"/>
          <w:fitText w:val="1200" w:id="1583225148"/>
        </w:rPr>
        <w:t>日</w:t>
      </w:r>
      <w:r>
        <w:rPr>
          <w:rFonts w:hint="eastAsia" w:ascii="Times New Roman"/>
          <w:bCs/>
          <w:color w:val="auto"/>
          <w:spacing w:val="0"/>
          <w:kern w:val="0"/>
          <w:sz w:val="24"/>
          <w:szCs w:val="24"/>
          <w:highlight w:val="none"/>
          <w:fitText w:val="1200" w:id="1583225148"/>
        </w:rPr>
        <w:t>期</w:t>
      </w:r>
      <w:r>
        <w:rPr>
          <w:rFonts w:hint="eastAsia" w:ascii="Times New Roman"/>
          <w:color w:val="auto"/>
          <w:sz w:val="24"/>
          <w:szCs w:val="24"/>
          <w:highlight w:val="none"/>
        </w:rPr>
        <w:t>：</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年</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月</w:t>
      </w:r>
      <w:r>
        <w:rPr>
          <w:rFonts w:hint="eastAsia" w:ascii="Times New Roman"/>
          <w:color w:val="auto"/>
          <w:sz w:val="24"/>
          <w:szCs w:val="24"/>
          <w:highlight w:val="none"/>
          <w:u w:val="single"/>
        </w:rPr>
        <w:t xml:space="preserve">      </w:t>
      </w:r>
      <w:r>
        <w:rPr>
          <w:rFonts w:hint="eastAsia" w:ascii="宋体" w:hAnsi="宋体" w:cs="宋体"/>
          <w:color w:val="auto"/>
          <w:sz w:val="24"/>
          <w:highlight w:val="none"/>
        </w:rPr>
        <w:t>日</w:t>
      </w:r>
    </w:p>
    <w:p w14:paraId="270DA346">
      <w:pPr>
        <w:pStyle w:val="2"/>
        <w:spacing w:beforeLines="100" w:afterLines="100" w:line="240" w:lineRule="auto"/>
        <w:jc w:val="center"/>
        <w:rPr>
          <w:rFonts w:ascii="Times New Roman" w:hAnsi="Times New Roman"/>
          <w:bCs w:val="0"/>
          <w:sz w:val="32"/>
          <w:szCs w:val="32"/>
          <w:highlight w:val="none"/>
        </w:rPr>
      </w:pPr>
      <w:r>
        <w:rPr>
          <w:rFonts w:hint="eastAsia" w:ascii="Times New Roman" w:hAnsi="Times New Roman"/>
          <w:highlight w:val="none"/>
        </w:rPr>
        <w:br w:type="page"/>
      </w:r>
      <w:r>
        <w:rPr>
          <w:rFonts w:hint="eastAsia" w:ascii="Times New Roman" w:hAnsi="Times New Roman"/>
          <w:highlight w:val="none"/>
        </w:rPr>
        <w:t>二、</w:t>
      </w:r>
      <w:bookmarkEnd w:id="1082"/>
      <w:bookmarkEnd w:id="1083"/>
      <w:bookmarkEnd w:id="1084"/>
      <w:bookmarkEnd w:id="1085"/>
      <w:r>
        <w:rPr>
          <w:rFonts w:hint="eastAsia" w:ascii="Times New Roman" w:hAnsi="Times New Roman"/>
          <w:highlight w:val="none"/>
        </w:rPr>
        <w:t>法定代表人身份证明或授权委托书</w:t>
      </w:r>
    </w:p>
    <w:p w14:paraId="1A4E97C6">
      <w:pPr>
        <w:spacing w:line="360" w:lineRule="auto"/>
        <w:ind w:firstLine="1159" w:firstLineChars="414"/>
        <w:rPr>
          <w:bCs/>
          <w:sz w:val="28"/>
          <w:szCs w:val="22"/>
          <w:highlight w:val="none"/>
        </w:rPr>
      </w:pPr>
    </w:p>
    <w:p w14:paraId="3AB79CB6">
      <w:pPr>
        <w:spacing w:line="360" w:lineRule="auto"/>
        <w:jc w:val="center"/>
        <w:outlineLvl w:val="3"/>
        <w:rPr>
          <w:rFonts w:ascii="黑体" w:hAnsi="黑体" w:eastAsia="黑体" w:cs="黑体"/>
          <w:bCs/>
          <w:highlight w:val="none"/>
        </w:rPr>
      </w:pPr>
      <w:r>
        <w:rPr>
          <w:rFonts w:hint="eastAsia" w:ascii="黑体" w:hAnsi="黑体" w:eastAsia="黑体" w:cs="黑体"/>
          <w:bCs/>
          <w:highlight w:val="none"/>
        </w:rPr>
        <w:t>法定代表人身份证明</w:t>
      </w:r>
    </w:p>
    <w:p w14:paraId="004EC69E">
      <w:pPr>
        <w:spacing w:line="360" w:lineRule="auto"/>
        <w:ind w:left="765"/>
        <w:rPr>
          <w:rFonts w:hAnsi="宋体" w:cs="宋体"/>
          <w:highlight w:val="none"/>
        </w:rPr>
      </w:pPr>
    </w:p>
    <w:p w14:paraId="30344B23">
      <w:pPr>
        <w:spacing w:line="360" w:lineRule="auto"/>
        <w:rPr>
          <w:rFonts w:hAnsi="宋体" w:cs="宋体"/>
          <w:highlight w:val="none"/>
        </w:rPr>
      </w:pPr>
      <w:r>
        <w:rPr>
          <w:rFonts w:hint="eastAsia" w:hAnsi="宋体" w:cs="宋体"/>
          <w:highlight w:val="none"/>
        </w:rPr>
        <w:t>投 标 人：</w:t>
      </w:r>
      <w:r>
        <w:rPr>
          <w:rFonts w:hint="eastAsia" w:hAnsi="宋体" w:cs="宋体"/>
          <w:highlight w:val="none"/>
          <w:u w:val="single"/>
          <w:lang w:val="en-US" w:eastAsia="zh-CN"/>
        </w:rPr>
        <w:t xml:space="preserve">                                                         </w:t>
      </w:r>
    </w:p>
    <w:p w14:paraId="5C5C125A">
      <w:pPr>
        <w:spacing w:line="360" w:lineRule="auto"/>
        <w:rPr>
          <w:rFonts w:hAnsi="宋体" w:cs="宋体"/>
          <w:highlight w:val="none"/>
        </w:rPr>
      </w:pPr>
      <w:r>
        <w:rPr>
          <w:rFonts w:hint="eastAsia" w:hAnsi="宋体" w:cs="宋体"/>
          <w:highlight w:val="none"/>
        </w:rPr>
        <w:t>单位性质：</w:t>
      </w:r>
      <w:r>
        <w:rPr>
          <w:rFonts w:hint="eastAsia" w:hAnsi="宋体" w:cs="宋体"/>
          <w:highlight w:val="none"/>
          <w:u w:val="single"/>
          <w:lang w:val="en-US" w:eastAsia="zh-CN"/>
        </w:rPr>
        <w:t xml:space="preserve">                                                         </w:t>
      </w:r>
    </w:p>
    <w:p w14:paraId="2C83EB4C">
      <w:pPr>
        <w:spacing w:line="360" w:lineRule="auto"/>
        <w:rPr>
          <w:rFonts w:hAnsi="宋体" w:cs="宋体"/>
          <w:highlight w:val="none"/>
        </w:rPr>
      </w:pPr>
      <w:r>
        <w:rPr>
          <w:rFonts w:hint="eastAsia" w:hAnsi="宋体" w:cs="宋体"/>
          <w:highlight w:val="none"/>
        </w:rPr>
        <w:t>地    址：</w:t>
      </w:r>
      <w:r>
        <w:rPr>
          <w:rFonts w:hint="eastAsia" w:hAnsi="宋体" w:cs="宋体"/>
          <w:highlight w:val="none"/>
          <w:u w:val="single"/>
          <w:lang w:val="en-US" w:eastAsia="zh-CN"/>
        </w:rPr>
        <w:t xml:space="preserve">                                                         </w:t>
      </w:r>
    </w:p>
    <w:p w14:paraId="7090CA31">
      <w:pPr>
        <w:spacing w:line="360" w:lineRule="auto"/>
        <w:rPr>
          <w:rFonts w:hAnsi="宋体" w:cs="宋体"/>
          <w:highlight w:val="none"/>
          <w:u w:val="single"/>
        </w:rPr>
      </w:pPr>
      <w:r>
        <w:rPr>
          <w:rFonts w:hint="eastAsia" w:hAnsi="宋体" w:cs="宋体"/>
          <w:highlight w:val="none"/>
        </w:rPr>
        <w:t>成立时间：</w:t>
      </w:r>
      <w:r>
        <w:rPr>
          <w:rFonts w:hint="eastAsia" w:hAnsi="宋体" w:cs="宋体"/>
          <w:highlight w:val="none"/>
          <w:u w:val="single"/>
          <w:lang w:val="en-US" w:eastAsia="zh-CN"/>
        </w:rPr>
        <w:t xml:space="preserve">                   </w:t>
      </w:r>
      <w:r>
        <w:rPr>
          <w:rFonts w:hint="eastAsia" w:hAnsi="宋体" w:cs="宋体"/>
          <w:highlight w:val="none"/>
          <w:u w:val="none"/>
        </w:rPr>
        <w:t>年</w:t>
      </w:r>
      <w:r>
        <w:rPr>
          <w:rFonts w:hint="eastAsia" w:hAnsi="宋体" w:cs="宋体"/>
          <w:highlight w:val="none"/>
          <w:u w:val="single"/>
          <w:lang w:val="en-US" w:eastAsia="zh-CN"/>
        </w:rPr>
        <w:t xml:space="preserve">                </w:t>
      </w:r>
      <w:r>
        <w:rPr>
          <w:rFonts w:hint="eastAsia" w:hAnsi="宋体" w:cs="宋体"/>
          <w:highlight w:val="none"/>
          <w:u w:val="none"/>
        </w:rPr>
        <w:t>月</w:t>
      </w:r>
      <w:r>
        <w:rPr>
          <w:rFonts w:hint="eastAsia" w:hAnsi="宋体" w:cs="宋体"/>
          <w:highlight w:val="none"/>
          <w:u w:val="single"/>
          <w:lang w:val="en-US" w:eastAsia="zh-CN"/>
        </w:rPr>
        <w:t xml:space="preserve">                 </w:t>
      </w:r>
      <w:r>
        <w:rPr>
          <w:rFonts w:hint="eastAsia" w:hAnsi="宋体" w:cs="宋体"/>
          <w:highlight w:val="none"/>
          <w:u w:val="none"/>
        </w:rPr>
        <w:t>日</w:t>
      </w:r>
    </w:p>
    <w:p w14:paraId="4107F534">
      <w:pPr>
        <w:spacing w:line="360" w:lineRule="auto"/>
        <w:rPr>
          <w:rFonts w:hAnsi="宋体" w:cs="宋体"/>
          <w:highlight w:val="none"/>
        </w:rPr>
      </w:pPr>
      <w:r>
        <w:rPr>
          <w:rFonts w:hint="eastAsia" w:hAnsi="宋体" w:cs="宋体"/>
          <w:highlight w:val="none"/>
        </w:rPr>
        <w:t>经营期限：</w:t>
      </w:r>
      <w:r>
        <w:rPr>
          <w:rFonts w:hint="eastAsia" w:hAnsi="宋体" w:cs="宋体"/>
          <w:highlight w:val="none"/>
          <w:u w:val="single"/>
          <w:lang w:val="en-US" w:eastAsia="zh-CN"/>
        </w:rPr>
        <w:t xml:space="preserve">                                                          </w:t>
      </w:r>
    </w:p>
    <w:p w14:paraId="4590CC0E">
      <w:pPr>
        <w:spacing w:line="360" w:lineRule="auto"/>
        <w:rPr>
          <w:rFonts w:hAnsi="宋体" w:cs="宋体"/>
          <w:highlight w:val="none"/>
        </w:rPr>
      </w:pPr>
      <w:r>
        <w:rPr>
          <w:rFonts w:hint="eastAsia" w:hAnsi="宋体" w:cs="宋体"/>
          <w:highlight w:val="none"/>
        </w:rPr>
        <w:t>姓    名：</w:t>
      </w:r>
      <w:r>
        <w:rPr>
          <w:rFonts w:hint="eastAsia" w:hAnsi="宋体" w:cs="宋体"/>
          <w:highlight w:val="none"/>
          <w:u w:val="single"/>
          <w:lang w:val="en-US" w:eastAsia="zh-CN"/>
        </w:rPr>
        <w:t xml:space="preserve">                    </w:t>
      </w:r>
      <w:r>
        <w:rPr>
          <w:rFonts w:hint="eastAsia" w:hAnsi="宋体" w:cs="宋体"/>
          <w:highlight w:val="none"/>
          <w:lang w:val="en-US" w:eastAsia="zh-CN"/>
        </w:rPr>
        <w:t xml:space="preserve"> </w:t>
      </w:r>
      <w:r>
        <w:rPr>
          <w:rFonts w:hint="eastAsia" w:hAnsi="宋体" w:cs="宋体"/>
          <w:highlight w:val="none"/>
        </w:rPr>
        <w:t>性        别：</w:t>
      </w:r>
      <w:r>
        <w:rPr>
          <w:rFonts w:hint="eastAsia" w:hAnsi="宋体" w:cs="宋体"/>
          <w:highlight w:val="none"/>
          <w:u w:val="single"/>
          <w:lang w:val="en-US" w:eastAsia="zh-CN"/>
        </w:rPr>
        <w:t xml:space="preserve">                       </w:t>
      </w:r>
    </w:p>
    <w:p w14:paraId="16C2B52E">
      <w:pPr>
        <w:spacing w:line="360" w:lineRule="auto"/>
        <w:rPr>
          <w:rFonts w:hAnsi="宋体" w:cs="宋体"/>
          <w:highlight w:val="none"/>
          <w:u w:val="single"/>
        </w:rPr>
      </w:pPr>
      <w:r>
        <w:rPr>
          <w:rFonts w:hint="eastAsia" w:hAnsi="宋体" w:cs="宋体"/>
          <w:highlight w:val="none"/>
        </w:rPr>
        <w:t>年    龄：</w:t>
      </w:r>
      <w:r>
        <w:rPr>
          <w:rFonts w:hint="eastAsia" w:hAnsi="宋体" w:cs="宋体"/>
          <w:highlight w:val="none"/>
          <w:u w:val="single"/>
          <w:lang w:val="en-US" w:eastAsia="zh-CN"/>
        </w:rPr>
        <w:t xml:space="preserve">                    </w:t>
      </w:r>
      <w:r>
        <w:rPr>
          <w:rFonts w:hint="eastAsia" w:hAnsi="宋体" w:cs="宋体"/>
          <w:highlight w:val="none"/>
          <w:lang w:val="en-US" w:eastAsia="zh-CN"/>
        </w:rPr>
        <w:t xml:space="preserve"> </w:t>
      </w:r>
      <w:r>
        <w:rPr>
          <w:rFonts w:hint="eastAsia" w:hAnsi="宋体" w:cs="宋体"/>
          <w:highlight w:val="none"/>
        </w:rPr>
        <w:t>职        务：</w:t>
      </w:r>
      <w:r>
        <w:rPr>
          <w:rFonts w:hint="eastAsia" w:hAnsi="宋体" w:cs="宋体"/>
          <w:highlight w:val="none"/>
          <w:u w:val="single"/>
          <w:lang w:val="en-US" w:eastAsia="zh-CN"/>
        </w:rPr>
        <w:t xml:space="preserve">                       </w:t>
      </w:r>
    </w:p>
    <w:p w14:paraId="1C17BE24">
      <w:pPr>
        <w:spacing w:line="360" w:lineRule="auto"/>
        <w:rPr>
          <w:highlight w:val="none"/>
        </w:rPr>
      </w:pPr>
      <w:r>
        <w:rPr>
          <w:rFonts w:hint="eastAsia" w:ascii="Times New Roman"/>
          <w:szCs w:val="24"/>
          <w:highlight w:val="none"/>
        </w:rPr>
        <w:t>联系电话：</w:t>
      </w:r>
      <w:r>
        <w:rPr>
          <w:rFonts w:hint="eastAsia" w:ascii="Times New Roman"/>
          <w:szCs w:val="24"/>
          <w:highlight w:val="none"/>
          <w:u w:val="single"/>
          <w:lang w:val="en-US" w:eastAsia="zh-CN"/>
        </w:rPr>
        <w:t xml:space="preserve">                    </w:t>
      </w:r>
      <w:r>
        <w:rPr>
          <w:rFonts w:hint="eastAsia" w:ascii="Times New Roman"/>
          <w:szCs w:val="24"/>
          <w:highlight w:val="none"/>
          <w:lang w:val="en-US" w:eastAsia="zh-CN"/>
        </w:rPr>
        <w:t xml:space="preserve"> </w:t>
      </w:r>
      <w:r>
        <w:rPr>
          <w:rFonts w:hint="eastAsia" w:ascii="Times New Roman"/>
          <w:szCs w:val="24"/>
          <w:highlight w:val="none"/>
        </w:rPr>
        <w:t>手 机  号 码：</w:t>
      </w:r>
      <w:r>
        <w:rPr>
          <w:rFonts w:hint="eastAsia" w:hAnsi="宋体" w:cs="宋体"/>
          <w:highlight w:val="none"/>
          <w:u w:val="single"/>
          <w:lang w:val="en-US" w:eastAsia="zh-CN"/>
        </w:rPr>
        <w:t xml:space="preserve">                       </w:t>
      </w:r>
    </w:p>
    <w:p w14:paraId="7F7A4D8F">
      <w:pPr>
        <w:spacing w:line="360" w:lineRule="auto"/>
        <w:rPr>
          <w:rFonts w:hAnsi="宋体" w:cs="宋体"/>
          <w:highlight w:val="none"/>
        </w:rPr>
      </w:pPr>
      <w:r>
        <w:rPr>
          <w:rFonts w:hint="eastAsia" w:hAnsi="宋体" w:cs="宋体"/>
          <w:highlight w:val="none"/>
        </w:rPr>
        <w:t>系</w:t>
      </w:r>
      <w:r>
        <w:rPr>
          <w:rFonts w:hint="eastAsia" w:hAnsi="宋体" w:cs="宋体"/>
          <w:highlight w:val="none"/>
          <w:u w:val="single"/>
          <w:lang w:val="en-US" w:eastAsia="zh-CN"/>
        </w:rPr>
        <w:t xml:space="preserve">                             </w:t>
      </w:r>
      <w:r>
        <w:rPr>
          <w:rFonts w:hint="eastAsia" w:hAnsi="宋体" w:cs="宋体"/>
          <w:highlight w:val="none"/>
          <w:u w:val="none"/>
        </w:rPr>
        <w:t>（投标人名称）</w:t>
      </w:r>
      <w:r>
        <w:rPr>
          <w:rFonts w:hint="eastAsia" w:hAnsi="宋体" w:cs="宋体"/>
          <w:highlight w:val="none"/>
        </w:rPr>
        <w:t>的法定代表人。</w:t>
      </w:r>
    </w:p>
    <w:p w14:paraId="522BD822">
      <w:pPr>
        <w:spacing w:line="360" w:lineRule="auto"/>
        <w:rPr>
          <w:rFonts w:hAnsi="宋体" w:cs="宋体"/>
          <w:highlight w:val="none"/>
        </w:rPr>
      </w:pPr>
      <w:r>
        <w:rPr>
          <w:rFonts w:hint="eastAsia" w:hAnsi="宋体" w:cs="宋体"/>
          <w:highlight w:val="none"/>
        </w:rPr>
        <w:t>特此证明。</w:t>
      </w:r>
    </w:p>
    <w:p w14:paraId="536CF2CC">
      <w:pPr>
        <w:spacing w:line="360" w:lineRule="auto"/>
        <w:rPr>
          <w:rFonts w:hAnsi="宋体" w:cs="宋体"/>
          <w:highlight w:val="none"/>
        </w:rPr>
      </w:pPr>
      <w:r>
        <w:rPr>
          <w:rFonts w:hint="eastAsia" w:hAnsi="宋体" w:cs="宋体"/>
          <w:highlight w:val="none"/>
        </w:rPr>
        <w:t>附：法定代表人身份证正反面扫描件</w:t>
      </w:r>
    </w:p>
    <w:p w14:paraId="5CB1DEE6">
      <w:pPr>
        <w:spacing w:line="360" w:lineRule="auto"/>
        <w:rPr>
          <w:rFonts w:hAnsi="宋体" w:cs="宋体"/>
          <w:highlight w:val="none"/>
        </w:rPr>
      </w:pPr>
    </w:p>
    <w:p w14:paraId="2CB64590">
      <w:pPr>
        <w:spacing w:line="360" w:lineRule="auto"/>
        <w:rPr>
          <w:rFonts w:hAnsi="宋体" w:cs="宋体"/>
          <w:highlight w:val="none"/>
        </w:rPr>
      </w:pPr>
    </w:p>
    <w:p w14:paraId="487D2A00">
      <w:pPr>
        <w:adjustRightInd w:val="0"/>
        <w:snapToGrid w:val="0"/>
        <w:spacing w:line="360" w:lineRule="auto"/>
        <w:ind w:left="5040" w:leftChars="500" w:hanging="3840" w:hangingChars="800"/>
        <w:jc w:val="right"/>
        <w:rPr>
          <w:rFonts w:hint="eastAsia" w:ascii="Times New Roman"/>
          <w:bCs/>
          <w:szCs w:val="24"/>
          <w:highlight w:val="none"/>
          <w:u w:val="none"/>
        </w:rPr>
      </w:pPr>
      <w:r>
        <w:rPr>
          <w:rFonts w:hint="eastAsia" w:ascii="Times New Roman"/>
          <w:bCs/>
          <w:spacing w:val="120"/>
          <w:kern w:val="0"/>
          <w:szCs w:val="24"/>
          <w:highlight w:val="none"/>
          <w:fitText w:val="1200" w:id="1084178010"/>
        </w:rPr>
        <w:t>投标</w:t>
      </w:r>
      <w:r>
        <w:rPr>
          <w:rFonts w:hint="eastAsia" w:ascii="Times New Roman"/>
          <w:bCs/>
          <w:spacing w:val="0"/>
          <w:kern w:val="0"/>
          <w:szCs w:val="24"/>
          <w:highlight w:val="none"/>
          <w:fitText w:val="1200" w:id="1084178010"/>
        </w:rPr>
        <w:t>人</w:t>
      </w:r>
      <w:r>
        <w:rPr>
          <w:rFonts w:hint="eastAsia" w:ascii="Times New Roman"/>
          <w:bCs/>
          <w:szCs w:val="24"/>
          <w:highlight w:val="none"/>
        </w:rPr>
        <w:t>：</w:t>
      </w:r>
      <w:r>
        <w:rPr>
          <w:rFonts w:hint="eastAsia" w:ascii="Times New Roman"/>
          <w:bCs/>
          <w:szCs w:val="24"/>
          <w:highlight w:val="none"/>
          <w:u w:val="single"/>
          <w:lang w:val="en-US" w:eastAsia="zh-CN"/>
        </w:rPr>
        <w:t xml:space="preserve">                  </w:t>
      </w:r>
      <w:r>
        <w:rPr>
          <w:rFonts w:hint="eastAsia" w:ascii="Times New Roman"/>
          <w:bCs/>
          <w:szCs w:val="24"/>
          <w:highlight w:val="none"/>
          <w:u w:val="none"/>
        </w:rPr>
        <w:t>（盖单位章）</w:t>
      </w:r>
    </w:p>
    <w:p w14:paraId="6D62F81C">
      <w:pPr>
        <w:adjustRightInd w:val="0"/>
        <w:snapToGrid w:val="0"/>
        <w:spacing w:line="360" w:lineRule="auto"/>
        <w:ind w:left="8880" w:leftChars="500" w:hanging="7680" w:hangingChars="800"/>
        <w:jc w:val="right"/>
        <w:rPr>
          <w:rFonts w:ascii="Times New Roman" w:eastAsia="黑体"/>
          <w:szCs w:val="24"/>
          <w:highlight w:val="none"/>
        </w:rPr>
      </w:pPr>
      <w:r>
        <w:rPr>
          <w:rFonts w:hint="eastAsia" w:ascii="Times New Roman"/>
          <w:bCs/>
          <w:spacing w:val="360"/>
          <w:kern w:val="0"/>
          <w:szCs w:val="24"/>
          <w:highlight w:val="none"/>
          <w:fitText w:val="1200" w:id="1440298670"/>
        </w:rPr>
        <w:t>日</w:t>
      </w:r>
      <w:r>
        <w:rPr>
          <w:rFonts w:hint="eastAsia" w:ascii="Times New Roman"/>
          <w:bCs/>
          <w:spacing w:val="0"/>
          <w:kern w:val="0"/>
          <w:szCs w:val="24"/>
          <w:highlight w:val="none"/>
          <w:fitText w:val="1200" w:id="1440298670"/>
        </w:rPr>
        <w:t>期</w:t>
      </w:r>
      <w:r>
        <w:rPr>
          <w:rFonts w:hint="eastAsia" w:ascii="Times New Roman"/>
          <w:szCs w:val="24"/>
          <w:highlight w:val="none"/>
        </w:rPr>
        <w:t>：</w:t>
      </w:r>
      <w:r>
        <w:rPr>
          <w:rFonts w:hint="eastAsia" w:ascii="Times New Roman"/>
          <w:szCs w:val="24"/>
          <w:highlight w:val="none"/>
          <w:lang w:val="en-US" w:eastAsia="zh-CN"/>
        </w:rPr>
        <w:t xml:space="preserve">  </w:t>
      </w:r>
      <w:r>
        <w:rPr>
          <w:rFonts w:hint="eastAsia" w:ascii="Times New Roman"/>
          <w:szCs w:val="24"/>
          <w:highlight w:val="none"/>
          <w:u w:val="single"/>
          <w:lang w:val="en-US" w:eastAsia="zh-CN"/>
        </w:rPr>
        <w:t xml:space="preserve">        </w:t>
      </w:r>
      <w:r>
        <w:rPr>
          <w:rFonts w:hint="eastAsia" w:ascii="Times New Roman"/>
          <w:szCs w:val="24"/>
          <w:highlight w:val="none"/>
          <w:u w:val="none"/>
        </w:rPr>
        <w:t>年</w:t>
      </w:r>
      <w:r>
        <w:rPr>
          <w:rFonts w:hint="eastAsia" w:ascii="Times New Roman"/>
          <w:szCs w:val="24"/>
          <w:highlight w:val="none"/>
          <w:u w:val="single"/>
          <w:lang w:val="en-US" w:eastAsia="zh-CN"/>
        </w:rPr>
        <w:t xml:space="preserve">       </w:t>
      </w:r>
      <w:r>
        <w:rPr>
          <w:rFonts w:hint="eastAsia" w:ascii="Times New Roman"/>
          <w:szCs w:val="24"/>
          <w:highlight w:val="none"/>
          <w:u w:val="none"/>
        </w:rPr>
        <w:t>月</w:t>
      </w:r>
      <w:r>
        <w:rPr>
          <w:rFonts w:hint="eastAsia" w:ascii="Times New Roman"/>
          <w:szCs w:val="24"/>
          <w:highlight w:val="none"/>
          <w:u w:val="single"/>
          <w:lang w:val="en-US" w:eastAsia="zh-CN"/>
        </w:rPr>
        <w:t xml:space="preserve">       </w:t>
      </w:r>
      <w:r>
        <w:rPr>
          <w:rFonts w:hint="eastAsia" w:ascii="Times New Roman"/>
          <w:szCs w:val="24"/>
          <w:highlight w:val="none"/>
          <w:u w:val="none"/>
        </w:rPr>
        <w:t>日</w:t>
      </w:r>
    </w:p>
    <w:p w14:paraId="6B81581D">
      <w:pPr>
        <w:spacing w:beforeLines="20" w:afterLines="20" w:line="540" w:lineRule="exact"/>
        <w:ind w:firstLine="3840" w:firstLineChars="1600"/>
        <w:rPr>
          <w:szCs w:val="22"/>
          <w:highlight w:val="none"/>
        </w:rPr>
      </w:pPr>
    </w:p>
    <w:p w14:paraId="24F790E6">
      <w:pPr>
        <w:spacing w:beforeLines="20" w:afterLines="20" w:line="540" w:lineRule="exact"/>
        <w:rPr>
          <w:bCs/>
          <w:szCs w:val="22"/>
          <w:highlight w:val="none"/>
        </w:rPr>
      </w:pPr>
    </w:p>
    <w:p w14:paraId="64EE6591">
      <w:pPr>
        <w:spacing w:beforeLines="20" w:afterLines="20" w:line="540" w:lineRule="exact"/>
        <w:rPr>
          <w:bCs/>
          <w:szCs w:val="22"/>
          <w:highlight w:val="none"/>
        </w:rPr>
      </w:pPr>
    </w:p>
    <w:p w14:paraId="4222E322">
      <w:pPr>
        <w:spacing w:beforeLines="20" w:afterLines="20" w:line="540" w:lineRule="exact"/>
        <w:rPr>
          <w:bCs/>
          <w:szCs w:val="22"/>
          <w:highlight w:val="none"/>
        </w:rPr>
      </w:pPr>
    </w:p>
    <w:bookmarkEnd w:id="1086"/>
    <w:p w14:paraId="2E8FABAD">
      <w:pPr>
        <w:jc w:val="center"/>
        <w:outlineLvl w:val="3"/>
        <w:rPr>
          <w:sz w:val="32"/>
          <w:szCs w:val="32"/>
          <w:highlight w:val="none"/>
        </w:rPr>
      </w:pPr>
      <w:bookmarkStart w:id="1090" w:name="_Toc535241130"/>
      <w:bookmarkStart w:id="1091" w:name="_Toc535241084"/>
      <w:bookmarkStart w:id="1092" w:name="_Toc535241227"/>
      <w:bookmarkStart w:id="1093" w:name="_Toc224103498"/>
      <w:bookmarkStart w:id="1094" w:name="_Toc224103497"/>
      <w:r>
        <w:rPr>
          <w:sz w:val="32"/>
          <w:szCs w:val="32"/>
          <w:highlight w:val="none"/>
        </w:rPr>
        <w:br w:type="page"/>
      </w:r>
      <w:r>
        <w:rPr>
          <w:rFonts w:hint="eastAsia" w:eastAsia="黑体"/>
          <w:bCs/>
          <w:highlight w:val="none"/>
        </w:rPr>
        <w:t>授权委托书</w:t>
      </w:r>
      <w:bookmarkEnd w:id="1090"/>
      <w:bookmarkEnd w:id="1091"/>
      <w:bookmarkEnd w:id="1092"/>
    </w:p>
    <w:p w14:paraId="74C96544">
      <w:pPr>
        <w:rPr>
          <w:highlight w:val="none"/>
        </w:rPr>
      </w:pPr>
    </w:p>
    <w:bookmarkEnd w:id="1093"/>
    <w:bookmarkEnd w:id="1094"/>
    <w:p w14:paraId="0CC076A5">
      <w:pPr>
        <w:snapToGrid w:val="0"/>
        <w:spacing w:line="360" w:lineRule="auto"/>
        <w:ind w:firstLine="480" w:firstLineChars="200"/>
        <w:jc w:val="left"/>
        <w:rPr>
          <w:rFonts w:hint="eastAsia" w:ascii="宋体" w:hAnsi="宋体" w:cs="宋体"/>
          <w:color w:val="auto"/>
          <w:sz w:val="24"/>
          <w:highlight w:val="none"/>
        </w:rPr>
      </w:pPr>
      <w:bookmarkStart w:id="1095" w:name="_Toc535241131"/>
      <w:bookmarkStart w:id="1096" w:name="_Toc460227109"/>
      <w:bookmarkStart w:id="1097" w:name="_Toc390411622"/>
      <w:bookmarkStart w:id="1098" w:name="_Toc460660224"/>
      <w:bookmarkStart w:id="1099" w:name="_Toc535241228"/>
      <w:bookmarkStart w:id="1100" w:name="_Toc421917002"/>
      <w:bookmarkStart w:id="1101" w:name="_Toc224103499"/>
      <w:bookmarkStart w:id="1102" w:name="_Toc535241085"/>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hAnsi="宋体"/>
          <w:color w:val="auto"/>
          <w:sz w:val="24"/>
          <w:highlight w:val="none"/>
          <w:u w:val="single"/>
        </w:rPr>
        <w:t>（招标项目名称）</w:t>
      </w: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标段</w:t>
      </w:r>
      <w:r>
        <w:rPr>
          <w:rFonts w:hint="eastAsia" w:ascii="宋体" w:hAnsi="宋体" w:cs="宋体"/>
          <w:color w:val="auto"/>
          <w:sz w:val="24"/>
          <w:highlight w:val="none"/>
        </w:rPr>
        <w:t>投标文件、签订合同和处理有关事宜，其法律后果由我方承担。</w:t>
      </w:r>
    </w:p>
    <w:p w14:paraId="36CD592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委托期限：</w:t>
      </w:r>
      <w:r>
        <w:rPr>
          <w:rFonts w:hint="eastAsia" w:ascii="Times New Roman"/>
          <w:color w:val="auto"/>
          <w:sz w:val="24"/>
          <w:szCs w:val="24"/>
          <w:highlight w:val="none"/>
          <w:u w:val="single"/>
        </w:rPr>
        <w:t>自本委托书签署之日起至投标有效期期满</w:t>
      </w:r>
      <w:r>
        <w:rPr>
          <w:rFonts w:hint="eastAsia" w:ascii="宋体" w:hAnsi="宋体" w:cs="宋体"/>
          <w:color w:val="auto"/>
          <w:sz w:val="24"/>
          <w:highlight w:val="none"/>
        </w:rPr>
        <w:t>。</w:t>
      </w:r>
    </w:p>
    <w:p w14:paraId="1F01550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14:paraId="17375EA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w:t>
      </w:r>
    </w:p>
    <w:p w14:paraId="166557D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代理人身份证</w:t>
      </w:r>
      <w:r>
        <w:rPr>
          <w:rFonts w:hint="eastAsia" w:ascii="宋体" w:hAnsi="宋体" w:cs="宋体"/>
          <w:color w:val="auto"/>
          <w:sz w:val="24"/>
          <w:highlight w:val="none"/>
          <w:lang w:val="en-US" w:eastAsia="zh-CN"/>
        </w:rPr>
        <w:t>正反面</w:t>
      </w:r>
      <w:r>
        <w:rPr>
          <w:rFonts w:hint="eastAsia" w:ascii="宋体" w:hAnsi="宋体" w:cs="宋体"/>
          <w:color w:val="auto"/>
          <w:sz w:val="24"/>
          <w:highlight w:val="none"/>
        </w:rPr>
        <w:t>扫描件</w:t>
      </w:r>
    </w:p>
    <w:p w14:paraId="1E022439">
      <w:pPr>
        <w:adjustRightInd w:val="0"/>
        <w:snapToGrid w:val="0"/>
        <w:spacing w:line="360" w:lineRule="auto"/>
        <w:jc w:val="right"/>
        <w:rPr>
          <w:rFonts w:hint="eastAsia" w:ascii="Times New Roman"/>
          <w:bCs/>
          <w:color w:val="auto"/>
          <w:sz w:val="24"/>
          <w:szCs w:val="24"/>
          <w:highlight w:val="none"/>
          <w:u w:val="single"/>
        </w:rPr>
      </w:pPr>
      <w:r>
        <w:rPr>
          <w:rFonts w:hint="eastAsia" w:ascii="Times New Roman"/>
          <w:bCs/>
          <w:color w:val="auto"/>
          <w:spacing w:val="120"/>
          <w:kern w:val="0"/>
          <w:sz w:val="24"/>
          <w:szCs w:val="24"/>
          <w:highlight w:val="none"/>
          <w:fitText w:val="1200" w:id="368118684"/>
        </w:rPr>
        <w:t>投标</w:t>
      </w:r>
      <w:r>
        <w:rPr>
          <w:rFonts w:hint="eastAsia" w:ascii="Times New Roman"/>
          <w:bCs/>
          <w:color w:val="auto"/>
          <w:spacing w:val="0"/>
          <w:kern w:val="0"/>
          <w:sz w:val="24"/>
          <w:szCs w:val="24"/>
          <w:highlight w:val="none"/>
          <w:fitText w:val="1200" w:id="368118684"/>
        </w:rPr>
        <w:t>人</w:t>
      </w:r>
      <w:r>
        <w:rPr>
          <w:rFonts w:hint="eastAsia" w:ascii="Times New Roman"/>
          <w:bCs/>
          <w:color w:val="auto"/>
          <w:sz w:val="24"/>
          <w:szCs w:val="24"/>
          <w:highlight w:val="none"/>
        </w:rPr>
        <w:t>：</w:t>
      </w:r>
      <w:r>
        <w:rPr>
          <w:rFonts w:hint="eastAsia" w:ascii="Times New Roman"/>
          <w:bCs/>
          <w:color w:val="auto"/>
          <w:sz w:val="24"/>
          <w:szCs w:val="24"/>
          <w:highlight w:val="none"/>
          <w:u w:val="single"/>
        </w:rPr>
        <w:t xml:space="preserve">            </w:t>
      </w:r>
      <w:r>
        <w:rPr>
          <w:rFonts w:hint="eastAsia" w:ascii="Times New Roman"/>
          <w:bCs/>
          <w:color w:val="auto"/>
          <w:sz w:val="24"/>
          <w:szCs w:val="24"/>
          <w:highlight w:val="none"/>
        </w:rPr>
        <w:t>（盖单位章）</w:t>
      </w:r>
    </w:p>
    <w:p w14:paraId="318CFE06">
      <w:pPr>
        <w:adjustRightInd w:val="0"/>
        <w:snapToGrid w:val="0"/>
        <w:spacing w:line="360" w:lineRule="auto"/>
        <w:jc w:val="right"/>
        <w:rPr>
          <w:rFonts w:hint="eastAsia" w:ascii="Times New Roman"/>
          <w:color w:val="auto"/>
          <w:sz w:val="24"/>
          <w:szCs w:val="24"/>
          <w:highlight w:val="none"/>
          <w:u w:val="single"/>
        </w:rPr>
      </w:pPr>
      <w:r>
        <w:rPr>
          <w:rFonts w:hint="eastAsia" w:ascii="Times New Roman"/>
          <w:color w:val="auto"/>
          <w:spacing w:val="0"/>
          <w:kern w:val="0"/>
          <w:sz w:val="24"/>
          <w:szCs w:val="24"/>
          <w:highlight w:val="none"/>
          <w:fitText w:val="1200" w:id="1662793766"/>
        </w:rPr>
        <w:t>法定代表人</w:t>
      </w:r>
      <w:r>
        <w:rPr>
          <w:rFonts w:hint="eastAsia" w:ascii="Times New Roman"/>
          <w:color w:val="auto"/>
          <w:sz w:val="24"/>
          <w:szCs w:val="24"/>
          <w:highlight w:val="none"/>
        </w:rPr>
        <w:t>：</w:t>
      </w:r>
      <w:r>
        <w:rPr>
          <w:rFonts w:hint="eastAsia" w:ascii="Times New Roman"/>
          <w:bCs/>
          <w:color w:val="auto"/>
          <w:sz w:val="24"/>
          <w:szCs w:val="24"/>
          <w:highlight w:val="none"/>
          <w:u w:val="single"/>
        </w:rPr>
        <w:t xml:space="preserve">          </w:t>
      </w:r>
      <w:r>
        <w:rPr>
          <w:rFonts w:hint="eastAsia" w:ascii="Times New Roman"/>
          <w:color w:val="auto"/>
          <w:sz w:val="24"/>
          <w:szCs w:val="24"/>
          <w:highlight w:val="none"/>
        </w:rPr>
        <w:t>（签字或盖章）</w:t>
      </w:r>
    </w:p>
    <w:p w14:paraId="0925765D">
      <w:pPr>
        <w:adjustRightInd w:val="0"/>
        <w:snapToGrid w:val="0"/>
        <w:spacing w:line="360" w:lineRule="auto"/>
        <w:jc w:val="right"/>
        <w:rPr>
          <w:rFonts w:hint="eastAsia" w:ascii="Times New Roman" w:eastAsia="黑体"/>
          <w:color w:val="auto"/>
          <w:sz w:val="24"/>
          <w:szCs w:val="24"/>
          <w:highlight w:val="none"/>
        </w:rPr>
      </w:pPr>
      <w:r>
        <w:rPr>
          <w:rFonts w:hint="eastAsia" w:ascii="Times New Roman"/>
          <w:bCs/>
          <w:color w:val="auto"/>
          <w:spacing w:val="360"/>
          <w:kern w:val="0"/>
          <w:sz w:val="24"/>
          <w:szCs w:val="24"/>
          <w:highlight w:val="none"/>
          <w:fitText w:val="1200" w:id="689794539"/>
        </w:rPr>
        <w:t>日</w:t>
      </w:r>
      <w:r>
        <w:rPr>
          <w:rFonts w:hint="eastAsia" w:ascii="Times New Roman"/>
          <w:bCs/>
          <w:color w:val="auto"/>
          <w:spacing w:val="0"/>
          <w:kern w:val="0"/>
          <w:sz w:val="24"/>
          <w:szCs w:val="24"/>
          <w:highlight w:val="none"/>
          <w:fitText w:val="1200" w:id="689794539"/>
        </w:rPr>
        <w:t>期</w:t>
      </w:r>
      <w:r>
        <w:rPr>
          <w:rFonts w:hint="eastAsia" w:ascii="Times New Roman"/>
          <w:color w:val="auto"/>
          <w:sz w:val="24"/>
          <w:szCs w:val="24"/>
          <w:highlight w:val="none"/>
        </w:rPr>
        <w:t>：</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年</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月</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日</w:t>
      </w:r>
    </w:p>
    <w:p w14:paraId="2A830692">
      <w:pPr>
        <w:autoSpaceDE w:val="0"/>
        <w:autoSpaceDN w:val="0"/>
        <w:adjustRightInd w:val="0"/>
        <w:snapToGrid w:val="0"/>
        <w:spacing w:line="360" w:lineRule="auto"/>
        <w:jc w:val="left"/>
        <w:rPr>
          <w:rFonts w:hint="eastAsia" w:ascii="宋体" w:hAnsi="宋体" w:cs="宋体"/>
          <w:color w:val="auto"/>
          <w:kern w:val="0"/>
          <w:sz w:val="24"/>
          <w:highlight w:val="none"/>
        </w:rPr>
      </w:pPr>
    </w:p>
    <w:p w14:paraId="626C5E04">
      <w:pPr>
        <w:tabs>
          <w:tab w:val="left" w:pos="5760"/>
        </w:tabs>
        <w:autoSpaceDE w:val="0"/>
        <w:autoSpaceDN w:val="0"/>
        <w:adjustRightInd w:val="0"/>
        <w:spacing w:line="360" w:lineRule="auto"/>
        <w:ind w:righ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25FACF3A">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法定代表人参加投标活动并签署文件的不需要授权委托书，只需提供法定代表人身份证明；</w:t>
      </w:r>
    </w:p>
    <w:p w14:paraId="1C3E3D4F">
      <w:pPr>
        <w:spacing w:line="360" w:lineRule="auto"/>
        <w:ind w:firstLine="480" w:firstLineChars="200"/>
        <w:rPr>
          <w:rFonts w:hAnsi="宋体" w:cs="宋体"/>
          <w:bCs/>
          <w:highlight w:val="none"/>
        </w:rPr>
      </w:pPr>
      <w:r>
        <w:rPr>
          <w:rFonts w:hint="eastAsia" w:ascii="宋体" w:hAnsi="宋体" w:cs="宋体"/>
          <w:bCs/>
          <w:color w:val="auto"/>
          <w:sz w:val="24"/>
          <w:highlight w:val="none"/>
        </w:rPr>
        <w:t>非法定代表人参加投标活动及签署文件的还须提供授权委托书</w:t>
      </w:r>
      <w:r>
        <w:rPr>
          <w:rFonts w:hint="eastAsia" w:ascii="宋体" w:hAnsi="宋体" w:cs="宋体"/>
          <w:bCs/>
          <w:color w:val="auto"/>
          <w:sz w:val="24"/>
          <w:highlight w:val="none"/>
          <w:lang w:eastAsia="zh-CN"/>
        </w:rPr>
        <w:t>。</w:t>
      </w:r>
    </w:p>
    <w:p w14:paraId="68C82249">
      <w:pPr>
        <w:pStyle w:val="2"/>
        <w:jc w:val="center"/>
        <w:rPr>
          <w:highlight w:val="none"/>
        </w:rPr>
      </w:pPr>
      <w:r>
        <w:rPr>
          <w:rFonts w:ascii="宋体" w:hAnsi="宋体" w:eastAsia="宋体" w:cs="宋体"/>
          <w:highlight w:val="none"/>
        </w:rPr>
        <w:br w:type="page"/>
      </w:r>
      <w:r>
        <w:rPr>
          <w:rFonts w:hint="eastAsia"/>
          <w:highlight w:val="none"/>
        </w:rPr>
        <w:t>三、联合体协议书</w:t>
      </w:r>
      <w:bookmarkEnd w:id="1095"/>
      <w:bookmarkEnd w:id="1096"/>
      <w:bookmarkEnd w:id="1097"/>
      <w:bookmarkEnd w:id="1098"/>
      <w:bookmarkEnd w:id="1099"/>
      <w:bookmarkEnd w:id="1100"/>
      <w:bookmarkEnd w:id="1101"/>
      <w:bookmarkEnd w:id="1102"/>
      <w:r>
        <w:rPr>
          <w:rFonts w:hint="eastAsia"/>
          <w:highlight w:val="none"/>
        </w:rPr>
        <w:t>（如有）</w:t>
      </w:r>
    </w:p>
    <w:p w14:paraId="2F7F9C18">
      <w:pPr>
        <w:spacing w:line="360" w:lineRule="auto"/>
        <w:rPr>
          <w:rFonts w:hint="default" w:hAnsi="宋体" w:eastAsia="宋体" w:cs="宋体"/>
          <w:highlight w:val="none"/>
          <w:u w:val="single"/>
          <w:lang w:val="en-US" w:eastAsia="zh-CN"/>
        </w:rPr>
      </w:pPr>
      <w:bookmarkStart w:id="1103" w:name="_Toc460227110"/>
      <w:bookmarkStart w:id="1104" w:name="_Toc460660225"/>
      <w:r>
        <w:rPr>
          <w:rFonts w:hint="eastAsia" w:hAnsi="宋体" w:cs="宋体"/>
          <w:highlight w:val="none"/>
        </w:rPr>
        <w:t>牵头人（成员一）名称：</w:t>
      </w:r>
      <w:r>
        <w:rPr>
          <w:rFonts w:hint="eastAsia" w:hAnsi="宋体" w:cs="宋体"/>
          <w:highlight w:val="none"/>
          <w:u w:val="single"/>
          <w:lang w:val="en-US" w:eastAsia="zh-CN"/>
        </w:rPr>
        <w:t xml:space="preserve">                           </w:t>
      </w:r>
    </w:p>
    <w:p w14:paraId="71E53054">
      <w:pPr>
        <w:spacing w:line="360" w:lineRule="auto"/>
        <w:rPr>
          <w:rFonts w:hAnsi="宋体" w:cs="宋体"/>
          <w:highlight w:val="none"/>
        </w:rPr>
      </w:pPr>
      <w:r>
        <w:rPr>
          <w:rFonts w:hint="eastAsia" w:hAnsi="宋体" w:cs="宋体"/>
          <w:highlight w:val="none"/>
        </w:rPr>
        <w:t>法定代表人：</w:t>
      </w:r>
      <w:r>
        <w:rPr>
          <w:rFonts w:hint="eastAsia" w:hAnsi="宋体" w:cs="宋体"/>
          <w:highlight w:val="none"/>
          <w:u w:val="single"/>
          <w:lang w:val="en-US" w:eastAsia="zh-CN"/>
        </w:rPr>
        <w:t xml:space="preserve">                           </w:t>
      </w:r>
    </w:p>
    <w:p w14:paraId="27307A6A">
      <w:pPr>
        <w:spacing w:line="360" w:lineRule="auto"/>
        <w:rPr>
          <w:rFonts w:hAnsi="宋体" w:cs="宋体"/>
          <w:highlight w:val="none"/>
        </w:rPr>
      </w:pPr>
      <w:r>
        <w:rPr>
          <w:rFonts w:hint="eastAsia" w:hAnsi="宋体" w:cs="宋体"/>
          <w:highlight w:val="none"/>
        </w:rPr>
        <w:t>法定住所：</w:t>
      </w:r>
      <w:r>
        <w:rPr>
          <w:rFonts w:hint="eastAsia" w:hAnsi="宋体" w:cs="宋体"/>
          <w:highlight w:val="none"/>
          <w:u w:val="single"/>
          <w:lang w:val="en-US" w:eastAsia="zh-CN"/>
        </w:rPr>
        <w:t xml:space="preserve">                           </w:t>
      </w:r>
    </w:p>
    <w:p w14:paraId="1400F189">
      <w:pPr>
        <w:spacing w:line="360" w:lineRule="auto"/>
        <w:rPr>
          <w:rFonts w:hAnsi="宋体" w:cs="宋体"/>
          <w:highlight w:val="none"/>
        </w:rPr>
      </w:pPr>
      <w:r>
        <w:rPr>
          <w:rFonts w:hint="eastAsia" w:hAnsi="宋体" w:cs="宋体"/>
          <w:highlight w:val="none"/>
        </w:rPr>
        <w:t>成员二名称：</w:t>
      </w:r>
      <w:r>
        <w:rPr>
          <w:rFonts w:hint="eastAsia" w:hAnsi="宋体" w:cs="宋体"/>
          <w:highlight w:val="none"/>
          <w:u w:val="single"/>
          <w:lang w:val="en-US" w:eastAsia="zh-CN"/>
        </w:rPr>
        <w:t xml:space="preserve">                           </w:t>
      </w:r>
    </w:p>
    <w:p w14:paraId="73417F46">
      <w:pPr>
        <w:spacing w:line="360" w:lineRule="auto"/>
        <w:rPr>
          <w:rFonts w:hAnsi="宋体" w:cs="宋体"/>
          <w:highlight w:val="none"/>
        </w:rPr>
      </w:pPr>
      <w:r>
        <w:rPr>
          <w:rFonts w:hint="eastAsia" w:hAnsi="宋体" w:cs="宋体"/>
          <w:highlight w:val="none"/>
        </w:rPr>
        <w:t>法定代表人：</w:t>
      </w:r>
      <w:r>
        <w:rPr>
          <w:rFonts w:hint="eastAsia" w:hAnsi="宋体" w:cs="宋体"/>
          <w:highlight w:val="none"/>
          <w:u w:val="single"/>
          <w:lang w:val="en-US" w:eastAsia="zh-CN"/>
        </w:rPr>
        <w:t xml:space="preserve">                           </w:t>
      </w:r>
    </w:p>
    <w:p w14:paraId="02B3918A">
      <w:pPr>
        <w:spacing w:line="360" w:lineRule="auto"/>
        <w:rPr>
          <w:rFonts w:hAnsi="宋体" w:cs="宋体"/>
          <w:highlight w:val="none"/>
          <w:u w:val="single"/>
        </w:rPr>
      </w:pPr>
      <w:r>
        <w:rPr>
          <w:rFonts w:hint="eastAsia" w:hAnsi="宋体" w:cs="宋体"/>
          <w:highlight w:val="none"/>
        </w:rPr>
        <w:t>法定住所：</w:t>
      </w:r>
      <w:r>
        <w:rPr>
          <w:rFonts w:hint="eastAsia" w:hAnsi="宋体" w:cs="宋体"/>
          <w:highlight w:val="none"/>
          <w:u w:val="single"/>
          <w:lang w:val="en-US" w:eastAsia="zh-CN"/>
        </w:rPr>
        <w:t xml:space="preserve">                           </w:t>
      </w:r>
    </w:p>
    <w:p w14:paraId="6A85DE05">
      <w:pPr>
        <w:topLinePunct/>
        <w:spacing w:line="360" w:lineRule="auto"/>
        <w:ind w:firstLine="480" w:firstLineChars="200"/>
        <w:rPr>
          <w:rFonts w:hint="eastAsia" w:ascii="宋体" w:hAnsi="宋体" w:cs="宋体"/>
          <w:color w:val="auto"/>
          <w:sz w:val="24"/>
          <w:szCs w:val="24"/>
          <w:highlight w:val="none"/>
        </w:rPr>
      </w:pPr>
      <w:r>
        <w:rPr>
          <w:rFonts w:hint="eastAsia" w:ascii="Times New Roman"/>
          <w:color w:val="auto"/>
          <w:sz w:val="24"/>
          <w:szCs w:val="24"/>
          <w:highlight w:val="none"/>
        </w:rPr>
        <w:t>鉴于上述各成员单位经过友好协商，自愿组成</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（联合体名称）联合体，共同参加</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（招标人名称）（以下简称招标人）</w:t>
      </w:r>
      <w:r>
        <w:rPr>
          <w:rFonts w:hint="eastAsia" w:ascii="Times New Roman"/>
          <w:color w:val="auto"/>
          <w:sz w:val="24"/>
          <w:szCs w:val="24"/>
          <w:highlight w:val="none"/>
          <w:u w:val="single"/>
        </w:rPr>
        <w:t>（招标项目名称）</w:t>
      </w:r>
      <w:r>
        <w:rPr>
          <w:rFonts w:hint="eastAsia" w:ascii="Times New Roman"/>
          <w:color w:val="auto"/>
          <w:sz w:val="24"/>
          <w:szCs w:val="24"/>
          <w:highlight w:val="none"/>
        </w:rPr>
        <w:t xml:space="preserve"> </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标段（以下简称本</w:t>
      </w:r>
      <w:r>
        <w:rPr>
          <w:rFonts w:hint="eastAsia" w:ascii="Times New Roman"/>
          <w:color w:val="auto"/>
          <w:sz w:val="24"/>
          <w:szCs w:val="24"/>
          <w:highlight w:val="none"/>
          <w:lang w:eastAsia="zh-CN"/>
        </w:rPr>
        <w:t>项目</w:t>
      </w:r>
      <w:r>
        <w:rPr>
          <w:rFonts w:hint="eastAsia" w:ascii="Times New Roman"/>
          <w:color w:val="auto"/>
          <w:sz w:val="24"/>
          <w:szCs w:val="24"/>
          <w:highlight w:val="none"/>
        </w:rPr>
        <w:t>）的投标并争取赢得本</w:t>
      </w:r>
      <w:r>
        <w:rPr>
          <w:rFonts w:hint="eastAsia" w:ascii="Times New Roman"/>
          <w:color w:val="auto"/>
          <w:sz w:val="24"/>
          <w:szCs w:val="24"/>
          <w:highlight w:val="none"/>
          <w:lang w:eastAsia="zh-CN"/>
        </w:rPr>
        <w:t>项目</w:t>
      </w:r>
      <w:r>
        <w:rPr>
          <w:rFonts w:hint="eastAsia" w:ascii="Times New Roman"/>
          <w:color w:val="auto"/>
          <w:sz w:val="24"/>
          <w:szCs w:val="24"/>
          <w:highlight w:val="none"/>
        </w:rPr>
        <w:t>合同（以下简称合同）。现就联合体投标事宜订立如下协议：</w:t>
      </w:r>
    </w:p>
    <w:p w14:paraId="0322D6F4">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（联合体名称）牵头人。</w:t>
      </w:r>
    </w:p>
    <w:p w14:paraId="12A313EE">
      <w:pPr>
        <w:spacing w:line="360" w:lineRule="auto"/>
        <w:ind w:firstLine="480" w:firstLineChars="200"/>
        <w:rPr>
          <w:rFonts w:ascii="Times New Roman"/>
          <w:szCs w:val="24"/>
          <w:highlight w:val="none"/>
        </w:rPr>
      </w:pPr>
      <w:r>
        <w:rPr>
          <w:rFonts w:hint="eastAsia" w:ascii="Times New Roman"/>
          <w:szCs w:val="24"/>
          <w:highlight w:val="none"/>
        </w:rPr>
        <w:t>2.在本项目投标阶段，联合体牵头人合法代表联合体各成员负责本工程投标文件编制活动，代表联合体提交和接收相关的资料、信息及指示，并处理与投标和中标有关的一切事务</w:t>
      </w:r>
      <w:r>
        <w:rPr>
          <w:rFonts w:hint="eastAsia" w:hAnsi="宋体"/>
          <w:szCs w:val="21"/>
          <w:highlight w:val="none"/>
          <w:u w:val="single"/>
        </w:rPr>
        <w:t>（联合体牵头单位针对招标文件所作出的响应，视同联合体所有成员的共同响应）</w:t>
      </w:r>
      <w:r>
        <w:rPr>
          <w:rFonts w:hint="eastAsia" w:ascii="Times New Roman"/>
          <w:szCs w:val="24"/>
          <w:highlight w:val="none"/>
        </w:rPr>
        <w:t>；联合体中标后，联合体牵头人负责合同订立和合同实施阶段的主办、组织和协调工作。</w:t>
      </w:r>
    </w:p>
    <w:p w14:paraId="63D9FB91">
      <w:pPr>
        <w:spacing w:line="360" w:lineRule="auto"/>
        <w:ind w:firstLine="480" w:firstLineChars="200"/>
        <w:rPr>
          <w:rFonts w:ascii="Times New Roman"/>
          <w:szCs w:val="24"/>
          <w:highlight w:val="none"/>
        </w:rPr>
      </w:pPr>
      <w:r>
        <w:rPr>
          <w:rFonts w:hint="eastAsia" w:ascii="Times New Roman"/>
          <w:szCs w:val="24"/>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179AE01">
      <w:pPr>
        <w:topLinePunct/>
        <w:spacing w:line="360" w:lineRule="auto"/>
        <w:ind w:firstLine="480" w:firstLineChars="200"/>
        <w:rPr>
          <w:rFonts w:hAnsi="宋体" w:cs="宋体"/>
          <w:highlight w:val="none"/>
        </w:rPr>
      </w:pPr>
      <w:r>
        <w:rPr>
          <w:rFonts w:hint="eastAsia" w:hAnsi="宋体" w:cs="宋体"/>
          <w:highlight w:val="none"/>
        </w:rPr>
        <w:t>4.联合体各成员单位内部的职责分工如下：</w:t>
      </w:r>
    </w:p>
    <w:p w14:paraId="7650C8B3">
      <w:pPr>
        <w:tabs>
          <w:tab w:val="left" w:pos="6300"/>
          <w:tab w:val="left" w:pos="8295"/>
        </w:tabs>
        <w:autoSpaceDE w:val="0"/>
        <w:autoSpaceDN w:val="0"/>
        <w:adjustRightInd w:val="0"/>
        <w:snapToGrid w:val="0"/>
        <w:spacing w:line="360" w:lineRule="auto"/>
        <w:ind w:left="840" w:leftChars="200" w:hanging="360" w:hangingChars="150"/>
        <w:jc w:val="left"/>
        <w:rPr>
          <w:rFonts w:hAnsi="宋体" w:cs="宋体"/>
          <w:snapToGrid w:val="0"/>
          <w:highlight w:val="none"/>
        </w:rPr>
      </w:pPr>
      <w:r>
        <w:rPr>
          <w:rFonts w:hint="eastAsia" w:hAnsi="宋体" w:cs="宋体"/>
          <w:highlight w:val="none"/>
        </w:rPr>
        <w:t>牵头人（成员一）</w:t>
      </w:r>
      <w:r>
        <w:rPr>
          <w:rFonts w:hint="eastAsia" w:hAnsi="宋体" w:cs="宋体"/>
          <w:snapToGrid w:val="0"/>
          <w:highlight w:val="none"/>
        </w:rPr>
        <w:t>名称：</w:t>
      </w:r>
      <w:r>
        <w:rPr>
          <w:rFonts w:hint="eastAsia" w:hAnsi="宋体" w:cs="宋体"/>
          <w:snapToGrid w:val="0"/>
          <w:highlight w:val="none"/>
          <w:u w:val="single"/>
          <w:lang w:val="en-US" w:eastAsia="zh-CN"/>
        </w:rPr>
        <w:t xml:space="preserve">             </w:t>
      </w:r>
      <w:r>
        <w:rPr>
          <w:rFonts w:hint="eastAsia" w:hAnsi="宋体" w:cs="宋体"/>
          <w:snapToGrid w:val="0"/>
          <w:highlight w:val="none"/>
          <w:lang w:val="en-US" w:eastAsia="zh-CN"/>
        </w:rPr>
        <w:t xml:space="preserve"> </w:t>
      </w:r>
      <w:r>
        <w:rPr>
          <w:rFonts w:hint="eastAsia" w:hAnsi="宋体" w:cs="宋体"/>
          <w:snapToGrid w:val="0"/>
          <w:highlight w:val="none"/>
        </w:rPr>
        <w:t>，承担</w:t>
      </w:r>
      <w:r>
        <w:rPr>
          <w:rFonts w:hint="eastAsia" w:hAnsi="宋体" w:cs="宋体"/>
          <w:snapToGrid w:val="0"/>
          <w:highlight w:val="none"/>
          <w:u w:val="single"/>
          <w:lang w:val="en-US" w:eastAsia="zh-CN"/>
        </w:rPr>
        <w:t xml:space="preserve">                    </w:t>
      </w:r>
      <w:r>
        <w:rPr>
          <w:rFonts w:hint="eastAsia" w:hAnsi="宋体" w:cs="宋体"/>
          <w:snapToGrid w:val="0"/>
          <w:highlight w:val="none"/>
        </w:rPr>
        <w:t>；</w:t>
      </w:r>
    </w:p>
    <w:p w14:paraId="51C04BEE">
      <w:pPr>
        <w:spacing w:line="360" w:lineRule="auto"/>
        <w:ind w:firstLine="480" w:firstLineChars="200"/>
        <w:rPr>
          <w:rFonts w:hAnsi="宋体" w:cs="宋体"/>
          <w:snapToGrid w:val="0"/>
          <w:highlight w:val="none"/>
        </w:rPr>
      </w:pPr>
      <w:r>
        <w:rPr>
          <w:rFonts w:hint="eastAsia" w:hAnsi="宋体" w:cs="宋体"/>
          <w:snapToGrid w:val="0"/>
          <w:highlight w:val="none"/>
        </w:rPr>
        <w:t>成员二名称：</w:t>
      </w:r>
      <w:r>
        <w:rPr>
          <w:rFonts w:hint="eastAsia" w:hAnsi="宋体" w:cs="宋体"/>
          <w:snapToGrid w:val="0"/>
          <w:highlight w:val="none"/>
          <w:u w:val="single"/>
          <w:lang w:val="en-US" w:eastAsia="zh-CN"/>
        </w:rPr>
        <w:t xml:space="preserve">             </w:t>
      </w:r>
      <w:r>
        <w:rPr>
          <w:rFonts w:hint="eastAsia" w:hAnsi="宋体" w:cs="宋体"/>
          <w:snapToGrid w:val="0"/>
          <w:highlight w:val="none"/>
        </w:rPr>
        <w:t xml:space="preserve"> ，承担</w:t>
      </w:r>
      <w:r>
        <w:rPr>
          <w:rFonts w:hint="eastAsia" w:hAnsi="宋体" w:cs="宋体"/>
          <w:snapToGrid w:val="0"/>
          <w:highlight w:val="none"/>
          <w:u w:val="single"/>
          <w:lang w:val="en-US" w:eastAsia="zh-CN"/>
        </w:rPr>
        <w:t xml:space="preserve">             </w:t>
      </w:r>
      <w:r>
        <w:rPr>
          <w:rFonts w:hint="eastAsia" w:hAnsi="宋体" w:cs="宋体"/>
          <w:snapToGrid w:val="0"/>
          <w:highlight w:val="none"/>
        </w:rPr>
        <w:t>；</w:t>
      </w:r>
    </w:p>
    <w:p w14:paraId="7E364071">
      <w:pPr>
        <w:spacing w:line="360" w:lineRule="auto"/>
        <w:ind w:firstLine="480" w:firstLineChars="200"/>
        <w:rPr>
          <w:rFonts w:hAnsi="宋体" w:cs="宋体"/>
          <w:highlight w:val="none"/>
        </w:rPr>
      </w:pPr>
      <w:r>
        <w:rPr>
          <w:rFonts w:hint="eastAsia" w:hAnsi="宋体" w:cs="宋体"/>
          <w:snapToGrid w:val="0"/>
          <w:highlight w:val="none"/>
        </w:rPr>
        <w:t>……。</w:t>
      </w:r>
    </w:p>
    <w:p w14:paraId="2E9D853A">
      <w:pPr>
        <w:topLinePunct/>
        <w:spacing w:line="360" w:lineRule="auto"/>
        <w:ind w:firstLine="480" w:firstLineChars="200"/>
        <w:rPr>
          <w:rFonts w:hAnsi="宋体" w:cs="宋体"/>
          <w:highlight w:val="none"/>
        </w:rPr>
      </w:pPr>
      <w:r>
        <w:rPr>
          <w:rFonts w:hint="eastAsia" w:hAnsi="宋体" w:cs="宋体"/>
          <w:highlight w:val="none"/>
        </w:rPr>
        <w:t>5.投标工作和联合体在中标后工程实施过程中的有关费用按照各自承担的工作量分摊。</w:t>
      </w:r>
    </w:p>
    <w:p w14:paraId="3EE17709">
      <w:pPr>
        <w:topLinePunct/>
        <w:spacing w:line="360" w:lineRule="auto"/>
        <w:ind w:firstLine="480" w:firstLineChars="200"/>
        <w:rPr>
          <w:rFonts w:hAnsi="宋体" w:cs="宋体"/>
          <w:highlight w:val="none"/>
        </w:rPr>
      </w:pPr>
      <w:r>
        <w:rPr>
          <w:rFonts w:hint="eastAsia" w:hAnsi="宋体" w:cs="宋体"/>
          <w:highlight w:val="none"/>
        </w:rPr>
        <w:t>6.联合体中标后，本联合体协议是合同的附件，对联合体各成员单位有合同约束力。</w:t>
      </w:r>
    </w:p>
    <w:p w14:paraId="2C967094">
      <w:pPr>
        <w:topLinePunct/>
        <w:spacing w:line="360" w:lineRule="auto"/>
        <w:ind w:firstLine="480" w:firstLineChars="200"/>
        <w:rPr>
          <w:rFonts w:hAnsi="宋体" w:cs="宋体"/>
          <w:highlight w:val="none"/>
        </w:rPr>
      </w:pPr>
      <w:r>
        <w:rPr>
          <w:rFonts w:hint="eastAsia" w:hAnsi="宋体" w:cs="宋体"/>
          <w:highlight w:val="none"/>
        </w:rPr>
        <w:t>7.本协议书自签署之日起生效，联合体未中标或者合同履行完毕后自动失效。</w:t>
      </w:r>
    </w:p>
    <w:p w14:paraId="24F22C12">
      <w:pPr>
        <w:topLinePunct/>
        <w:spacing w:line="360" w:lineRule="auto"/>
        <w:ind w:firstLine="480" w:firstLineChars="200"/>
        <w:rPr>
          <w:rFonts w:hAnsi="宋体" w:cs="宋体"/>
          <w:highlight w:val="none"/>
        </w:rPr>
      </w:pPr>
      <w:r>
        <w:rPr>
          <w:rFonts w:hint="eastAsia" w:hAnsi="宋体" w:cs="宋体"/>
          <w:highlight w:val="none"/>
        </w:rPr>
        <w:t>8.本协议书一式份，联合体成员和招标人各执一份。</w:t>
      </w:r>
    </w:p>
    <w:p w14:paraId="2A4AEDBF">
      <w:pPr>
        <w:topLinePunct/>
        <w:spacing w:line="360" w:lineRule="auto"/>
        <w:ind w:firstLine="480" w:firstLineChars="200"/>
        <w:rPr>
          <w:rFonts w:hAnsi="宋体" w:cs="宋体"/>
          <w:highlight w:val="none"/>
        </w:rPr>
      </w:pPr>
    </w:p>
    <w:p w14:paraId="0D3280EE">
      <w:pPr>
        <w:spacing w:line="360" w:lineRule="auto"/>
        <w:rPr>
          <w:rFonts w:hAnsi="宋体" w:cs="宋体"/>
          <w:highlight w:val="none"/>
        </w:rPr>
      </w:pPr>
    </w:p>
    <w:p w14:paraId="5E1C2007">
      <w:pPr>
        <w:spacing w:line="360" w:lineRule="auto"/>
        <w:ind w:firstLine="2040" w:firstLineChars="850"/>
        <w:rPr>
          <w:rFonts w:hint="eastAsia" w:ascii="Times New Roman"/>
          <w:color w:val="auto"/>
          <w:sz w:val="24"/>
          <w:szCs w:val="24"/>
          <w:highlight w:val="none"/>
        </w:rPr>
      </w:pPr>
      <w:r>
        <w:rPr>
          <w:rFonts w:hint="eastAsia" w:ascii="Times New Roman"/>
          <w:color w:val="auto"/>
          <w:sz w:val="24"/>
          <w:szCs w:val="24"/>
          <w:highlight w:val="none"/>
        </w:rPr>
        <w:t>牵头人（成员一）名称：</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（盖单位章）</w:t>
      </w:r>
    </w:p>
    <w:p w14:paraId="736EA817">
      <w:pPr>
        <w:spacing w:line="360" w:lineRule="auto"/>
        <w:ind w:firstLine="2040" w:firstLineChars="850"/>
        <w:rPr>
          <w:rFonts w:hint="eastAsia" w:ascii="Times New Roman"/>
          <w:color w:val="auto"/>
          <w:sz w:val="24"/>
          <w:szCs w:val="24"/>
          <w:highlight w:val="none"/>
        </w:rPr>
      </w:pPr>
      <w:r>
        <w:rPr>
          <w:rFonts w:hint="eastAsia" w:ascii="Times New Roman"/>
          <w:color w:val="auto"/>
          <w:sz w:val="24"/>
          <w:szCs w:val="24"/>
          <w:highlight w:val="none"/>
        </w:rPr>
        <w:t>法定代表人：</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（签字或盖章）</w:t>
      </w:r>
    </w:p>
    <w:p w14:paraId="2CB52583">
      <w:pPr>
        <w:spacing w:line="360" w:lineRule="auto"/>
        <w:ind w:firstLine="2040" w:firstLineChars="850"/>
        <w:rPr>
          <w:rFonts w:hint="eastAsia" w:ascii="Times New Roman"/>
          <w:color w:val="auto"/>
          <w:sz w:val="24"/>
          <w:szCs w:val="24"/>
          <w:highlight w:val="none"/>
        </w:rPr>
      </w:pPr>
    </w:p>
    <w:p w14:paraId="63512DDC">
      <w:pPr>
        <w:spacing w:line="360" w:lineRule="auto"/>
        <w:ind w:firstLine="2040" w:firstLineChars="850"/>
        <w:rPr>
          <w:rFonts w:hint="eastAsia" w:ascii="Times New Roman"/>
          <w:color w:val="auto"/>
          <w:sz w:val="24"/>
          <w:szCs w:val="24"/>
          <w:highlight w:val="none"/>
        </w:rPr>
      </w:pPr>
      <w:r>
        <w:rPr>
          <w:rFonts w:hint="eastAsia" w:ascii="Times New Roman"/>
          <w:color w:val="auto"/>
          <w:sz w:val="24"/>
          <w:szCs w:val="24"/>
          <w:highlight w:val="none"/>
        </w:rPr>
        <w:t>成员二名称：</w:t>
      </w:r>
      <w:r>
        <w:rPr>
          <w:rFonts w:hint="eastAsia" w:ascii="Times New Roman"/>
          <w:color w:val="auto"/>
          <w:sz w:val="24"/>
          <w:szCs w:val="24"/>
          <w:highlight w:val="none"/>
          <w:u w:val="single"/>
        </w:rPr>
        <w:t xml:space="preserve">                   </w:t>
      </w:r>
      <w:r>
        <w:rPr>
          <w:rFonts w:hint="eastAsia" w:ascii="Times New Roman"/>
          <w:color w:val="auto"/>
          <w:sz w:val="24"/>
          <w:szCs w:val="24"/>
          <w:highlight w:val="none"/>
          <w:u w:val="single"/>
          <w:lang w:val="en-US" w:eastAsia="zh-CN"/>
        </w:rPr>
        <w:t xml:space="preserve"> </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（盖单位章）</w:t>
      </w:r>
    </w:p>
    <w:p w14:paraId="1A5649E8">
      <w:pPr>
        <w:spacing w:line="360" w:lineRule="auto"/>
        <w:ind w:firstLine="2040" w:firstLineChars="850"/>
        <w:rPr>
          <w:rFonts w:hint="eastAsia" w:ascii="Times New Roman"/>
          <w:color w:val="auto"/>
          <w:sz w:val="24"/>
          <w:szCs w:val="24"/>
          <w:highlight w:val="none"/>
        </w:rPr>
      </w:pPr>
      <w:r>
        <w:rPr>
          <w:rFonts w:hint="eastAsia" w:ascii="Times New Roman"/>
          <w:color w:val="auto"/>
          <w:sz w:val="24"/>
          <w:szCs w:val="24"/>
          <w:highlight w:val="none"/>
        </w:rPr>
        <w:t>法定代表人：</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（签字或盖章）</w:t>
      </w:r>
    </w:p>
    <w:p w14:paraId="41CA495A">
      <w:pPr>
        <w:spacing w:line="360" w:lineRule="auto"/>
        <w:ind w:firstLine="2400" w:firstLineChars="1000"/>
        <w:rPr>
          <w:rFonts w:hint="eastAsia" w:ascii="Times New Roman"/>
          <w:color w:val="auto"/>
          <w:sz w:val="24"/>
          <w:szCs w:val="24"/>
          <w:highlight w:val="none"/>
        </w:rPr>
      </w:pPr>
      <w:r>
        <w:rPr>
          <w:rFonts w:hint="eastAsia" w:ascii="Times New Roman"/>
          <w:color w:val="auto"/>
          <w:sz w:val="24"/>
          <w:szCs w:val="24"/>
          <w:highlight w:val="none"/>
        </w:rPr>
        <w:t>……</w:t>
      </w:r>
    </w:p>
    <w:p w14:paraId="47D5DEA7">
      <w:pPr>
        <w:wordWrap w:val="0"/>
        <w:spacing w:line="360" w:lineRule="auto"/>
        <w:jc w:val="right"/>
        <w:rPr>
          <w:szCs w:val="21"/>
          <w:highlight w:val="none"/>
        </w:rPr>
      </w:pPr>
      <w:r>
        <w:rPr>
          <w:rFonts w:hint="eastAsia" w:ascii="Times New Roman"/>
          <w:color w:val="auto"/>
          <w:sz w:val="24"/>
          <w:szCs w:val="24"/>
          <w:highlight w:val="none"/>
          <w:u w:val="single"/>
        </w:rPr>
        <w:t xml:space="preserve">    </w:t>
      </w:r>
      <w:r>
        <w:rPr>
          <w:rFonts w:hint="eastAsia" w:ascii="Times New Roman"/>
          <w:color w:val="auto"/>
          <w:sz w:val="24"/>
          <w:szCs w:val="24"/>
          <w:highlight w:val="none"/>
        </w:rPr>
        <w:t>年</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月</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日</w:t>
      </w:r>
    </w:p>
    <w:p w14:paraId="4000FB0A">
      <w:pPr>
        <w:jc w:val="center"/>
        <w:rPr>
          <w:szCs w:val="21"/>
          <w:highlight w:val="none"/>
        </w:rPr>
      </w:pPr>
    </w:p>
    <w:p w14:paraId="01291A0B">
      <w:pPr>
        <w:pStyle w:val="2"/>
        <w:jc w:val="center"/>
        <w:rPr>
          <w:rFonts w:ascii="Times New Roman" w:hAnsi="Times New Roman"/>
          <w:highlight w:val="none"/>
        </w:rPr>
      </w:pPr>
      <w:r>
        <w:rPr>
          <w:rFonts w:ascii="Times New Roman" w:hAnsi="Times New Roman"/>
          <w:szCs w:val="22"/>
          <w:highlight w:val="none"/>
        </w:rPr>
        <w:br w:type="page"/>
      </w:r>
      <w:bookmarkStart w:id="1105" w:name="_Toc460227114"/>
      <w:bookmarkStart w:id="1106" w:name="_Toc460660229"/>
      <w:bookmarkStart w:id="1107" w:name="_Toc535241086"/>
      <w:bookmarkStart w:id="1108" w:name="_Toc535241229"/>
      <w:bookmarkStart w:id="1109" w:name="_Toc535241132"/>
      <w:r>
        <w:rPr>
          <w:rFonts w:hint="eastAsia" w:ascii="Times New Roman" w:hAnsi="Times New Roman"/>
          <w:highlight w:val="none"/>
        </w:rPr>
        <w:t>四、投标保证金</w:t>
      </w:r>
      <w:bookmarkEnd w:id="1105"/>
      <w:bookmarkEnd w:id="1106"/>
    </w:p>
    <w:p w14:paraId="23BE31EF">
      <w:pPr>
        <w:tabs>
          <w:tab w:val="left" w:pos="8422"/>
          <w:tab w:val="left" w:pos="9622"/>
        </w:tabs>
        <w:spacing w:line="360" w:lineRule="auto"/>
        <w:ind w:firstLine="480" w:firstLineChars="200"/>
        <w:jc w:val="left"/>
        <w:rPr>
          <w:rFonts w:hint="eastAsia" w:ascii="Times New Roman" w:hAnsi="Times New Roman"/>
          <w:bCs/>
          <w:kern w:val="0"/>
          <w:sz w:val="24"/>
          <w:szCs w:val="20"/>
          <w:highlight w:val="none"/>
        </w:rPr>
      </w:pPr>
      <w:r>
        <w:rPr>
          <w:rFonts w:hint="eastAsia" w:ascii="Times New Roman" w:hAnsi="Times New Roman"/>
          <w:bCs/>
          <w:kern w:val="0"/>
          <w:sz w:val="24"/>
          <w:szCs w:val="20"/>
          <w:highlight w:val="none"/>
        </w:rPr>
        <w:t>如采用现金（银行转账、银行电汇）的，系统自动抓取投标保证金提交信息，投标人应在投标文件中提供基本存款账户证明扫描件（如基本存款账户开户许可证或基本存款账户信息）。</w:t>
      </w:r>
    </w:p>
    <w:p w14:paraId="4CEA8CD2">
      <w:pPr>
        <w:tabs>
          <w:tab w:val="left" w:pos="8422"/>
          <w:tab w:val="left" w:pos="9622"/>
        </w:tabs>
        <w:spacing w:line="360" w:lineRule="auto"/>
        <w:ind w:firstLine="480" w:firstLineChars="200"/>
        <w:jc w:val="left"/>
        <w:rPr>
          <w:rFonts w:hint="eastAsia" w:ascii="Times New Roman" w:hAnsi="Times New Roman"/>
          <w:bCs/>
          <w:kern w:val="0"/>
          <w:sz w:val="24"/>
          <w:szCs w:val="20"/>
          <w:highlight w:val="none"/>
        </w:rPr>
      </w:pPr>
      <w:r>
        <w:rPr>
          <w:rFonts w:hint="eastAsia" w:ascii="Times New Roman" w:hAnsi="Times New Roman"/>
          <w:bCs/>
          <w:kern w:val="0"/>
          <w:sz w:val="24"/>
          <w:szCs w:val="20"/>
          <w:highlight w:val="none"/>
        </w:rPr>
        <w:t>如采用纸质银行保函的，投标人应在投标文件中提供基本存款账户证明（如基本存款账户开户许可证或基本存款账户信息）、银行保函扫描件。银行保函格式见“投标保函示范文本”。</w:t>
      </w:r>
    </w:p>
    <w:p w14:paraId="258B463D">
      <w:pPr>
        <w:tabs>
          <w:tab w:val="left" w:pos="8422"/>
          <w:tab w:val="left" w:pos="9622"/>
        </w:tabs>
        <w:spacing w:line="360" w:lineRule="auto"/>
        <w:ind w:firstLine="480" w:firstLineChars="200"/>
        <w:jc w:val="left"/>
        <w:rPr>
          <w:rFonts w:hint="eastAsia" w:ascii="Times New Roman" w:hAnsi="Times New Roman"/>
          <w:bCs/>
          <w:kern w:val="0"/>
          <w:sz w:val="24"/>
          <w:szCs w:val="20"/>
          <w:highlight w:val="none"/>
        </w:rPr>
      </w:pPr>
      <w:r>
        <w:rPr>
          <w:rFonts w:hint="eastAsia" w:ascii="Times New Roman" w:hAnsi="Times New Roman"/>
          <w:bCs/>
          <w:kern w:val="0"/>
          <w:sz w:val="24"/>
          <w:szCs w:val="20"/>
          <w:highlight w:val="none"/>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投标保函示范文本”。</w:t>
      </w:r>
    </w:p>
    <w:p w14:paraId="04B10905">
      <w:pPr>
        <w:tabs>
          <w:tab w:val="left" w:pos="8422"/>
          <w:tab w:val="left" w:pos="9622"/>
        </w:tabs>
        <w:spacing w:line="360" w:lineRule="auto"/>
        <w:ind w:firstLine="480" w:firstLineChars="200"/>
        <w:jc w:val="left"/>
        <w:rPr>
          <w:rFonts w:hint="eastAsia" w:ascii="Times New Roman" w:hAnsi="Times New Roman"/>
          <w:bCs/>
          <w:kern w:val="0"/>
          <w:sz w:val="24"/>
          <w:szCs w:val="20"/>
          <w:highlight w:val="none"/>
        </w:rPr>
      </w:pPr>
      <w:r>
        <w:rPr>
          <w:rFonts w:hint="eastAsia" w:ascii="Times New Roman" w:hAnsi="Times New Roman"/>
          <w:bCs/>
          <w:kern w:val="0"/>
          <w:sz w:val="24"/>
          <w:szCs w:val="20"/>
          <w:highlight w:val="none"/>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投标保函示范文本”。</w:t>
      </w:r>
    </w:p>
    <w:p w14:paraId="228DFDA3">
      <w:pPr>
        <w:tabs>
          <w:tab w:val="left" w:pos="8422"/>
          <w:tab w:val="left" w:pos="9622"/>
        </w:tabs>
        <w:spacing w:line="360" w:lineRule="auto"/>
        <w:ind w:firstLine="480" w:firstLineChars="200"/>
        <w:jc w:val="left"/>
        <w:rPr>
          <w:rFonts w:hAnsi="宋体" w:cs="宋体"/>
          <w:bCs/>
          <w:szCs w:val="24"/>
          <w:highlight w:val="none"/>
        </w:rPr>
      </w:pPr>
      <w:r>
        <w:rPr>
          <w:rFonts w:hint="eastAsia" w:ascii="Times New Roman" w:hAnsi="Times New Roman"/>
          <w:bCs/>
          <w:kern w:val="0"/>
          <w:sz w:val="24"/>
          <w:szCs w:val="20"/>
          <w:highlight w:val="none"/>
        </w:rPr>
        <w:t>如采用电子保函的，系统自动抓取电子保函信息，投标文件无需提供相关证明材料。</w:t>
      </w:r>
    </w:p>
    <w:p w14:paraId="23146CEE">
      <w:pPr>
        <w:spacing w:beforeLines="100" w:afterLines="100"/>
        <w:jc w:val="center"/>
        <w:outlineLvl w:val="3"/>
        <w:rPr>
          <w:rFonts w:ascii="黑体" w:hAnsi="黑体" w:eastAsia="黑体" w:cs="黑体"/>
          <w:bCs/>
          <w:szCs w:val="24"/>
          <w:highlight w:val="none"/>
        </w:rPr>
      </w:pPr>
      <w:bookmarkStart w:id="1110" w:name="_Toc8851"/>
      <w:bookmarkStart w:id="1111" w:name="_Toc3980"/>
      <w:bookmarkStart w:id="1112" w:name="_Toc17295"/>
      <w:bookmarkStart w:id="1113" w:name="_Toc1718"/>
      <w:bookmarkStart w:id="1114" w:name="_Toc12410"/>
      <w:bookmarkStart w:id="1115" w:name="_Toc10421"/>
      <w:r>
        <w:rPr>
          <w:rFonts w:hint="eastAsia" w:ascii="黑体" w:hAnsi="黑体" w:eastAsia="黑体" w:cs="黑体"/>
          <w:bCs/>
          <w:szCs w:val="24"/>
          <w:highlight w:val="none"/>
        </w:rPr>
        <w:t>（一）投标保函示范文本</w:t>
      </w:r>
      <w:bookmarkEnd w:id="1110"/>
      <w:bookmarkEnd w:id="1111"/>
      <w:bookmarkEnd w:id="1112"/>
      <w:bookmarkEnd w:id="1113"/>
      <w:bookmarkEnd w:id="1114"/>
      <w:bookmarkEnd w:id="1115"/>
    </w:p>
    <w:p w14:paraId="02381706">
      <w:pPr>
        <w:tabs>
          <w:tab w:val="left" w:pos="8422"/>
          <w:tab w:val="left" w:pos="9622"/>
        </w:tabs>
        <w:spacing w:line="360" w:lineRule="auto"/>
        <w:ind w:right="120" w:rightChars="50"/>
        <w:jc w:val="center"/>
        <w:rPr>
          <w:rFonts w:hAnsi="宋体" w:cs="宋体"/>
          <w:szCs w:val="24"/>
          <w:highlight w:val="none"/>
        </w:rPr>
      </w:pPr>
      <w:bookmarkStart w:id="1116" w:name="_Toc1245"/>
      <w:bookmarkStart w:id="1117" w:name="_Toc12727"/>
      <w:r>
        <w:rPr>
          <w:rFonts w:hint="eastAsia" w:hAnsi="宋体" w:cs="宋体"/>
          <w:szCs w:val="24"/>
          <w:highlight w:val="none"/>
        </w:rPr>
        <w:t xml:space="preserve">                                                编号：</w:t>
      </w:r>
      <w:bookmarkEnd w:id="1116"/>
      <w:bookmarkEnd w:id="1117"/>
    </w:p>
    <w:p w14:paraId="071A325C">
      <w:pPr>
        <w:tabs>
          <w:tab w:val="left" w:pos="8422"/>
          <w:tab w:val="left" w:pos="9622"/>
        </w:tabs>
        <w:spacing w:line="360" w:lineRule="auto"/>
        <w:ind w:right="120" w:rightChars="50"/>
        <w:jc w:val="left"/>
        <w:rPr>
          <w:rFonts w:hAnsi="宋体" w:cs="宋体"/>
          <w:szCs w:val="24"/>
          <w:highlight w:val="none"/>
        </w:rPr>
      </w:pPr>
    </w:p>
    <w:p w14:paraId="6FA11AEA">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致：</w:t>
      </w:r>
      <w:r>
        <w:rPr>
          <w:rFonts w:hint="eastAsia" w:hAnsi="宋体" w:cs="宋体"/>
          <w:szCs w:val="24"/>
          <w:highlight w:val="none"/>
          <w:u w:val="single"/>
        </w:rPr>
        <w:t>受益人（招标人）名称</w:t>
      </w:r>
    </w:p>
    <w:p w14:paraId="028AC048">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开立人获得通知，</w:t>
      </w:r>
      <w:r>
        <w:rPr>
          <w:rFonts w:hint="eastAsia" w:hAnsi="宋体" w:cs="宋体"/>
          <w:szCs w:val="24"/>
          <w:highlight w:val="none"/>
          <w:u w:val="single"/>
          <w:lang w:val="en-US" w:eastAsia="zh-CN"/>
        </w:rPr>
        <w:t xml:space="preserve">     </w:t>
      </w:r>
      <w:r>
        <w:rPr>
          <w:rFonts w:hint="eastAsia" w:hAnsi="宋体" w:cs="宋体"/>
          <w:szCs w:val="24"/>
          <w:highlight w:val="none"/>
          <w:u w:val="none"/>
        </w:rPr>
        <w:t>（投标人）</w:t>
      </w:r>
      <w:r>
        <w:rPr>
          <w:rFonts w:hint="eastAsia" w:hAnsi="宋体" w:cs="宋体"/>
          <w:szCs w:val="24"/>
          <w:highlight w:val="none"/>
        </w:rPr>
        <w:t>于</w:t>
      </w:r>
      <w:r>
        <w:rPr>
          <w:rFonts w:hint="eastAsia" w:hAnsi="宋体" w:cs="宋体"/>
          <w:szCs w:val="24"/>
          <w:highlight w:val="none"/>
          <w:lang w:val="en-US" w:eastAsia="zh-CN"/>
        </w:rPr>
        <w:t xml:space="preserve"> </w:t>
      </w:r>
      <w:r>
        <w:rPr>
          <w:rFonts w:hint="eastAsia" w:hAnsi="宋体" w:cs="宋体"/>
          <w:szCs w:val="24"/>
          <w:highlight w:val="none"/>
          <w:u w:val="single"/>
          <w:lang w:val="en-US" w:eastAsia="zh-CN"/>
        </w:rPr>
        <w:t xml:space="preserve">   </w:t>
      </w:r>
      <w:r>
        <w:rPr>
          <w:rFonts w:hint="eastAsia" w:hAnsi="宋体" w:cs="宋体"/>
          <w:szCs w:val="24"/>
          <w:highlight w:val="none"/>
          <w:u w:val="none"/>
        </w:rPr>
        <w:t>年</w:t>
      </w:r>
      <w:r>
        <w:rPr>
          <w:rFonts w:hint="eastAsia" w:hAnsi="宋体" w:cs="宋体"/>
          <w:szCs w:val="24"/>
          <w:highlight w:val="none"/>
          <w:u w:val="single"/>
          <w:lang w:val="en-US" w:eastAsia="zh-CN"/>
        </w:rPr>
        <w:t xml:space="preserve">   </w:t>
      </w:r>
      <w:r>
        <w:rPr>
          <w:rFonts w:hint="eastAsia" w:hAnsi="宋体" w:cs="宋体"/>
          <w:szCs w:val="24"/>
          <w:highlight w:val="none"/>
          <w:u w:val="none"/>
        </w:rPr>
        <w:t>月</w:t>
      </w:r>
      <w:r>
        <w:rPr>
          <w:rFonts w:hint="eastAsia" w:hAnsi="宋体" w:cs="宋体"/>
          <w:szCs w:val="24"/>
          <w:highlight w:val="none"/>
          <w:u w:val="single"/>
          <w:lang w:val="en-US" w:eastAsia="zh-CN"/>
        </w:rPr>
        <w:t xml:space="preserve">   </w:t>
      </w:r>
      <w:r>
        <w:rPr>
          <w:rFonts w:hint="eastAsia" w:hAnsi="宋体" w:cs="宋体"/>
          <w:szCs w:val="24"/>
          <w:highlight w:val="none"/>
          <w:u w:val="none"/>
        </w:rPr>
        <w:t>日</w:t>
      </w:r>
      <w:r>
        <w:rPr>
          <w:rFonts w:hint="eastAsia" w:hAnsi="宋体" w:cs="宋体"/>
          <w:szCs w:val="24"/>
          <w:highlight w:val="none"/>
        </w:rPr>
        <w:t>参加编号为</w:t>
      </w:r>
      <w:r>
        <w:rPr>
          <w:rFonts w:hint="eastAsia" w:hAnsi="宋体" w:cs="宋体"/>
          <w:szCs w:val="24"/>
          <w:highlight w:val="none"/>
          <w:u w:val="single"/>
          <w:lang w:val="en-US" w:eastAsia="zh-CN"/>
        </w:rPr>
        <w:t xml:space="preserve">   </w:t>
      </w:r>
      <w:r>
        <w:rPr>
          <w:rFonts w:hint="eastAsia" w:hAnsi="宋体" w:cs="宋体"/>
          <w:szCs w:val="24"/>
          <w:highlight w:val="none"/>
          <w:u w:val="none"/>
        </w:rPr>
        <w:t>（标段编号）</w:t>
      </w:r>
      <w:r>
        <w:rPr>
          <w:rFonts w:hint="eastAsia" w:hAnsi="宋体" w:cs="宋体"/>
          <w:szCs w:val="24"/>
          <w:highlight w:val="none"/>
        </w:rPr>
        <w:t>的</w:t>
      </w:r>
      <w:r>
        <w:rPr>
          <w:rFonts w:hint="eastAsia" w:hAnsi="宋体" w:cs="宋体"/>
          <w:szCs w:val="24"/>
          <w:highlight w:val="none"/>
          <w:u w:val="single"/>
          <w:lang w:val="en-US" w:eastAsia="zh-CN"/>
        </w:rPr>
        <w:t xml:space="preserve">       </w:t>
      </w:r>
      <w:r>
        <w:rPr>
          <w:rFonts w:hint="eastAsia" w:hAnsi="宋体" w:cs="宋体"/>
          <w:szCs w:val="24"/>
          <w:highlight w:val="none"/>
          <w:u w:val="none"/>
        </w:rPr>
        <w:t>（标段名称）</w:t>
      </w:r>
      <w:r>
        <w:rPr>
          <w:rFonts w:hint="eastAsia" w:hAnsi="宋体" w:cs="宋体"/>
          <w:szCs w:val="24"/>
          <w:highlight w:val="none"/>
        </w:rPr>
        <w:t>投标（即“基础交易”）。</w:t>
      </w:r>
    </w:p>
    <w:p w14:paraId="0B4B5A29">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w:t>
      </w:r>
      <w:r>
        <w:rPr>
          <w:rFonts w:hint="eastAsia" w:hAnsi="宋体" w:cs="宋体"/>
          <w:szCs w:val="24"/>
          <w:highlight w:val="none"/>
          <w:u w:val="single"/>
        </w:rPr>
        <w:t>（大写）</w:t>
      </w:r>
      <w:r>
        <w:rPr>
          <w:rFonts w:hint="eastAsia" w:hAnsi="宋体" w:cs="宋体"/>
          <w:szCs w:val="24"/>
          <w:highlight w:val="none"/>
          <w:u w:val="single"/>
          <w:lang w:val="en-US" w:eastAsia="zh-CN"/>
        </w:rPr>
        <w:t xml:space="preserve">             </w:t>
      </w:r>
      <w:r>
        <w:rPr>
          <w:rFonts w:hint="eastAsia" w:hAnsi="宋体" w:cs="宋体"/>
          <w:szCs w:val="24"/>
          <w:highlight w:val="none"/>
        </w:rPr>
        <w:t>元（</w:t>
      </w:r>
      <w:r>
        <w:rPr>
          <w:rFonts w:hint="eastAsia" w:hAnsi="宋体" w:cs="宋体"/>
          <w:szCs w:val="24"/>
          <w:highlight w:val="none"/>
          <w:u w:val="single"/>
        </w:rPr>
        <w:t>¥</w:t>
      </w:r>
      <w:r>
        <w:rPr>
          <w:rFonts w:hint="eastAsia" w:hAnsi="宋体" w:cs="宋体"/>
          <w:szCs w:val="24"/>
          <w:highlight w:val="none"/>
          <w:u w:val="single"/>
          <w:lang w:val="en-US" w:eastAsia="zh-CN"/>
        </w:rPr>
        <w:t xml:space="preserve">            </w:t>
      </w:r>
      <w:r>
        <w:rPr>
          <w:rFonts w:hint="eastAsia" w:hAnsi="宋体" w:cs="宋体"/>
          <w:szCs w:val="24"/>
          <w:highlight w:val="none"/>
        </w:rPr>
        <w:t>）。</w:t>
      </w:r>
    </w:p>
    <w:p w14:paraId="1D81F136">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二、开立人在投标人发生以下情形时承担保证担保责任：</w:t>
      </w:r>
    </w:p>
    <w:p w14:paraId="15597905">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（1）投标人在投标有效期内撤销投标文件；</w:t>
      </w:r>
    </w:p>
    <w:p w14:paraId="07B522A6">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（2）投标人在中标后无正当理由不与招标人订立合同；</w:t>
      </w:r>
    </w:p>
    <w:p w14:paraId="24645B4E">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（3）投标人在签订合同时向招标人提出附加条件；</w:t>
      </w:r>
    </w:p>
    <w:p w14:paraId="5F9500F4">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（4）投标人不按照招标文件要求提交履约保证金；</w:t>
      </w:r>
    </w:p>
    <w:p w14:paraId="71E272C6">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（5）发生招标文件明确规定可以不予退还投标保证金的其他情形。</w:t>
      </w:r>
    </w:p>
    <w:p w14:paraId="331CF745">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三、本保函为不可撤销、不可转让的见索即付独立保函。本保函有效期自开立之日起至投标有效期届满之日止。</w:t>
      </w:r>
    </w:p>
    <w:p w14:paraId="68B74A30">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四、开立人承诺，在收到受益人发来的书面付款通知后的七日内无条件支付，前述书面付款通知即为付款要求之单据，且应满足以下要求：</w:t>
      </w:r>
    </w:p>
    <w:p w14:paraId="645B4DC4">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（1）付款通知到达的日期在本保函的有效期内；</w:t>
      </w:r>
    </w:p>
    <w:p w14:paraId="415A5206">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（2）载明要求支付的金额；</w:t>
      </w:r>
    </w:p>
    <w:p w14:paraId="482A40B1">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（3）载明申请人违反招投标文件规定的义务内容和具体条款；</w:t>
      </w:r>
    </w:p>
    <w:p w14:paraId="13C8AB52">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（4）声明不存在招标文件规定或我国法律规定免除申请人或我方支付责任的情形；</w:t>
      </w:r>
    </w:p>
    <w:p w14:paraId="7F61184F">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（5）书面付款通知应在本保函有效期内到达的地址是：</w:t>
      </w:r>
      <w:r>
        <w:rPr>
          <w:rFonts w:hint="eastAsia" w:hAnsi="宋体" w:cs="宋体"/>
          <w:szCs w:val="24"/>
          <w:highlight w:val="none"/>
          <w:u w:val="single"/>
          <w:lang w:val="en-US" w:eastAsia="zh-CN"/>
        </w:rPr>
        <w:t xml:space="preserve">                </w:t>
      </w:r>
      <w:r>
        <w:rPr>
          <w:rFonts w:hint="eastAsia" w:hAnsi="宋体" w:cs="宋体"/>
          <w:szCs w:val="24"/>
          <w:highlight w:val="none"/>
        </w:rPr>
        <w:t>。</w:t>
      </w:r>
    </w:p>
    <w:p w14:paraId="2AF896B4">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受益人发出的书面付款通知应由其法定代表人（负责人）或授权代理人签字并加盖公章。</w:t>
      </w:r>
    </w:p>
    <w:p w14:paraId="1643782E">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 xml:space="preserve">五、本保函项下的权利不得转让，不得设定担保。受益人未经开立人书面同意转让本保函或其项下任何权利，对开立人不发生法律效力。 </w:t>
      </w:r>
    </w:p>
    <w:p w14:paraId="264A57C6">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六、本保函项下的基础交易不成立、不生效、无效、被撤销、被解除，不影响本保函的独立有效。</w:t>
      </w:r>
    </w:p>
    <w:p w14:paraId="04A1647E">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 xml:space="preserve">七、本保函项下的义务和责任均在保函有效期到期后自动消灭。 </w:t>
      </w:r>
    </w:p>
    <w:p w14:paraId="687B12EE">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 xml:space="preserve">八、本保函适用的法律为中华人民共和国法律，因本保函产生的纠纷案件，由受益人所在地人民法院管辖。 </w:t>
      </w:r>
    </w:p>
    <w:p w14:paraId="4B16A4D7">
      <w:pPr>
        <w:tabs>
          <w:tab w:val="left" w:pos="8422"/>
          <w:tab w:val="left" w:pos="9622"/>
        </w:tabs>
        <w:spacing w:line="360" w:lineRule="auto"/>
        <w:ind w:right="120" w:rightChars="50"/>
        <w:jc w:val="left"/>
        <w:rPr>
          <w:rFonts w:hAnsi="宋体" w:cs="宋体"/>
          <w:szCs w:val="24"/>
          <w:highlight w:val="none"/>
        </w:rPr>
      </w:pPr>
      <w:r>
        <w:rPr>
          <w:rFonts w:hint="eastAsia" w:hAnsi="宋体" w:cs="宋体"/>
          <w:szCs w:val="24"/>
          <w:highlight w:val="none"/>
        </w:rPr>
        <w:t xml:space="preserve">九、本保函自我方法定代表人或授权代表签字并加盖公章之日起生效。 </w:t>
      </w:r>
    </w:p>
    <w:p w14:paraId="1347BC3F">
      <w:pPr>
        <w:tabs>
          <w:tab w:val="left" w:pos="8422"/>
          <w:tab w:val="left" w:pos="9622"/>
        </w:tabs>
        <w:spacing w:line="360" w:lineRule="auto"/>
        <w:ind w:right="120" w:rightChars="50"/>
        <w:jc w:val="left"/>
        <w:rPr>
          <w:rFonts w:hAnsi="宋体" w:cs="宋体"/>
          <w:szCs w:val="24"/>
          <w:highlight w:val="none"/>
        </w:rPr>
      </w:pPr>
    </w:p>
    <w:p w14:paraId="66BB5E67">
      <w:pPr>
        <w:tabs>
          <w:tab w:val="left" w:pos="8422"/>
          <w:tab w:val="left" w:pos="9622"/>
        </w:tabs>
        <w:spacing w:line="360" w:lineRule="auto"/>
        <w:ind w:right="120"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开立人：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2C05C831">
      <w:pPr>
        <w:tabs>
          <w:tab w:val="left" w:pos="8422"/>
          <w:tab w:val="left" w:pos="9622"/>
        </w:tabs>
        <w:spacing w:line="360" w:lineRule="auto"/>
        <w:ind w:right="120"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6BB8D376">
      <w:pPr>
        <w:tabs>
          <w:tab w:val="left" w:pos="8422"/>
          <w:tab w:val="left" w:pos="9622"/>
        </w:tabs>
        <w:spacing w:line="360" w:lineRule="auto"/>
        <w:ind w:right="120" w:rightChars="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7ED3920B">
      <w:pPr>
        <w:tabs>
          <w:tab w:val="left" w:pos="8422"/>
          <w:tab w:val="left" w:pos="9622"/>
        </w:tabs>
        <w:spacing w:line="360" w:lineRule="auto"/>
        <w:ind w:right="120"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38E28AD8">
      <w:pPr>
        <w:tabs>
          <w:tab w:val="left" w:pos="8422"/>
          <w:tab w:val="left" w:pos="9622"/>
        </w:tabs>
        <w:spacing w:line="360" w:lineRule="auto"/>
        <w:ind w:right="120"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755F7F7C">
      <w:pPr>
        <w:tabs>
          <w:tab w:val="left" w:pos="8422"/>
          <w:tab w:val="left" w:pos="9622"/>
        </w:tabs>
        <w:spacing w:line="360" w:lineRule="auto"/>
        <w:ind w:right="120"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22C112ED">
      <w:pPr>
        <w:tabs>
          <w:tab w:val="left" w:pos="8422"/>
          <w:tab w:val="left" w:pos="9622"/>
        </w:tabs>
        <w:spacing w:line="360" w:lineRule="auto"/>
        <w:ind w:right="120" w:right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BD6250">
      <w:pPr>
        <w:tabs>
          <w:tab w:val="left" w:pos="8422"/>
          <w:tab w:val="left" w:pos="9622"/>
        </w:tabs>
        <w:spacing w:line="360" w:lineRule="auto"/>
        <w:ind w:right="120" w:rightChars="50"/>
        <w:jc w:val="left"/>
        <w:rPr>
          <w:rFonts w:hAnsi="宋体" w:cs="宋体"/>
          <w:szCs w:val="24"/>
          <w:highlight w:val="none"/>
        </w:rPr>
      </w:pPr>
    </w:p>
    <w:p w14:paraId="03842838">
      <w:pPr>
        <w:tabs>
          <w:tab w:val="left" w:pos="8422"/>
          <w:tab w:val="left" w:pos="9622"/>
        </w:tabs>
        <w:spacing w:line="360" w:lineRule="auto"/>
        <w:ind w:right="120" w:rightChars="50"/>
        <w:jc w:val="left"/>
        <w:rPr>
          <w:rFonts w:hAnsi="宋体" w:cs="宋体"/>
          <w:szCs w:val="24"/>
          <w:highlight w:val="none"/>
        </w:rPr>
      </w:pPr>
    </w:p>
    <w:p w14:paraId="3FF973B3">
      <w:pPr>
        <w:adjustRightInd w:val="0"/>
        <w:snapToGrid w:val="0"/>
        <w:spacing w:line="360" w:lineRule="auto"/>
        <w:ind w:firstLine="480" w:firstLineChars="200"/>
        <w:jc w:val="left"/>
        <w:rPr>
          <w:rFonts w:hAnsi="宋体" w:cs="宋体"/>
          <w:bCs/>
          <w:snapToGrid w:val="0"/>
          <w:szCs w:val="24"/>
          <w:highlight w:val="none"/>
        </w:rPr>
      </w:pPr>
      <w:r>
        <w:rPr>
          <w:rFonts w:hint="eastAsia" w:hAnsi="宋体" w:cs="宋体"/>
          <w:bCs/>
          <w:snapToGrid w:val="0"/>
          <w:szCs w:val="24"/>
          <w:highlight w:val="none"/>
        </w:rPr>
        <w:t>注：</w:t>
      </w:r>
    </w:p>
    <w:p w14:paraId="61D4A5EE">
      <w:pPr>
        <w:adjustRightInd w:val="0"/>
        <w:snapToGrid w:val="0"/>
        <w:spacing w:line="360" w:lineRule="auto"/>
        <w:ind w:firstLine="480" w:firstLineChars="200"/>
        <w:jc w:val="left"/>
        <w:rPr>
          <w:rFonts w:hAnsi="宋体" w:cs="宋体"/>
          <w:bCs/>
          <w:snapToGrid w:val="0"/>
          <w:szCs w:val="24"/>
          <w:highlight w:val="none"/>
        </w:rPr>
      </w:pPr>
      <w:r>
        <w:rPr>
          <w:rFonts w:hint="eastAsia" w:hAnsi="宋体" w:cs="宋体"/>
          <w:bCs/>
          <w:snapToGrid w:val="0"/>
          <w:szCs w:val="24"/>
          <w:highlight w:val="none"/>
        </w:rPr>
        <w:t>1.允许投标人实际开具的银行保函或担保机构或保证保险机构出具的担保的格式与本文件提供的格式有所不同，但不得更改本文件提供的银行保函或担保格式中的实质性内容。</w:t>
      </w:r>
    </w:p>
    <w:p w14:paraId="1DE4B83E">
      <w:pPr>
        <w:adjustRightInd w:val="0"/>
        <w:snapToGrid w:val="0"/>
        <w:spacing w:line="360" w:lineRule="auto"/>
        <w:ind w:firstLine="480" w:firstLineChars="200"/>
        <w:jc w:val="left"/>
        <w:rPr>
          <w:rFonts w:hAnsi="宋体" w:cs="宋体"/>
          <w:bCs/>
          <w:snapToGrid w:val="0"/>
          <w:szCs w:val="24"/>
          <w:highlight w:val="none"/>
        </w:rPr>
      </w:pPr>
      <w:r>
        <w:rPr>
          <w:rFonts w:hint="eastAsia" w:hAnsi="宋体" w:cs="宋体"/>
          <w:bCs/>
          <w:snapToGrid w:val="0"/>
          <w:szCs w:val="24"/>
          <w:highlight w:val="none"/>
        </w:rPr>
        <w:t>2.投标人开具的银行保函（或担保机构担保或保证保险）必须具有明确有效的查询途径（网址链接及查询方式）。</w:t>
      </w:r>
    </w:p>
    <w:p w14:paraId="789015F2">
      <w:pPr>
        <w:spacing w:line="560" w:lineRule="exact"/>
        <w:ind w:firstLine="422"/>
        <w:jc w:val="center"/>
        <w:rPr>
          <w:rFonts w:ascii="Times New Roman" w:eastAsia="方正小标宋简体"/>
          <w:sz w:val="44"/>
          <w:szCs w:val="44"/>
          <w:highlight w:val="none"/>
        </w:rPr>
      </w:pPr>
      <w:r>
        <w:rPr>
          <w:rFonts w:hint="eastAsia" w:hAnsi="宋体" w:cs="宋体"/>
          <w:bCs/>
          <w:snapToGrid w:val="0"/>
          <w:szCs w:val="24"/>
          <w:highlight w:val="none"/>
        </w:rPr>
        <w:br w:type="page"/>
      </w:r>
      <w:r>
        <w:rPr>
          <w:rFonts w:hint="eastAsia" w:hAnsi="宋体"/>
          <w:bCs/>
          <w:kern w:val="2"/>
          <w:sz w:val="32"/>
          <w:szCs w:val="32"/>
          <w:highlight w:val="none"/>
        </w:rPr>
        <w:t>（二）</w:t>
      </w:r>
      <w:r>
        <w:rPr>
          <w:rFonts w:hAnsi="宋体"/>
          <w:bCs/>
          <w:kern w:val="2"/>
          <w:sz w:val="32"/>
          <w:szCs w:val="32"/>
          <w:highlight w:val="none"/>
        </w:rPr>
        <w:t>投标人免缴投标保证金信用承诺函</w:t>
      </w:r>
    </w:p>
    <w:p w14:paraId="43C805F3">
      <w:pPr>
        <w:widowControl/>
        <w:spacing w:line="560" w:lineRule="exact"/>
        <w:jc w:val="center"/>
        <w:rPr>
          <w:rFonts w:ascii="Times New Roman" w:eastAsia="仿宋_GB2312"/>
          <w:sz w:val="24"/>
          <w:szCs w:val="24"/>
          <w:highlight w:val="none"/>
        </w:rPr>
      </w:pPr>
    </w:p>
    <w:p w14:paraId="5A4BE45D">
      <w:pPr>
        <w:spacing w:line="560" w:lineRule="exact"/>
        <w:rPr>
          <w:rFonts w:hAnsi="宋体"/>
          <w:kern w:val="2"/>
          <w:sz w:val="24"/>
          <w:szCs w:val="24"/>
          <w:highlight w:val="none"/>
        </w:rPr>
      </w:pPr>
      <w:r>
        <w:rPr>
          <w:rFonts w:hAnsi="宋体"/>
          <w:bCs/>
          <w:kern w:val="2"/>
          <w:sz w:val="24"/>
          <w:szCs w:val="24"/>
          <w:highlight w:val="none"/>
        </w:rPr>
        <w:t>致：</w:t>
      </w:r>
      <w:r>
        <w:rPr>
          <w:rFonts w:hAnsi="宋体"/>
          <w:bCs/>
          <w:kern w:val="2"/>
          <w:sz w:val="24"/>
          <w:szCs w:val="24"/>
          <w:highlight w:val="none"/>
          <w:u w:val="single"/>
        </w:rPr>
        <w:t>(招标人名称)</w:t>
      </w:r>
    </w:p>
    <w:p w14:paraId="58920F5B">
      <w:pPr>
        <w:spacing w:line="560" w:lineRule="exact"/>
        <w:ind w:firstLine="420"/>
        <w:rPr>
          <w:rFonts w:hAnsi="宋体"/>
          <w:kern w:val="2"/>
          <w:sz w:val="24"/>
          <w:szCs w:val="24"/>
          <w:highlight w:val="none"/>
        </w:rPr>
      </w:pPr>
      <w:r>
        <w:rPr>
          <w:rFonts w:hAnsi="宋体"/>
          <w:kern w:val="2"/>
          <w:sz w:val="24"/>
          <w:szCs w:val="24"/>
          <w:highlight w:val="none"/>
        </w:rPr>
        <w:t>按照招标文件的规定，我单位郑重承诺如下：</w:t>
      </w:r>
    </w:p>
    <w:p w14:paraId="3D9F25C7">
      <w:pPr>
        <w:spacing w:line="560" w:lineRule="exact"/>
        <w:ind w:firstLine="420"/>
        <w:rPr>
          <w:rFonts w:hAnsi="宋体"/>
          <w:kern w:val="2"/>
          <w:sz w:val="24"/>
          <w:szCs w:val="24"/>
          <w:highlight w:val="none"/>
        </w:rPr>
      </w:pPr>
      <w:r>
        <w:rPr>
          <w:rFonts w:hAnsi="宋体"/>
          <w:kern w:val="2"/>
          <w:sz w:val="24"/>
          <w:szCs w:val="24"/>
          <w:highlight w:val="none"/>
        </w:rPr>
        <w:t>我单位将严格遵守《中华人民共和国招标投标法》等法律、法规</w:t>
      </w:r>
      <w:r>
        <w:rPr>
          <w:rFonts w:hint="eastAsia" w:hAnsi="宋体"/>
          <w:kern w:val="2"/>
          <w:sz w:val="24"/>
          <w:szCs w:val="24"/>
          <w:highlight w:val="none"/>
        </w:rPr>
        <w:t>和招标文件约定条款</w:t>
      </w:r>
      <w:r>
        <w:rPr>
          <w:rFonts w:hAnsi="宋体"/>
          <w:kern w:val="2"/>
          <w:sz w:val="24"/>
          <w:szCs w:val="24"/>
          <w:highlight w:val="none"/>
        </w:rPr>
        <w:t>。如果存在招标文件约定的投标保证金不予退还的情形，将于收到招标人书面通知7日内将招标文件约定的投标保证金足额缴纳至招标人指定账户。</w:t>
      </w:r>
    </w:p>
    <w:p w14:paraId="7F0C9803">
      <w:pPr>
        <w:spacing w:line="560" w:lineRule="exact"/>
        <w:ind w:firstLine="420"/>
        <w:rPr>
          <w:rFonts w:hAnsi="宋体"/>
          <w:kern w:val="2"/>
          <w:sz w:val="24"/>
          <w:szCs w:val="24"/>
          <w:highlight w:val="none"/>
        </w:rPr>
      </w:pPr>
      <w:r>
        <w:rPr>
          <w:rFonts w:hAnsi="宋体"/>
          <w:kern w:val="2"/>
          <w:sz w:val="24"/>
          <w:szCs w:val="24"/>
          <w:highlight w:val="none"/>
        </w:rPr>
        <w:t>我单位对上述承诺的真实性负责。如有虚假，我单位愿意承担弄虚作假法律责任。</w:t>
      </w:r>
    </w:p>
    <w:p w14:paraId="2DB9909F">
      <w:pPr>
        <w:tabs>
          <w:tab w:val="left" w:pos="8422"/>
          <w:tab w:val="left" w:pos="9622"/>
        </w:tabs>
        <w:spacing w:line="560" w:lineRule="exact"/>
        <w:rPr>
          <w:rFonts w:hAnsi="宋体"/>
          <w:kern w:val="2"/>
          <w:sz w:val="24"/>
          <w:szCs w:val="24"/>
          <w:highlight w:val="none"/>
        </w:rPr>
      </w:pPr>
    </w:p>
    <w:p w14:paraId="22FA4104">
      <w:pPr>
        <w:tabs>
          <w:tab w:val="left" w:pos="8422"/>
          <w:tab w:val="left" w:pos="9622"/>
        </w:tabs>
        <w:spacing w:line="360" w:lineRule="auto"/>
        <w:ind w:right="120" w:rightChars="50"/>
        <w:jc w:val="left"/>
        <w:rPr>
          <w:rFonts w:hAnsi="宋体" w:cs="宋体"/>
          <w:kern w:val="2"/>
          <w:sz w:val="24"/>
          <w:szCs w:val="24"/>
          <w:highlight w:val="none"/>
        </w:rPr>
      </w:pPr>
    </w:p>
    <w:p w14:paraId="1DB2484D">
      <w:pPr>
        <w:adjustRightInd w:val="0"/>
        <w:snapToGrid w:val="0"/>
        <w:spacing w:line="360" w:lineRule="auto"/>
        <w:ind w:right="210"/>
        <w:jc w:val="right"/>
        <w:rPr>
          <w:rFonts w:hint="eastAsia" w:hAnsi="宋体" w:cs="仿宋_GB2312"/>
          <w:bCs/>
          <w:kern w:val="2"/>
          <w:sz w:val="24"/>
          <w:szCs w:val="24"/>
          <w:highlight w:val="none"/>
          <w:u w:val="none"/>
        </w:rPr>
      </w:pPr>
      <w:r>
        <w:rPr>
          <w:rFonts w:hint="eastAsia" w:hAnsi="宋体" w:cs="仿宋_GB2312"/>
          <w:bCs/>
          <w:spacing w:val="120"/>
          <w:kern w:val="0"/>
          <w:sz w:val="24"/>
          <w:szCs w:val="24"/>
          <w:highlight w:val="none"/>
          <w:fitText w:val="1200" w:id="-1218188030"/>
        </w:rPr>
        <w:t>投标</w:t>
      </w:r>
      <w:r>
        <w:rPr>
          <w:rFonts w:hint="eastAsia" w:hAnsi="宋体" w:cs="仿宋_GB2312"/>
          <w:bCs/>
          <w:spacing w:val="0"/>
          <w:kern w:val="0"/>
          <w:sz w:val="24"/>
          <w:szCs w:val="24"/>
          <w:highlight w:val="none"/>
          <w:fitText w:val="1200" w:id="-1218188030"/>
        </w:rPr>
        <w:t>人</w:t>
      </w:r>
      <w:r>
        <w:rPr>
          <w:rFonts w:hint="eastAsia" w:hAnsi="宋体" w:cs="仿宋_GB2312"/>
          <w:bCs/>
          <w:kern w:val="2"/>
          <w:sz w:val="24"/>
          <w:szCs w:val="24"/>
          <w:highlight w:val="none"/>
        </w:rPr>
        <w:t>：</w:t>
      </w:r>
      <w:r>
        <w:rPr>
          <w:rFonts w:hint="eastAsia" w:hAnsi="宋体" w:cs="仿宋_GB2312"/>
          <w:bCs/>
          <w:kern w:val="2"/>
          <w:sz w:val="24"/>
          <w:szCs w:val="24"/>
          <w:highlight w:val="none"/>
          <w:u w:val="single"/>
          <w:lang w:val="en-US" w:eastAsia="zh-CN"/>
        </w:rPr>
        <w:t xml:space="preserve">                  </w:t>
      </w:r>
      <w:r>
        <w:rPr>
          <w:rFonts w:hint="eastAsia" w:hAnsi="宋体" w:cs="仿宋_GB2312"/>
          <w:bCs/>
          <w:kern w:val="2"/>
          <w:sz w:val="24"/>
          <w:szCs w:val="24"/>
          <w:highlight w:val="none"/>
          <w:u w:val="none"/>
        </w:rPr>
        <w:t>（盖单位章）</w:t>
      </w:r>
    </w:p>
    <w:p w14:paraId="2A9741A6">
      <w:pPr>
        <w:adjustRightInd w:val="0"/>
        <w:snapToGrid w:val="0"/>
        <w:spacing w:line="360" w:lineRule="auto"/>
        <w:ind w:right="210"/>
        <w:jc w:val="center"/>
        <w:rPr>
          <w:rFonts w:hAnsi="宋体" w:cs="宋体"/>
          <w:bCs/>
          <w:snapToGrid w:val="0"/>
          <w:sz w:val="24"/>
          <w:szCs w:val="24"/>
          <w:highlight w:val="none"/>
        </w:rPr>
      </w:pPr>
      <w:r>
        <w:rPr>
          <w:rFonts w:hint="eastAsia" w:hAnsi="宋体" w:cs="仿宋_GB2312"/>
          <w:bCs/>
          <w:kern w:val="0"/>
          <w:sz w:val="24"/>
          <w:szCs w:val="24"/>
          <w:highlight w:val="none"/>
          <w:lang w:val="en-US" w:eastAsia="zh-CN"/>
        </w:rPr>
        <w:t xml:space="preserve">                      </w:t>
      </w:r>
      <w:r>
        <w:rPr>
          <w:rFonts w:hint="eastAsia" w:hAnsi="宋体" w:cs="仿宋_GB2312"/>
          <w:bCs/>
          <w:spacing w:val="360"/>
          <w:kern w:val="0"/>
          <w:sz w:val="24"/>
          <w:szCs w:val="24"/>
          <w:highlight w:val="none"/>
          <w:fitText w:val="1200" w:id="-1218188029"/>
        </w:rPr>
        <w:t>日</w:t>
      </w:r>
      <w:r>
        <w:rPr>
          <w:rFonts w:hint="eastAsia" w:hAnsi="宋体" w:cs="仿宋_GB2312"/>
          <w:bCs/>
          <w:spacing w:val="0"/>
          <w:kern w:val="0"/>
          <w:sz w:val="24"/>
          <w:szCs w:val="24"/>
          <w:highlight w:val="none"/>
          <w:fitText w:val="1200" w:id="-1218188029"/>
        </w:rPr>
        <w:t>期</w:t>
      </w:r>
      <w:r>
        <w:rPr>
          <w:rFonts w:hint="eastAsia" w:hAnsi="宋体" w:cs="仿宋_GB2312"/>
          <w:kern w:val="2"/>
          <w:sz w:val="24"/>
          <w:szCs w:val="24"/>
          <w:highlight w:val="none"/>
        </w:rPr>
        <w:t>：</w:t>
      </w:r>
      <w:r>
        <w:rPr>
          <w:rFonts w:hint="eastAsia" w:hAnsi="宋体" w:cs="仿宋_GB2312"/>
          <w:kern w:val="2"/>
          <w:sz w:val="24"/>
          <w:szCs w:val="24"/>
          <w:highlight w:val="none"/>
          <w:u w:val="single"/>
        </w:rPr>
        <w:t xml:space="preserve">  </w:t>
      </w:r>
      <w:r>
        <w:rPr>
          <w:rFonts w:hint="eastAsia" w:hAnsi="宋体" w:cs="仿宋_GB2312"/>
          <w:kern w:val="2"/>
          <w:sz w:val="24"/>
          <w:szCs w:val="24"/>
          <w:highlight w:val="none"/>
          <w:u w:val="single"/>
          <w:lang w:val="en-US" w:eastAsia="zh-CN"/>
        </w:rPr>
        <w:t xml:space="preserve">     </w:t>
      </w:r>
      <w:r>
        <w:rPr>
          <w:rFonts w:hint="eastAsia" w:hAnsi="宋体" w:cs="仿宋_GB2312"/>
          <w:kern w:val="2"/>
          <w:sz w:val="24"/>
          <w:szCs w:val="24"/>
          <w:highlight w:val="none"/>
          <w:u w:val="none"/>
        </w:rPr>
        <w:t>年</w:t>
      </w:r>
      <w:r>
        <w:rPr>
          <w:rFonts w:hint="eastAsia" w:hAnsi="宋体" w:cs="仿宋_GB2312"/>
          <w:kern w:val="2"/>
          <w:sz w:val="24"/>
          <w:szCs w:val="24"/>
          <w:highlight w:val="none"/>
          <w:u w:val="single"/>
          <w:lang w:val="en-US" w:eastAsia="zh-CN"/>
        </w:rPr>
        <w:t xml:space="preserve">     </w:t>
      </w:r>
      <w:r>
        <w:rPr>
          <w:rFonts w:hint="eastAsia" w:hAnsi="宋体" w:cs="仿宋_GB2312"/>
          <w:kern w:val="2"/>
          <w:sz w:val="24"/>
          <w:szCs w:val="24"/>
          <w:highlight w:val="none"/>
          <w:u w:val="single"/>
        </w:rPr>
        <w:t xml:space="preserve">  </w:t>
      </w:r>
      <w:r>
        <w:rPr>
          <w:rFonts w:hint="eastAsia" w:hAnsi="宋体" w:cs="仿宋_GB2312"/>
          <w:kern w:val="2"/>
          <w:sz w:val="24"/>
          <w:szCs w:val="24"/>
          <w:highlight w:val="none"/>
          <w:u w:val="none"/>
        </w:rPr>
        <w:t>月</w:t>
      </w:r>
      <w:r>
        <w:rPr>
          <w:rFonts w:hint="eastAsia" w:hAnsi="宋体" w:cs="仿宋_GB2312"/>
          <w:kern w:val="2"/>
          <w:sz w:val="24"/>
          <w:szCs w:val="24"/>
          <w:highlight w:val="none"/>
          <w:u w:val="single"/>
        </w:rPr>
        <w:t xml:space="preserve"> </w:t>
      </w:r>
      <w:r>
        <w:rPr>
          <w:rFonts w:hint="eastAsia" w:hAnsi="宋体" w:cs="仿宋_GB2312"/>
          <w:kern w:val="2"/>
          <w:sz w:val="24"/>
          <w:szCs w:val="24"/>
          <w:highlight w:val="none"/>
          <w:u w:val="single"/>
          <w:lang w:val="en-US" w:eastAsia="zh-CN"/>
        </w:rPr>
        <w:t xml:space="preserve">     </w:t>
      </w:r>
      <w:r>
        <w:rPr>
          <w:rFonts w:hint="eastAsia" w:hAnsi="宋体" w:cs="仿宋_GB2312"/>
          <w:kern w:val="2"/>
          <w:sz w:val="24"/>
          <w:szCs w:val="24"/>
          <w:highlight w:val="none"/>
          <w:u w:val="single"/>
        </w:rPr>
        <w:t xml:space="preserve"> </w:t>
      </w:r>
      <w:r>
        <w:rPr>
          <w:rFonts w:hint="eastAsia" w:hAnsi="宋体" w:cs="仿宋_GB2312"/>
          <w:kern w:val="2"/>
          <w:sz w:val="24"/>
          <w:szCs w:val="24"/>
          <w:highlight w:val="none"/>
          <w:u w:val="none"/>
        </w:rPr>
        <w:t>日</w:t>
      </w:r>
    </w:p>
    <w:p w14:paraId="2E4AF74F">
      <w:pPr>
        <w:pStyle w:val="2"/>
        <w:jc w:val="center"/>
        <w:rPr>
          <w:rFonts w:ascii="Times New Roman" w:hAnsi="Times New Roman"/>
          <w:snapToGrid w:val="0"/>
          <w:highlight w:val="none"/>
        </w:rPr>
      </w:pPr>
      <w:r>
        <w:rPr>
          <w:rFonts w:ascii="Times New Roman" w:hAnsi="Times New Roman"/>
          <w:snapToGrid w:val="0"/>
          <w:highlight w:val="none"/>
        </w:rPr>
        <w:br w:type="page"/>
      </w:r>
      <w:r>
        <w:rPr>
          <w:rFonts w:hint="eastAsia" w:ascii="Times New Roman" w:hAnsi="Times New Roman"/>
          <w:highlight w:val="none"/>
        </w:rPr>
        <w:t>五、商务条款偏差表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14:paraId="75D2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vAlign w:val="center"/>
          </w:tcPr>
          <w:p w14:paraId="53BB963A">
            <w:pPr>
              <w:widowControl/>
              <w:snapToGrid w:val="0"/>
              <w:spacing w:line="360" w:lineRule="auto"/>
              <w:jc w:val="center"/>
              <w:rPr>
                <w:rFonts w:hAnsi="宋体" w:cs="宋体"/>
                <w:highlight w:val="none"/>
              </w:rPr>
            </w:pPr>
            <w:r>
              <w:rPr>
                <w:rFonts w:hint="eastAsia" w:hAnsi="宋体" w:cs="宋体"/>
                <w:highlight w:val="none"/>
              </w:rPr>
              <w:t>序号</w:t>
            </w:r>
          </w:p>
        </w:tc>
        <w:tc>
          <w:tcPr>
            <w:tcW w:w="2821" w:type="dxa"/>
            <w:gridSpan w:val="2"/>
            <w:vAlign w:val="center"/>
          </w:tcPr>
          <w:p w14:paraId="3CBB7FEC">
            <w:pPr>
              <w:widowControl/>
              <w:snapToGrid w:val="0"/>
              <w:spacing w:line="360" w:lineRule="auto"/>
              <w:jc w:val="center"/>
              <w:rPr>
                <w:rFonts w:hAnsi="宋体" w:cs="宋体"/>
                <w:highlight w:val="none"/>
              </w:rPr>
            </w:pPr>
            <w:r>
              <w:rPr>
                <w:rFonts w:hint="eastAsia" w:hAnsi="宋体" w:cs="宋体"/>
                <w:highlight w:val="none"/>
              </w:rPr>
              <w:t>招标文件要求</w:t>
            </w:r>
          </w:p>
        </w:tc>
        <w:tc>
          <w:tcPr>
            <w:tcW w:w="2977" w:type="dxa"/>
            <w:gridSpan w:val="2"/>
            <w:vAlign w:val="center"/>
          </w:tcPr>
          <w:p w14:paraId="1DBFD959">
            <w:pPr>
              <w:widowControl/>
              <w:snapToGrid w:val="0"/>
              <w:spacing w:line="360" w:lineRule="auto"/>
              <w:jc w:val="center"/>
              <w:rPr>
                <w:rFonts w:hAnsi="宋体" w:cs="宋体"/>
                <w:highlight w:val="none"/>
              </w:rPr>
            </w:pPr>
            <w:r>
              <w:rPr>
                <w:rFonts w:hint="eastAsia" w:hAnsi="宋体" w:cs="宋体"/>
                <w:highlight w:val="none"/>
              </w:rPr>
              <w:t>投标文件响应</w:t>
            </w:r>
          </w:p>
        </w:tc>
        <w:tc>
          <w:tcPr>
            <w:tcW w:w="1506" w:type="dxa"/>
            <w:vMerge w:val="restart"/>
            <w:vAlign w:val="center"/>
          </w:tcPr>
          <w:p w14:paraId="214A6990">
            <w:pPr>
              <w:widowControl/>
              <w:snapToGrid w:val="0"/>
              <w:spacing w:line="360" w:lineRule="auto"/>
              <w:jc w:val="center"/>
              <w:rPr>
                <w:rFonts w:hAnsi="宋体" w:cs="宋体"/>
                <w:highlight w:val="none"/>
              </w:rPr>
            </w:pPr>
            <w:r>
              <w:rPr>
                <w:rFonts w:hint="eastAsia" w:hAnsi="宋体" w:cs="宋体"/>
                <w:highlight w:val="none"/>
              </w:rPr>
              <w:t>偏差说明</w:t>
            </w:r>
          </w:p>
        </w:tc>
      </w:tr>
      <w:tr w14:paraId="52F7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925" w:type="dxa"/>
            <w:vMerge w:val="continue"/>
            <w:vAlign w:val="center"/>
          </w:tcPr>
          <w:p w14:paraId="5BB802E9">
            <w:pPr>
              <w:widowControl/>
              <w:snapToGrid w:val="0"/>
              <w:spacing w:line="360" w:lineRule="auto"/>
              <w:jc w:val="center"/>
              <w:rPr>
                <w:rFonts w:hAnsi="宋体" w:cs="宋体"/>
                <w:highlight w:val="none"/>
              </w:rPr>
            </w:pPr>
          </w:p>
        </w:tc>
        <w:tc>
          <w:tcPr>
            <w:tcW w:w="1545" w:type="dxa"/>
            <w:vAlign w:val="center"/>
          </w:tcPr>
          <w:p w14:paraId="303B194C">
            <w:pPr>
              <w:widowControl/>
              <w:snapToGrid w:val="0"/>
              <w:spacing w:line="360" w:lineRule="auto"/>
              <w:jc w:val="center"/>
              <w:rPr>
                <w:rFonts w:hAnsi="宋体" w:cs="宋体"/>
                <w:highlight w:val="none"/>
              </w:rPr>
            </w:pPr>
            <w:r>
              <w:rPr>
                <w:rFonts w:hint="eastAsia" w:hAnsi="宋体" w:cs="宋体"/>
                <w:highlight w:val="none"/>
              </w:rPr>
              <w:t>章节及条款号</w:t>
            </w:r>
          </w:p>
        </w:tc>
        <w:tc>
          <w:tcPr>
            <w:tcW w:w="1276" w:type="dxa"/>
            <w:vAlign w:val="center"/>
          </w:tcPr>
          <w:p w14:paraId="4B9712E6">
            <w:pPr>
              <w:widowControl/>
              <w:snapToGrid w:val="0"/>
              <w:spacing w:line="360" w:lineRule="auto"/>
              <w:jc w:val="center"/>
              <w:rPr>
                <w:rFonts w:hAnsi="宋体" w:cs="宋体"/>
                <w:highlight w:val="none"/>
              </w:rPr>
            </w:pPr>
            <w:r>
              <w:rPr>
                <w:rFonts w:hint="eastAsia" w:hAnsi="宋体" w:cs="宋体"/>
                <w:highlight w:val="none"/>
              </w:rPr>
              <w:t>具体要求</w:t>
            </w:r>
          </w:p>
        </w:tc>
        <w:tc>
          <w:tcPr>
            <w:tcW w:w="1559" w:type="dxa"/>
            <w:vAlign w:val="center"/>
          </w:tcPr>
          <w:p w14:paraId="20BC0F6C">
            <w:pPr>
              <w:widowControl/>
              <w:snapToGrid w:val="0"/>
              <w:spacing w:line="360" w:lineRule="auto"/>
              <w:jc w:val="center"/>
              <w:rPr>
                <w:rFonts w:hAnsi="宋体" w:cs="宋体"/>
                <w:highlight w:val="none"/>
              </w:rPr>
            </w:pPr>
            <w:r>
              <w:rPr>
                <w:rFonts w:hint="eastAsia" w:hAnsi="宋体" w:cs="宋体"/>
                <w:highlight w:val="none"/>
              </w:rPr>
              <w:t>章节及条款号</w:t>
            </w:r>
          </w:p>
        </w:tc>
        <w:tc>
          <w:tcPr>
            <w:tcW w:w="1418" w:type="dxa"/>
            <w:vAlign w:val="center"/>
          </w:tcPr>
          <w:p w14:paraId="1448E073">
            <w:pPr>
              <w:widowControl/>
              <w:snapToGrid w:val="0"/>
              <w:spacing w:line="360" w:lineRule="auto"/>
              <w:jc w:val="center"/>
              <w:rPr>
                <w:rFonts w:hAnsi="宋体" w:cs="宋体"/>
                <w:highlight w:val="none"/>
              </w:rPr>
            </w:pPr>
            <w:r>
              <w:rPr>
                <w:rFonts w:hint="eastAsia" w:hAnsi="宋体" w:cs="宋体"/>
                <w:highlight w:val="none"/>
              </w:rPr>
              <w:t>具体内容</w:t>
            </w:r>
          </w:p>
        </w:tc>
        <w:tc>
          <w:tcPr>
            <w:tcW w:w="1506" w:type="dxa"/>
            <w:vMerge w:val="continue"/>
            <w:vAlign w:val="center"/>
          </w:tcPr>
          <w:p w14:paraId="2787BC0A">
            <w:pPr>
              <w:widowControl/>
              <w:snapToGrid w:val="0"/>
              <w:spacing w:line="360" w:lineRule="auto"/>
              <w:jc w:val="center"/>
              <w:rPr>
                <w:rFonts w:hAnsi="宋体" w:cs="宋体"/>
                <w:highlight w:val="none"/>
              </w:rPr>
            </w:pPr>
          </w:p>
        </w:tc>
      </w:tr>
      <w:tr w14:paraId="2D0F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17276D23">
            <w:pPr>
              <w:widowControl/>
              <w:snapToGrid w:val="0"/>
              <w:spacing w:line="360" w:lineRule="auto"/>
              <w:jc w:val="center"/>
              <w:rPr>
                <w:rFonts w:hAnsi="宋体" w:cs="宋体"/>
                <w:highlight w:val="none"/>
              </w:rPr>
            </w:pPr>
            <w:r>
              <w:rPr>
                <w:rFonts w:hint="eastAsia" w:hAnsi="宋体" w:cs="宋体"/>
                <w:highlight w:val="none"/>
              </w:rPr>
              <w:t>1</w:t>
            </w:r>
          </w:p>
        </w:tc>
        <w:tc>
          <w:tcPr>
            <w:tcW w:w="1545" w:type="dxa"/>
            <w:vAlign w:val="center"/>
          </w:tcPr>
          <w:p w14:paraId="05902265">
            <w:pPr>
              <w:widowControl/>
              <w:snapToGrid w:val="0"/>
              <w:spacing w:line="360" w:lineRule="auto"/>
              <w:jc w:val="center"/>
              <w:rPr>
                <w:rFonts w:hAnsi="宋体" w:cs="宋体"/>
                <w:highlight w:val="none"/>
              </w:rPr>
            </w:pPr>
          </w:p>
        </w:tc>
        <w:tc>
          <w:tcPr>
            <w:tcW w:w="1276" w:type="dxa"/>
            <w:vAlign w:val="center"/>
          </w:tcPr>
          <w:p w14:paraId="72D7BFE0">
            <w:pPr>
              <w:widowControl/>
              <w:snapToGrid w:val="0"/>
              <w:spacing w:line="360" w:lineRule="auto"/>
              <w:jc w:val="center"/>
              <w:rPr>
                <w:rFonts w:hAnsi="宋体" w:cs="宋体"/>
                <w:highlight w:val="none"/>
              </w:rPr>
            </w:pPr>
          </w:p>
        </w:tc>
        <w:tc>
          <w:tcPr>
            <w:tcW w:w="1559" w:type="dxa"/>
            <w:vAlign w:val="center"/>
          </w:tcPr>
          <w:p w14:paraId="7AC2307A">
            <w:pPr>
              <w:widowControl/>
              <w:snapToGrid w:val="0"/>
              <w:spacing w:line="360" w:lineRule="auto"/>
              <w:jc w:val="center"/>
              <w:rPr>
                <w:rFonts w:hAnsi="宋体" w:cs="宋体"/>
                <w:highlight w:val="none"/>
              </w:rPr>
            </w:pPr>
          </w:p>
        </w:tc>
        <w:tc>
          <w:tcPr>
            <w:tcW w:w="1418" w:type="dxa"/>
            <w:vAlign w:val="center"/>
          </w:tcPr>
          <w:p w14:paraId="50E435AF">
            <w:pPr>
              <w:widowControl/>
              <w:snapToGrid w:val="0"/>
              <w:spacing w:line="360" w:lineRule="auto"/>
              <w:jc w:val="center"/>
              <w:rPr>
                <w:rFonts w:hAnsi="宋体" w:cs="宋体"/>
                <w:highlight w:val="none"/>
              </w:rPr>
            </w:pPr>
          </w:p>
        </w:tc>
        <w:tc>
          <w:tcPr>
            <w:tcW w:w="1506" w:type="dxa"/>
            <w:vAlign w:val="center"/>
          </w:tcPr>
          <w:p w14:paraId="7539C794">
            <w:pPr>
              <w:widowControl/>
              <w:snapToGrid w:val="0"/>
              <w:spacing w:line="360" w:lineRule="auto"/>
              <w:jc w:val="center"/>
              <w:rPr>
                <w:rFonts w:hAnsi="宋体" w:cs="宋体"/>
                <w:highlight w:val="none"/>
              </w:rPr>
            </w:pPr>
          </w:p>
        </w:tc>
      </w:tr>
      <w:tr w14:paraId="2191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2CA2F4E6">
            <w:pPr>
              <w:widowControl/>
              <w:snapToGrid w:val="0"/>
              <w:spacing w:line="360" w:lineRule="auto"/>
              <w:jc w:val="center"/>
              <w:rPr>
                <w:rFonts w:hAnsi="宋体" w:cs="宋体"/>
                <w:highlight w:val="none"/>
              </w:rPr>
            </w:pPr>
            <w:r>
              <w:rPr>
                <w:rFonts w:hint="eastAsia" w:hAnsi="宋体" w:cs="宋体"/>
                <w:highlight w:val="none"/>
              </w:rPr>
              <w:t>2</w:t>
            </w:r>
          </w:p>
        </w:tc>
        <w:tc>
          <w:tcPr>
            <w:tcW w:w="1545" w:type="dxa"/>
            <w:vAlign w:val="center"/>
          </w:tcPr>
          <w:p w14:paraId="219A2636">
            <w:pPr>
              <w:widowControl/>
              <w:snapToGrid w:val="0"/>
              <w:spacing w:line="360" w:lineRule="auto"/>
              <w:jc w:val="center"/>
              <w:rPr>
                <w:rFonts w:hAnsi="宋体" w:cs="宋体"/>
                <w:highlight w:val="none"/>
              </w:rPr>
            </w:pPr>
          </w:p>
        </w:tc>
        <w:tc>
          <w:tcPr>
            <w:tcW w:w="1276" w:type="dxa"/>
            <w:vAlign w:val="center"/>
          </w:tcPr>
          <w:p w14:paraId="11ADB2AF">
            <w:pPr>
              <w:widowControl/>
              <w:snapToGrid w:val="0"/>
              <w:spacing w:line="360" w:lineRule="auto"/>
              <w:jc w:val="center"/>
              <w:rPr>
                <w:rFonts w:hAnsi="宋体" w:cs="宋体"/>
                <w:highlight w:val="none"/>
              </w:rPr>
            </w:pPr>
          </w:p>
        </w:tc>
        <w:tc>
          <w:tcPr>
            <w:tcW w:w="1559" w:type="dxa"/>
            <w:vAlign w:val="center"/>
          </w:tcPr>
          <w:p w14:paraId="414707EE">
            <w:pPr>
              <w:widowControl/>
              <w:snapToGrid w:val="0"/>
              <w:spacing w:line="360" w:lineRule="auto"/>
              <w:jc w:val="center"/>
              <w:rPr>
                <w:rFonts w:hAnsi="宋体" w:cs="宋体"/>
                <w:highlight w:val="none"/>
              </w:rPr>
            </w:pPr>
          </w:p>
        </w:tc>
        <w:tc>
          <w:tcPr>
            <w:tcW w:w="1418" w:type="dxa"/>
            <w:vAlign w:val="center"/>
          </w:tcPr>
          <w:p w14:paraId="64A8CB37">
            <w:pPr>
              <w:widowControl/>
              <w:snapToGrid w:val="0"/>
              <w:spacing w:line="360" w:lineRule="auto"/>
              <w:jc w:val="center"/>
              <w:rPr>
                <w:rFonts w:hAnsi="宋体" w:cs="宋体"/>
                <w:highlight w:val="none"/>
              </w:rPr>
            </w:pPr>
          </w:p>
        </w:tc>
        <w:tc>
          <w:tcPr>
            <w:tcW w:w="1506" w:type="dxa"/>
            <w:vAlign w:val="center"/>
          </w:tcPr>
          <w:p w14:paraId="3A604C50">
            <w:pPr>
              <w:widowControl/>
              <w:snapToGrid w:val="0"/>
              <w:spacing w:line="360" w:lineRule="auto"/>
              <w:jc w:val="center"/>
              <w:rPr>
                <w:rFonts w:hAnsi="宋体" w:cs="宋体"/>
                <w:highlight w:val="none"/>
              </w:rPr>
            </w:pPr>
          </w:p>
        </w:tc>
      </w:tr>
      <w:tr w14:paraId="7C94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357FD448">
            <w:pPr>
              <w:widowControl/>
              <w:snapToGrid w:val="0"/>
              <w:spacing w:line="360" w:lineRule="auto"/>
              <w:jc w:val="center"/>
              <w:rPr>
                <w:rFonts w:hAnsi="宋体" w:cs="宋体"/>
                <w:highlight w:val="none"/>
              </w:rPr>
            </w:pPr>
            <w:r>
              <w:rPr>
                <w:rFonts w:hint="eastAsia" w:hAnsi="宋体" w:cs="宋体"/>
                <w:highlight w:val="none"/>
              </w:rPr>
              <w:t>3</w:t>
            </w:r>
          </w:p>
        </w:tc>
        <w:tc>
          <w:tcPr>
            <w:tcW w:w="1545" w:type="dxa"/>
            <w:vAlign w:val="center"/>
          </w:tcPr>
          <w:p w14:paraId="5796C901">
            <w:pPr>
              <w:widowControl/>
              <w:snapToGrid w:val="0"/>
              <w:spacing w:line="360" w:lineRule="auto"/>
              <w:jc w:val="center"/>
              <w:rPr>
                <w:rFonts w:hAnsi="宋体" w:cs="宋体"/>
                <w:highlight w:val="none"/>
              </w:rPr>
            </w:pPr>
          </w:p>
        </w:tc>
        <w:tc>
          <w:tcPr>
            <w:tcW w:w="1276" w:type="dxa"/>
            <w:vAlign w:val="center"/>
          </w:tcPr>
          <w:p w14:paraId="3C2F3D7F">
            <w:pPr>
              <w:widowControl/>
              <w:snapToGrid w:val="0"/>
              <w:spacing w:line="360" w:lineRule="auto"/>
              <w:jc w:val="center"/>
              <w:rPr>
                <w:rFonts w:hAnsi="宋体" w:cs="宋体"/>
                <w:highlight w:val="none"/>
              </w:rPr>
            </w:pPr>
          </w:p>
        </w:tc>
        <w:tc>
          <w:tcPr>
            <w:tcW w:w="1559" w:type="dxa"/>
            <w:vAlign w:val="center"/>
          </w:tcPr>
          <w:p w14:paraId="2DCF2718">
            <w:pPr>
              <w:widowControl/>
              <w:snapToGrid w:val="0"/>
              <w:spacing w:line="360" w:lineRule="auto"/>
              <w:jc w:val="center"/>
              <w:rPr>
                <w:rFonts w:hAnsi="宋体" w:cs="宋体"/>
                <w:highlight w:val="none"/>
              </w:rPr>
            </w:pPr>
          </w:p>
        </w:tc>
        <w:tc>
          <w:tcPr>
            <w:tcW w:w="1418" w:type="dxa"/>
            <w:vAlign w:val="center"/>
          </w:tcPr>
          <w:p w14:paraId="2A8F4783">
            <w:pPr>
              <w:widowControl/>
              <w:snapToGrid w:val="0"/>
              <w:spacing w:line="360" w:lineRule="auto"/>
              <w:jc w:val="center"/>
              <w:rPr>
                <w:rFonts w:hAnsi="宋体" w:cs="宋体"/>
                <w:highlight w:val="none"/>
              </w:rPr>
            </w:pPr>
          </w:p>
        </w:tc>
        <w:tc>
          <w:tcPr>
            <w:tcW w:w="1506" w:type="dxa"/>
            <w:vAlign w:val="center"/>
          </w:tcPr>
          <w:p w14:paraId="6099D233">
            <w:pPr>
              <w:widowControl/>
              <w:snapToGrid w:val="0"/>
              <w:spacing w:line="360" w:lineRule="auto"/>
              <w:jc w:val="center"/>
              <w:rPr>
                <w:rFonts w:hAnsi="宋体" w:cs="宋体"/>
                <w:highlight w:val="none"/>
              </w:rPr>
            </w:pPr>
          </w:p>
        </w:tc>
      </w:tr>
      <w:tr w14:paraId="5F56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202C713B">
            <w:pPr>
              <w:widowControl/>
              <w:snapToGrid w:val="0"/>
              <w:spacing w:line="360" w:lineRule="auto"/>
              <w:jc w:val="center"/>
              <w:rPr>
                <w:rFonts w:hAnsi="宋体" w:cs="宋体"/>
                <w:highlight w:val="none"/>
              </w:rPr>
            </w:pPr>
            <w:r>
              <w:rPr>
                <w:rFonts w:hint="eastAsia" w:hAnsi="宋体" w:cs="宋体"/>
                <w:highlight w:val="none"/>
              </w:rPr>
              <w:t>4</w:t>
            </w:r>
          </w:p>
        </w:tc>
        <w:tc>
          <w:tcPr>
            <w:tcW w:w="1545" w:type="dxa"/>
            <w:vAlign w:val="center"/>
          </w:tcPr>
          <w:p w14:paraId="1D8D4A7E">
            <w:pPr>
              <w:widowControl/>
              <w:snapToGrid w:val="0"/>
              <w:spacing w:line="360" w:lineRule="auto"/>
              <w:jc w:val="center"/>
              <w:rPr>
                <w:rFonts w:hAnsi="宋体" w:cs="宋体"/>
                <w:highlight w:val="none"/>
              </w:rPr>
            </w:pPr>
          </w:p>
        </w:tc>
        <w:tc>
          <w:tcPr>
            <w:tcW w:w="1276" w:type="dxa"/>
            <w:vAlign w:val="center"/>
          </w:tcPr>
          <w:p w14:paraId="5341FE2E">
            <w:pPr>
              <w:widowControl/>
              <w:snapToGrid w:val="0"/>
              <w:spacing w:line="360" w:lineRule="auto"/>
              <w:jc w:val="center"/>
              <w:rPr>
                <w:rFonts w:hAnsi="宋体" w:cs="宋体"/>
                <w:highlight w:val="none"/>
              </w:rPr>
            </w:pPr>
          </w:p>
        </w:tc>
        <w:tc>
          <w:tcPr>
            <w:tcW w:w="1559" w:type="dxa"/>
            <w:vAlign w:val="center"/>
          </w:tcPr>
          <w:p w14:paraId="5B914D9A">
            <w:pPr>
              <w:widowControl/>
              <w:snapToGrid w:val="0"/>
              <w:spacing w:line="360" w:lineRule="auto"/>
              <w:jc w:val="center"/>
              <w:rPr>
                <w:rFonts w:hAnsi="宋体" w:cs="宋体"/>
                <w:highlight w:val="none"/>
              </w:rPr>
            </w:pPr>
          </w:p>
        </w:tc>
        <w:tc>
          <w:tcPr>
            <w:tcW w:w="1418" w:type="dxa"/>
            <w:vAlign w:val="center"/>
          </w:tcPr>
          <w:p w14:paraId="7E826D2C">
            <w:pPr>
              <w:widowControl/>
              <w:snapToGrid w:val="0"/>
              <w:spacing w:line="360" w:lineRule="auto"/>
              <w:jc w:val="center"/>
              <w:rPr>
                <w:rFonts w:hAnsi="宋体" w:cs="宋体"/>
                <w:highlight w:val="none"/>
              </w:rPr>
            </w:pPr>
          </w:p>
        </w:tc>
        <w:tc>
          <w:tcPr>
            <w:tcW w:w="1506" w:type="dxa"/>
            <w:vAlign w:val="center"/>
          </w:tcPr>
          <w:p w14:paraId="7B690A3E">
            <w:pPr>
              <w:widowControl/>
              <w:snapToGrid w:val="0"/>
              <w:spacing w:line="360" w:lineRule="auto"/>
              <w:jc w:val="center"/>
              <w:rPr>
                <w:rFonts w:hAnsi="宋体" w:cs="宋体"/>
                <w:highlight w:val="none"/>
              </w:rPr>
            </w:pPr>
          </w:p>
        </w:tc>
      </w:tr>
      <w:tr w14:paraId="43F8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center"/>
          </w:tcPr>
          <w:p w14:paraId="1642D284">
            <w:pPr>
              <w:widowControl/>
              <w:snapToGrid w:val="0"/>
              <w:spacing w:line="360" w:lineRule="auto"/>
              <w:jc w:val="center"/>
              <w:rPr>
                <w:rFonts w:hAnsi="宋体" w:cs="宋体"/>
                <w:highlight w:val="none"/>
              </w:rPr>
            </w:pPr>
            <w:r>
              <w:rPr>
                <w:rFonts w:hint="eastAsia" w:hAnsi="宋体" w:cs="宋体"/>
                <w:highlight w:val="none"/>
              </w:rPr>
              <w:t>……</w:t>
            </w:r>
          </w:p>
        </w:tc>
        <w:tc>
          <w:tcPr>
            <w:tcW w:w="1545" w:type="dxa"/>
            <w:vAlign w:val="center"/>
          </w:tcPr>
          <w:p w14:paraId="1A658D09">
            <w:pPr>
              <w:widowControl/>
              <w:snapToGrid w:val="0"/>
              <w:spacing w:line="360" w:lineRule="auto"/>
              <w:jc w:val="center"/>
              <w:rPr>
                <w:rFonts w:hAnsi="宋体" w:cs="宋体"/>
                <w:highlight w:val="none"/>
              </w:rPr>
            </w:pPr>
          </w:p>
        </w:tc>
        <w:tc>
          <w:tcPr>
            <w:tcW w:w="1276" w:type="dxa"/>
            <w:vAlign w:val="center"/>
          </w:tcPr>
          <w:p w14:paraId="3FEA0437">
            <w:pPr>
              <w:widowControl/>
              <w:snapToGrid w:val="0"/>
              <w:spacing w:line="360" w:lineRule="auto"/>
              <w:jc w:val="center"/>
              <w:rPr>
                <w:rFonts w:hAnsi="宋体" w:cs="宋体"/>
                <w:highlight w:val="none"/>
              </w:rPr>
            </w:pPr>
          </w:p>
        </w:tc>
        <w:tc>
          <w:tcPr>
            <w:tcW w:w="1559" w:type="dxa"/>
            <w:vAlign w:val="center"/>
          </w:tcPr>
          <w:p w14:paraId="268ABAB3">
            <w:pPr>
              <w:widowControl/>
              <w:snapToGrid w:val="0"/>
              <w:spacing w:line="360" w:lineRule="auto"/>
              <w:jc w:val="center"/>
              <w:rPr>
                <w:rFonts w:hAnsi="宋体" w:cs="宋体"/>
                <w:highlight w:val="none"/>
              </w:rPr>
            </w:pPr>
          </w:p>
        </w:tc>
        <w:tc>
          <w:tcPr>
            <w:tcW w:w="1418" w:type="dxa"/>
            <w:vAlign w:val="center"/>
          </w:tcPr>
          <w:p w14:paraId="769E9B7F">
            <w:pPr>
              <w:widowControl/>
              <w:snapToGrid w:val="0"/>
              <w:spacing w:line="360" w:lineRule="auto"/>
              <w:jc w:val="center"/>
              <w:rPr>
                <w:rFonts w:hAnsi="宋体" w:cs="宋体"/>
                <w:highlight w:val="none"/>
              </w:rPr>
            </w:pPr>
          </w:p>
        </w:tc>
        <w:tc>
          <w:tcPr>
            <w:tcW w:w="1506" w:type="dxa"/>
            <w:vAlign w:val="center"/>
          </w:tcPr>
          <w:p w14:paraId="02602D9B">
            <w:pPr>
              <w:widowControl/>
              <w:snapToGrid w:val="0"/>
              <w:spacing w:line="360" w:lineRule="auto"/>
              <w:jc w:val="center"/>
              <w:rPr>
                <w:rFonts w:hAnsi="宋体" w:cs="宋体"/>
                <w:highlight w:val="none"/>
              </w:rPr>
            </w:pPr>
          </w:p>
        </w:tc>
      </w:tr>
    </w:tbl>
    <w:p w14:paraId="7065FE08">
      <w:pPr>
        <w:spacing w:line="360" w:lineRule="auto"/>
        <w:rPr>
          <w:rFonts w:hAnsi="宋体" w:cs="宋体"/>
          <w:highlight w:val="none"/>
        </w:rPr>
      </w:pPr>
    </w:p>
    <w:p w14:paraId="25F1088B">
      <w:pPr>
        <w:spacing w:line="360" w:lineRule="auto"/>
        <w:rPr>
          <w:rFonts w:hAnsi="宋体" w:cs="宋体"/>
          <w:highlight w:val="none"/>
        </w:rPr>
      </w:pPr>
      <w:r>
        <w:rPr>
          <w:rFonts w:hint="eastAsia" w:hAnsi="宋体" w:cs="宋体"/>
          <w:highlight w:val="none"/>
        </w:rPr>
        <w:t>注：投标人对付款方式、交货及安装周期、交货及安装地点、质量保证期、投标有效期及其他商务条款未完全响应的，应当填写上表。</w:t>
      </w:r>
    </w:p>
    <w:p w14:paraId="75D13660">
      <w:pPr>
        <w:spacing w:line="360" w:lineRule="auto"/>
        <w:rPr>
          <w:rFonts w:hAnsi="宋体" w:cs="宋体"/>
          <w:highlight w:val="none"/>
        </w:rPr>
      </w:pPr>
      <w:r>
        <w:rPr>
          <w:rFonts w:hint="eastAsia" w:hAnsi="宋体" w:cs="宋体"/>
          <w:highlight w:val="none"/>
        </w:rPr>
        <w:t>投标人保证：除商务条款偏差表列出的偏差外，投标人响应招标文件的全部要求。</w:t>
      </w:r>
    </w:p>
    <w:p w14:paraId="746E3492">
      <w:pPr>
        <w:spacing w:line="360" w:lineRule="auto"/>
        <w:rPr>
          <w:rFonts w:hAnsi="宋体" w:cs="宋体"/>
          <w:highlight w:val="none"/>
        </w:rPr>
      </w:pPr>
    </w:p>
    <w:p w14:paraId="21E94D3E">
      <w:pPr>
        <w:pStyle w:val="2"/>
        <w:spacing w:beforeLines="100" w:afterLines="100" w:line="240" w:lineRule="auto"/>
        <w:jc w:val="center"/>
        <w:rPr>
          <w:rFonts w:ascii="Times New Roman" w:hAnsi="Times New Roman"/>
          <w:bCs w:val="0"/>
          <w:sz w:val="32"/>
          <w:szCs w:val="32"/>
          <w:highlight w:val="none"/>
        </w:rPr>
      </w:pPr>
      <w:r>
        <w:rPr>
          <w:rFonts w:hint="eastAsia" w:ascii="Times New Roman" w:hAnsi="Times New Roman"/>
          <w:bCs w:val="0"/>
          <w:sz w:val="32"/>
          <w:szCs w:val="32"/>
          <w:highlight w:val="none"/>
        </w:rPr>
        <w:br w:type="page"/>
      </w:r>
      <w:r>
        <w:rPr>
          <w:rFonts w:hint="eastAsia" w:cs="黑体"/>
          <w:highlight w:val="none"/>
        </w:rPr>
        <w:t>六、资格审查资料</w:t>
      </w:r>
    </w:p>
    <w:p w14:paraId="222E3B2E">
      <w:pPr>
        <w:pStyle w:val="5"/>
        <w:spacing w:before="0" w:after="0"/>
        <w:jc w:val="center"/>
        <w:rPr>
          <w:rFonts w:ascii="黑体" w:hAnsi="黑体" w:cs="黑体"/>
          <w:szCs w:val="24"/>
          <w:highlight w:val="none"/>
        </w:rPr>
      </w:pPr>
      <w:r>
        <w:rPr>
          <w:rFonts w:hint="eastAsia" w:ascii="黑体" w:hAnsi="黑体" w:cs="黑体"/>
          <w:szCs w:val="24"/>
          <w:highlight w:val="none"/>
        </w:rPr>
        <w:t>（一）投标人基本情况表</w:t>
      </w:r>
      <w:bookmarkEnd w:id="1103"/>
      <w:bookmarkEnd w:id="1104"/>
      <w:bookmarkEnd w:id="1107"/>
      <w:bookmarkEnd w:id="1108"/>
      <w:bookmarkEnd w:id="1109"/>
    </w:p>
    <w:tbl>
      <w:tblPr>
        <w:tblStyle w:val="52"/>
        <w:tblW w:w="8931"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14:paraId="6F652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bottom w:val="single" w:color="auto" w:sz="4" w:space="0"/>
              <w:right w:val="single" w:color="auto" w:sz="4" w:space="0"/>
            </w:tcBorders>
            <w:vAlign w:val="center"/>
          </w:tcPr>
          <w:p w14:paraId="240258A6">
            <w:pPr>
              <w:topLinePunct/>
              <w:spacing w:line="360" w:lineRule="auto"/>
              <w:jc w:val="center"/>
              <w:rPr>
                <w:rFonts w:hAnsi="宋体" w:cs="宋体"/>
                <w:highlight w:val="none"/>
              </w:rPr>
            </w:pPr>
            <w:r>
              <w:rPr>
                <w:rFonts w:hint="eastAsia" w:hAnsi="宋体" w:cs="宋体"/>
                <w:highlight w:val="none"/>
              </w:rPr>
              <w:t>投标人名称</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17433B0A">
            <w:pPr>
              <w:topLinePunct/>
              <w:spacing w:line="360" w:lineRule="auto"/>
              <w:jc w:val="center"/>
              <w:rPr>
                <w:rFonts w:hAnsi="宋体" w:cs="宋体"/>
                <w:highlight w:val="none"/>
              </w:rPr>
            </w:pPr>
          </w:p>
        </w:tc>
      </w:tr>
      <w:tr w14:paraId="01656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bottom w:val="single" w:color="auto" w:sz="4" w:space="0"/>
              <w:right w:val="single" w:color="auto" w:sz="4" w:space="0"/>
            </w:tcBorders>
            <w:vAlign w:val="center"/>
          </w:tcPr>
          <w:p w14:paraId="4034BF95">
            <w:pPr>
              <w:topLinePunct/>
              <w:spacing w:line="360" w:lineRule="auto"/>
              <w:jc w:val="center"/>
              <w:rPr>
                <w:rFonts w:hAnsi="宋体" w:cs="宋体"/>
                <w:highlight w:val="none"/>
              </w:rPr>
            </w:pPr>
            <w:r>
              <w:rPr>
                <w:rFonts w:hint="eastAsia" w:hAnsi="宋体" w:cs="宋体"/>
                <w:highlight w:val="none"/>
              </w:rPr>
              <w:t>注册资金</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15454FD8">
            <w:pPr>
              <w:topLinePunct/>
              <w:spacing w:line="360" w:lineRule="auto"/>
              <w:jc w:val="center"/>
              <w:rPr>
                <w:rFonts w:hAnsi="宋体" w:cs="宋体"/>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7CF2CB0">
            <w:pPr>
              <w:topLinePunct/>
              <w:spacing w:line="360" w:lineRule="auto"/>
              <w:jc w:val="center"/>
              <w:rPr>
                <w:rFonts w:hAnsi="宋体" w:cs="宋体"/>
                <w:highlight w:val="none"/>
              </w:rPr>
            </w:pPr>
            <w:r>
              <w:rPr>
                <w:rFonts w:hint="eastAsia" w:hAnsi="宋体" w:cs="宋体"/>
                <w:highlight w:val="none"/>
              </w:rPr>
              <w:t>成立时间</w:t>
            </w:r>
          </w:p>
        </w:tc>
        <w:tc>
          <w:tcPr>
            <w:tcW w:w="2268" w:type="dxa"/>
            <w:tcBorders>
              <w:top w:val="single" w:color="auto" w:sz="4" w:space="0"/>
              <w:left w:val="single" w:color="auto" w:sz="4" w:space="0"/>
              <w:bottom w:val="single" w:color="auto" w:sz="4" w:space="0"/>
              <w:right w:val="single" w:color="auto" w:sz="4" w:space="0"/>
            </w:tcBorders>
            <w:vAlign w:val="center"/>
          </w:tcPr>
          <w:p w14:paraId="14831CF7">
            <w:pPr>
              <w:topLinePunct/>
              <w:spacing w:line="360" w:lineRule="auto"/>
              <w:jc w:val="center"/>
              <w:rPr>
                <w:rFonts w:hAnsi="宋体" w:cs="宋体"/>
                <w:highlight w:val="none"/>
              </w:rPr>
            </w:pPr>
          </w:p>
        </w:tc>
      </w:tr>
      <w:tr w14:paraId="70505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bottom w:val="single" w:color="auto" w:sz="4" w:space="0"/>
              <w:right w:val="single" w:color="auto" w:sz="4" w:space="0"/>
            </w:tcBorders>
            <w:vAlign w:val="center"/>
          </w:tcPr>
          <w:p w14:paraId="52C4B2F1">
            <w:pPr>
              <w:topLinePunct/>
              <w:spacing w:line="360" w:lineRule="auto"/>
              <w:jc w:val="center"/>
              <w:rPr>
                <w:rFonts w:hAnsi="宋体" w:cs="宋体"/>
                <w:highlight w:val="none"/>
              </w:rPr>
            </w:pPr>
            <w:r>
              <w:rPr>
                <w:rFonts w:hint="eastAsia" w:hAnsi="宋体" w:cs="宋体"/>
                <w:highlight w:val="none"/>
              </w:rPr>
              <w:t>注册地址</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18328EED">
            <w:pPr>
              <w:topLinePunct/>
              <w:spacing w:line="360" w:lineRule="auto"/>
              <w:jc w:val="center"/>
              <w:rPr>
                <w:rFonts w:hAnsi="宋体" w:cs="宋体"/>
                <w:highlight w:val="none"/>
              </w:rPr>
            </w:pPr>
          </w:p>
        </w:tc>
      </w:tr>
      <w:tr w14:paraId="2C5DD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bottom w:val="single" w:color="auto" w:sz="4" w:space="0"/>
              <w:right w:val="single" w:color="auto" w:sz="4" w:space="0"/>
            </w:tcBorders>
            <w:vAlign w:val="center"/>
          </w:tcPr>
          <w:p w14:paraId="79BDDBA1">
            <w:pPr>
              <w:topLinePunct/>
              <w:spacing w:line="360" w:lineRule="auto"/>
              <w:jc w:val="center"/>
              <w:rPr>
                <w:rFonts w:hAnsi="宋体" w:cs="宋体"/>
                <w:highlight w:val="none"/>
              </w:rPr>
            </w:pPr>
            <w:r>
              <w:rPr>
                <w:rFonts w:hint="eastAsia" w:hAnsi="宋体" w:cs="宋体"/>
                <w:highlight w:val="none"/>
              </w:rPr>
              <w:t>邮政编码</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54245FA1">
            <w:pPr>
              <w:topLinePunct/>
              <w:spacing w:line="360" w:lineRule="auto"/>
              <w:jc w:val="center"/>
              <w:rPr>
                <w:rFonts w:hAnsi="宋体" w:cs="宋体"/>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AE176A2">
            <w:pPr>
              <w:topLinePunct/>
              <w:spacing w:line="360" w:lineRule="auto"/>
              <w:jc w:val="center"/>
              <w:rPr>
                <w:rFonts w:hAnsi="宋体" w:cs="宋体"/>
                <w:highlight w:val="none"/>
              </w:rPr>
            </w:pPr>
            <w:r>
              <w:rPr>
                <w:rFonts w:hint="eastAsia" w:hAnsi="宋体" w:cs="宋体"/>
                <w:highlight w:val="none"/>
              </w:rPr>
              <w:t>员工总数</w:t>
            </w:r>
          </w:p>
        </w:tc>
        <w:tc>
          <w:tcPr>
            <w:tcW w:w="2268" w:type="dxa"/>
            <w:tcBorders>
              <w:top w:val="single" w:color="auto" w:sz="4" w:space="0"/>
              <w:left w:val="single" w:color="auto" w:sz="4" w:space="0"/>
              <w:bottom w:val="single" w:color="auto" w:sz="4" w:space="0"/>
              <w:right w:val="single" w:color="auto" w:sz="4" w:space="0"/>
            </w:tcBorders>
            <w:vAlign w:val="center"/>
          </w:tcPr>
          <w:p w14:paraId="14CEFFA4">
            <w:pPr>
              <w:topLinePunct/>
              <w:spacing w:line="360" w:lineRule="auto"/>
              <w:jc w:val="center"/>
              <w:rPr>
                <w:rFonts w:hAnsi="宋体" w:cs="宋体"/>
                <w:highlight w:val="none"/>
              </w:rPr>
            </w:pPr>
          </w:p>
        </w:tc>
      </w:tr>
      <w:tr w14:paraId="4696F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vMerge w:val="restart"/>
            <w:tcBorders>
              <w:top w:val="single" w:color="auto" w:sz="4" w:space="0"/>
              <w:left w:val="single" w:color="auto" w:sz="4" w:space="0"/>
              <w:bottom w:val="single" w:color="auto" w:sz="4" w:space="0"/>
              <w:right w:val="single" w:color="auto" w:sz="4" w:space="0"/>
            </w:tcBorders>
            <w:vAlign w:val="center"/>
          </w:tcPr>
          <w:p w14:paraId="04A697CC">
            <w:pPr>
              <w:topLinePunct/>
              <w:spacing w:line="360" w:lineRule="auto"/>
              <w:jc w:val="center"/>
              <w:rPr>
                <w:rFonts w:hAnsi="宋体" w:cs="宋体"/>
                <w:highlight w:val="none"/>
              </w:rPr>
            </w:pPr>
            <w:r>
              <w:rPr>
                <w:rFonts w:hint="eastAsia" w:hAnsi="宋体" w:cs="宋体"/>
                <w:highlight w:val="none"/>
              </w:rPr>
              <w:t>联系方式</w:t>
            </w:r>
          </w:p>
        </w:tc>
        <w:tc>
          <w:tcPr>
            <w:tcW w:w="945" w:type="dxa"/>
            <w:tcBorders>
              <w:top w:val="single" w:color="auto" w:sz="4" w:space="0"/>
              <w:left w:val="single" w:color="auto" w:sz="4" w:space="0"/>
              <w:bottom w:val="single" w:color="auto" w:sz="4" w:space="0"/>
              <w:right w:val="single" w:color="auto" w:sz="4" w:space="0"/>
            </w:tcBorders>
            <w:vAlign w:val="center"/>
          </w:tcPr>
          <w:p w14:paraId="11DD5FF4">
            <w:pPr>
              <w:topLinePunct/>
              <w:spacing w:line="360" w:lineRule="auto"/>
              <w:jc w:val="center"/>
              <w:rPr>
                <w:rFonts w:hAnsi="宋体" w:cs="宋体"/>
                <w:highlight w:val="none"/>
              </w:rPr>
            </w:pPr>
            <w:r>
              <w:rPr>
                <w:rFonts w:hint="eastAsia" w:hAnsi="宋体" w:cs="宋体"/>
                <w:highlight w:val="none"/>
              </w:rPr>
              <w:t>联系人</w:t>
            </w:r>
          </w:p>
        </w:tc>
        <w:tc>
          <w:tcPr>
            <w:tcW w:w="2409" w:type="dxa"/>
            <w:tcBorders>
              <w:top w:val="single" w:color="auto" w:sz="4" w:space="0"/>
              <w:left w:val="single" w:color="auto" w:sz="4" w:space="0"/>
              <w:bottom w:val="single" w:color="auto" w:sz="4" w:space="0"/>
              <w:right w:val="single" w:color="auto" w:sz="4" w:space="0"/>
            </w:tcBorders>
            <w:vAlign w:val="center"/>
          </w:tcPr>
          <w:p w14:paraId="30FDD1A3">
            <w:pPr>
              <w:topLinePunct/>
              <w:spacing w:line="360" w:lineRule="auto"/>
              <w:jc w:val="center"/>
              <w:rPr>
                <w:rFonts w:hAnsi="宋体" w:cs="宋体"/>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0DC78118">
            <w:pPr>
              <w:topLinePunct/>
              <w:spacing w:line="360" w:lineRule="auto"/>
              <w:jc w:val="center"/>
              <w:rPr>
                <w:rFonts w:hAnsi="宋体" w:cs="宋体"/>
                <w:highlight w:val="none"/>
              </w:rPr>
            </w:pPr>
            <w:r>
              <w:rPr>
                <w:rFonts w:hint="eastAsia" w:hAnsi="宋体" w:cs="宋体"/>
                <w:highlight w:val="none"/>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10765B47">
            <w:pPr>
              <w:topLinePunct/>
              <w:spacing w:line="360" w:lineRule="auto"/>
              <w:jc w:val="center"/>
              <w:rPr>
                <w:rFonts w:hAnsi="宋体" w:cs="宋体"/>
                <w:highlight w:val="none"/>
              </w:rPr>
            </w:pPr>
          </w:p>
        </w:tc>
      </w:tr>
      <w:tr w14:paraId="6C9F0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vMerge w:val="continue"/>
            <w:tcBorders>
              <w:top w:val="single" w:color="auto" w:sz="4" w:space="0"/>
              <w:left w:val="single" w:color="auto" w:sz="4" w:space="0"/>
              <w:bottom w:val="single" w:color="auto" w:sz="4" w:space="0"/>
              <w:right w:val="single" w:color="auto" w:sz="4" w:space="0"/>
            </w:tcBorders>
            <w:vAlign w:val="center"/>
          </w:tcPr>
          <w:p w14:paraId="584563D7">
            <w:pPr>
              <w:spacing w:line="360" w:lineRule="auto"/>
              <w:rPr>
                <w:rFonts w:hAnsi="宋体" w:cs="宋体"/>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5CFCB4B4">
            <w:pPr>
              <w:topLinePunct/>
              <w:spacing w:line="360" w:lineRule="auto"/>
              <w:jc w:val="center"/>
              <w:rPr>
                <w:rFonts w:hAnsi="宋体" w:cs="宋体"/>
                <w:highlight w:val="none"/>
              </w:rPr>
            </w:pPr>
            <w:r>
              <w:rPr>
                <w:rFonts w:hint="eastAsia" w:hAnsi="宋体" w:cs="宋体"/>
                <w:highlight w:val="none"/>
              </w:rPr>
              <w:t>网址</w:t>
            </w:r>
          </w:p>
        </w:tc>
        <w:tc>
          <w:tcPr>
            <w:tcW w:w="2409" w:type="dxa"/>
            <w:tcBorders>
              <w:top w:val="single" w:color="auto" w:sz="4" w:space="0"/>
              <w:left w:val="single" w:color="auto" w:sz="4" w:space="0"/>
              <w:bottom w:val="single" w:color="auto" w:sz="4" w:space="0"/>
              <w:right w:val="single" w:color="auto" w:sz="4" w:space="0"/>
            </w:tcBorders>
            <w:vAlign w:val="center"/>
          </w:tcPr>
          <w:p w14:paraId="5BB8C1BA">
            <w:pPr>
              <w:topLinePunct/>
              <w:spacing w:line="360" w:lineRule="auto"/>
              <w:jc w:val="center"/>
              <w:rPr>
                <w:rFonts w:hAnsi="宋体" w:cs="宋体"/>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6BE023EE">
            <w:pPr>
              <w:topLinePunct/>
              <w:spacing w:line="360" w:lineRule="auto"/>
              <w:jc w:val="center"/>
              <w:rPr>
                <w:rFonts w:hAnsi="宋体" w:cs="宋体"/>
                <w:highlight w:val="none"/>
              </w:rPr>
            </w:pPr>
            <w:r>
              <w:rPr>
                <w:rFonts w:hint="eastAsia" w:hAnsi="宋体" w:cs="宋体"/>
                <w:highlight w:val="none"/>
              </w:rPr>
              <w:t>传真</w:t>
            </w:r>
          </w:p>
        </w:tc>
        <w:tc>
          <w:tcPr>
            <w:tcW w:w="2268" w:type="dxa"/>
            <w:tcBorders>
              <w:top w:val="single" w:color="auto" w:sz="4" w:space="0"/>
              <w:left w:val="single" w:color="auto" w:sz="4" w:space="0"/>
              <w:bottom w:val="single" w:color="auto" w:sz="4" w:space="0"/>
              <w:right w:val="single" w:color="auto" w:sz="4" w:space="0"/>
            </w:tcBorders>
            <w:vAlign w:val="center"/>
          </w:tcPr>
          <w:p w14:paraId="5D48A0F9">
            <w:pPr>
              <w:topLinePunct/>
              <w:spacing w:line="360" w:lineRule="auto"/>
              <w:jc w:val="center"/>
              <w:rPr>
                <w:rFonts w:hAnsi="宋体" w:cs="宋体"/>
                <w:highlight w:val="none"/>
              </w:rPr>
            </w:pPr>
          </w:p>
        </w:tc>
      </w:tr>
      <w:tr w14:paraId="2525C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bottom w:val="single" w:color="auto" w:sz="4" w:space="0"/>
              <w:right w:val="single" w:color="auto" w:sz="4" w:space="0"/>
            </w:tcBorders>
            <w:vAlign w:val="center"/>
          </w:tcPr>
          <w:p w14:paraId="20CAFC90">
            <w:pPr>
              <w:topLinePunct/>
              <w:spacing w:line="360" w:lineRule="auto"/>
              <w:jc w:val="center"/>
              <w:rPr>
                <w:rFonts w:hAnsi="宋体" w:cs="宋体"/>
                <w:highlight w:val="none"/>
              </w:rPr>
            </w:pPr>
            <w:r>
              <w:rPr>
                <w:rFonts w:hint="eastAsia" w:hAnsi="宋体" w:cs="宋体"/>
                <w:highlight w:val="none"/>
              </w:rPr>
              <w:t>法定代表人</w:t>
            </w:r>
          </w:p>
          <w:p w14:paraId="2BD910EB">
            <w:pPr>
              <w:topLinePunct/>
              <w:spacing w:line="360" w:lineRule="auto"/>
              <w:jc w:val="center"/>
              <w:rPr>
                <w:rFonts w:hAnsi="宋体" w:cs="宋体"/>
                <w:highlight w:val="none"/>
              </w:rPr>
            </w:pPr>
            <w:r>
              <w:rPr>
                <w:rFonts w:hint="eastAsia" w:hAnsi="宋体" w:cs="宋体"/>
                <w:highlight w:val="none"/>
              </w:rPr>
              <w:t>（单位负责人）</w:t>
            </w:r>
          </w:p>
        </w:tc>
        <w:tc>
          <w:tcPr>
            <w:tcW w:w="945" w:type="dxa"/>
            <w:tcBorders>
              <w:top w:val="single" w:color="auto" w:sz="4" w:space="0"/>
              <w:left w:val="single" w:color="auto" w:sz="4" w:space="0"/>
              <w:bottom w:val="single" w:color="auto" w:sz="4" w:space="0"/>
              <w:right w:val="single" w:color="auto" w:sz="4" w:space="0"/>
            </w:tcBorders>
            <w:vAlign w:val="center"/>
          </w:tcPr>
          <w:p w14:paraId="2301DD57">
            <w:pPr>
              <w:topLinePunct/>
              <w:spacing w:line="360" w:lineRule="auto"/>
              <w:jc w:val="center"/>
              <w:rPr>
                <w:rFonts w:hAnsi="宋体" w:cs="宋体"/>
                <w:highlight w:val="none"/>
              </w:rPr>
            </w:pPr>
            <w:r>
              <w:rPr>
                <w:rFonts w:hint="eastAsia" w:hAnsi="宋体" w:cs="宋体"/>
                <w:highlight w:val="none"/>
              </w:rPr>
              <w:t>姓名</w:t>
            </w:r>
          </w:p>
        </w:tc>
        <w:tc>
          <w:tcPr>
            <w:tcW w:w="2409" w:type="dxa"/>
            <w:tcBorders>
              <w:top w:val="single" w:color="auto" w:sz="4" w:space="0"/>
              <w:left w:val="single" w:color="auto" w:sz="4" w:space="0"/>
              <w:bottom w:val="single" w:color="auto" w:sz="4" w:space="0"/>
              <w:right w:val="single" w:color="auto" w:sz="4" w:space="0"/>
            </w:tcBorders>
            <w:vAlign w:val="center"/>
          </w:tcPr>
          <w:p w14:paraId="270AA8F9">
            <w:pPr>
              <w:topLinePunct/>
              <w:spacing w:line="360" w:lineRule="auto"/>
              <w:jc w:val="center"/>
              <w:rPr>
                <w:rFonts w:hAnsi="宋体" w:cs="宋体"/>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C4FB58C">
            <w:pPr>
              <w:topLinePunct/>
              <w:spacing w:line="360" w:lineRule="auto"/>
              <w:jc w:val="center"/>
              <w:rPr>
                <w:rFonts w:hAnsi="宋体" w:cs="宋体"/>
                <w:highlight w:val="none"/>
              </w:rPr>
            </w:pPr>
            <w:r>
              <w:rPr>
                <w:rFonts w:hint="eastAsia" w:hAnsi="宋体" w:cs="宋体"/>
                <w:highlight w:val="none"/>
              </w:rPr>
              <w:t>电话</w:t>
            </w:r>
          </w:p>
        </w:tc>
        <w:tc>
          <w:tcPr>
            <w:tcW w:w="2268" w:type="dxa"/>
            <w:tcBorders>
              <w:top w:val="single" w:color="auto" w:sz="4" w:space="0"/>
              <w:left w:val="single" w:color="auto" w:sz="4" w:space="0"/>
              <w:bottom w:val="single" w:color="auto" w:sz="4" w:space="0"/>
              <w:right w:val="single" w:color="auto" w:sz="4" w:space="0"/>
            </w:tcBorders>
            <w:vAlign w:val="center"/>
          </w:tcPr>
          <w:p w14:paraId="1977A14E">
            <w:pPr>
              <w:topLinePunct/>
              <w:spacing w:line="360" w:lineRule="auto"/>
              <w:jc w:val="center"/>
              <w:rPr>
                <w:rFonts w:hAnsi="宋体" w:cs="宋体"/>
                <w:highlight w:val="none"/>
              </w:rPr>
            </w:pPr>
          </w:p>
        </w:tc>
      </w:tr>
      <w:tr w14:paraId="78057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bottom w:val="single" w:color="auto" w:sz="4" w:space="0"/>
              <w:right w:val="single" w:color="auto" w:sz="4" w:space="0"/>
            </w:tcBorders>
            <w:vAlign w:val="center"/>
          </w:tcPr>
          <w:p w14:paraId="4C314463">
            <w:pPr>
              <w:topLinePunct/>
              <w:spacing w:line="360" w:lineRule="auto"/>
              <w:jc w:val="center"/>
              <w:rPr>
                <w:rFonts w:hAnsi="宋体" w:cs="宋体"/>
                <w:highlight w:val="none"/>
              </w:rPr>
            </w:pPr>
            <w:r>
              <w:rPr>
                <w:rFonts w:hint="eastAsia" w:hAnsi="宋体" w:cs="宋体"/>
                <w:highlight w:val="none"/>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294AE0C9">
            <w:pPr>
              <w:topLinePunct/>
              <w:spacing w:line="360" w:lineRule="auto"/>
              <w:ind w:firstLine="120" w:firstLineChars="50"/>
              <w:rPr>
                <w:rFonts w:hAnsi="宋体" w:cs="宋体"/>
                <w:highlight w:val="none"/>
              </w:rPr>
            </w:pPr>
            <w:r>
              <w:rPr>
                <w:rFonts w:hint="eastAsia" w:hAnsi="宋体" w:cs="宋体"/>
                <w:highlight w:val="none"/>
              </w:rPr>
              <w:t>类型：           等级：            证书号：</w:t>
            </w:r>
          </w:p>
        </w:tc>
      </w:tr>
      <w:tr w14:paraId="4FBF4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bottom w:val="single" w:color="auto" w:sz="4" w:space="0"/>
              <w:right w:val="single" w:color="auto" w:sz="4" w:space="0"/>
            </w:tcBorders>
            <w:vAlign w:val="center"/>
          </w:tcPr>
          <w:p w14:paraId="17FA2475">
            <w:pPr>
              <w:topLinePunct/>
              <w:spacing w:line="360" w:lineRule="auto"/>
              <w:jc w:val="center"/>
              <w:rPr>
                <w:rFonts w:hAnsi="宋体" w:cs="宋体"/>
                <w:highlight w:val="none"/>
              </w:rPr>
            </w:pPr>
            <w:r>
              <w:rPr>
                <w:rFonts w:hint="eastAsia" w:hAnsi="宋体" w:cs="宋体"/>
                <w:highlight w:val="none"/>
              </w:rPr>
              <w:t>基本存款账户开户银行</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5218A5C4">
            <w:pPr>
              <w:topLinePunct/>
              <w:spacing w:line="360" w:lineRule="auto"/>
              <w:ind w:firstLine="120" w:firstLineChars="50"/>
              <w:rPr>
                <w:rFonts w:hAnsi="宋体" w:cs="宋体"/>
                <w:highlight w:val="none"/>
              </w:rPr>
            </w:pPr>
          </w:p>
        </w:tc>
      </w:tr>
      <w:tr w14:paraId="1C4E3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right w:val="single" w:color="auto" w:sz="4" w:space="0"/>
            </w:tcBorders>
            <w:vAlign w:val="center"/>
          </w:tcPr>
          <w:p w14:paraId="6260EAC2">
            <w:pPr>
              <w:topLinePunct/>
              <w:spacing w:line="360" w:lineRule="auto"/>
              <w:jc w:val="center"/>
              <w:rPr>
                <w:rFonts w:hAnsi="宋体" w:cs="宋体"/>
                <w:highlight w:val="none"/>
              </w:rPr>
            </w:pPr>
            <w:r>
              <w:rPr>
                <w:rFonts w:hint="eastAsia" w:hAnsi="宋体" w:cs="宋体"/>
                <w:highlight w:val="none"/>
              </w:rPr>
              <w:t>基本存款账户银行账号</w:t>
            </w:r>
          </w:p>
        </w:tc>
        <w:tc>
          <w:tcPr>
            <w:tcW w:w="6757" w:type="dxa"/>
            <w:gridSpan w:val="4"/>
            <w:tcBorders>
              <w:top w:val="single" w:color="auto" w:sz="4" w:space="0"/>
              <w:left w:val="single" w:color="auto" w:sz="4" w:space="0"/>
              <w:right w:val="single" w:color="auto" w:sz="4" w:space="0"/>
            </w:tcBorders>
            <w:vAlign w:val="center"/>
          </w:tcPr>
          <w:p w14:paraId="168FCC2C">
            <w:pPr>
              <w:topLinePunct/>
              <w:spacing w:line="360" w:lineRule="auto"/>
              <w:rPr>
                <w:rFonts w:hAnsi="宋体" w:cs="宋体"/>
                <w:highlight w:val="none"/>
              </w:rPr>
            </w:pPr>
          </w:p>
        </w:tc>
      </w:tr>
      <w:tr w14:paraId="1DCFC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right w:val="single" w:color="auto" w:sz="4" w:space="0"/>
            </w:tcBorders>
            <w:vAlign w:val="center"/>
          </w:tcPr>
          <w:p w14:paraId="044D6F2D">
            <w:pPr>
              <w:autoSpaceDE w:val="0"/>
              <w:autoSpaceDN w:val="0"/>
              <w:adjustRightInd w:val="0"/>
              <w:snapToGrid w:val="0"/>
              <w:jc w:val="center"/>
              <w:rPr>
                <w:rFonts w:hAnsi="宋体" w:cs="宋体"/>
                <w:highlight w:val="none"/>
              </w:rPr>
            </w:pPr>
            <w:r>
              <w:rPr>
                <w:rFonts w:hint="eastAsia" w:ascii="Times New Roman"/>
                <w:szCs w:val="24"/>
                <w:highlight w:val="none"/>
              </w:rPr>
              <w:t>经营范围</w:t>
            </w:r>
          </w:p>
        </w:tc>
        <w:tc>
          <w:tcPr>
            <w:tcW w:w="6757" w:type="dxa"/>
            <w:gridSpan w:val="4"/>
            <w:tcBorders>
              <w:top w:val="single" w:color="auto" w:sz="4" w:space="0"/>
              <w:left w:val="single" w:color="auto" w:sz="4" w:space="0"/>
              <w:right w:val="single" w:color="auto" w:sz="4" w:space="0"/>
            </w:tcBorders>
            <w:vAlign w:val="center"/>
          </w:tcPr>
          <w:p w14:paraId="76094CEF">
            <w:pPr>
              <w:autoSpaceDE w:val="0"/>
              <w:autoSpaceDN w:val="0"/>
              <w:adjustRightInd w:val="0"/>
              <w:snapToGrid w:val="0"/>
              <w:rPr>
                <w:rFonts w:hAnsi="宋体" w:cs="宋体"/>
                <w:highlight w:val="none"/>
              </w:rPr>
            </w:pPr>
          </w:p>
        </w:tc>
      </w:tr>
      <w:tr w14:paraId="2D149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8" w:hRule="atLeast"/>
        </w:trPr>
        <w:tc>
          <w:tcPr>
            <w:tcW w:w="2174" w:type="dxa"/>
            <w:tcBorders>
              <w:top w:val="single" w:color="auto" w:sz="4" w:space="0"/>
              <w:left w:val="single" w:color="auto" w:sz="4" w:space="0"/>
              <w:right w:val="single" w:color="auto" w:sz="4" w:space="0"/>
            </w:tcBorders>
            <w:vAlign w:val="center"/>
          </w:tcPr>
          <w:p w14:paraId="4E9EF140">
            <w:pPr>
              <w:autoSpaceDE w:val="0"/>
              <w:autoSpaceDN w:val="0"/>
              <w:adjustRightInd w:val="0"/>
              <w:snapToGrid w:val="0"/>
              <w:jc w:val="center"/>
              <w:rPr>
                <w:rFonts w:ascii="Times New Roman"/>
                <w:szCs w:val="24"/>
                <w:highlight w:val="none"/>
              </w:rPr>
            </w:pPr>
            <w:r>
              <w:rPr>
                <w:rFonts w:ascii="Times New Roman"/>
                <w:szCs w:val="24"/>
                <w:highlight w:val="none"/>
              </w:rPr>
              <w:t>投标人关联</w:t>
            </w:r>
          </w:p>
          <w:p w14:paraId="0CCE6651">
            <w:pPr>
              <w:autoSpaceDE w:val="0"/>
              <w:autoSpaceDN w:val="0"/>
              <w:adjustRightInd w:val="0"/>
              <w:snapToGrid w:val="0"/>
              <w:jc w:val="center"/>
              <w:rPr>
                <w:rFonts w:hAnsi="宋体" w:cs="宋体"/>
                <w:highlight w:val="none"/>
              </w:rPr>
            </w:pPr>
            <w:r>
              <w:rPr>
                <w:rFonts w:ascii="Times New Roman"/>
                <w:szCs w:val="24"/>
                <w:highlight w:val="none"/>
              </w:rPr>
              <w:t>企业情况</w:t>
            </w:r>
          </w:p>
        </w:tc>
        <w:tc>
          <w:tcPr>
            <w:tcW w:w="6757" w:type="dxa"/>
            <w:gridSpan w:val="4"/>
            <w:tcBorders>
              <w:top w:val="single" w:color="auto" w:sz="4" w:space="0"/>
              <w:left w:val="single" w:color="auto" w:sz="4" w:space="0"/>
              <w:right w:val="single" w:color="auto" w:sz="4" w:space="0"/>
            </w:tcBorders>
            <w:vAlign w:val="center"/>
          </w:tcPr>
          <w:p w14:paraId="7DF82DEF">
            <w:pPr>
              <w:topLinePunct/>
              <w:jc w:val="left"/>
              <w:rPr>
                <w:highlight w:val="none"/>
              </w:rPr>
            </w:pPr>
            <w:r>
              <w:rPr>
                <w:rFonts w:hint="eastAsia"/>
                <w:highlight w:val="none"/>
              </w:rPr>
              <w:t>投标人应提供关联企业情况，包括：</w:t>
            </w:r>
          </w:p>
          <w:p w14:paraId="644976AD">
            <w:pPr>
              <w:topLinePunct/>
              <w:jc w:val="left"/>
              <w:rPr>
                <w:highlight w:val="none"/>
              </w:rPr>
            </w:pPr>
            <w:r>
              <w:rPr>
                <w:rFonts w:hint="eastAsia"/>
                <w:highlight w:val="none"/>
              </w:rPr>
              <w:t>（1）投标人投资（控股）或管理的下属企业名称、持有股权（出资额）比例；</w:t>
            </w:r>
          </w:p>
          <w:p w14:paraId="3F011AE9">
            <w:pPr>
              <w:topLinePunct/>
              <w:jc w:val="left"/>
              <w:rPr>
                <w:highlight w:val="none"/>
              </w:rPr>
            </w:pPr>
            <w:r>
              <w:rPr>
                <w:rFonts w:hint="eastAsia"/>
                <w:highlight w:val="none"/>
              </w:rPr>
              <w:t>（2）与投标人单位负责人（即法定代表人）为同一人的其他单位名称；</w:t>
            </w:r>
          </w:p>
          <w:p w14:paraId="689F56C6">
            <w:pPr>
              <w:topLinePunct/>
              <w:jc w:val="left"/>
              <w:rPr>
                <w:highlight w:val="none"/>
              </w:rPr>
            </w:pPr>
            <w:r>
              <w:rPr>
                <w:rFonts w:hint="eastAsia"/>
                <w:highlight w:val="none"/>
              </w:rPr>
              <w:t>（3）……</w:t>
            </w:r>
          </w:p>
        </w:tc>
      </w:tr>
      <w:tr w14:paraId="78A30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right w:val="single" w:color="auto" w:sz="4" w:space="0"/>
            </w:tcBorders>
            <w:vAlign w:val="center"/>
          </w:tcPr>
          <w:p w14:paraId="5BD90A9E">
            <w:pPr>
              <w:topLinePunct/>
              <w:spacing w:line="360" w:lineRule="auto"/>
              <w:jc w:val="center"/>
              <w:rPr>
                <w:rFonts w:hAnsi="宋体" w:cs="宋体"/>
                <w:highlight w:val="none"/>
              </w:rPr>
            </w:pPr>
            <w:r>
              <w:rPr>
                <w:rFonts w:hint="eastAsia" w:hAnsi="宋体" w:cs="宋体"/>
                <w:highlight w:val="none"/>
              </w:rPr>
              <w:t>投标货物制造商名称</w:t>
            </w:r>
          </w:p>
        </w:tc>
        <w:tc>
          <w:tcPr>
            <w:tcW w:w="6757" w:type="dxa"/>
            <w:gridSpan w:val="4"/>
            <w:tcBorders>
              <w:top w:val="single" w:color="auto" w:sz="4" w:space="0"/>
              <w:left w:val="single" w:color="auto" w:sz="4" w:space="0"/>
              <w:right w:val="single" w:color="auto" w:sz="4" w:space="0"/>
            </w:tcBorders>
            <w:vAlign w:val="center"/>
          </w:tcPr>
          <w:p w14:paraId="4E3C3C05">
            <w:pPr>
              <w:topLinePunct/>
              <w:spacing w:line="360" w:lineRule="auto"/>
              <w:rPr>
                <w:rFonts w:hAnsi="宋体" w:cs="宋体"/>
                <w:highlight w:val="none"/>
              </w:rPr>
            </w:pPr>
          </w:p>
        </w:tc>
      </w:tr>
      <w:tr w14:paraId="6DFC7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right w:val="single" w:color="auto" w:sz="4" w:space="0"/>
            </w:tcBorders>
            <w:vAlign w:val="center"/>
          </w:tcPr>
          <w:p w14:paraId="54C8ADE5">
            <w:pPr>
              <w:topLinePunct/>
              <w:spacing w:line="360" w:lineRule="auto"/>
              <w:jc w:val="center"/>
              <w:rPr>
                <w:rFonts w:hAnsi="宋体" w:cs="宋体"/>
                <w:highlight w:val="none"/>
              </w:rPr>
            </w:pPr>
            <w:r>
              <w:rPr>
                <w:rFonts w:hint="eastAsia" w:hAnsi="宋体" w:cs="宋体"/>
                <w:highlight w:val="none"/>
              </w:rPr>
              <w:t>投标人须知要求</w:t>
            </w:r>
          </w:p>
          <w:p w14:paraId="727002CF">
            <w:pPr>
              <w:topLinePunct/>
              <w:spacing w:line="360" w:lineRule="auto"/>
              <w:jc w:val="center"/>
              <w:rPr>
                <w:rFonts w:hAnsi="宋体" w:cs="宋体"/>
                <w:highlight w:val="none"/>
              </w:rPr>
            </w:pPr>
            <w:r>
              <w:rPr>
                <w:rFonts w:hint="eastAsia" w:hAnsi="宋体" w:cs="宋体"/>
                <w:highlight w:val="none"/>
              </w:rPr>
              <w:t>投标货物制造商需具有的资质证书</w:t>
            </w:r>
          </w:p>
        </w:tc>
        <w:tc>
          <w:tcPr>
            <w:tcW w:w="6757" w:type="dxa"/>
            <w:gridSpan w:val="4"/>
            <w:tcBorders>
              <w:top w:val="single" w:color="auto" w:sz="4" w:space="0"/>
              <w:left w:val="single" w:color="auto" w:sz="4" w:space="0"/>
              <w:right w:val="single" w:color="auto" w:sz="4" w:space="0"/>
            </w:tcBorders>
            <w:vAlign w:val="center"/>
          </w:tcPr>
          <w:p w14:paraId="097F1AA1">
            <w:pPr>
              <w:topLinePunct/>
              <w:spacing w:line="360" w:lineRule="auto"/>
              <w:rPr>
                <w:rFonts w:hAnsi="宋体" w:cs="宋体"/>
                <w:highlight w:val="none"/>
              </w:rPr>
            </w:pPr>
          </w:p>
        </w:tc>
      </w:tr>
      <w:tr w14:paraId="4A70D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4" w:type="dxa"/>
            <w:tcBorders>
              <w:top w:val="single" w:color="auto" w:sz="4" w:space="0"/>
              <w:left w:val="single" w:color="auto" w:sz="4" w:space="0"/>
              <w:bottom w:val="single" w:color="auto" w:sz="4" w:space="0"/>
              <w:right w:val="single" w:color="auto" w:sz="4" w:space="0"/>
            </w:tcBorders>
            <w:vAlign w:val="center"/>
          </w:tcPr>
          <w:p w14:paraId="0ED257C2">
            <w:pPr>
              <w:topLinePunct/>
              <w:spacing w:line="360" w:lineRule="auto"/>
              <w:jc w:val="center"/>
              <w:rPr>
                <w:rFonts w:hAnsi="宋体" w:cs="宋体"/>
                <w:highlight w:val="none"/>
              </w:rPr>
            </w:pPr>
            <w:r>
              <w:rPr>
                <w:rFonts w:hint="eastAsia" w:hAnsi="宋体" w:cs="宋体"/>
                <w:highlight w:val="none"/>
              </w:rPr>
              <w:t>备注</w:t>
            </w:r>
          </w:p>
        </w:tc>
        <w:tc>
          <w:tcPr>
            <w:tcW w:w="6757" w:type="dxa"/>
            <w:gridSpan w:val="4"/>
            <w:tcBorders>
              <w:top w:val="single" w:color="auto" w:sz="4" w:space="0"/>
              <w:left w:val="single" w:color="auto" w:sz="4" w:space="0"/>
              <w:bottom w:val="single" w:color="auto" w:sz="4" w:space="0"/>
              <w:right w:val="single" w:color="auto" w:sz="4" w:space="0"/>
            </w:tcBorders>
            <w:vAlign w:val="center"/>
          </w:tcPr>
          <w:p w14:paraId="42055629">
            <w:pPr>
              <w:topLinePunct/>
              <w:spacing w:line="360" w:lineRule="auto"/>
              <w:jc w:val="center"/>
              <w:rPr>
                <w:rFonts w:hAnsi="宋体" w:cs="宋体"/>
                <w:highlight w:val="none"/>
              </w:rPr>
            </w:pPr>
          </w:p>
        </w:tc>
      </w:tr>
    </w:tbl>
    <w:p w14:paraId="40FD5E63">
      <w:pPr>
        <w:spacing w:line="360" w:lineRule="auto"/>
        <w:rPr>
          <w:rFonts w:hAnsi="宋体" w:cs="宋体"/>
          <w:highlight w:val="none"/>
        </w:rPr>
      </w:pPr>
      <w:r>
        <w:rPr>
          <w:rFonts w:hint="eastAsia" w:hAnsi="宋体" w:cs="宋体"/>
          <w:highlight w:val="none"/>
        </w:rPr>
        <w:t>注：1.投标人应根据招标文件第二章“投标人须知”前附表附录1的要求在本表后附资质证书、营业执照等材料。接受联合体的，联合体成员分别填写。</w:t>
      </w:r>
    </w:p>
    <w:p w14:paraId="4429D921">
      <w:pPr>
        <w:spacing w:line="360" w:lineRule="auto"/>
        <w:ind w:firstLine="480" w:firstLineChars="200"/>
        <w:rPr>
          <w:rFonts w:hAnsi="宋体" w:cs="宋体"/>
          <w:highlight w:val="none"/>
        </w:rPr>
      </w:pPr>
      <w:r>
        <w:rPr>
          <w:rFonts w:hint="eastAsia" w:hAnsi="宋体" w:cs="宋体"/>
          <w:highlight w:val="none"/>
        </w:rPr>
        <w:t>2.如果投标人须知第1.4.1项对投标货物制造商的资质提出了要求，投标人应根据投标人须知第3.5.1项的要求在本表后附相关资质证书扫描件或电子件。</w:t>
      </w:r>
    </w:p>
    <w:p w14:paraId="0F4A11AF">
      <w:pPr>
        <w:pStyle w:val="5"/>
        <w:spacing w:before="0" w:after="0"/>
        <w:ind w:firstLine="0" w:firstLineChars="0"/>
        <w:jc w:val="center"/>
        <w:rPr>
          <w:rFonts w:ascii="宋体" w:hAnsi="宋体" w:eastAsia="宋体" w:cs="宋体"/>
          <w:highlight w:val="none"/>
        </w:rPr>
      </w:pPr>
      <w:r>
        <w:rPr>
          <w:rFonts w:hint="eastAsia" w:ascii="宋体" w:hAnsi="宋体" w:eastAsia="宋体" w:cs="宋体"/>
          <w:highlight w:val="none"/>
        </w:rPr>
        <w:br w:type="page"/>
      </w:r>
      <w:bookmarkStart w:id="1118" w:name="_Toc535241230"/>
      <w:bookmarkStart w:id="1119" w:name="_Toc535241087"/>
      <w:bookmarkStart w:id="1120" w:name="_Toc535241133"/>
      <w:r>
        <w:rPr>
          <w:rFonts w:hint="eastAsia" w:ascii="黑体" w:hAnsi="黑体" w:cs="黑体"/>
          <w:szCs w:val="24"/>
          <w:highlight w:val="none"/>
        </w:rPr>
        <w:t>（二）近年财务状况（如要求）</w:t>
      </w:r>
    </w:p>
    <w:p w14:paraId="1F4DDA0B">
      <w:pPr>
        <w:pStyle w:val="5"/>
        <w:numPr>
          <w:ilvl w:val="0"/>
          <w:numId w:val="7"/>
        </w:numPr>
        <w:spacing w:before="0" w:after="0"/>
        <w:jc w:val="center"/>
        <w:rPr>
          <w:rFonts w:ascii="黑体" w:hAnsi="黑体" w:cs="黑体"/>
          <w:szCs w:val="24"/>
          <w:highlight w:val="none"/>
        </w:rPr>
      </w:pPr>
      <w:r>
        <w:rPr>
          <w:rFonts w:hint="eastAsia" w:ascii="宋体" w:hAnsi="宋体" w:eastAsia="宋体" w:cs="宋体"/>
          <w:highlight w:val="none"/>
        </w:rPr>
        <w:br w:type="page"/>
      </w:r>
      <w:bookmarkEnd w:id="1118"/>
      <w:bookmarkEnd w:id="1119"/>
      <w:bookmarkEnd w:id="1120"/>
      <w:r>
        <w:rPr>
          <w:rFonts w:hint="eastAsia" w:ascii="黑体" w:hAnsi="黑体" w:cs="黑体"/>
          <w:szCs w:val="24"/>
          <w:highlight w:val="none"/>
        </w:rPr>
        <w:t>投标人业绩情况表（资格审查）</w:t>
      </w:r>
    </w:p>
    <w:tbl>
      <w:tblPr>
        <w:tblStyle w:val="5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6"/>
        <w:gridCol w:w="5907"/>
        <w:gridCol w:w="1160"/>
      </w:tblGrid>
      <w:tr w14:paraId="13CE3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vAlign w:val="center"/>
          </w:tcPr>
          <w:p w14:paraId="00043FCE">
            <w:pPr>
              <w:jc w:val="center"/>
              <w:rPr>
                <w:rFonts w:ascii="Times New Roman"/>
                <w:szCs w:val="24"/>
                <w:highlight w:val="none"/>
              </w:rPr>
            </w:pPr>
            <w:r>
              <w:rPr>
                <w:rFonts w:hint="eastAsia" w:ascii="Times New Roman"/>
                <w:szCs w:val="24"/>
                <w:highlight w:val="none"/>
              </w:rPr>
              <w:t>业绩序号</w:t>
            </w:r>
          </w:p>
        </w:tc>
        <w:tc>
          <w:tcPr>
            <w:tcW w:w="3468" w:type="pct"/>
            <w:vAlign w:val="center"/>
          </w:tcPr>
          <w:p w14:paraId="6F19BDE1">
            <w:pPr>
              <w:jc w:val="center"/>
              <w:rPr>
                <w:rFonts w:ascii="Times New Roman"/>
                <w:szCs w:val="24"/>
                <w:highlight w:val="none"/>
              </w:rPr>
            </w:pPr>
            <w:r>
              <w:rPr>
                <w:rFonts w:hint="eastAsia" w:ascii="Times New Roman"/>
                <w:szCs w:val="24"/>
                <w:highlight w:val="none"/>
              </w:rPr>
              <w:t>项目</w:t>
            </w:r>
            <w:r>
              <w:rPr>
                <w:rFonts w:ascii="Times New Roman"/>
                <w:szCs w:val="24"/>
                <w:highlight w:val="none"/>
              </w:rPr>
              <w:t>名称</w:t>
            </w:r>
            <w:r>
              <w:rPr>
                <w:rFonts w:hint="eastAsia" w:ascii="Times New Roman"/>
                <w:szCs w:val="24"/>
                <w:highlight w:val="none"/>
              </w:rPr>
              <w:t>（合同名称）</w:t>
            </w:r>
          </w:p>
        </w:tc>
        <w:tc>
          <w:tcPr>
            <w:tcW w:w="681" w:type="pct"/>
            <w:vAlign w:val="center"/>
          </w:tcPr>
          <w:p w14:paraId="221B45EB">
            <w:pPr>
              <w:jc w:val="center"/>
              <w:rPr>
                <w:rFonts w:ascii="Times New Roman"/>
                <w:szCs w:val="24"/>
                <w:highlight w:val="none"/>
              </w:rPr>
            </w:pPr>
            <w:r>
              <w:rPr>
                <w:rFonts w:hint="eastAsia" w:ascii="Times New Roman"/>
                <w:szCs w:val="24"/>
                <w:highlight w:val="none"/>
              </w:rPr>
              <w:t>备注</w:t>
            </w:r>
          </w:p>
        </w:tc>
      </w:tr>
      <w:tr w14:paraId="42C2B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vAlign w:val="center"/>
          </w:tcPr>
          <w:p w14:paraId="216677C3">
            <w:pPr>
              <w:jc w:val="center"/>
              <w:rPr>
                <w:rFonts w:ascii="Times New Roman"/>
                <w:szCs w:val="24"/>
                <w:highlight w:val="none"/>
              </w:rPr>
            </w:pPr>
            <w:r>
              <w:rPr>
                <w:rFonts w:hint="eastAsia" w:ascii="Times New Roman"/>
                <w:szCs w:val="24"/>
                <w:highlight w:val="none"/>
              </w:rPr>
              <w:t>1</w:t>
            </w:r>
          </w:p>
        </w:tc>
        <w:tc>
          <w:tcPr>
            <w:tcW w:w="3468" w:type="pct"/>
            <w:vAlign w:val="center"/>
          </w:tcPr>
          <w:p w14:paraId="6C5926FF">
            <w:pPr>
              <w:jc w:val="center"/>
              <w:rPr>
                <w:rFonts w:ascii="Times New Roman"/>
                <w:szCs w:val="24"/>
                <w:highlight w:val="none"/>
              </w:rPr>
            </w:pPr>
          </w:p>
        </w:tc>
        <w:tc>
          <w:tcPr>
            <w:tcW w:w="681" w:type="pct"/>
            <w:vAlign w:val="center"/>
          </w:tcPr>
          <w:p w14:paraId="478C7BB4">
            <w:pPr>
              <w:jc w:val="center"/>
              <w:rPr>
                <w:rFonts w:ascii="Times New Roman"/>
                <w:szCs w:val="24"/>
                <w:highlight w:val="none"/>
              </w:rPr>
            </w:pPr>
          </w:p>
        </w:tc>
      </w:tr>
      <w:tr w14:paraId="2F4C4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vAlign w:val="center"/>
          </w:tcPr>
          <w:p w14:paraId="5F61C358">
            <w:pPr>
              <w:jc w:val="center"/>
              <w:rPr>
                <w:rFonts w:ascii="Times New Roman"/>
                <w:szCs w:val="24"/>
                <w:highlight w:val="none"/>
              </w:rPr>
            </w:pPr>
            <w:r>
              <w:rPr>
                <w:rFonts w:ascii="Times New Roman"/>
                <w:szCs w:val="24"/>
                <w:highlight w:val="none"/>
              </w:rPr>
              <w:t>2</w:t>
            </w:r>
          </w:p>
        </w:tc>
        <w:tc>
          <w:tcPr>
            <w:tcW w:w="3468" w:type="pct"/>
            <w:vAlign w:val="center"/>
          </w:tcPr>
          <w:p w14:paraId="1B7F8C98">
            <w:pPr>
              <w:jc w:val="center"/>
              <w:rPr>
                <w:rFonts w:ascii="Times New Roman"/>
                <w:szCs w:val="24"/>
                <w:highlight w:val="none"/>
              </w:rPr>
            </w:pPr>
          </w:p>
        </w:tc>
        <w:tc>
          <w:tcPr>
            <w:tcW w:w="681" w:type="pct"/>
            <w:vAlign w:val="center"/>
          </w:tcPr>
          <w:p w14:paraId="3227F757">
            <w:pPr>
              <w:jc w:val="center"/>
              <w:rPr>
                <w:rFonts w:ascii="Times New Roman"/>
                <w:szCs w:val="24"/>
                <w:highlight w:val="none"/>
              </w:rPr>
            </w:pPr>
          </w:p>
        </w:tc>
      </w:tr>
      <w:tr w14:paraId="56AAE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vAlign w:val="center"/>
          </w:tcPr>
          <w:p w14:paraId="1A82338B">
            <w:pPr>
              <w:jc w:val="center"/>
              <w:rPr>
                <w:rFonts w:ascii="Times New Roman"/>
                <w:szCs w:val="24"/>
                <w:highlight w:val="none"/>
              </w:rPr>
            </w:pPr>
            <w:r>
              <w:rPr>
                <w:rFonts w:hint="eastAsia" w:ascii="Times New Roman"/>
                <w:szCs w:val="24"/>
                <w:highlight w:val="none"/>
              </w:rPr>
              <w:t>……</w:t>
            </w:r>
          </w:p>
        </w:tc>
        <w:tc>
          <w:tcPr>
            <w:tcW w:w="3468" w:type="pct"/>
            <w:vAlign w:val="center"/>
          </w:tcPr>
          <w:p w14:paraId="213D1CE3">
            <w:pPr>
              <w:jc w:val="center"/>
              <w:rPr>
                <w:rFonts w:ascii="Times New Roman"/>
                <w:szCs w:val="24"/>
                <w:highlight w:val="none"/>
              </w:rPr>
            </w:pPr>
          </w:p>
        </w:tc>
        <w:tc>
          <w:tcPr>
            <w:tcW w:w="681" w:type="pct"/>
            <w:vAlign w:val="center"/>
          </w:tcPr>
          <w:p w14:paraId="3AA9D20E">
            <w:pPr>
              <w:jc w:val="center"/>
              <w:rPr>
                <w:rFonts w:ascii="Times New Roman"/>
                <w:szCs w:val="24"/>
                <w:highlight w:val="none"/>
              </w:rPr>
            </w:pPr>
          </w:p>
        </w:tc>
      </w:tr>
      <w:tr w14:paraId="5A89A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vAlign w:val="center"/>
          </w:tcPr>
          <w:p w14:paraId="6837F7BC">
            <w:pPr>
              <w:jc w:val="center"/>
              <w:rPr>
                <w:rFonts w:ascii="Times New Roman"/>
                <w:szCs w:val="24"/>
                <w:highlight w:val="none"/>
              </w:rPr>
            </w:pPr>
          </w:p>
        </w:tc>
        <w:tc>
          <w:tcPr>
            <w:tcW w:w="3468" w:type="pct"/>
            <w:vAlign w:val="center"/>
          </w:tcPr>
          <w:p w14:paraId="6EE26972">
            <w:pPr>
              <w:jc w:val="center"/>
              <w:rPr>
                <w:rFonts w:ascii="Times New Roman"/>
                <w:szCs w:val="24"/>
                <w:highlight w:val="none"/>
              </w:rPr>
            </w:pPr>
          </w:p>
        </w:tc>
        <w:tc>
          <w:tcPr>
            <w:tcW w:w="681" w:type="pct"/>
            <w:vAlign w:val="center"/>
          </w:tcPr>
          <w:p w14:paraId="6A8C9827">
            <w:pPr>
              <w:jc w:val="center"/>
              <w:rPr>
                <w:rFonts w:ascii="Times New Roman"/>
                <w:szCs w:val="24"/>
                <w:highlight w:val="none"/>
              </w:rPr>
            </w:pPr>
          </w:p>
        </w:tc>
      </w:tr>
    </w:tbl>
    <w:p w14:paraId="042E10E6">
      <w:pPr>
        <w:spacing w:line="360" w:lineRule="auto"/>
        <w:ind w:firstLine="480" w:firstLineChars="200"/>
        <w:rPr>
          <w:szCs w:val="24"/>
          <w:highlight w:val="none"/>
        </w:rPr>
      </w:pPr>
      <w:r>
        <w:rPr>
          <w:rFonts w:hint="eastAsia"/>
          <w:szCs w:val="24"/>
          <w:highlight w:val="none"/>
        </w:rPr>
        <w:t>注：</w:t>
      </w:r>
    </w:p>
    <w:p w14:paraId="73867F4F">
      <w:pPr>
        <w:spacing w:line="360" w:lineRule="auto"/>
        <w:ind w:firstLine="480" w:firstLineChars="200"/>
        <w:rPr>
          <w:szCs w:val="24"/>
          <w:highlight w:val="none"/>
        </w:rPr>
      </w:pPr>
      <w:r>
        <w:rPr>
          <w:rFonts w:hint="eastAsia"/>
          <w:szCs w:val="24"/>
          <w:highlight w:val="none"/>
        </w:rPr>
        <w:t>1.投标人应将用于资格审查的投标人业绩在上表中列明，按照列明</w:t>
      </w:r>
      <w:r>
        <w:rPr>
          <w:szCs w:val="24"/>
          <w:highlight w:val="none"/>
        </w:rPr>
        <w:t>的</w:t>
      </w:r>
      <w:r>
        <w:rPr>
          <w:rFonts w:hint="eastAsia"/>
          <w:szCs w:val="24"/>
          <w:highlight w:val="none"/>
        </w:rPr>
        <w:t>业绩序号先后</w:t>
      </w:r>
      <w:r>
        <w:rPr>
          <w:szCs w:val="24"/>
          <w:highlight w:val="none"/>
        </w:rPr>
        <w:t>顺序</w:t>
      </w:r>
      <w:r>
        <w:rPr>
          <w:rFonts w:hint="eastAsia"/>
          <w:szCs w:val="24"/>
          <w:highlight w:val="none"/>
        </w:rPr>
        <w:t>依次填写“投标人</w:t>
      </w:r>
      <w:r>
        <w:rPr>
          <w:szCs w:val="24"/>
          <w:highlight w:val="none"/>
        </w:rPr>
        <w:t>业绩</w:t>
      </w:r>
      <w:r>
        <w:rPr>
          <w:rFonts w:hint="eastAsia"/>
          <w:szCs w:val="24"/>
          <w:highlight w:val="none"/>
        </w:rPr>
        <w:t>信息</w:t>
      </w:r>
      <w:r>
        <w:rPr>
          <w:szCs w:val="24"/>
          <w:highlight w:val="none"/>
        </w:rPr>
        <w:t>表</w:t>
      </w:r>
      <w:r>
        <w:rPr>
          <w:rFonts w:hint="eastAsia"/>
          <w:szCs w:val="24"/>
          <w:highlight w:val="none"/>
        </w:rPr>
        <w:t>（资格</w:t>
      </w:r>
      <w:r>
        <w:rPr>
          <w:szCs w:val="24"/>
          <w:highlight w:val="none"/>
        </w:rPr>
        <w:t>审查</w:t>
      </w:r>
      <w:r>
        <w:rPr>
          <w:rFonts w:hint="eastAsia"/>
          <w:szCs w:val="24"/>
          <w:highlight w:val="none"/>
        </w:rPr>
        <w:t>）”，并附相应业绩证明材料。</w:t>
      </w:r>
    </w:p>
    <w:p w14:paraId="19C54FE2">
      <w:pPr>
        <w:spacing w:line="360" w:lineRule="auto"/>
        <w:ind w:firstLine="480" w:firstLineChars="200"/>
        <w:rPr>
          <w:szCs w:val="24"/>
          <w:highlight w:val="none"/>
        </w:rPr>
      </w:pPr>
      <w:r>
        <w:rPr>
          <w:rFonts w:hint="eastAsia"/>
          <w:szCs w:val="24"/>
          <w:highlight w:val="none"/>
        </w:rPr>
        <w:t>2.评标委员会应当按照上表列明的业绩序号先后顺序依次进行评审，且仅评审“附录3  资格审查条件(业绩最低要求)”规定数量的业绩，超出规定数量部分或未在上表列明的业绩均不作为资格审查投标人业绩予以评审。</w:t>
      </w:r>
    </w:p>
    <w:p w14:paraId="23C4BF35">
      <w:pPr>
        <w:tabs>
          <w:tab w:val="left" w:pos="8422"/>
          <w:tab w:val="left" w:pos="9622"/>
        </w:tabs>
        <w:spacing w:line="360" w:lineRule="auto"/>
        <w:ind w:left="4800" w:leftChars="2000" w:right="120" w:rightChars="50"/>
        <w:jc w:val="left"/>
        <w:rPr>
          <w:szCs w:val="24"/>
          <w:highlight w:val="none"/>
        </w:rPr>
      </w:pPr>
    </w:p>
    <w:p w14:paraId="056E9843">
      <w:pPr>
        <w:adjustRightInd w:val="0"/>
        <w:snapToGrid w:val="0"/>
        <w:spacing w:line="360" w:lineRule="auto"/>
        <w:jc w:val="right"/>
        <w:rPr>
          <w:rFonts w:ascii="Times New Roman"/>
          <w:bCs/>
          <w:szCs w:val="24"/>
          <w:highlight w:val="none"/>
          <w:u w:val="single"/>
        </w:rPr>
      </w:pPr>
      <w:r>
        <w:rPr>
          <w:rFonts w:hint="eastAsia" w:ascii="Times New Roman"/>
          <w:bCs/>
          <w:spacing w:val="120"/>
          <w:kern w:val="0"/>
          <w:szCs w:val="24"/>
          <w:highlight w:val="none"/>
          <w:fitText w:val="1200" w:id="1770790916"/>
        </w:rPr>
        <w:t>投标</w:t>
      </w:r>
      <w:r>
        <w:rPr>
          <w:rFonts w:hint="eastAsia" w:ascii="Times New Roman"/>
          <w:bCs/>
          <w:spacing w:val="0"/>
          <w:kern w:val="0"/>
          <w:szCs w:val="24"/>
          <w:highlight w:val="none"/>
          <w:fitText w:val="1200" w:id="1770790916"/>
        </w:rPr>
        <w:t>人</w:t>
      </w:r>
      <w:r>
        <w:rPr>
          <w:rFonts w:hint="eastAsia" w:ascii="Times New Roman"/>
          <w:bCs/>
          <w:szCs w:val="24"/>
          <w:highlight w:val="none"/>
        </w:rPr>
        <w:t>：</w:t>
      </w:r>
      <w:r>
        <w:rPr>
          <w:rFonts w:hint="eastAsia" w:ascii="Times New Roman"/>
          <w:bCs/>
          <w:szCs w:val="24"/>
          <w:highlight w:val="none"/>
          <w:u w:val="single"/>
          <w:lang w:val="en-US" w:eastAsia="zh-CN"/>
        </w:rPr>
        <w:t xml:space="preserve">                  </w:t>
      </w:r>
      <w:r>
        <w:rPr>
          <w:rFonts w:hint="eastAsia" w:ascii="Times New Roman"/>
          <w:bCs/>
          <w:szCs w:val="24"/>
          <w:highlight w:val="none"/>
          <w:u w:val="none"/>
        </w:rPr>
        <w:t>（盖单位章）</w:t>
      </w:r>
    </w:p>
    <w:p w14:paraId="4A3E5B1D">
      <w:pPr>
        <w:adjustRightInd w:val="0"/>
        <w:snapToGrid w:val="0"/>
        <w:spacing w:line="360" w:lineRule="auto"/>
        <w:jc w:val="right"/>
        <w:rPr>
          <w:rFonts w:ascii="Times New Roman"/>
          <w:szCs w:val="24"/>
          <w:highlight w:val="none"/>
        </w:rPr>
      </w:pPr>
      <w:r>
        <w:rPr>
          <w:rFonts w:hint="eastAsia" w:ascii="Times New Roman"/>
          <w:bCs/>
          <w:spacing w:val="360"/>
          <w:kern w:val="0"/>
          <w:szCs w:val="24"/>
          <w:highlight w:val="none"/>
          <w:fitText w:val="1200" w:id="1090616522"/>
        </w:rPr>
        <w:t>日</w:t>
      </w:r>
      <w:r>
        <w:rPr>
          <w:rFonts w:hint="eastAsia" w:ascii="Times New Roman"/>
          <w:bCs/>
          <w:spacing w:val="0"/>
          <w:kern w:val="0"/>
          <w:szCs w:val="24"/>
          <w:highlight w:val="none"/>
          <w:fitText w:val="1200" w:id="1090616522"/>
        </w:rPr>
        <w:t>期</w:t>
      </w:r>
      <w:r>
        <w:rPr>
          <w:rFonts w:hint="eastAsia" w:ascii="Times New Roman"/>
          <w:szCs w:val="24"/>
          <w:highlight w:val="none"/>
        </w:rPr>
        <w:t>：</w:t>
      </w:r>
      <w:r>
        <w:rPr>
          <w:rFonts w:hint="eastAsia" w:ascii="Times New Roman"/>
          <w:szCs w:val="24"/>
          <w:highlight w:val="none"/>
          <w:u w:val="single"/>
          <w:lang w:val="en-US" w:eastAsia="zh-CN"/>
        </w:rPr>
        <w:t xml:space="preserve">        </w:t>
      </w:r>
      <w:r>
        <w:rPr>
          <w:rFonts w:hint="eastAsia" w:ascii="Times New Roman"/>
          <w:szCs w:val="24"/>
          <w:highlight w:val="none"/>
          <w:u w:val="none"/>
        </w:rPr>
        <w:t>年</w:t>
      </w:r>
      <w:r>
        <w:rPr>
          <w:rFonts w:hint="eastAsia" w:ascii="Times New Roman"/>
          <w:szCs w:val="24"/>
          <w:highlight w:val="none"/>
          <w:u w:val="single"/>
          <w:lang w:val="en-US" w:eastAsia="zh-CN"/>
        </w:rPr>
        <w:t xml:space="preserve">        </w:t>
      </w:r>
      <w:r>
        <w:rPr>
          <w:rFonts w:hint="eastAsia" w:ascii="Times New Roman"/>
          <w:szCs w:val="24"/>
          <w:highlight w:val="none"/>
          <w:u w:val="none"/>
        </w:rPr>
        <w:t>月</w:t>
      </w:r>
      <w:r>
        <w:rPr>
          <w:rFonts w:hint="eastAsia" w:ascii="Times New Roman"/>
          <w:szCs w:val="24"/>
          <w:highlight w:val="none"/>
          <w:u w:val="single"/>
          <w:lang w:val="en-US" w:eastAsia="zh-CN"/>
        </w:rPr>
        <w:t xml:space="preserve">        </w:t>
      </w:r>
      <w:r>
        <w:rPr>
          <w:rFonts w:hint="eastAsia" w:ascii="Times New Roman"/>
          <w:szCs w:val="24"/>
          <w:highlight w:val="none"/>
          <w:u w:val="none"/>
        </w:rPr>
        <w:t>日</w:t>
      </w:r>
    </w:p>
    <w:p w14:paraId="06D33157">
      <w:pPr>
        <w:adjustRightInd w:val="0"/>
        <w:snapToGrid w:val="0"/>
        <w:spacing w:line="360" w:lineRule="auto"/>
        <w:jc w:val="center"/>
        <w:outlineLvl w:val="0"/>
        <w:rPr>
          <w:bCs/>
          <w:szCs w:val="24"/>
          <w:highlight w:val="none"/>
        </w:rPr>
      </w:pPr>
      <w:r>
        <w:rPr>
          <w:rFonts w:hint="eastAsia" w:ascii="Times New Roman"/>
          <w:szCs w:val="24"/>
          <w:highlight w:val="none"/>
        </w:rPr>
        <w:br w:type="page"/>
      </w:r>
      <w:bookmarkStart w:id="1121" w:name="_Toc140069454"/>
      <w:bookmarkStart w:id="1122" w:name="_Toc19845"/>
      <w:r>
        <w:rPr>
          <w:rFonts w:hint="eastAsia"/>
          <w:bCs/>
          <w:szCs w:val="24"/>
          <w:highlight w:val="none"/>
        </w:rPr>
        <w:t>投标人业绩信息表（资格审查）</w:t>
      </w:r>
      <w:bookmarkEnd w:id="1121"/>
      <w:bookmarkEnd w:id="1122"/>
    </w:p>
    <w:tbl>
      <w:tblPr>
        <w:tblStyle w:val="5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4AE8409">
        <w:tblPrEx>
          <w:tblCellMar>
            <w:top w:w="0" w:type="dxa"/>
            <w:left w:w="108" w:type="dxa"/>
            <w:bottom w:w="0" w:type="dxa"/>
            <w:right w:w="108" w:type="dxa"/>
          </w:tblCellMar>
        </w:tblPrEx>
        <w:trPr>
          <w:trHeight w:val="670" w:hRule="atLeast"/>
          <w:jc w:val="center"/>
        </w:trPr>
        <w:tc>
          <w:tcPr>
            <w:tcW w:w="2269" w:type="dxa"/>
            <w:vAlign w:val="center"/>
          </w:tcPr>
          <w:p w14:paraId="1E5A2C9F">
            <w:pPr>
              <w:topLinePunct/>
              <w:spacing w:line="360" w:lineRule="auto"/>
              <w:jc w:val="center"/>
              <w:rPr>
                <w:rFonts w:hAnsi="宋体" w:cs="宋体"/>
                <w:highlight w:val="none"/>
              </w:rPr>
            </w:pPr>
            <w:r>
              <w:rPr>
                <w:rFonts w:hint="eastAsia" w:hAnsi="宋体" w:cs="宋体"/>
                <w:highlight w:val="none"/>
              </w:rPr>
              <w:t>货物名称</w:t>
            </w:r>
          </w:p>
        </w:tc>
        <w:tc>
          <w:tcPr>
            <w:tcW w:w="6253" w:type="dxa"/>
            <w:vAlign w:val="center"/>
          </w:tcPr>
          <w:p w14:paraId="2EC1B9FF">
            <w:pPr>
              <w:topLinePunct/>
              <w:spacing w:line="360" w:lineRule="auto"/>
              <w:rPr>
                <w:rFonts w:hAnsi="宋体" w:cs="宋体"/>
                <w:highlight w:val="none"/>
              </w:rPr>
            </w:pPr>
          </w:p>
        </w:tc>
      </w:tr>
      <w:tr w14:paraId="699B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6EDBA5F8">
            <w:pPr>
              <w:topLinePunct/>
              <w:spacing w:line="360" w:lineRule="auto"/>
              <w:jc w:val="center"/>
              <w:rPr>
                <w:rFonts w:hAnsi="宋体" w:cs="宋体"/>
                <w:highlight w:val="none"/>
              </w:rPr>
            </w:pPr>
            <w:r>
              <w:rPr>
                <w:rFonts w:hint="eastAsia" w:hAnsi="宋体" w:cs="宋体"/>
                <w:highlight w:val="none"/>
              </w:rPr>
              <w:t>规格和型号</w:t>
            </w:r>
          </w:p>
        </w:tc>
        <w:tc>
          <w:tcPr>
            <w:tcW w:w="6253" w:type="dxa"/>
            <w:vAlign w:val="center"/>
          </w:tcPr>
          <w:p w14:paraId="19FF2AC2">
            <w:pPr>
              <w:topLinePunct/>
              <w:spacing w:line="360" w:lineRule="auto"/>
              <w:rPr>
                <w:rFonts w:hAnsi="宋体" w:cs="宋体"/>
                <w:highlight w:val="none"/>
              </w:rPr>
            </w:pPr>
          </w:p>
        </w:tc>
      </w:tr>
      <w:tr w14:paraId="7B8D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009574AE">
            <w:pPr>
              <w:topLinePunct/>
              <w:spacing w:line="360" w:lineRule="auto"/>
              <w:jc w:val="center"/>
              <w:rPr>
                <w:rFonts w:hAnsi="宋体" w:cs="宋体"/>
                <w:highlight w:val="none"/>
              </w:rPr>
            </w:pPr>
            <w:r>
              <w:rPr>
                <w:rFonts w:hint="eastAsia" w:hAnsi="宋体" w:cs="宋体"/>
                <w:highlight w:val="none"/>
              </w:rPr>
              <w:t>项目名称</w:t>
            </w:r>
          </w:p>
        </w:tc>
        <w:tc>
          <w:tcPr>
            <w:tcW w:w="6253" w:type="dxa"/>
            <w:vAlign w:val="center"/>
          </w:tcPr>
          <w:p w14:paraId="7309F71F">
            <w:pPr>
              <w:topLinePunct/>
              <w:spacing w:line="360" w:lineRule="auto"/>
              <w:rPr>
                <w:rFonts w:hAnsi="宋体" w:cs="宋体"/>
                <w:highlight w:val="none"/>
              </w:rPr>
            </w:pPr>
          </w:p>
        </w:tc>
      </w:tr>
      <w:tr w14:paraId="53C6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1B899E17">
            <w:pPr>
              <w:topLinePunct/>
              <w:spacing w:line="360" w:lineRule="auto"/>
              <w:jc w:val="center"/>
              <w:rPr>
                <w:rFonts w:hAnsi="宋体" w:cs="宋体"/>
                <w:highlight w:val="none"/>
              </w:rPr>
            </w:pPr>
            <w:r>
              <w:rPr>
                <w:rFonts w:hint="eastAsia" w:hAnsi="宋体" w:cs="宋体"/>
                <w:highlight w:val="none"/>
              </w:rPr>
              <w:t>买方名称</w:t>
            </w:r>
          </w:p>
        </w:tc>
        <w:tc>
          <w:tcPr>
            <w:tcW w:w="6253" w:type="dxa"/>
            <w:vAlign w:val="center"/>
          </w:tcPr>
          <w:p w14:paraId="599C1D3A">
            <w:pPr>
              <w:topLinePunct/>
              <w:spacing w:line="360" w:lineRule="auto"/>
              <w:rPr>
                <w:rFonts w:hAnsi="宋体" w:cs="宋体"/>
                <w:highlight w:val="none"/>
              </w:rPr>
            </w:pPr>
          </w:p>
        </w:tc>
      </w:tr>
      <w:tr w14:paraId="5AEE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5E383EF8">
            <w:pPr>
              <w:topLinePunct/>
              <w:spacing w:line="360" w:lineRule="auto"/>
              <w:jc w:val="center"/>
              <w:rPr>
                <w:rFonts w:hAnsi="宋体" w:cs="宋体"/>
                <w:highlight w:val="none"/>
              </w:rPr>
            </w:pPr>
            <w:r>
              <w:rPr>
                <w:rFonts w:hint="eastAsia" w:hAnsi="宋体" w:cs="宋体"/>
                <w:highlight w:val="none"/>
              </w:rPr>
              <w:t>买方联系人及电话</w:t>
            </w:r>
          </w:p>
        </w:tc>
        <w:tc>
          <w:tcPr>
            <w:tcW w:w="6253" w:type="dxa"/>
            <w:vAlign w:val="center"/>
          </w:tcPr>
          <w:p w14:paraId="05349EFC">
            <w:pPr>
              <w:topLinePunct/>
              <w:spacing w:line="360" w:lineRule="auto"/>
              <w:rPr>
                <w:rFonts w:hAnsi="宋体" w:cs="宋体"/>
                <w:highlight w:val="none"/>
              </w:rPr>
            </w:pPr>
          </w:p>
        </w:tc>
      </w:tr>
      <w:tr w14:paraId="34A3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5B220905">
            <w:pPr>
              <w:topLinePunct/>
              <w:spacing w:line="360" w:lineRule="auto"/>
              <w:jc w:val="center"/>
              <w:rPr>
                <w:rFonts w:hAnsi="宋体" w:cs="宋体"/>
                <w:highlight w:val="none"/>
              </w:rPr>
            </w:pPr>
            <w:r>
              <w:rPr>
                <w:rFonts w:hint="eastAsia" w:hAnsi="宋体" w:cs="宋体"/>
                <w:highlight w:val="none"/>
              </w:rPr>
              <w:t>合同价格</w:t>
            </w:r>
          </w:p>
        </w:tc>
        <w:tc>
          <w:tcPr>
            <w:tcW w:w="6253" w:type="dxa"/>
            <w:vAlign w:val="center"/>
          </w:tcPr>
          <w:p w14:paraId="08798E9D">
            <w:pPr>
              <w:topLinePunct/>
              <w:spacing w:line="360" w:lineRule="auto"/>
              <w:rPr>
                <w:rFonts w:hAnsi="宋体" w:cs="宋体"/>
                <w:highlight w:val="none"/>
              </w:rPr>
            </w:pPr>
          </w:p>
        </w:tc>
      </w:tr>
      <w:tr w14:paraId="1A71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3EBC01EF">
            <w:pPr>
              <w:topLinePunct/>
              <w:spacing w:line="360" w:lineRule="auto"/>
              <w:jc w:val="center"/>
              <w:rPr>
                <w:rFonts w:hAnsi="宋体" w:cs="宋体"/>
                <w:highlight w:val="none"/>
              </w:rPr>
            </w:pPr>
            <w:r>
              <w:rPr>
                <w:rFonts w:hint="eastAsia" w:hAnsi="宋体" w:cs="宋体"/>
                <w:highlight w:val="none"/>
              </w:rPr>
              <w:t>项目概况及履约情况</w:t>
            </w:r>
          </w:p>
        </w:tc>
        <w:tc>
          <w:tcPr>
            <w:tcW w:w="6253" w:type="dxa"/>
            <w:vAlign w:val="center"/>
          </w:tcPr>
          <w:p w14:paraId="2A23C0A1">
            <w:pPr>
              <w:topLinePunct/>
              <w:spacing w:line="360" w:lineRule="auto"/>
              <w:rPr>
                <w:rFonts w:hAnsi="宋体" w:cs="宋体"/>
                <w:highlight w:val="none"/>
              </w:rPr>
            </w:pPr>
          </w:p>
          <w:p w14:paraId="5737A125">
            <w:pPr>
              <w:topLinePunct/>
              <w:spacing w:line="360" w:lineRule="auto"/>
              <w:rPr>
                <w:rFonts w:hAnsi="宋体" w:cs="宋体"/>
                <w:highlight w:val="none"/>
              </w:rPr>
            </w:pPr>
          </w:p>
          <w:p w14:paraId="727A9E07">
            <w:pPr>
              <w:topLinePunct/>
              <w:spacing w:line="360" w:lineRule="auto"/>
              <w:rPr>
                <w:rFonts w:hAnsi="宋体" w:cs="宋体"/>
                <w:highlight w:val="none"/>
              </w:rPr>
            </w:pPr>
          </w:p>
          <w:p w14:paraId="211731C9">
            <w:pPr>
              <w:topLinePunct/>
              <w:spacing w:line="360" w:lineRule="auto"/>
              <w:rPr>
                <w:rFonts w:hAnsi="宋体" w:cs="宋体"/>
                <w:highlight w:val="none"/>
              </w:rPr>
            </w:pPr>
          </w:p>
          <w:p w14:paraId="2C5C8621">
            <w:pPr>
              <w:topLinePunct/>
              <w:spacing w:line="360" w:lineRule="auto"/>
              <w:rPr>
                <w:rFonts w:hAnsi="宋体" w:cs="宋体"/>
                <w:highlight w:val="none"/>
              </w:rPr>
            </w:pPr>
          </w:p>
          <w:p w14:paraId="65566EEB">
            <w:pPr>
              <w:topLinePunct/>
              <w:spacing w:line="360" w:lineRule="auto"/>
              <w:rPr>
                <w:rFonts w:hAnsi="宋体" w:cs="宋体"/>
                <w:highlight w:val="none"/>
              </w:rPr>
            </w:pPr>
          </w:p>
          <w:p w14:paraId="3DF8330A">
            <w:pPr>
              <w:topLinePunct/>
              <w:spacing w:line="360" w:lineRule="auto"/>
              <w:rPr>
                <w:rFonts w:hAnsi="宋体" w:cs="宋体"/>
                <w:highlight w:val="none"/>
              </w:rPr>
            </w:pPr>
          </w:p>
        </w:tc>
      </w:tr>
      <w:tr w14:paraId="2E1D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1EC9EEEB">
            <w:pPr>
              <w:topLinePunct/>
              <w:spacing w:line="360" w:lineRule="auto"/>
              <w:jc w:val="center"/>
              <w:rPr>
                <w:rFonts w:hAnsi="宋体" w:cs="宋体"/>
                <w:highlight w:val="none"/>
              </w:rPr>
            </w:pPr>
            <w:r>
              <w:rPr>
                <w:rFonts w:hint="eastAsia" w:hAnsi="宋体" w:cs="宋体"/>
                <w:highlight w:val="none"/>
              </w:rPr>
              <w:t>备注</w:t>
            </w:r>
          </w:p>
        </w:tc>
        <w:tc>
          <w:tcPr>
            <w:tcW w:w="6253" w:type="dxa"/>
            <w:vAlign w:val="center"/>
          </w:tcPr>
          <w:p w14:paraId="122941B5">
            <w:pPr>
              <w:topLinePunct/>
              <w:spacing w:line="360" w:lineRule="auto"/>
              <w:jc w:val="center"/>
              <w:rPr>
                <w:rFonts w:hAnsi="宋体" w:cs="宋体"/>
                <w:highlight w:val="none"/>
              </w:rPr>
            </w:pPr>
            <w:r>
              <w:rPr>
                <w:rFonts w:hint="eastAsia" w:ascii="Times New Roman"/>
                <w:szCs w:val="22"/>
                <w:highlight w:val="none"/>
              </w:rPr>
              <w:t>资格审查业绩</w:t>
            </w:r>
          </w:p>
        </w:tc>
      </w:tr>
    </w:tbl>
    <w:p w14:paraId="2DEE165E">
      <w:pPr>
        <w:spacing w:line="360" w:lineRule="auto"/>
        <w:rPr>
          <w:rFonts w:hAnsi="宋体" w:cs="宋体"/>
          <w:highlight w:val="none"/>
        </w:rPr>
      </w:pPr>
      <w:r>
        <w:rPr>
          <w:rFonts w:hint="eastAsia" w:hAnsi="宋体" w:cs="宋体"/>
          <w:highlight w:val="none"/>
        </w:rPr>
        <w:t>注：1.投标人应根据招标文件第二章“投标人须知”前附表附录3的要求在本表后附相关证明材料。</w:t>
      </w:r>
    </w:p>
    <w:p w14:paraId="3B596D44">
      <w:pPr>
        <w:spacing w:line="360" w:lineRule="auto"/>
        <w:ind w:firstLine="480" w:firstLineChars="200"/>
        <w:rPr>
          <w:rFonts w:hAnsi="宋体" w:cs="宋体"/>
          <w:bCs/>
          <w:highlight w:val="none"/>
        </w:rPr>
      </w:pPr>
      <w:r>
        <w:rPr>
          <w:rFonts w:hint="eastAsia" w:hAnsi="宋体" w:cs="宋体"/>
          <w:highlight w:val="none"/>
        </w:rPr>
        <w:t>2.投标人为代理经销商的，投标人须知第1.4.1项要求投标人提供投标货物的业绩的，投标人应按照上表的格式提供投标货物的业绩情况并根据投标人须知第3.5.1项的要求在本表后附相关证明材料。</w:t>
      </w:r>
      <w:bookmarkStart w:id="1123" w:name="_Toc460660227"/>
      <w:bookmarkStart w:id="1124" w:name="_Toc421917005"/>
      <w:bookmarkStart w:id="1125" w:name="_Toc390411625"/>
      <w:bookmarkStart w:id="1126" w:name="_Toc460227112"/>
    </w:p>
    <w:bookmarkEnd w:id="1123"/>
    <w:bookmarkEnd w:id="1124"/>
    <w:bookmarkEnd w:id="1125"/>
    <w:bookmarkEnd w:id="1126"/>
    <w:p w14:paraId="7529D924">
      <w:pPr>
        <w:pStyle w:val="5"/>
        <w:spacing w:before="0" w:after="0"/>
        <w:jc w:val="center"/>
        <w:rPr>
          <w:rFonts w:hint="eastAsia" w:ascii="宋体" w:hAnsi="宋体" w:eastAsia="黑体" w:cs="宋体"/>
          <w:highlight w:val="none"/>
          <w:lang w:eastAsia="zh-CN"/>
        </w:rPr>
      </w:pPr>
      <w:bookmarkStart w:id="1127" w:name="_Toc460660230"/>
      <w:bookmarkStart w:id="1128" w:name="_Toc459832202"/>
      <w:bookmarkStart w:id="1129" w:name="_Toc421917009"/>
      <w:r>
        <w:rPr>
          <w:rFonts w:hint="eastAsia" w:ascii="黑体" w:hAnsi="黑体" w:cs="黑体"/>
          <w:szCs w:val="24"/>
          <w:highlight w:val="none"/>
        </w:rPr>
        <w:br w:type="page"/>
      </w:r>
      <w:r>
        <w:rPr>
          <w:rFonts w:hint="eastAsia" w:ascii="黑体" w:hAnsi="黑体" w:cs="黑体"/>
          <w:sz w:val="24"/>
          <w:szCs w:val="32"/>
          <w:highlight w:val="none"/>
        </w:rPr>
        <w:t>（四）</w:t>
      </w:r>
      <w:bookmarkEnd w:id="1127"/>
      <w:r>
        <w:rPr>
          <w:rFonts w:hint="eastAsia" w:ascii="黑体" w:hAnsi="黑体" w:cs="黑体"/>
          <w:sz w:val="24"/>
          <w:szCs w:val="32"/>
          <w:highlight w:val="none"/>
        </w:rPr>
        <w:t>制造商授权书</w:t>
      </w:r>
      <w:r>
        <w:rPr>
          <w:rFonts w:hint="eastAsia" w:ascii="黑体" w:hAnsi="黑体" w:cs="黑体"/>
          <w:sz w:val="24"/>
          <w:szCs w:val="32"/>
          <w:highlight w:val="none"/>
          <w:lang w:eastAsia="zh-CN"/>
        </w:rPr>
        <w:t>（</w:t>
      </w:r>
      <w:r>
        <w:rPr>
          <w:rFonts w:hint="eastAsia" w:ascii="黑体" w:hAnsi="黑体" w:cs="黑体"/>
          <w:sz w:val="24"/>
          <w:szCs w:val="32"/>
          <w:highlight w:val="none"/>
          <w:lang w:val="en-US" w:eastAsia="zh-CN"/>
        </w:rPr>
        <w:t>本项目不采用</w:t>
      </w:r>
      <w:r>
        <w:rPr>
          <w:rFonts w:hint="eastAsia" w:ascii="黑体" w:hAnsi="黑体" w:cs="黑体"/>
          <w:sz w:val="24"/>
          <w:szCs w:val="32"/>
          <w:highlight w:val="none"/>
          <w:lang w:eastAsia="zh-CN"/>
        </w:rPr>
        <w:t>）</w:t>
      </w:r>
    </w:p>
    <w:bookmarkEnd w:id="1128"/>
    <w:bookmarkEnd w:id="1129"/>
    <w:p w14:paraId="4C39229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（招标人名称）</w:t>
      </w:r>
    </w:p>
    <w:p w14:paraId="2DB77DA4">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（制造商名称）是按</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（国家／地区名称）法律成立的一家制造商，主要营业地点设在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（制造商地址）。兹授权按</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（国家／地区名称）的法律正式成立的，主要营业地点设在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（投标人的单位地址）的</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（投标人名称）以我单位制造的</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r>
        <w:rPr>
          <w:rFonts w:hint="eastAsia" w:ascii="宋体" w:hAnsi="宋体" w:cs="宋体"/>
          <w:color w:val="auto"/>
          <w:sz w:val="24"/>
          <w:highlight w:val="none"/>
          <w:lang w:val="en-US" w:eastAsia="zh-CN"/>
        </w:rPr>
        <w:t>货物</w:t>
      </w:r>
      <w:r>
        <w:rPr>
          <w:rFonts w:hint="eastAsia" w:ascii="宋体" w:hAnsi="宋体" w:cs="宋体"/>
          <w:bCs/>
          <w:color w:val="auto"/>
          <w:sz w:val="24"/>
          <w:highlight w:val="none"/>
        </w:rPr>
        <w:t>名称）进行</w:t>
      </w:r>
      <w:r>
        <w:rPr>
          <w:rFonts w:hint="eastAsia" w:hAnsi="宋体"/>
          <w:color w:val="auto"/>
          <w:sz w:val="24"/>
          <w:highlight w:val="none"/>
          <w:u w:val="single"/>
        </w:rPr>
        <w:t>（招标项目名称）</w:t>
      </w: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标段</w:t>
      </w:r>
      <w:r>
        <w:rPr>
          <w:rFonts w:hint="eastAsia" w:ascii="宋体" w:hAnsi="宋体" w:cs="宋体"/>
          <w:bCs/>
          <w:color w:val="auto"/>
          <w:sz w:val="24"/>
          <w:highlight w:val="none"/>
        </w:rPr>
        <w:t>投标活动。我单位同意按照中标合同供货，并对产品质量承担责任。</w:t>
      </w:r>
    </w:p>
    <w:p w14:paraId="69D14AD0">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授权期限：</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p>
    <w:p w14:paraId="67253487">
      <w:pPr>
        <w:spacing w:line="360" w:lineRule="auto"/>
        <w:ind w:firstLine="480" w:firstLineChars="200"/>
        <w:rPr>
          <w:rFonts w:hint="eastAsia" w:ascii="宋体" w:hAnsi="宋体" w:cs="宋体"/>
          <w:bCs/>
          <w:color w:val="auto"/>
          <w:sz w:val="24"/>
          <w:highlight w:val="none"/>
        </w:rPr>
      </w:pPr>
    </w:p>
    <w:p w14:paraId="0793A812">
      <w:pPr>
        <w:spacing w:line="360" w:lineRule="auto"/>
        <w:ind w:firstLine="480" w:firstLineChars="200"/>
        <w:rPr>
          <w:rFonts w:hint="eastAsia" w:ascii="宋体" w:hAnsi="宋体" w:cs="宋体"/>
          <w:bCs/>
          <w:color w:val="auto"/>
          <w:sz w:val="24"/>
          <w:highlight w:val="none"/>
        </w:rPr>
      </w:pPr>
    </w:p>
    <w:p w14:paraId="510BBA2D">
      <w:pPr>
        <w:spacing w:line="360" w:lineRule="auto"/>
        <w:ind w:firstLine="2880" w:firstLineChars="1200"/>
        <w:rPr>
          <w:rFonts w:hint="eastAsia" w:ascii="宋体" w:hAnsi="宋体" w:cs="宋体"/>
          <w:bCs/>
          <w:color w:val="auto"/>
          <w:sz w:val="24"/>
          <w:highlight w:val="none"/>
        </w:rPr>
      </w:pPr>
      <w:r>
        <w:rPr>
          <w:rFonts w:hint="eastAsia" w:ascii="宋体" w:hAnsi="宋体" w:cs="宋体"/>
          <w:bCs/>
          <w:color w:val="auto"/>
          <w:sz w:val="24"/>
          <w:highlight w:val="none"/>
        </w:rPr>
        <w:t>投标人名称：</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（盖单位章）  </w:t>
      </w:r>
    </w:p>
    <w:p w14:paraId="45A9EFB9">
      <w:pPr>
        <w:spacing w:line="360" w:lineRule="auto"/>
        <w:ind w:firstLine="2880" w:firstLineChars="1200"/>
        <w:rPr>
          <w:rFonts w:hint="eastAsia" w:ascii="宋体" w:hAnsi="宋体" w:cs="宋体"/>
          <w:bCs/>
          <w:color w:val="auto"/>
          <w:sz w:val="24"/>
          <w:highlight w:val="none"/>
        </w:rPr>
      </w:pPr>
      <w:r>
        <w:rPr>
          <w:rFonts w:hint="eastAsia" w:ascii="宋体" w:hAnsi="宋体" w:cs="宋体"/>
          <w:bCs/>
          <w:color w:val="auto"/>
          <w:sz w:val="24"/>
          <w:highlight w:val="none"/>
        </w:rPr>
        <w:t>制造商名称：</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14:paraId="7CAE2800">
      <w:pPr>
        <w:spacing w:line="360" w:lineRule="auto"/>
        <w:ind w:firstLine="480" w:firstLineChars="200"/>
        <w:rPr>
          <w:rFonts w:hAnsi="宋体" w:cs="宋体"/>
          <w:bCs/>
          <w:highlight w:val="none"/>
        </w:rPr>
      </w:pPr>
    </w:p>
    <w:p w14:paraId="3377B1CF">
      <w:pPr>
        <w:pStyle w:val="5"/>
        <w:spacing w:before="0" w:after="0"/>
        <w:jc w:val="center"/>
        <w:rPr>
          <w:rFonts w:ascii="宋体" w:hAnsi="宋体" w:eastAsia="宋体" w:cs="宋体"/>
          <w:highlight w:val="none"/>
        </w:rPr>
      </w:pPr>
      <w:bookmarkStart w:id="1130" w:name="_Toc7277"/>
      <w:bookmarkStart w:id="1131" w:name="_Toc14214"/>
      <w:bookmarkStart w:id="1132" w:name="_Toc13177"/>
      <w:bookmarkStart w:id="1133" w:name="_Toc22953"/>
      <w:bookmarkStart w:id="1134" w:name="_Toc4344"/>
      <w:bookmarkStart w:id="1135" w:name="_Toc14916"/>
      <w:bookmarkStart w:id="1136" w:name="_Toc20521"/>
      <w:bookmarkStart w:id="1137" w:name="_Toc23419"/>
      <w:r>
        <w:rPr>
          <w:rFonts w:hint="eastAsia" w:ascii="黑体" w:hAnsi="黑体" w:cs="黑体"/>
          <w:highlight w:val="none"/>
        </w:rPr>
        <w:br w:type="page"/>
      </w:r>
      <w:r>
        <w:rPr>
          <w:rFonts w:hint="eastAsia" w:ascii="黑体" w:hAnsi="黑体" w:cs="黑体"/>
          <w:szCs w:val="24"/>
          <w:highlight w:val="none"/>
        </w:rPr>
        <w:t>（五）拟委任的项目负责人简历</w:t>
      </w:r>
      <w:r>
        <w:rPr>
          <w:rStyle w:val="67"/>
          <w:rFonts w:hint="eastAsia" w:ascii="黑体" w:hAnsi="黑体" w:cs="黑体"/>
          <w:szCs w:val="24"/>
          <w:highlight w:val="none"/>
        </w:rPr>
        <w:footnoteReference w:id="1"/>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1349"/>
        <w:gridCol w:w="984"/>
        <w:gridCol w:w="213"/>
        <w:gridCol w:w="1368"/>
        <w:gridCol w:w="1177"/>
        <w:gridCol w:w="363"/>
        <w:gridCol w:w="1848"/>
      </w:tblGrid>
      <w:tr w14:paraId="3A6C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5677EA21">
            <w:pPr>
              <w:spacing w:line="360" w:lineRule="auto"/>
              <w:jc w:val="center"/>
              <w:rPr>
                <w:rFonts w:hAnsi="宋体" w:cs="宋体"/>
                <w:highlight w:val="none"/>
              </w:rPr>
            </w:pPr>
            <w:r>
              <w:rPr>
                <w:rFonts w:hint="eastAsia" w:hAnsi="宋体" w:cs="宋体"/>
                <w:highlight w:val="none"/>
              </w:rPr>
              <w:t>姓  名</w:t>
            </w:r>
          </w:p>
        </w:tc>
        <w:tc>
          <w:tcPr>
            <w:tcW w:w="792" w:type="pct"/>
            <w:vAlign w:val="center"/>
          </w:tcPr>
          <w:p w14:paraId="36120156">
            <w:pPr>
              <w:spacing w:line="360" w:lineRule="auto"/>
              <w:jc w:val="center"/>
              <w:rPr>
                <w:rFonts w:hAnsi="宋体" w:cs="宋体"/>
                <w:highlight w:val="none"/>
              </w:rPr>
            </w:pPr>
          </w:p>
        </w:tc>
        <w:tc>
          <w:tcPr>
            <w:tcW w:w="703" w:type="pct"/>
            <w:gridSpan w:val="2"/>
            <w:vAlign w:val="center"/>
          </w:tcPr>
          <w:p w14:paraId="2358920E">
            <w:pPr>
              <w:spacing w:line="360" w:lineRule="auto"/>
              <w:jc w:val="center"/>
              <w:rPr>
                <w:rFonts w:hAnsi="宋体" w:cs="宋体"/>
                <w:highlight w:val="none"/>
              </w:rPr>
            </w:pPr>
            <w:r>
              <w:rPr>
                <w:rFonts w:hint="eastAsia" w:hAnsi="宋体" w:cs="宋体"/>
                <w:highlight w:val="none"/>
              </w:rPr>
              <w:t>年 龄</w:t>
            </w:r>
          </w:p>
        </w:tc>
        <w:tc>
          <w:tcPr>
            <w:tcW w:w="803" w:type="pct"/>
            <w:vAlign w:val="center"/>
          </w:tcPr>
          <w:p w14:paraId="1BF74F0E">
            <w:pPr>
              <w:spacing w:line="360" w:lineRule="auto"/>
              <w:jc w:val="center"/>
              <w:rPr>
                <w:rFonts w:hAnsi="宋体" w:cs="宋体"/>
                <w:highlight w:val="none"/>
              </w:rPr>
            </w:pPr>
          </w:p>
        </w:tc>
        <w:tc>
          <w:tcPr>
            <w:tcW w:w="904" w:type="pct"/>
            <w:gridSpan w:val="2"/>
            <w:vAlign w:val="center"/>
          </w:tcPr>
          <w:p w14:paraId="65F85413">
            <w:pPr>
              <w:spacing w:line="360" w:lineRule="auto"/>
              <w:jc w:val="center"/>
              <w:rPr>
                <w:rFonts w:hAnsi="宋体" w:cs="宋体"/>
                <w:highlight w:val="none"/>
              </w:rPr>
            </w:pPr>
            <w:r>
              <w:rPr>
                <w:rFonts w:hint="eastAsia" w:hAnsi="宋体" w:cs="宋体"/>
                <w:highlight w:val="none"/>
              </w:rPr>
              <w:t>学 历</w:t>
            </w:r>
          </w:p>
        </w:tc>
        <w:tc>
          <w:tcPr>
            <w:tcW w:w="1096" w:type="pct"/>
            <w:vAlign w:val="center"/>
          </w:tcPr>
          <w:p w14:paraId="709423F3">
            <w:pPr>
              <w:spacing w:line="360" w:lineRule="auto"/>
              <w:jc w:val="center"/>
              <w:rPr>
                <w:rFonts w:hAnsi="宋体" w:cs="宋体"/>
                <w:highlight w:val="none"/>
              </w:rPr>
            </w:pPr>
          </w:p>
        </w:tc>
      </w:tr>
      <w:tr w14:paraId="65D9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7FCACA84">
            <w:pPr>
              <w:spacing w:line="360" w:lineRule="auto"/>
              <w:jc w:val="center"/>
              <w:rPr>
                <w:rFonts w:hAnsi="宋体" w:cs="宋体"/>
                <w:highlight w:val="none"/>
              </w:rPr>
            </w:pPr>
            <w:r>
              <w:rPr>
                <w:rFonts w:hint="eastAsia" w:hAnsi="宋体" w:cs="宋体"/>
                <w:highlight w:val="none"/>
              </w:rPr>
              <w:t>职  称</w:t>
            </w:r>
          </w:p>
        </w:tc>
        <w:tc>
          <w:tcPr>
            <w:tcW w:w="792" w:type="pct"/>
            <w:vAlign w:val="center"/>
          </w:tcPr>
          <w:p w14:paraId="6F590CA4">
            <w:pPr>
              <w:spacing w:line="360" w:lineRule="auto"/>
              <w:jc w:val="center"/>
              <w:rPr>
                <w:rFonts w:hAnsi="宋体" w:cs="宋体"/>
                <w:highlight w:val="none"/>
              </w:rPr>
            </w:pPr>
          </w:p>
        </w:tc>
        <w:tc>
          <w:tcPr>
            <w:tcW w:w="703" w:type="pct"/>
            <w:gridSpan w:val="2"/>
            <w:vAlign w:val="center"/>
          </w:tcPr>
          <w:p w14:paraId="63B670FF">
            <w:pPr>
              <w:spacing w:line="360" w:lineRule="auto"/>
              <w:jc w:val="center"/>
              <w:rPr>
                <w:rFonts w:hAnsi="宋体" w:cs="宋体"/>
                <w:highlight w:val="none"/>
              </w:rPr>
            </w:pPr>
            <w:r>
              <w:rPr>
                <w:rFonts w:hint="eastAsia" w:hAnsi="宋体" w:cs="宋体"/>
                <w:highlight w:val="none"/>
              </w:rPr>
              <w:t>单位</w:t>
            </w:r>
          </w:p>
          <w:p w14:paraId="1A592AFF">
            <w:pPr>
              <w:spacing w:line="360" w:lineRule="auto"/>
              <w:jc w:val="center"/>
              <w:rPr>
                <w:rFonts w:hAnsi="宋体" w:cs="宋体"/>
                <w:highlight w:val="none"/>
              </w:rPr>
            </w:pPr>
            <w:r>
              <w:rPr>
                <w:rFonts w:hint="eastAsia" w:hAnsi="宋体" w:cs="宋体"/>
                <w:highlight w:val="none"/>
              </w:rPr>
              <w:t>职务</w:t>
            </w:r>
          </w:p>
        </w:tc>
        <w:tc>
          <w:tcPr>
            <w:tcW w:w="803" w:type="pct"/>
            <w:vAlign w:val="center"/>
          </w:tcPr>
          <w:p w14:paraId="2D539D25">
            <w:pPr>
              <w:spacing w:line="360" w:lineRule="auto"/>
              <w:jc w:val="center"/>
              <w:rPr>
                <w:rFonts w:hAnsi="宋体" w:cs="宋体"/>
                <w:highlight w:val="none"/>
              </w:rPr>
            </w:pPr>
          </w:p>
        </w:tc>
        <w:tc>
          <w:tcPr>
            <w:tcW w:w="904" w:type="pct"/>
            <w:gridSpan w:val="2"/>
            <w:vAlign w:val="center"/>
          </w:tcPr>
          <w:p w14:paraId="750597A4">
            <w:pPr>
              <w:spacing w:line="360" w:lineRule="auto"/>
              <w:jc w:val="center"/>
              <w:rPr>
                <w:rFonts w:hAnsi="宋体" w:cs="宋体"/>
                <w:highlight w:val="none"/>
              </w:rPr>
            </w:pPr>
            <w:r>
              <w:rPr>
                <w:rFonts w:hint="eastAsia" w:hAnsi="宋体" w:cs="宋体"/>
                <w:highlight w:val="none"/>
              </w:rPr>
              <w:t>拟在本标段</w:t>
            </w:r>
          </w:p>
          <w:p w14:paraId="7166245E">
            <w:pPr>
              <w:spacing w:line="360" w:lineRule="auto"/>
              <w:jc w:val="center"/>
              <w:rPr>
                <w:rFonts w:hAnsi="宋体" w:cs="宋体"/>
                <w:highlight w:val="none"/>
              </w:rPr>
            </w:pPr>
            <w:r>
              <w:rPr>
                <w:rFonts w:hint="eastAsia" w:hAnsi="宋体" w:cs="宋体"/>
                <w:highlight w:val="none"/>
              </w:rPr>
              <w:t>项目担任职务</w:t>
            </w:r>
          </w:p>
        </w:tc>
        <w:tc>
          <w:tcPr>
            <w:tcW w:w="1096" w:type="pct"/>
            <w:vAlign w:val="center"/>
          </w:tcPr>
          <w:p w14:paraId="71D2AEDD">
            <w:pPr>
              <w:spacing w:line="360" w:lineRule="auto"/>
              <w:jc w:val="center"/>
              <w:rPr>
                <w:rFonts w:hAnsi="宋体" w:cs="宋体"/>
                <w:highlight w:val="none"/>
              </w:rPr>
            </w:pPr>
          </w:p>
        </w:tc>
      </w:tr>
      <w:tr w14:paraId="180F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195D15CE">
            <w:pPr>
              <w:spacing w:line="360" w:lineRule="auto"/>
              <w:jc w:val="center"/>
              <w:rPr>
                <w:rFonts w:hAnsi="宋体" w:cs="宋体"/>
                <w:highlight w:val="none"/>
              </w:rPr>
            </w:pPr>
            <w:r>
              <w:rPr>
                <w:rFonts w:hint="eastAsia" w:hAnsi="宋体" w:cs="宋体"/>
                <w:highlight w:val="none"/>
              </w:rPr>
              <w:t>执业资格</w:t>
            </w:r>
          </w:p>
        </w:tc>
        <w:tc>
          <w:tcPr>
            <w:tcW w:w="792" w:type="pct"/>
            <w:vAlign w:val="center"/>
          </w:tcPr>
          <w:p w14:paraId="061BF529">
            <w:pPr>
              <w:spacing w:line="360" w:lineRule="auto"/>
              <w:rPr>
                <w:rFonts w:hAnsi="宋体" w:cs="宋体"/>
                <w:highlight w:val="none"/>
              </w:rPr>
            </w:pPr>
          </w:p>
        </w:tc>
        <w:tc>
          <w:tcPr>
            <w:tcW w:w="703" w:type="pct"/>
            <w:gridSpan w:val="2"/>
            <w:vAlign w:val="center"/>
          </w:tcPr>
          <w:p w14:paraId="65A40145">
            <w:pPr>
              <w:spacing w:line="360" w:lineRule="auto"/>
              <w:jc w:val="center"/>
              <w:rPr>
                <w:rFonts w:hAnsi="宋体" w:cs="宋体"/>
                <w:highlight w:val="none"/>
              </w:rPr>
            </w:pPr>
            <w:r>
              <w:rPr>
                <w:rFonts w:hint="eastAsia" w:hAnsi="宋体" w:cs="宋体"/>
                <w:highlight w:val="none"/>
              </w:rPr>
              <w:t>资格证</w:t>
            </w:r>
          </w:p>
          <w:p w14:paraId="4EB6DD08">
            <w:pPr>
              <w:spacing w:line="360" w:lineRule="auto"/>
              <w:jc w:val="center"/>
              <w:rPr>
                <w:rFonts w:hAnsi="宋体" w:cs="宋体"/>
                <w:highlight w:val="none"/>
              </w:rPr>
            </w:pPr>
            <w:r>
              <w:rPr>
                <w:rFonts w:hint="eastAsia" w:hAnsi="宋体" w:cs="宋体"/>
                <w:highlight w:val="none"/>
              </w:rPr>
              <w:t>书编号</w:t>
            </w:r>
          </w:p>
        </w:tc>
        <w:tc>
          <w:tcPr>
            <w:tcW w:w="2803" w:type="pct"/>
            <w:gridSpan w:val="4"/>
            <w:vAlign w:val="center"/>
          </w:tcPr>
          <w:p w14:paraId="043BA5B3">
            <w:pPr>
              <w:spacing w:line="360" w:lineRule="auto"/>
              <w:rPr>
                <w:rFonts w:hAnsi="宋体" w:cs="宋体"/>
                <w:highlight w:val="none"/>
              </w:rPr>
            </w:pPr>
          </w:p>
        </w:tc>
      </w:tr>
      <w:tr w14:paraId="02FC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252D72B9">
            <w:pPr>
              <w:spacing w:line="360" w:lineRule="auto"/>
              <w:jc w:val="center"/>
              <w:rPr>
                <w:rFonts w:hAnsi="宋体" w:cs="宋体"/>
                <w:highlight w:val="none"/>
              </w:rPr>
            </w:pPr>
            <w:r>
              <w:rPr>
                <w:rFonts w:hint="eastAsia" w:hAnsi="宋体" w:cs="宋体"/>
                <w:highlight w:val="none"/>
              </w:rPr>
              <w:t>毕业学校</w:t>
            </w:r>
          </w:p>
        </w:tc>
        <w:tc>
          <w:tcPr>
            <w:tcW w:w="4298" w:type="pct"/>
            <w:gridSpan w:val="7"/>
            <w:vAlign w:val="center"/>
          </w:tcPr>
          <w:p w14:paraId="465D6829">
            <w:pPr>
              <w:spacing w:line="360" w:lineRule="auto"/>
              <w:rPr>
                <w:rFonts w:hAnsi="宋体" w:cs="宋体"/>
                <w:highlight w:val="none"/>
                <w:u w:val="single"/>
              </w:rPr>
            </w:pPr>
            <w:r>
              <w:rPr>
                <w:rFonts w:hint="eastAsia" w:hAnsi="宋体" w:cs="宋体"/>
                <w:highlight w:val="none"/>
              </w:rPr>
              <w:t>年月毕业于学校专业，学制年</w:t>
            </w:r>
          </w:p>
        </w:tc>
      </w:tr>
      <w:tr w14:paraId="275D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8"/>
            <w:vAlign w:val="center"/>
          </w:tcPr>
          <w:p w14:paraId="78427A61">
            <w:pPr>
              <w:spacing w:line="360" w:lineRule="auto"/>
              <w:jc w:val="center"/>
              <w:rPr>
                <w:rFonts w:hAnsi="宋体" w:cs="宋体"/>
                <w:highlight w:val="none"/>
              </w:rPr>
            </w:pPr>
            <w:r>
              <w:rPr>
                <w:rFonts w:hint="eastAsia" w:hAnsi="宋体" w:cs="宋体"/>
                <w:highlight w:val="none"/>
              </w:rPr>
              <w:t>经    历</w:t>
            </w:r>
          </w:p>
        </w:tc>
      </w:tr>
      <w:tr w14:paraId="3393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vAlign w:val="center"/>
          </w:tcPr>
          <w:p w14:paraId="26C64C17">
            <w:pPr>
              <w:spacing w:line="360" w:lineRule="auto"/>
              <w:jc w:val="center"/>
              <w:rPr>
                <w:rFonts w:hAnsi="宋体" w:cs="宋体"/>
                <w:highlight w:val="none"/>
              </w:rPr>
            </w:pPr>
            <w:r>
              <w:rPr>
                <w:rFonts w:hint="eastAsia" w:hAnsi="宋体" w:cs="宋体"/>
                <w:highlight w:val="none"/>
              </w:rPr>
              <w:t>时间</w:t>
            </w:r>
          </w:p>
        </w:tc>
        <w:tc>
          <w:tcPr>
            <w:tcW w:w="1370" w:type="pct"/>
            <w:gridSpan w:val="2"/>
            <w:vAlign w:val="center"/>
          </w:tcPr>
          <w:p w14:paraId="5635A8E9">
            <w:pPr>
              <w:spacing w:line="360" w:lineRule="auto"/>
              <w:jc w:val="center"/>
              <w:rPr>
                <w:rFonts w:hAnsi="宋体" w:cs="宋体"/>
                <w:highlight w:val="none"/>
              </w:rPr>
            </w:pPr>
            <w:r>
              <w:rPr>
                <w:rFonts w:hint="eastAsia" w:hAnsi="宋体" w:cs="宋体"/>
                <w:highlight w:val="none"/>
              </w:rPr>
              <w:t>参加过的项目名称</w:t>
            </w:r>
          </w:p>
        </w:tc>
        <w:tc>
          <w:tcPr>
            <w:tcW w:w="917" w:type="pct"/>
            <w:gridSpan w:val="2"/>
            <w:vAlign w:val="center"/>
          </w:tcPr>
          <w:p w14:paraId="328343CE">
            <w:pPr>
              <w:spacing w:line="360" w:lineRule="auto"/>
              <w:jc w:val="center"/>
              <w:rPr>
                <w:rFonts w:hAnsi="宋体" w:cs="宋体"/>
                <w:highlight w:val="none"/>
              </w:rPr>
            </w:pPr>
            <w:r>
              <w:rPr>
                <w:rFonts w:hint="eastAsia" w:hAnsi="宋体" w:cs="宋体"/>
                <w:highlight w:val="none"/>
              </w:rPr>
              <w:t>签约合同价金额（万元）</w:t>
            </w:r>
          </w:p>
        </w:tc>
        <w:tc>
          <w:tcPr>
            <w:tcW w:w="691" w:type="pct"/>
            <w:vAlign w:val="center"/>
          </w:tcPr>
          <w:p w14:paraId="2335A175">
            <w:pPr>
              <w:spacing w:line="360" w:lineRule="auto"/>
              <w:jc w:val="center"/>
              <w:rPr>
                <w:rFonts w:hAnsi="宋体" w:cs="宋体"/>
                <w:highlight w:val="none"/>
              </w:rPr>
            </w:pPr>
            <w:r>
              <w:rPr>
                <w:rFonts w:hint="eastAsia" w:hAnsi="宋体" w:cs="宋体"/>
                <w:highlight w:val="none"/>
              </w:rPr>
              <w:t>担任职务</w:t>
            </w:r>
          </w:p>
        </w:tc>
        <w:tc>
          <w:tcPr>
            <w:tcW w:w="1309" w:type="pct"/>
            <w:gridSpan w:val="2"/>
            <w:vAlign w:val="center"/>
          </w:tcPr>
          <w:p w14:paraId="3C4BC153">
            <w:pPr>
              <w:spacing w:line="360" w:lineRule="auto"/>
              <w:jc w:val="center"/>
              <w:rPr>
                <w:rFonts w:hAnsi="宋体" w:cs="宋体"/>
                <w:highlight w:val="none"/>
              </w:rPr>
            </w:pPr>
            <w:r>
              <w:rPr>
                <w:rFonts w:hint="eastAsia" w:hAnsi="宋体" w:cs="宋体"/>
                <w:highlight w:val="none"/>
              </w:rPr>
              <w:t>买方及联系电话</w:t>
            </w:r>
          </w:p>
        </w:tc>
      </w:tr>
      <w:tr w14:paraId="2CED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tcPr>
          <w:p w14:paraId="6EBCB071">
            <w:pPr>
              <w:spacing w:line="360" w:lineRule="auto"/>
              <w:rPr>
                <w:rFonts w:hAnsi="宋体" w:cs="宋体"/>
                <w:highlight w:val="none"/>
              </w:rPr>
            </w:pPr>
          </w:p>
        </w:tc>
        <w:tc>
          <w:tcPr>
            <w:tcW w:w="1370" w:type="pct"/>
            <w:gridSpan w:val="2"/>
          </w:tcPr>
          <w:p w14:paraId="1DA170C1">
            <w:pPr>
              <w:spacing w:line="360" w:lineRule="auto"/>
              <w:rPr>
                <w:rFonts w:hAnsi="宋体" w:cs="宋体"/>
                <w:highlight w:val="none"/>
              </w:rPr>
            </w:pPr>
          </w:p>
        </w:tc>
        <w:tc>
          <w:tcPr>
            <w:tcW w:w="917" w:type="pct"/>
            <w:gridSpan w:val="2"/>
          </w:tcPr>
          <w:p w14:paraId="310C62E3">
            <w:pPr>
              <w:spacing w:line="360" w:lineRule="auto"/>
              <w:rPr>
                <w:rFonts w:hAnsi="宋体" w:cs="宋体"/>
                <w:highlight w:val="none"/>
              </w:rPr>
            </w:pPr>
          </w:p>
        </w:tc>
        <w:tc>
          <w:tcPr>
            <w:tcW w:w="691" w:type="pct"/>
          </w:tcPr>
          <w:p w14:paraId="1484767A">
            <w:pPr>
              <w:spacing w:line="360" w:lineRule="auto"/>
              <w:rPr>
                <w:rFonts w:hAnsi="宋体" w:cs="宋体"/>
                <w:highlight w:val="none"/>
              </w:rPr>
            </w:pPr>
          </w:p>
        </w:tc>
        <w:tc>
          <w:tcPr>
            <w:tcW w:w="1309" w:type="pct"/>
            <w:gridSpan w:val="2"/>
          </w:tcPr>
          <w:p w14:paraId="4C1304CB">
            <w:pPr>
              <w:spacing w:line="360" w:lineRule="auto"/>
              <w:rPr>
                <w:rFonts w:hAnsi="宋体" w:cs="宋体"/>
                <w:highlight w:val="none"/>
              </w:rPr>
            </w:pPr>
          </w:p>
        </w:tc>
      </w:tr>
      <w:tr w14:paraId="73B8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tcPr>
          <w:p w14:paraId="08E00E95">
            <w:pPr>
              <w:spacing w:line="360" w:lineRule="auto"/>
              <w:rPr>
                <w:rFonts w:hAnsi="宋体" w:cs="宋体"/>
                <w:highlight w:val="none"/>
              </w:rPr>
            </w:pPr>
          </w:p>
        </w:tc>
        <w:tc>
          <w:tcPr>
            <w:tcW w:w="1370" w:type="pct"/>
            <w:gridSpan w:val="2"/>
          </w:tcPr>
          <w:p w14:paraId="0E5A8EA5">
            <w:pPr>
              <w:pStyle w:val="34"/>
              <w:spacing w:before="0" w:after="0" w:line="360" w:lineRule="auto"/>
              <w:rPr>
                <w:rFonts w:ascii="宋体" w:hAnsi="宋体" w:cs="宋体"/>
                <w:b w:val="0"/>
                <w:sz w:val="24"/>
                <w:szCs w:val="24"/>
                <w:highlight w:val="none"/>
              </w:rPr>
            </w:pPr>
          </w:p>
        </w:tc>
        <w:tc>
          <w:tcPr>
            <w:tcW w:w="917" w:type="pct"/>
            <w:gridSpan w:val="2"/>
          </w:tcPr>
          <w:p w14:paraId="2E202B0F">
            <w:pPr>
              <w:pStyle w:val="34"/>
              <w:spacing w:before="0" w:after="0" w:line="360" w:lineRule="auto"/>
              <w:rPr>
                <w:rFonts w:ascii="宋体" w:hAnsi="宋体" w:cs="宋体"/>
                <w:b w:val="0"/>
                <w:sz w:val="24"/>
                <w:szCs w:val="24"/>
                <w:highlight w:val="none"/>
              </w:rPr>
            </w:pPr>
          </w:p>
        </w:tc>
        <w:tc>
          <w:tcPr>
            <w:tcW w:w="691" w:type="pct"/>
          </w:tcPr>
          <w:p w14:paraId="4815D7DE">
            <w:pPr>
              <w:pStyle w:val="34"/>
              <w:spacing w:before="0" w:after="0" w:line="360" w:lineRule="auto"/>
              <w:rPr>
                <w:rFonts w:ascii="宋体" w:hAnsi="宋体" w:cs="宋体"/>
                <w:b w:val="0"/>
                <w:sz w:val="24"/>
                <w:szCs w:val="24"/>
                <w:highlight w:val="none"/>
              </w:rPr>
            </w:pPr>
          </w:p>
        </w:tc>
        <w:tc>
          <w:tcPr>
            <w:tcW w:w="1309" w:type="pct"/>
            <w:gridSpan w:val="2"/>
          </w:tcPr>
          <w:p w14:paraId="2E3C0C76">
            <w:pPr>
              <w:spacing w:line="360" w:lineRule="auto"/>
              <w:rPr>
                <w:rFonts w:hAnsi="宋体" w:cs="宋体"/>
                <w:highlight w:val="none"/>
              </w:rPr>
            </w:pPr>
          </w:p>
        </w:tc>
      </w:tr>
      <w:tr w14:paraId="10BD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tcPr>
          <w:p w14:paraId="0BBB877E">
            <w:pPr>
              <w:spacing w:line="360" w:lineRule="auto"/>
              <w:rPr>
                <w:rFonts w:hAnsi="宋体" w:cs="宋体"/>
                <w:highlight w:val="none"/>
              </w:rPr>
            </w:pPr>
          </w:p>
        </w:tc>
        <w:tc>
          <w:tcPr>
            <w:tcW w:w="1370" w:type="pct"/>
            <w:gridSpan w:val="2"/>
          </w:tcPr>
          <w:p w14:paraId="5181A8D9">
            <w:pPr>
              <w:spacing w:line="360" w:lineRule="auto"/>
              <w:rPr>
                <w:rFonts w:hAnsi="宋体" w:cs="宋体"/>
                <w:highlight w:val="none"/>
              </w:rPr>
            </w:pPr>
          </w:p>
        </w:tc>
        <w:tc>
          <w:tcPr>
            <w:tcW w:w="917" w:type="pct"/>
            <w:gridSpan w:val="2"/>
          </w:tcPr>
          <w:p w14:paraId="41A46020">
            <w:pPr>
              <w:spacing w:line="360" w:lineRule="auto"/>
              <w:rPr>
                <w:rFonts w:hAnsi="宋体" w:cs="宋体"/>
                <w:highlight w:val="none"/>
              </w:rPr>
            </w:pPr>
          </w:p>
        </w:tc>
        <w:tc>
          <w:tcPr>
            <w:tcW w:w="691" w:type="pct"/>
          </w:tcPr>
          <w:p w14:paraId="6B2E6CD2">
            <w:pPr>
              <w:spacing w:line="360" w:lineRule="auto"/>
              <w:rPr>
                <w:rFonts w:hAnsi="宋体" w:cs="宋体"/>
                <w:highlight w:val="none"/>
              </w:rPr>
            </w:pPr>
          </w:p>
        </w:tc>
        <w:tc>
          <w:tcPr>
            <w:tcW w:w="1309" w:type="pct"/>
            <w:gridSpan w:val="2"/>
          </w:tcPr>
          <w:p w14:paraId="0AD9D48E">
            <w:pPr>
              <w:spacing w:line="360" w:lineRule="auto"/>
              <w:rPr>
                <w:rFonts w:hAnsi="宋体" w:cs="宋体"/>
                <w:highlight w:val="none"/>
              </w:rPr>
            </w:pPr>
          </w:p>
        </w:tc>
      </w:tr>
      <w:tr w14:paraId="7A63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vAlign w:val="center"/>
          </w:tcPr>
          <w:p w14:paraId="6B17B4CA">
            <w:pPr>
              <w:spacing w:line="360" w:lineRule="auto"/>
              <w:rPr>
                <w:rFonts w:hAnsi="宋体" w:cs="宋体"/>
                <w:highlight w:val="none"/>
              </w:rPr>
            </w:pPr>
          </w:p>
        </w:tc>
        <w:tc>
          <w:tcPr>
            <w:tcW w:w="1370" w:type="pct"/>
            <w:gridSpan w:val="2"/>
            <w:vAlign w:val="center"/>
          </w:tcPr>
          <w:p w14:paraId="5F361395">
            <w:pPr>
              <w:spacing w:line="360" w:lineRule="auto"/>
              <w:rPr>
                <w:rFonts w:hAnsi="宋体" w:cs="宋体"/>
                <w:highlight w:val="none"/>
              </w:rPr>
            </w:pPr>
          </w:p>
        </w:tc>
        <w:tc>
          <w:tcPr>
            <w:tcW w:w="917" w:type="pct"/>
            <w:gridSpan w:val="2"/>
            <w:vAlign w:val="center"/>
          </w:tcPr>
          <w:p w14:paraId="37C2966F">
            <w:pPr>
              <w:spacing w:line="360" w:lineRule="auto"/>
              <w:rPr>
                <w:rFonts w:hAnsi="宋体" w:cs="宋体"/>
                <w:highlight w:val="none"/>
              </w:rPr>
            </w:pPr>
          </w:p>
        </w:tc>
        <w:tc>
          <w:tcPr>
            <w:tcW w:w="691" w:type="pct"/>
            <w:vAlign w:val="center"/>
          </w:tcPr>
          <w:p w14:paraId="19892654">
            <w:pPr>
              <w:spacing w:line="360" w:lineRule="auto"/>
              <w:rPr>
                <w:rFonts w:hAnsi="宋体" w:cs="宋体"/>
                <w:highlight w:val="none"/>
              </w:rPr>
            </w:pPr>
          </w:p>
        </w:tc>
        <w:tc>
          <w:tcPr>
            <w:tcW w:w="1309" w:type="pct"/>
            <w:gridSpan w:val="2"/>
            <w:vAlign w:val="center"/>
          </w:tcPr>
          <w:p w14:paraId="69342800">
            <w:pPr>
              <w:spacing w:line="360" w:lineRule="auto"/>
              <w:rPr>
                <w:rFonts w:hAnsi="宋体" w:cs="宋体"/>
                <w:highlight w:val="none"/>
              </w:rPr>
            </w:pPr>
          </w:p>
        </w:tc>
      </w:tr>
      <w:tr w14:paraId="1CEB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vAlign w:val="center"/>
          </w:tcPr>
          <w:p w14:paraId="6D420852">
            <w:pPr>
              <w:spacing w:line="360" w:lineRule="auto"/>
              <w:rPr>
                <w:rFonts w:hAnsi="宋体" w:cs="宋体"/>
                <w:highlight w:val="none"/>
              </w:rPr>
            </w:pPr>
          </w:p>
        </w:tc>
        <w:tc>
          <w:tcPr>
            <w:tcW w:w="1370" w:type="pct"/>
            <w:gridSpan w:val="2"/>
            <w:vAlign w:val="center"/>
          </w:tcPr>
          <w:p w14:paraId="7241C7C7">
            <w:pPr>
              <w:spacing w:line="360" w:lineRule="auto"/>
              <w:rPr>
                <w:rFonts w:hAnsi="宋体" w:cs="宋体"/>
                <w:highlight w:val="none"/>
              </w:rPr>
            </w:pPr>
          </w:p>
        </w:tc>
        <w:tc>
          <w:tcPr>
            <w:tcW w:w="917" w:type="pct"/>
            <w:gridSpan w:val="2"/>
            <w:vAlign w:val="center"/>
          </w:tcPr>
          <w:p w14:paraId="5054D8FC">
            <w:pPr>
              <w:spacing w:line="360" w:lineRule="auto"/>
              <w:rPr>
                <w:rFonts w:hAnsi="宋体" w:cs="宋体"/>
                <w:highlight w:val="none"/>
              </w:rPr>
            </w:pPr>
          </w:p>
        </w:tc>
        <w:tc>
          <w:tcPr>
            <w:tcW w:w="691" w:type="pct"/>
            <w:vAlign w:val="center"/>
          </w:tcPr>
          <w:p w14:paraId="442CB6D9">
            <w:pPr>
              <w:spacing w:line="360" w:lineRule="auto"/>
              <w:rPr>
                <w:rFonts w:hAnsi="宋体" w:cs="宋体"/>
                <w:highlight w:val="none"/>
              </w:rPr>
            </w:pPr>
          </w:p>
        </w:tc>
        <w:tc>
          <w:tcPr>
            <w:tcW w:w="1309" w:type="pct"/>
            <w:gridSpan w:val="2"/>
            <w:vAlign w:val="center"/>
          </w:tcPr>
          <w:p w14:paraId="3E688026">
            <w:pPr>
              <w:spacing w:line="360" w:lineRule="auto"/>
              <w:rPr>
                <w:rFonts w:hAnsi="宋体" w:cs="宋体"/>
                <w:highlight w:val="none"/>
              </w:rPr>
            </w:pPr>
          </w:p>
        </w:tc>
      </w:tr>
      <w:tr w14:paraId="7940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vAlign w:val="center"/>
          </w:tcPr>
          <w:p w14:paraId="3D852467">
            <w:pPr>
              <w:spacing w:line="360" w:lineRule="auto"/>
              <w:rPr>
                <w:rFonts w:hAnsi="宋体" w:cs="宋体"/>
                <w:highlight w:val="none"/>
              </w:rPr>
            </w:pPr>
          </w:p>
        </w:tc>
        <w:tc>
          <w:tcPr>
            <w:tcW w:w="1370" w:type="pct"/>
            <w:gridSpan w:val="2"/>
            <w:vAlign w:val="center"/>
          </w:tcPr>
          <w:p w14:paraId="23ACF4E3">
            <w:pPr>
              <w:spacing w:line="360" w:lineRule="auto"/>
              <w:rPr>
                <w:rFonts w:hAnsi="宋体" w:cs="宋体"/>
                <w:highlight w:val="none"/>
              </w:rPr>
            </w:pPr>
          </w:p>
        </w:tc>
        <w:tc>
          <w:tcPr>
            <w:tcW w:w="917" w:type="pct"/>
            <w:gridSpan w:val="2"/>
            <w:vAlign w:val="center"/>
          </w:tcPr>
          <w:p w14:paraId="70908E21">
            <w:pPr>
              <w:spacing w:line="360" w:lineRule="auto"/>
              <w:rPr>
                <w:rFonts w:hAnsi="宋体" w:cs="宋体"/>
                <w:highlight w:val="none"/>
              </w:rPr>
            </w:pPr>
          </w:p>
        </w:tc>
        <w:tc>
          <w:tcPr>
            <w:tcW w:w="691" w:type="pct"/>
            <w:vAlign w:val="center"/>
          </w:tcPr>
          <w:p w14:paraId="7536EED3">
            <w:pPr>
              <w:spacing w:line="360" w:lineRule="auto"/>
              <w:rPr>
                <w:rFonts w:hAnsi="宋体" w:cs="宋体"/>
                <w:highlight w:val="none"/>
              </w:rPr>
            </w:pPr>
          </w:p>
        </w:tc>
        <w:tc>
          <w:tcPr>
            <w:tcW w:w="1309" w:type="pct"/>
            <w:gridSpan w:val="2"/>
            <w:vAlign w:val="center"/>
          </w:tcPr>
          <w:p w14:paraId="7F2CDB65">
            <w:pPr>
              <w:spacing w:line="360" w:lineRule="auto"/>
              <w:rPr>
                <w:rFonts w:hAnsi="宋体" w:cs="宋体"/>
                <w:highlight w:val="none"/>
              </w:rPr>
            </w:pPr>
          </w:p>
        </w:tc>
      </w:tr>
      <w:tr w14:paraId="6A5D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vAlign w:val="center"/>
          </w:tcPr>
          <w:p w14:paraId="52DF50F3">
            <w:pPr>
              <w:spacing w:line="360" w:lineRule="auto"/>
              <w:rPr>
                <w:rFonts w:hAnsi="宋体" w:cs="宋体"/>
                <w:highlight w:val="none"/>
              </w:rPr>
            </w:pPr>
          </w:p>
        </w:tc>
        <w:tc>
          <w:tcPr>
            <w:tcW w:w="1370" w:type="pct"/>
            <w:gridSpan w:val="2"/>
            <w:vAlign w:val="center"/>
          </w:tcPr>
          <w:p w14:paraId="6F88B7BF">
            <w:pPr>
              <w:spacing w:line="360" w:lineRule="auto"/>
              <w:rPr>
                <w:rFonts w:hAnsi="宋体" w:cs="宋体"/>
                <w:highlight w:val="none"/>
              </w:rPr>
            </w:pPr>
          </w:p>
        </w:tc>
        <w:tc>
          <w:tcPr>
            <w:tcW w:w="917" w:type="pct"/>
            <w:gridSpan w:val="2"/>
            <w:tcBorders>
              <w:right w:val="single" w:color="auto" w:sz="8" w:space="0"/>
            </w:tcBorders>
            <w:vAlign w:val="center"/>
          </w:tcPr>
          <w:p w14:paraId="4293CA6C">
            <w:pPr>
              <w:spacing w:line="360" w:lineRule="auto"/>
              <w:rPr>
                <w:rFonts w:hAnsi="宋体" w:cs="宋体"/>
                <w:highlight w:val="none"/>
              </w:rPr>
            </w:pPr>
          </w:p>
        </w:tc>
        <w:tc>
          <w:tcPr>
            <w:tcW w:w="691" w:type="pct"/>
            <w:tcBorders>
              <w:left w:val="single" w:color="auto" w:sz="8" w:space="0"/>
            </w:tcBorders>
            <w:vAlign w:val="center"/>
          </w:tcPr>
          <w:p w14:paraId="65E14AE5">
            <w:pPr>
              <w:spacing w:line="360" w:lineRule="auto"/>
              <w:rPr>
                <w:rFonts w:hAnsi="宋体" w:cs="宋体"/>
                <w:highlight w:val="none"/>
              </w:rPr>
            </w:pPr>
          </w:p>
        </w:tc>
        <w:tc>
          <w:tcPr>
            <w:tcW w:w="1309" w:type="pct"/>
            <w:gridSpan w:val="2"/>
            <w:vAlign w:val="center"/>
          </w:tcPr>
          <w:p w14:paraId="1428E64A">
            <w:pPr>
              <w:spacing w:line="360" w:lineRule="auto"/>
              <w:rPr>
                <w:rFonts w:hAnsi="宋体" w:cs="宋体"/>
                <w:highlight w:val="none"/>
              </w:rPr>
            </w:pPr>
          </w:p>
        </w:tc>
      </w:tr>
      <w:tr w14:paraId="309E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vAlign w:val="center"/>
          </w:tcPr>
          <w:p w14:paraId="6584C482">
            <w:pPr>
              <w:spacing w:line="360" w:lineRule="auto"/>
              <w:rPr>
                <w:rFonts w:hAnsi="宋体" w:cs="宋体"/>
                <w:highlight w:val="none"/>
              </w:rPr>
            </w:pPr>
            <w:r>
              <w:rPr>
                <w:rFonts w:hint="eastAsia" w:hAnsi="宋体" w:cs="宋体"/>
                <w:highlight w:val="none"/>
              </w:rPr>
              <w:t>获奖情况</w:t>
            </w:r>
          </w:p>
        </w:tc>
        <w:tc>
          <w:tcPr>
            <w:tcW w:w="4287" w:type="pct"/>
            <w:gridSpan w:val="7"/>
            <w:vAlign w:val="center"/>
          </w:tcPr>
          <w:p w14:paraId="7D8A0DAB">
            <w:pPr>
              <w:spacing w:line="360" w:lineRule="auto"/>
              <w:rPr>
                <w:rFonts w:hAnsi="宋体" w:cs="宋体"/>
                <w:highlight w:val="none"/>
              </w:rPr>
            </w:pPr>
          </w:p>
        </w:tc>
      </w:tr>
    </w:tbl>
    <w:p w14:paraId="30A11DFA">
      <w:pPr>
        <w:tabs>
          <w:tab w:val="left" w:pos="2580"/>
          <w:tab w:val="left" w:pos="5940"/>
        </w:tabs>
        <w:autoSpaceDE w:val="0"/>
        <w:autoSpaceDN w:val="0"/>
        <w:adjustRightInd w:val="0"/>
        <w:snapToGrid w:val="0"/>
        <w:spacing w:line="360" w:lineRule="auto"/>
        <w:jc w:val="left"/>
        <w:rPr>
          <w:rFonts w:hAnsi="宋体" w:cs="宋体"/>
          <w:spacing w:val="-6"/>
          <w:highlight w:val="none"/>
        </w:rPr>
      </w:pPr>
      <w:r>
        <w:rPr>
          <w:rFonts w:hint="eastAsia" w:hAnsi="宋体" w:cs="宋体"/>
          <w:spacing w:val="-6"/>
          <w:highlight w:val="none"/>
        </w:rPr>
        <w:t>注：1. 本表应填写项目负责人相关情况。</w:t>
      </w:r>
    </w:p>
    <w:p w14:paraId="5BC844E1">
      <w:pPr>
        <w:tabs>
          <w:tab w:val="left" w:pos="2580"/>
          <w:tab w:val="left" w:pos="5940"/>
        </w:tabs>
        <w:autoSpaceDE w:val="0"/>
        <w:autoSpaceDN w:val="0"/>
        <w:adjustRightInd w:val="0"/>
        <w:snapToGrid w:val="0"/>
        <w:spacing w:line="360" w:lineRule="auto"/>
        <w:jc w:val="left"/>
        <w:rPr>
          <w:rFonts w:hAnsi="宋体" w:cs="宋体"/>
          <w:spacing w:val="-6"/>
          <w:highlight w:val="none"/>
        </w:rPr>
      </w:pPr>
      <w:r>
        <w:rPr>
          <w:rFonts w:hint="eastAsia" w:hAnsi="宋体" w:cs="宋体"/>
          <w:spacing w:val="-6"/>
          <w:highlight w:val="none"/>
        </w:rPr>
        <w:t xml:space="preserve">    2. 投标人应根据招标文件的要求在本表后附相关证明材料。</w:t>
      </w:r>
    </w:p>
    <w:p w14:paraId="2F773069">
      <w:pPr>
        <w:pStyle w:val="5"/>
        <w:spacing w:before="0" w:after="0"/>
        <w:jc w:val="center"/>
        <w:rPr>
          <w:rFonts w:ascii="黑体" w:hAnsi="黑体" w:cs="黑体"/>
          <w:szCs w:val="24"/>
          <w:highlight w:val="none"/>
        </w:rPr>
      </w:pPr>
      <w:r>
        <w:rPr>
          <w:highlight w:val="none"/>
        </w:rPr>
        <w:br w:type="page"/>
      </w:r>
      <w:r>
        <w:rPr>
          <w:rFonts w:hint="eastAsia" w:ascii="黑体" w:hAnsi="黑体" w:cs="黑体"/>
          <w:szCs w:val="24"/>
          <w:highlight w:val="none"/>
        </w:rPr>
        <w:t>（六）项目负责人业绩情况表（资格审查）</w:t>
      </w:r>
    </w:p>
    <w:tbl>
      <w:tblPr>
        <w:tblStyle w:val="5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1"/>
        <w:gridCol w:w="4983"/>
        <w:gridCol w:w="2129"/>
      </w:tblGrid>
      <w:tr w14:paraId="55581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vAlign w:val="center"/>
          </w:tcPr>
          <w:p w14:paraId="0EA2FB07">
            <w:pPr>
              <w:jc w:val="center"/>
              <w:rPr>
                <w:rFonts w:hAnsi="宋体" w:cs="宋体"/>
                <w:szCs w:val="24"/>
                <w:highlight w:val="none"/>
              </w:rPr>
            </w:pPr>
            <w:r>
              <w:rPr>
                <w:rFonts w:hint="eastAsia" w:hAnsi="宋体" w:cs="宋体"/>
                <w:szCs w:val="24"/>
                <w:highlight w:val="none"/>
              </w:rPr>
              <w:t>业绩序号</w:t>
            </w:r>
          </w:p>
        </w:tc>
        <w:tc>
          <w:tcPr>
            <w:tcW w:w="2926" w:type="pct"/>
            <w:vAlign w:val="center"/>
          </w:tcPr>
          <w:p w14:paraId="69405C84">
            <w:pPr>
              <w:jc w:val="center"/>
              <w:rPr>
                <w:rFonts w:hAnsi="宋体" w:cs="宋体"/>
                <w:szCs w:val="24"/>
                <w:highlight w:val="none"/>
              </w:rPr>
            </w:pPr>
            <w:r>
              <w:rPr>
                <w:rFonts w:hint="eastAsia" w:hAnsi="宋体" w:cs="宋体"/>
                <w:szCs w:val="24"/>
                <w:highlight w:val="none"/>
              </w:rPr>
              <w:t>项目名称（合同名称）</w:t>
            </w:r>
          </w:p>
        </w:tc>
        <w:tc>
          <w:tcPr>
            <w:tcW w:w="1250" w:type="pct"/>
            <w:vAlign w:val="center"/>
          </w:tcPr>
          <w:p w14:paraId="4952F599">
            <w:pPr>
              <w:jc w:val="center"/>
              <w:rPr>
                <w:rFonts w:hAnsi="宋体" w:cs="宋体"/>
                <w:szCs w:val="24"/>
                <w:highlight w:val="none"/>
              </w:rPr>
            </w:pPr>
            <w:r>
              <w:rPr>
                <w:rFonts w:hint="eastAsia" w:hAnsi="宋体" w:cs="宋体"/>
                <w:szCs w:val="24"/>
                <w:highlight w:val="none"/>
              </w:rPr>
              <w:t>备注</w:t>
            </w:r>
          </w:p>
        </w:tc>
      </w:tr>
      <w:tr w14:paraId="01F28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vAlign w:val="center"/>
          </w:tcPr>
          <w:p w14:paraId="02BA4F69">
            <w:pPr>
              <w:jc w:val="center"/>
              <w:rPr>
                <w:rFonts w:hAnsi="宋体" w:cs="宋体"/>
                <w:szCs w:val="24"/>
                <w:highlight w:val="none"/>
              </w:rPr>
            </w:pPr>
            <w:r>
              <w:rPr>
                <w:rFonts w:hint="eastAsia" w:hAnsi="宋体" w:cs="宋体"/>
                <w:szCs w:val="24"/>
                <w:highlight w:val="none"/>
              </w:rPr>
              <w:t>1</w:t>
            </w:r>
          </w:p>
        </w:tc>
        <w:tc>
          <w:tcPr>
            <w:tcW w:w="2926" w:type="pct"/>
            <w:vAlign w:val="center"/>
          </w:tcPr>
          <w:p w14:paraId="391C4CCC">
            <w:pPr>
              <w:jc w:val="center"/>
              <w:rPr>
                <w:rFonts w:hAnsi="宋体" w:cs="宋体"/>
                <w:szCs w:val="24"/>
                <w:highlight w:val="none"/>
              </w:rPr>
            </w:pPr>
          </w:p>
        </w:tc>
        <w:tc>
          <w:tcPr>
            <w:tcW w:w="1250" w:type="pct"/>
            <w:vAlign w:val="center"/>
          </w:tcPr>
          <w:p w14:paraId="3DA19E69">
            <w:pPr>
              <w:jc w:val="center"/>
              <w:rPr>
                <w:rFonts w:hAnsi="宋体" w:cs="宋体"/>
                <w:szCs w:val="24"/>
                <w:highlight w:val="none"/>
              </w:rPr>
            </w:pPr>
          </w:p>
        </w:tc>
      </w:tr>
      <w:tr w14:paraId="2C979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vAlign w:val="center"/>
          </w:tcPr>
          <w:p w14:paraId="16A9171B">
            <w:pPr>
              <w:jc w:val="center"/>
              <w:rPr>
                <w:rFonts w:hAnsi="宋体" w:cs="宋体"/>
                <w:szCs w:val="24"/>
                <w:highlight w:val="none"/>
              </w:rPr>
            </w:pPr>
            <w:r>
              <w:rPr>
                <w:rFonts w:hint="eastAsia" w:hAnsi="宋体" w:cs="宋体"/>
                <w:szCs w:val="24"/>
                <w:highlight w:val="none"/>
              </w:rPr>
              <w:t>2</w:t>
            </w:r>
          </w:p>
        </w:tc>
        <w:tc>
          <w:tcPr>
            <w:tcW w:w="2926" w:type="pct"/>
            <w:vAlign w:val="center"/>
          </w:tcPr>
          <w:p w14:paraId="1DE27AEC">
            <w:pPr>
              <w:jc w:val="center"/>
              <w:rPr>
                <w:rFonts w:hAnsi="宋体" w:cs="宋体"/>
                <w:szCs w:val="24"/>
                <w:highlight w:val="none"/>
              </w:rPr>
            </w:pPr>
          </w:p>
        </w:tc>
        <w:tc>
          <w:tcPr>
            <w:tcW w:w="1250" w:type="pct"/>
            <w:vAlign w:val="center"/>
          </w:tcPr>
          <w:p w14:paraId="530AF09A">
            <w:pPr>
              <w:jc w:val="center"/>
              <w:rPr>
                <w:rFonts w:hAnsi="宋体" w:cs="宋体"/>
                <w:szCs w:val="24"/>
                <w:highlight w:val="none"/>
              </w:rPr>
            </w:pPr>
          </w:p>
        </w:tc>
      </w:tr>
      <w:tr w14:paraId="544F5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vAlign w:val="center"/>
          </w:tcPr>
          <w:p w14:paraId="35F23612">
            <w:pPr>
              <w:jc w:val="center"/>
              <w:rPr>
                <w:rFonts w:hAnsi="宋体" w:cs="宋体"/>
                <w:szCs w:val="24"/>
                <w:highlight w:val="none"/>
              </w:rPr>
            </w:pPr>
            <w:r>
              <w:rPr>
                <w:rFonts w:hint="eastAsia" w:hAnsi="宋体" w:cs="宋体"/>
                <w:szCs w:val="24"/>
                <w:highlight w:val="none"/>
              </w:rPr>
              <w:t>……</w:t>
            </w:r>
          </w:p>
        </w:tc>
        <w:tc>
          <w:tcPr>
            <w:tcW w:w="2926" w:type="pct"/>
            <w:vAlign w:val="center"/>
          </w:tcPr>
          <w:p w14:paraId="341A9E5A">
            <w:pPr>
              <w:jc w:val="center"/>
              <w:rPr>
                <w:rFonts w:hAnsi="宋体" w:cs="宋体"/>
                <w:szCs w:val="24"/>
                <w:highlight w:val="none"/>
              </w:rPr>
            </w:pPr>
          </w:p>
        </w:tc>
        <w:tc>
          <w:tcPr>
            <w:tcW w:w="1250" w:type="pct"/>
            <w:vAlign w:val="center"/>
          </w:tcPr>
          <w:p w14:paraId="443013E4">
            <w:pPr>
              <w:jc w:val="center"/>
              <w:rPr>
                <w:rFonts w:hAnsi="宋体" w:cs="宋体"/>
                <w:szCs w:val="24"/>
                <w:highlight w:val="none"/>
              </w:rPr>
            </w:pPr>
          </w:p>
        </w:tc>
      </w:tr>
    </w:tbl>
    <w:p w14:paraId="20DBF016">
      <w:pPr>
        <w:spacing w:line="360" w:lineRule="auto"/>
        <w:ind w:firstLine="480" w:firstLineChars="200"/>
        <w:rPr>
          <w:rFonts w:hAnsi="宋体" w:cs="宋体"/>
          <w:szCs w:val="24"/>
          <w:highlight w:val="none"/>
        </w:rPr>
      </w:pPr>
      <w:r>
        <w:rPr>
          <w:rFonts w:hint="eastAsia" w:hAnsi="宋体" w:cs="宋体"/>
          <w:szCs w:val="24"/>
          <w:highlight w:val="none"/>
        </w:rPr>
        <w:t>注：</w:t>
      </w:r>
    </w:p>
    <w:p w14:paraId="157A2DD5">
      <w:pPr>
        <w:spacing w:line="360" w:lineRule="auto"/>
        <w:ind w:firstLine="480" w:firstLineChars="200"/>
        <w:rPr>
          <w:rFonts w:hAnsi="宋体" w:cs="宋体"/>
          <w:szCs w:val="24"/>
          <w:highlight w:val="none"/>
        </w:rPr>
      </w:pPr>
      <w:r>
        <w:rPr>
          <w:rFonts w:hint="eastAsia" w:hAnsi="宋体" w:cs="宋体"/>
          <w:szCs w:val="24"/>
          <w:highlight w:val="none"/>
        </w:rPr>
        <w:t>1.投标人应将用于资格审查的</w:t>
      </w:r>
      <w:r>
        <w:rPr>
          <w:rFonts w:hint="eastAsia" w:ascii="Times New Roman"/>
          <w:highlight w:val="none"/>
        </w:rPr>
        <w:t>项目负责人</w:t>
      </w:r>
      <w:r>
        <w:rPr>
          <w:rFonts w:hint="eastAsia" w:hAnsi="宋体" w:cs="宋体"/>
          <w:szCs w:val="24"/>
          <w:highlight w:val="none"/>
        </w:rPr>
        <w:t>业绩在上表中列明，按照列明的业绩序号先后顺序依次填写“项目负责人业绩信息表（资格审查）”，并附相应业绩证明材料。</w:t>
      </w:r>
    </w:p>
    <w:p w14:paraId="43D882F9">
      <w:pPr>
        <w:spacing w:line="360" w:lineRule="auto"/>
        <w:ind w:firstLine="480" w:firstLineChars="200"/>
        <w:rPr>
          <w:rFonts w:hAnsi="宋体" w:cs="宋体"/>
          <w:szCs w:val="24"/>
          <w:highlight w:val="none"/>
        </w:rPr>
      </w:pPr>
      <w:r>
        <w:rPr>
          <w:rFonts w:hint="eastAsia" w:hAnsi="宋体" w:cs="宋体"/>
          <w:szCs w:val="24"/>
          <w:highlight w:val="none"/>
        </w:rPr>
        <w:t>2.</w:t>
      </w:r>
      <w:r>
        <w:rPr>
          <w:rFonts w:hint="eastAsia"/>
          <w:szCs w:val="24"/>
          <w:highlight w:val="none"/>
        </w:rPr>
        <w:t>评标委员会应当按照上表列明的业绩序号先后顺序依次进行评审，且仅评审“附录5  资格审查条件（项目负责人最低要求）”规定数量的业绩，超出规定数量部分或未在上表列明的业绩均不作为资格审查项目负责人业绩予以评审。</w:t>
      </w:r>
    </w:p>
    <w:p w14:paraId="6D2A7B19">
      <w:pPr>
        <w:tabs>
          <w:tab w:val="left" w:pos="8422"/>
          <w:tab w:val="left" w:pos="9622"/>
        </w:tabs>
        <w:spacing w:line="360" w:lineRule="auto"/>
        <w:ind w:left="4800" w:leftChars="2000" w:right="120" w:rightChars="50"/>
        <w:jc w:val="left"/>
        <w:rPr>
          <w:rFonts w:hAnsi="宋体" w:cs="宋体"/>
          <w:szCs w:val="24"/>
          <w:highlight w:val="none"/>
        </w:rPr>
      </w:pPr>
    </w:p>
    <w:p w14:paraId="14D3449E">
      <w:pPr>
        <w:adjustRightInd w:val="0"/>
        <w:snapToGrid w:val="0"/>
        <w:spacing w:line="360" w:lineRule="auto"/>
        <w:jc w:val="right"/>
        <w:rPr>
          <w:rFonts w:hAnsi="宋体" w:cs="宋体"/>
          <w:bCs/>
          <w:szCs w:val="24"/>
          <w:highlight w:val="none"/>
          <w:u w:val="single"/>
        </w:rPr>
      </w:pPr>
      <w:r>
        <w:rPr>
          <w:rFonts w:hint="eastAsia" w:hAnsi="宋体" w:cs="宋体"/>
          <w:bCs/>
          <w:spacing w:val="120"/>
          <w:kern w:val="0"/>
          <w:szCs w:val="24"/>
          <w:highlight w:val="none"/>
          <w:fitText w:val="1200" w:id="503068454"/>
        </w:rPr>
        <w:t>投标</w:t>
      </w:r>
      <w:r>
        <w:rPr>
          <w:rFonts w:hint="eastAsia" w:hAnsi="宋体" w:cs="宋体"/>
          <w:bCs/>
          <w:spacing w:val="0"/>
          <w:kern w:val="0"/>
          <w:szCs w:val="24"/>
          <w:highlight w:val="none"/>
          <w:fitText w:val="1200" w:id="503068454"/>
        </w:rPr>
        <w:t>人</w:t>
      </w:r>
      <w:r>
        <w:rPr>
          <w:rFonts w:hint="eastAsia" w:hAnsi="宋体" w:cs="宋体"/>
          <w:bCs/>
          <w:szCs w:val="24"/>
          <w:highlight w:val="none"/>
        </w:rPr>
        <w:t>：</w:t>
      </w:r>
      <w:r>
        <w:rPr>
          <w:rFonts w:hint="eastAsia" w:hAnsi="宋体" w:cs="宋体"/>
          <w:bCs/>
          <w:szCs w:val="24"/>
          <w:highlight w:val="none"/>
          <w:u w:val="single"/>
          <w:lang w:val="en-US" w:eastAsia="zh-CN"/>
        </w:rPr>
        <w:t xml:space="preserve">            </w:t>
      </w:r>
      <w:r>
        <w:rPr>
          <w:rFonts w:hint="eastAsia" w:hAnsi="宋体" w:cs="宋体"/>
          <w:bCs/>
          <w:szCs w:val="24"/>
          <w:highlight w:val="none"/>
        </w:rPr>
        <w:t>（盖单位章）</w:t>
      </w:r>
    </w:p>
    <w:p w14:paraId="35EE410E">
      <w:pPr>
        <w:adjustRightInd w:val="0"/>
        <w:snapToGrid w:val="0"/>
        <w:spacing w:line="360" w:lineRule="auto"/>
        <w:jc w:val="right"/>
        <w:rPr>
          <w:rFonts w:hAnsi="宋体" w:cs="宋体"/>
          <w:szCs w:val="24"/>
          <w:highlight w:val="none"/>
        </w:rPr>
      </w:pPr>
      <w:r>
        <w:rPr>
          <w:rFonts w:hint="eastAsia" w:hAnsi="宋体" w:cs="宋体"/>
          <w:bCs/>
          <w:spacing w:val="360"/>
          <w:kern w:val="0"/>
          <w:szCs w:val="24"/>
          <w:highlight w:val="none"/>
          <w:fitText w:val="1200" w:id="910505911"/>
        </w:rPr>
        <w:t>日</w:t>
      </w:r>
      <w:r>
        <w:rPr>
          <w:rFonts w:hint="eastAsia" w:hAnsi="宋体" w:cs="宋体"/>
          <w:bCs/>
          <w:spacing w:val="0"/>
          <w:kern w:val="0"/>
          <w:szCs w:val="24"/>
          <w:highlight w:val="none"/>
          <w:fitText w:val="1200" w:id="910505911"/>
        </w:rPr>
        <w:t>期</w:t>
      </w:r>
      <w:r>
        <w:rPr>
          <w:rFonts w:hint="eastAsia" w:hAnsi="宋体" w:cs="宋体"/>
          <w:szCs w:val="24"/>
          <w:highlight w:val="none"/>
        </w:rPr>
        <w:t>：</w:t>
      </w:r>
      <w:r>
        <w:rPr>
          <w:rFonts w:hint="eastAsia" w:hAnsi="宋体" w:cs="宋体"/>
          <w:szCs w:val="24"/>
          <w:highlight w:val="none"/>
          <w:u w:val="single"/>
          <w:lang w:val="en-US" w:eastAsia="zh-CN"/>
        </w:rPr>
        <w:t xml:space="preserve">      </w:t>
      </w:r>
      <w:r>
        <w:rPr>
          <w:rFonts w:hint="eastAsia" w:hAnsi="宋体" w:cs="宋体"/>
          <w:szCs w:val="24"/>
          <w:highlight w:val="none"/>
          <w:u w:val="none"/>
        </w:rPr>
        <w:t>年</w:t>
      </w:r>
      <w:r>
        <w:rPr>
          <w:rFonts w:hint="eastAsia" w:hAnsi="宋体" w:cs="宋体"/>
          <w:szCs w:val="24"/>
          <w:highlight w:val="none"/>
          <w:u w:val="single"/>
          <w:lang w:val="en-US" w:eastAsia="zh-CN"/>
        </w:rPr>
        <w:t xml:space="preserve">      </w:t>
      </w:r>
      <w:r>
        <w:rPr>
          <w:rFonts w:hint="eastAsia" w:hAnsi="宋体" w:cs="宋体"/>
          <w:szCs w:val="24"/>
          <w:highlight w:val="none"/>
        </w:rPr>
        <w:t>月</w:t>
      </w:r>
      <w:r>
        <w:rPr>
          <w:rFonts w:hint="eastAsia" w:hAnsi="宋体" w:cs="宋体"/>
          <w:szCs w:val="24"/>
          <w:highlight w:val="none"/>
          <w:u w:val="single"/>
          <w:lang w:val="en-US" w:eastAsia="zh-CN"/>
        </w:rPr>
        <w:t xml:space="preserve">      </w:t>
      </w:r>
      <w:r>
        <w:rPr>
          <w:rFonts w:hint="eastAsia" w:hAnsi="宋体" w:cs="宋体"/>
          <w:szCs w:val="24"/>
          <w:highlight w:val="none"/>
        </w:rPr>
        <w:t>日</w:t>
      </w:r>
    </w:p>
    <w:p w14:paraId="740AA5D6">
      <w:pPr>
        <w:rPr>
          <w:rFonts w:ascii="黑体" w:hAnsi="黑体" w:cs="黑体"/>
          <w:szCs w:val="24"/>
          <w:highlight w:val="none"/>
        </w:rPr>
      </w:pPr>
    </w:p>
    <w:p w14:paraId="246C6CA6">
      <w:pPr>
        <w:jc w:val="center"/>
        <w:outlineLvl w:val="0"/>
        <w:rPr>
          <w:szCs w:val="24"/>
          <w:highlight w:val="none"/>
        </w:rPr>
      </w:pPr>
      <w:r>
        <w:rPr>
          <w:rFonts w:hint="eastAsia" w:hAnsi="宋体" w:cs="宋体"/>
          <w:szCs w:val="24"/>
          <w:highlight w:val="none"/>
        </w:rPr>
        <w:br w:type="page"/>
      </w:r>
      <w:bookmarkStart w:id="1138" w:name="_Toc6012"/>
      <w:bookmarkStart w:id="1139" w:name="_Toc140069455"/>
      <w:r>
        <w:rPr>
          <w:rFonts w:hint="eastAsia" w:hAnsi="宋体" w:cs="宋体"/>
          <w:szCs w:val="24"/>
          <w:highlight w:val="none"/>
        </w:rPr>
        <w:t>项目负责人业绩信息表（资格审查）</w:t>
      </w:r>
      <w:bookmarkEnd w:id="1138"/>
      <w:bookmarkEnd w:id="1139"/>
    </w:p>
    <w:tbl>
      <w:tblPr>
        <w:tblStyle w:val="5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B0D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B1170D9">
            <w:pPr>
              <w:topLinePunct/>
              <w:spacing w:line="360" w:lineRule="auto"/>
              <w:jc w:val="center"/>
              <w:rPr>
                <w:rFonts w:hAnsi="宋体" w:cs="宋体"/>
                <w:highlight w:val="none"/>
              </w:rPr>
            </w:pPr>
            <w:r>
              <w:rPr>
                <w:rFonts w:hint="eastAsia" w:hAnsi="宋体" w:cs="宋体"/>
                <w:highlight w:val="none"/>
              </w:rPr>
              <w:t>货物名称</w:t>
            </w:r>
          </w:p>
        </w:tc>
        <w:tc>
          <w:tcPr>
            <w:tcW w:w="6253" w:type="dxa"/>
            <w:vAlign w:val="center"/>
          </w:tcPr>
          <w:p w14:paraId="58A72147">
            <w:pPr>
              <w:topLinePunct/>
              <w:spacing w:line="360" w:lineRule="auto"/>
              <w:rPr>
                <w:rFonts w:hAnsi="宋体" w:cs="宋体"/>
                <w:highlight w:val="none"/>
              </w:rPr>
            </w:pPr>
          </w:p>
        </w:tc>
      </w:tr>
      <w:tr w14:paraId="3B81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6F2CFD4">
            <w:pPr>
              <w:topLinePunct/>
              <w:spacing w:line="360" w:lineRule="auto"/>
              <w:jc w:val="center"/>
              <w:rPr>
                <w:rFonts w:hAnsi="宋体" w:cs="宋体"/>
                <w:highlight w:val="none"/>
              </w:rPr>
            </w:pPr>
            <w:r>
              <w:rPr>
                <w:rFonts w:hint="eastAsia" w:hAnsi="宋体" w:cs="宋体"/>
                <w:highlight w:val="none"/>
              </w:rPr>
              <w:t>规格和型号</w:t>
            </w:r>
          </w:p>
        </w:tc>
        <w:tc>
          <w:tcPr>
            <w:tcW w:w="6253" w:type="dxa"/>
            <w:vAlign w:val="center"/>
          </w:tcPr>
          <w:p w14:paraId="6019928D">
            <w:pPr>
              <w:topLinePunct/>
              <w:spacing w:line="360" w:lineRule="auto"/>
              <w:rPr>
                <w:rFonts w:hAnsi="宋体" w:cs="宋体"/>
                <w:highlight w:val="none"/>
              </w:rPr>
            </w:pPr>
          </w:p>
        </w:tc>
      </w:tr>
      <w:tr w14:paraId="53D5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546ECC4D">
            <w:pPr>
              <w:topLinePunct/>
              <w:spacing w:line="360" w:lineRule="auto"/>
              <w:jc w:val="center"/>
              <w:rPr>
                <w:rFonts w:hAnsi="宋体" w:cs="宋体"/>
                <w:highlight w:val="none"/>
              </w:rPr>
            </w:pPr>
            <w:r>
              <w:rPr>
                <w:rFonts w:hint="eastAsia" w:hAnsi="宋体" w:cs="宋体"/>
                <w:highlight w:val="none"/>
              </w:rPr>
              <w:t>项目名称</w:t>
            </w:r>
          </w:p>
        </w:tc>
        <w:tc>
          <w:tcPr>
            <w:tcW w:w="6253" w:type="dxa"/>
            <w:vAlign w:val="center"/>
          </w:tcPr>
          <w:p w14:paraId="1AEB7F8B">
            <w:pPr>
              <w:topLinePunct/>
              <w:spacing w:line="360" w:lineRule="auto"/>
              <w:rPr>
                <w:rFonts w:hAnsi="宋体" w:cs="宋体"/>
                <w:highlight w:val="none"/>
              </w:rPr>
            </w:pPr>
          </w:p>
        </w:tc>
      </w:tr>
      <w:tr w14:paraId="3AC8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1A32345">
            <w:pPr>
              <w:topLinePunct/>
              <w:spacing w:line="360" w:lineRule="auto"/>
              <w:jc w:val="center"/>
              <w:rPr>
                <w:rFonts w:hAnsi="宋体" w:cs="宋体"/>
                <w:highlight w:val="none"/>
              </w:rPr>
            </w:pPr>
            <w:r>
              <w:rPr>
                <w:rFonts w:hint="eastAsia" w:hAnsi="宋体" w:cs="宋体"/>
                <w:highlight w:val="none"/>
              </w:rPr>
              <w:t>买方名称</w:t>
            </w:r>
          </w:p>
        </w:tc>
        <w:tc>
          <w:tcPr>
            <w:tcW w:w="6253" w:type="dxa"/>
            <w:vAlign w:val="center"/>
          </w:tcPr>
          <w:p w14:paraId="7DB817A0">
            <w:pPr>
              <w:topLinePunct/>
              <w:spacing w:line="360" w:lineRule="auto"/>
              <w:rPr>
                <w:rFonts w:hAnsi="宋体" w:cs="宋体"/>
                <w:highlight w:val="none"/>
              </w:rPr>
            </w:pPr>
          </w:p>
        </w:tc>
      </w:tr>
      <w:tr w14:paraId="1392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7CF08FA1">
            <w:pPr>
              <w:topLinePunct/>
              <w:spacing w:line="360" w:lineRule="auto"/>
              <w:jc w:val="center"/>
              <w:rPr>
                <w:rFonts w:hAnsi="宋体" w:cs="宋体"/>
                <w:highlight w:val="none"/>
              </w:rPr>
            </w:pPr>
            <w:r>
              <w:rPr>
                <w:rFonts w:hint="eastAsia" w:hAnsi="宋体" w:cs="宋体"/>
                <w:highlight w:val="none"/>
              </w:rPr>
              <w:t>买方联系人及电话</w:t>
            </w:r>
          </w:p>
        </w:tc>
        <w:tc>
          <w:tcPr>
            <w:tcW w:w="6253" w:type="dxa"/>
            <w:vAlign w:val="center"/>
          </w:tcPr>
          <w:p w14:paraId="521A8731">
            <w:pPr>
              <w:topLinePunct/>
              <w:spacing w:line="360" w:lineRule="auto"/>
              <w:rPr>
                <w:rFonts w:hAnsi="宋体" w:cs="宋体"/>
                <w:highlight w:val="none"/>
              </w:rPr>
            </w:pPr>
          </w:p>
        </w:tc>
      </w:tr>
      <w:tr w14:paraId="6379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7023D9AA">
            <w:pPr>
              <w:topLinePunct/>
              <w:spacing w:line="360" w:lineRule="auto"/>
              <w:jc w:val="center"/>
              <w:rPr>
                <w:rFonts w:hAnsi="宋体" w:cs="宋体"/>
                <w:highlight w:val="none"/>
              </w:rPr>
            </w:pPr>
            <w:r>
              <w:rPr>
                <w:rFonts w:hint="eastAsia" w:hAnsi="宋体" w:cs="宋体"/>
                <w:highlight w:val="none"/>
              </w:rPr>
              <w:t>合同价格</w:t>
            </w:r>
          </w:p>
        </w:tc>
        <w:tc>
          <w:tcPr>
            <w:tcW w:w="6253" w:type="dxa"/>
            <w:vAlign w:val="center"/>
          </w:tcPr>
          <w:p w14:paraId="03424EFB">
            <w:pPr>
              <w:topLinePunct/>
              <w:spacing w:line="360" w:lineRule="auto"/>
              <w:rPr>
                <w:rFonts w:hAnsi="宋体" w:cs="宋体"/>
                <w:highlight w:val="none"/>
              </w:rPr>
            </w:pPr>
          </w:p>
        </w:tc>
      </w:tr>
      <w:tr w14:paraId="07D4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64828195">
            <w:pPr>
              <w:topLinePunct/>
              <w:spacing w:line="360" w:lineRule="auto"/>
              <w:jc w:val="center"/>
              <w:rPr>
                <w:rFonts w:hAnsi="宋体" w:cs="宋体"/>
                <w:highlight w:val="none"/>
              </w:rPr>
            </w:pPr>
            <w:r>
              <w:rPr>
                <w:rFonts w:hint="eastAsia" w:hAnsi="宋体" w:cs="宋体"/>
                <w:highlight w:val="none"/>
              </w:rPr>
              <w:t>合同项目负责人</w:t>
            </w:r>
          </w:p>
        </w:tc>
        <w:tc>
          <w:tcPr>
            <w:tcW w:w="6253" w:type="dxa"/>
            <w:vAlign w:val="center"/>
          </w:tcPr>
          <w:p w14:paraId="70A7B9B2">
            <w:pPr>
              <w:topLinePunct/>
              <w:spacing w:line="360" w:lineRule="auto"/>
              <w:rPr>
                <w:rFonts w:hAnsi="宋体" w:cs="宋体"/>
                <w:highlight w:val="none"/>
              </w:rPr>
            </w:pPr>
          </w:p>
        </w:tc>
      </w:tr>
      <w:tr w14:paraId="4874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FFA28A6">
            <w:pPr>
              <w:topLinePunct/>
              <w:spacing w:line="360" w:lineRule="auto"/>
              <w:jc w:val="center"/>
              <w:rPr>
                <w:rFonts w:hAnsi="宋体" w:cs="宋体"/>
                <w:highlight w:val="none"/>
              </w:rPr>
            </w:pPr>
            <w:r>
              <w:rPr>
                <w:rFonts w:hint="eastAsia" w:hAnsi="宋体" w:cs="宋体"/>
                <w:highlight w:val="none"/>
              </w:rPr>
              <w:t>项目概况及履约情况</w:t>
            </w:r>
          </w:p>
        </w:tc>
        <w:tc>
          <w:tcPr>
            <w:tcW w:w="6253" w:type="dxa"/>
            <w:vAlign w:val="center"/>
          </w:tcPr>
          <w:p w14:paraId="38900094">
            <w:pPr>
              <w:topLinePunct/>
              <w:spacing w:line="360" w:lineRule="auto"/>
              <w:rPr>
                <w:rFonts w:hAnsi="宋体" w:cs="宋体"/>
                <w:highlight w:val="none"/>
              </w:rPr>
            </w:pPr>
          </w:p>
          <w:p w14:paraId="3E6490B5">
            <w:pPr>
              <w:topLinePunct/>
              <w:spacing w:line="360" w:lineRule="auto"/>
              <w:rPr>
                <w:rFonts w:hAnsi="宋体" w:cs="宋体"/>
                <w:highlight w:val="none"/>
              </w:rPr>
            </w:pPr>
          </w:p>
          <w:p w14:paraId="2988C76C">
            <w:pPr>
              <w:topLinePunct/>
              <w:spacing w:line="360" w:lineRule="auto"/>
              <w:rPr>
                <w:rFonts w:hAnsi="宋体" w:cs="宋体"/>
                <w:highlight w:val="none"/>
              </w:rPr>
            </w:pPr>
          </w:p>
          <w:p w14:paraId="6A98DC90">
            <w:pPr>
              <w:topLinePunct/>
              <w:spacing w:line="360" w:lineRule="auto"/>
              <w:rPr>
                <w:rFonts w:hAnsi="宋体" w:cs="宋体"/>
                <w:highlight w:val="none"/>
              </w:rPr>
            </w:pPr>
          </w:p>
          <w:p w14:paraId="6CEB80F9">
            <w:pPr>
              <w:topLinePunct/>
              <w:spacing w:line="360" w:lineRule="auto"/>
              <w:rPr>
                <w:rFonts w:hAnsi="宋体" w:cs="宋体"/>
                <w:highlight w:val="none"/>
              </w:rPr>
            </w:pPr>
          </w:p>
          <w:p w14:paraId="5FF7AC18">
            <w:pPr>
              <w:topLinePunct/>
              <w:spacing w:line="360" w:lineRule="auto"/>
              <w:rPr>
                <w:rFonts w:hAnsi="宋体" w:cs="宋体"/>
                <w:highlight w:val="none"/>
              </w:rPr>
            </w:pPr>
          </w:p>
          <w:p w14:paraId="46CD484B">
            <w:pPr>
              <w:topLinePunct/>
              <w:spacing w:line="360" w:lineRule="auto"/>
              <w:rPr>
                <w:rFonts w:hAnsi="宋体" w:cs="宋体"/>
                <w:highlight w:val="none"/>
              </w:rPr>
            </w:pPr>
          </w:p>
        </w:tc>
      </w:tr>
      <w:tr w14:paraId="01BD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966D624">
            <w:pPr>
              <w:topLinePunct/>
              <w:spacing w:line="360" w:lineRule="auto"/>
              <w:jc w:val="center"/>
              <w:rPr>
                <w:rFonts w:hAnsi="宋体" w:cs="宋体"/>
                <w:highlight w:val="none"/>
              </w:rPr>
            </w:pPr>
            <w:r>
              <w:rPr>
                <w:rFonts w:hint="eastAsia" w:hAnsi="宋体" w:cs="宋体"/>
                <w:highlight w:val="none"/>
              </w:rPr>
              <w:t>备注</w:t>
            </w:r>
          </w:p>
        </w:tc>
        <w:tc>
          <w:tcPr>
            <w:tcW w:w="6253" w:type="dxa"/>
            <w:vAlign w:val="center"/>
          </w:tcPr>
          <w:p w14:paraId="3F207258">
            <w:pPr>
              <w:topLinePunct/>
              <w:spacing w:line="360" w:lineRule="auto"/>
              <w:jc w:val="center"/>
              <w:rPr>
                <w:rFonts w:hAnsi="宋体" w:cs="宋体"/>
                <w:highlight w:val="none"/>
              </w:rPr>
            </w:pPr>
            <w:r>
              <w:rPr>
                <w:rFonts w:hint="eastAsia" w:ascii="Times New Roman"/>
                <w:szCs w:val="24"/>
                <w:highlight w:val="none"/>
              </w:rPr>
              <w:t>资格审查用业绩</w:t>
            </w:r>
          </w:p>
        </w:tc>
      </w:tr>
    </w:tbl>
    <w:p w14:paraId="58807975">
      <w:pPr>
        <w:spacing w:line="360" w:lineRule="auto"/>
        <w:rPr>
          <w:rFonts w:hAnsi="宋体" w:cs="宋体"/>
          <w:highlight w:val="none"/>
        </w:rPr>
      </w:pPr>
      <w:r>
        <w:rPr>
          <w:rFonts w:hint="eastAsia" w:hAnsi="宋体" w:cs="宋体"/>
          <w:highlight w:val="none"/>
        </w:rPr>
        <w:t>注：投标人应根据招标文件第二章“投标人须知”前附表附录5的要求在本表后附相关证明材料。</w:t>
      </w:r>
    </w:p>
    <w:p w14:paraId="1D8AE1EA">
      <w:pPr>
        <w:spacing w:line="360" w:lineRule="auto"/>
        <w:rPr>
          <w:rFonts w:hAnsi="宋体" w:cs="宋体"/>
          <w:highlight w:val="none"/>
        </w:rPr>
      </w:pPr>
    </w:p>
    <w:p w14:paraId="35CBED8B">
      <w:pPr>
        <w:spacing w:line="360" w:lineRule="auto"/>
        <w:jc w:val="center"/>
        <w:outlineLvl w:val="0"/>
        <w:rPr>
          <w:rFonts w:ascii="黑体" w:hAnsi="黑体" w:eastAsia="黑体" w:cs="黑体"/>
          <w:bCs/>
          <w:highlight w:val="none"/>
        </w:rPr>
      </w:pPr>
      <w:r>
        <w:rPr>
          <w:rFonts w:hint="eastAsia" w:hAnsi="宋体" w:cs="宋体"/>
          <w:spacing w:val="-6"/>
          <w:highlight w:val="none"/>
        </w:rPr>
        <w:br w:type="page"/>
      </w:r>
      <w:bookmarkStart w:id="1140" w:name="_Toc14726"/>
      <w:bookmarkStart w:id="1141" w:name="_Toc140069456"/>
      <w:r>
        <w:rPr>
          <w:rFonts w:hint="eastAsia" w:ascii="黑体" w:hAnsi="黑体" w:eastAsia="黑体" w:cs="黑体"/>
          <w:bCs/>
          <w:highlight w:val="none"/>
        </w:rPr>
        <w:t>（七）投标人信誉情况</w:t>
      </w:r>
      <w:bookmarkEnd w:id="1130"/>
      <w:bookmarkEnd w:id="1131"/>
      <w:bookmarkEnd w:id="1132"/>
      <w:bookmarkEnd w:id="1133"/>
      <w:bookmarkEnd w:id="1134"/>
      <w:bookmarkEnd w:id="1135"/>
      <w:bookmarkEnd w:id="1136"/>
      <w:bookmarkEnd w:id="1137"/>
      <w:bookmarkEnd w:id="1140"/>
      <w:bookmarkEnd w:id="1141"/>
    </w:p>
    <w:p w14:paraId="4AEA4CBE">
      <w:pPr>
        <w:jc w:val="center"/>
        <w:rPr>
          <w:rFonts w:ascii="Times New Roman"/>
          <w:bCs/>
          <w:snapToGrid w:val="0"/>
          <w:szCs w:val="24"/>
          <w:highlight w:val="none"/>
        </w:rPr>
      </w:pPr>
      <w:bookmarkStart w:id="1142" w:name="_Toc1027"/>
      <w:bookmarkStart w:id="1143" w:name="_Toc32304"/>
      <w:bookmarkStart w:id="1144" w:name="_Toc24185"/>
      <w:bookmarkStart w:id="1145" w:name="_Toc12379"/>
      <w:bookmarkStart w:id="1146" w:name="_Toc17949"/>
      <w:r>
        <w:rPr>
          <w:rFonts w:hint="eastAsia" w:ascii="Times New Roman"/>
          <w:bCs/>
          <w:snapToGrid w:val="0"/>
          <w:szCs w:val="24"/>
          <w:highlight w:val="none"/>
        </w:rPr>
        <w:t>投标人无需提供证明材料，由评标委员会通过电子服务系统查询。</w:t>
      </w:r>
    </w:p>
    <w:p w14:paraId="646007A9">
      <w:pPr>
        <w:jc w:val="center"/>
        <w:outlineLvl w:val="0"/>
        <w:rPr>
          <w:rFonts w:ascii="黑体" w:hAnsi="黑体" w:eastAsia="黑体"/>
          <w:szCs w:val="24"/>
          <w:highlight w:val="none"/>
        </w:rPr>
      </w:pPr>
      <w:r>
        <w:rPr>
          <w:rFonts w:hint="eastAsia" w:ascii="黑体" w:hAnsi="黑体" w:eastAsia="黑体"/>
          <w:szCs w:val="24"/>
          <w:highlight w:val="none"/>
        </w:rPr>
        <w:br w:type="page"/>
      </w:r>
      <w:bookmarkStart w:id="1147" w:name="_Toc31109"/>
      <w:bookmarkStart w:id="1148" w:name="_Toc24647"/>
      <w:bookmarkStart w:id="1149" w:name="_Toc140069457"/>
      <w:r>
        <w:rPr>
          <w:rFonts w:hint="eastAsia" w:ascii="黑体" w:hAnsi="黑体" w:eastAsia="黑体"/>
          <w:szCs w:val="24"/>
          <w:highlight w:val="none"/>
        </w:rPr>
        <w:t>七、</w:t>
      </w:r>
      <w:bookmarkEnd w:id="1142"/>
      <w:bookmarkEnd w:id="1143"/>
      <w:bookmarkEnd w:id="1144"/>
      <w:bookmarkEnd w:id="1145"/>
      <w:bookmarkEnd w:id="1146"/>
      <w:r>
        <w:rPr>
          <w:rFonts w:hint="eastAsia" w:ascii="黑体" w:hAnsi="黑体" w:eastAsia="黑体"/>
          <w:szCs w:val="24"/>
          <w:highlight w:val="none"/>
        </w:rPr>
        <w:t>商务文件详细评审资料</w:t>
      </w:r>
      <w:bookmarkEnd w:id="1147"/>
      <w:bookmarkEnd w:id="1148"/>
      <w:bookmarkEnd w:id="1149"/>
    </w:p>
    <w:p w14:paraId="76078C4F">
      <w:pPr>
        <w:autoSpaceDE w:val="0"/>
        <w:autoSpaceDN w:val="0"/>
        <w:adjustRightInd w:val="0"/>
        <w:snapToGrid w:val="0"/>
        <w:spacing w:line="360" w:lineRule="auto"/>
        <w:jc w:val="left"/>
        <w:rPr>
          <w:rFonts w:ascii="Times New Roman"/>
          <w:snapToGrid w:val="0"/>
          <w:szCs w:val="24"/>
          <w:highlight w:val="none"/>
        </w:rPr>
      </w:pPr>
    </w:p>
    <w:p w14:paraId="2D20DED3">
      <w:pPr>
        <w:spacing w:beforeLines="50" w:afterLines="50" w:line="360" w:lineRule="auto"/>
        <w:jc w:val="left"/>
        <w:rPr>
          <w:bCs/>
          <w:szCs w:val="24"/>
          <w:highlight w:val="none"/>
        </w:rPr>
      </w:pPr>
      <w:r>
        <w:rPr>
          <w:rFonts w:hint="eastAsia" w:ascii="Times New Roman"/>
          <w:szCs w:val="24"/>
          <w:highlight w:val="none"/>
        </w:rPr>
        <w:t>投标人对照商务文件详细评审条件，自行提供其他相关资料（如有）</w:t>
      </w:r>
    </w:p>
    <w:p w14:paraId="6C37B427">
      <w:pPr>
        <w:spacing w:beforeLines="50" w:afterLines="50" w:line="360" w:lineRule="auto"/>
        <w:jc w:val="center"/>
        <w:outlineLvl w:val="3"/>
        <w:rPr>
          <w:bCs/>
          <w:szCs w:val="24"/>
          <w:highlight w:val="none"/>
        </w:rPr>
      </w:pPr>
      <w:bookmarkStart w:id="1150" w:name="_Toc13031"/>
      <w:bookmarkStart w:id="1151" w:name="_Toc28511"/>
      <w:bookmarkStart w:id="1152" w:name="_Toc15813"/>
      <w:bookmarkStart w:id="1153" w:name="_Toc20940"/>
      <w:bookmarkStart w:id="1154" w:name="_Toc30750"/>
      <w:bookmarkStart w:id="1155" w:name="_Toc17174"/>
      <w:r>
        <w:rPr>
          <w:rFonts w:hint="eastAsia"/>
          <w:bCs/>
          <w:szCs w:val="24"/>
          <w:highlight w:val="none"/>
        </w:rPr>
        <w:t>（一）</w:t>
      </w:r>
      <w:bookmarkEnd w:id="1150"/>
      <w:bookmarkEnd w:id="1151"/>
      <w:bookmarkEnd w:id="1152"/>
      <w:bookmarkEnd w:id="1153"/>
      <w:bookmarkEnd w:id="1154"/>
      <w:r>
        <w:rPr>
          <w:rFonts w:hint="eastAsia"/>
          <w:bCs/>
          <w:szCs w:val="24"/>
          <w:highlight w:val="none"/>
        </w:rPr>
        <w:t>投标人业绩情况表（详细评审）</w:t>
      </w:r>
      <w:bookmarkEnd w:id="1155"/>
    </w:p>
    <w:tbl>
      <w:tblPr>
        <w:tblStyle w:val="5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7"/>
        <w:gridCol w:w="5155"/>
        <w:gridCol w:w="1771"/>
      </w:tblGrid>
      <w:tr w14:paraId="06ADB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vAlign w:val="center"/>
          </w:tcPr>
          <w:p w14:paraId="25A6597D">
            <w:pPr>
              <w:jc w:val="center"/>
              <w:rPr>
                <w:rFonts w:ascii="Times New Roman"/>
                <w:highlight w:val="none"/>
              </w:rPr>
            </w:pPr>
            <w:r>
              <w:rPr>
                <w:rFonts w:hint="eastAsia" w:ascii="Times New Roman"/>
                <w:highlight w:val="none"/>
              </w:rPr>
              <w:t>业绩序号</w:t>
            </w:r>
          </w:p>
        </w:tc>
        <w:tc>
          <w:tcPr>
            <w:tcW w:w="3027" w:type="pct"/>
            <w:vAlign w:val="center"/>
          </w:tcPr>
          <w:p w14:paraId="07BD03D0">
            <w:pPr>
              <w:jc w:val="center"/>
              <w:rPr>
                <w:rFonts w:ascii="Times New Roman"/>
                <w:highlight w:val="none"/>
              </w:rPr>
            </w:pPr>
            <w:r>
              <w:rPr>
                <w:rFonts w:hint="eastAsia" w:ascii="Times New Roman"/>
                <w:highlight w:val="none"/>
              </w:rPr>
              <w:t>项目</w:t>
            </w:r>
            <w:r>
              <w:rPr>
                <w:rFonts w:ascii="Times New Roman"/>
                <w:highlight w:val="none"/>
              </w:rPr>
              <w:t>名称</w:t>
            </w:r>
            <w:r>
              <w:rPr>
                <w:rFonts w:hint="eastAsia" w:ascii="Times New Roman"/>
                <w:highlight w:val="none"/>
              </w:rPr>
              <w:t>（合同名称）</w:t>
            </w:r>
          </w:p>
        </w:tc>
        <w:tc>
          <w:tcPr>
            <w:tcW w:w="1040" w:type="pct"/>
            <w:vAlign w:val="center"/>
          </w:tcPr>
          <w:p w14:paraId="1EDF1CAD">
            <w:pPr>
              <w:jc w:val="center"/>
              <w:rPr>
                <w:rFonts w:ascii="Times New Roman"/>
                <w:highlight w:val="none"/>
              </w:rPr>
            </w:pPr>
            <w:r>
              <w:rPr>
                <w:rFonts w:hint="eastAsia" w:ascii="Times New Roman"/>
                <w:highlight w:val="none"/>
              </w:rPr>
              <w:t>备注</w:t>
            </w:r>
          </w:p>
        </w:tc>
      </w:tr>
      <w:tr w14:paraId="3D5A4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vAlign w:val="center"/>
          </w:tcPr>
          <w:p w14:paraId="5C968526">
            <w:pPr>
              <w:jc w:val="center"/>
              <w:rPr>
                <w:rFonts w:ascii="Times New Roman"/>
                <w:highlight w:val="none"/>
              </w:rPr>
            </w:pPr>
            <w:r>
              <w:rPr>
                <w:rFonts w:hint="eastAsia" w:ascii="Times New Roman"/>
                <w:highlight w:val="none"/>
              </w:rPr>
              <w:t>1</w:t>
            </w:r>
          </w:p>
        </w:tc>
        <w:tc>
          <w:tcPr>
            <w:tcW w:w="3027" w:type="pct"/>
            <w:vAlign w:val="center"/>
          </w:tcPr>
          <w:p w14:paraId="4E713307">
            <w:pPr>
              <w:jc w:val="center"/>
              <w:rPr>
                <w:rFonts w:ascii="Times New Roman"/>
                <w:highlight w:val="none"/>
              </w:rPr>
            </w:pPr>
          </w:p>
        </w:tc>
        <w:tc>
          <w:tcPr>
            <w:tcW w:w="1040" w:type="pct"/>
            <w:vAlign w:val="center"/>
          </w:tcPr>
          <w:p w14:paraId="4A58D1F9">
            <w:pPr>
              <w:jc w:val="center"/>
              <w:rPr>
                <w:rFonts w:ascii="Times New Roman"/>
                <w:highlight w:val="none"/>
              </w:rPr>
            </w:pPr>
          </w:p>
        </w:tc>
      </w:tr>
      <w:tr w14:paraId="001A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vAlign w:val="center"/>
          </w:tcPr>
          <w:p w14:paraId="4AD35C63">
            <w:pPr>
              <w:jc w:val="center"/>
              <w:rPr>
                <w:rFonts w:ascii="Times New Roman"/>
                <w:highlight w:val="none"/>
              </w:rPr>
            </w:pPr>
            <w:r>
              <w:rPr>
                <w:rFonts w:hint="eastAsia" w:ascii="Times New Roman"/>
                <w:highlight w:val="none"/>
              </w:rPr>
              <w:t>2</w:t>
            </w:r>
          </w:p>
        </w:tc>
        <w:tc>
          <w:tcPr>
            <w:tcW w:w="3027" w:type="pct"/>
            <w:vAlign w:val="center"/>
          </w:tcPr>
          <w:p w14:paraId="7D99F4CA">
            <w:pPr>
              <w:jc w:val="center"/>
              <w:rPr>
                <w:rFonts w:ascii="Times New Roman"/>
                <w:highlight w:val="none"/>
              </w:rPr>
            </w:pPr>
          </w:p>
        </w:tc>
        <w:tc>
          <w:tcPr>
            <w:tcW w:w="1040" w:type="pct"/>
            <w:vAlign w:val="center"/>
          </w:tcPr>
          <w:p w14:paraId="65A3A1E5">
            <w:pPr>
              <w:jc w:val="center"/>
              <w:rPr>
                <w:rFonts w:ascii="Times New Roman"/>
                <w:highlight w:val="none"/>
              </w:rPr>
            </w:pPr>
          </w:p>
        </w:tc>
      </w:tr>
      <w:tr w14:paraId="1DF94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vAlign w:val="center"/>
          </w:tcPr>
          <w:p w14:paraId="725D9934">
            <w:pPr>
              <w:jc w:val="center"/>
              <w:rPr>
                <w:rFonts w:ascii="Times New Roman"/>
                <w:highlight w:val="none"/>
              </w:rPr>
            </w:pPr>
            <w:r>
              <w:rPr>
                <w:rFonts w:hint="eastAsia" w:ascii="Times New Roman"/>
                <w:highlight w:val="none"/>
              </w:rPr>
              <w:t>……</w:t>
            </w:r>
          </w:p>
        </w:tc>
        <w:tc>
          <w:tcPr>
            <w:tcW w:w="3027" w:type="pct"/>
            <w:vAlign w:val="center"/>
          </w:tcPr>
          <w:p w14:paraId="382AC5B9">
            <w:pPr>
              <w:jc w:val="center"/>
              <w:rPr>
                <w:rFonts w:ascii="Times New Roman"/>
                <w:highlight w:val="none"/>
              </w:rPr>
            </w:pPr>
          </w:p>
        </w:tc>
        <w:tc>
          <w:tcPr>
            <w:tcW w:w="1040" w:type="pct"/>
            <w:vAlign w:val="center"/>
          </w:tcPr>
          <w:p w14:paraId="59EC7CA1">
            <w:pPr>
              <w:jc w:val="center"/>
              <w:rPr>
                <w:rFonts w:ascii="Times New Roman"/>
                <w:highlight w:val="none"/>
              </w:rPr>
            </w:pPr>
          </w:p>
        </w:tc>
      </w:tr>
    </w:tbl>
    <w:p w14:paraId="46EDEE98">
      <w:pPr>
        <w:spacing w:line="360" w:lineRule="auto"/>
        <w:ind w:firstLine="480" w:firstLineChars="200"/>
        <w:rPr>
          <w:highlight w:val="none"/>
        </w:rPr>
      </w:pPr>
      <w:r>
        <w:rPr>
          <w:rFonts w:hint="eastAsia"/>
          <w:highlight w:val="none"/>
        </w:rPr>
        <w:t>注：</w:t>
      </w:r>
    </w:p>
    <w:p w14:paraId="05E7FA94">
      <w:pPr>
        <w:spacing w:line="360" w:lineRule="auto"/>
        <w:ind w:firstLine="480" w:firstLineChars="200"/>
        <w:rPr>
          <w:highlight w:val="none"/>
        </w:rPr>
      </w:pPr>
      <w:r>
        <w:rPr>
          <w:rFonts w:hint="eastAsia"/>
          <w:highlight w:val="none"/>
        </w:rPr>
        <w:t>1.投标人应将用于商务文件详细评审的投标人业绩在上表中列明，按照列明</w:t>
      </w:r>
      <w:r>
        <w:rPr>
          <w:highlight w:val="none"/>
        </w:rPr>
        <w:t>的</w:t>
      </w:r>
      <w:r>
        <w:rPr>
          <w:rFonts w:hint="eastAsia"/>
          <w:highlight w:val="none"/>
        </w:rPr>
        <w:t>业绩序号先后</w:t>
      </w:r>
      <w:r>
        <w:rPr>
          <w:highlight w:val="none"/>
        </w:rPr>
        <w:t>顺序</w:t>
      </w:r>
      <w:r>
        <w:rPr>
          <w:rFonts w:hint="eastAsia"/>
          <w:highlight w:val="none"/>
        </w:rPr>
        <w:t>依次填写“投标人</w:t>
      </w:r>
      <w:r>
        <w:rPr>
          <w:highlight w:val="none"/>
        </w:rPr>
        <w:t>业绩</w:t>
      </w:r>
      <w:r>
        <w:rPr>
          <w:rFonts w:hint="eastAsia"/>
          <w:highlight w:val="none"/>
        </w:rPr>
        <w:t>信息</w:t>
      </w:r>
      <w:r>
        <w:rPr>
          <w:highlight w:val="none"/>
        </w:rPr>
        <w:t>表</w:t>
      </w:r>
      <w:r>
        <w:rPr>
          <w:rFonts w:hint="eastAsia"/>
          <w:highlight w:val="none"/>
        </w:rPr>
        <w:t>（详细评审）”，并附相应业绩证明材料。</w:t>
      </w:r>
    </w:p>
    <w:p w14:paraId="5631F5B4">
      <w:pPr>
        <w:spacing w:line="360" w:lineRule="auto"/>
        <w:ind w:firstLine="480" w:firstLineChars="200"/>
        <w:rPr>
          <w:highlight w:val="none"/>
        </w:rPr>
      </w:pPr>
      <w:r>
        <w:rPr>
          <w:rFonts w:hint="eastAsia"/>
          <w:highlight w:val="none"/>
        </w:rPr>
        <w:t>2.评标</w:t>
      </w:r>
      <w:r>
        <w:rPr>
          <w:highlight w:val="none"/>
        </w:rPr>
        <w:t>委员会应当按照上表</w:t>
      </w:r>
      <w:r>
        <w:rPr>
          <w:rFonts w:hint="eastAsia"/>
          <w:highlight w:val="none"/>
        </w:rPr>
        <w:t>列明</w:t>
      </w:r>
      <w:r>
        <w:rPr>
          <w:highlight w:val="none"/>
        </w:rPr>
        <w:t>的</w:t>
      </w:r>
      <w:r>
        <w:rPr>
          <w:rFonts w:hint="eastAsia"/>
          <w:highlight w:val="none"/>
        </w:rPr>
        <w:t>业绩序号先后</w:t>
      </w:r>
      <w:r>
        <w:rPr>
          <w:highlight w:val="none"/>
        </w:rPr>
        <w:t>顺序</w:t>
      </w:r>
      <w:r>
        <w:rPr>
          <w:rFonts w:hint="eastAsia"/>
          <w:highlight w:val="none"/>
        </w:rPr>
        <w:t>依次</w:t>
      </w:r>
      <w:r>
        <w:rPr>
          <w:highlight w:val="none"/>
        </w:rPr>
        <w:t>进行评审，</w:t>
      </w:r>
      <w:r>
        <w:rPr>
          <w:rFonts w:hint="eastAsia"/>
          <w:highlight w:val="none"/>
        </w:rPr>
        <w:t>且仅评审评审标准规定数量的业绩，超出规定数量部分或未在上表列明的业绩均不作为</w:t>
      </w:r>
      <w:r>
        <w:rPr>
          <w:rFonts w:hint="eastAsia" w:ascii="Times New Roman"/>
          <w:highlight w:val="none"/>
        </w:rPr>
        <w:t>商务文件详细评审投标人业绩</w:t>
      </w:r>
      <w:r>
        <w:rPr>
          <w:rFonts w:hint="eastAsia"/>
          <w:highlight w:val="none"/>
        </w:rPr>
        <w:t>予以评审。</w:t>
      </w:r>
    </w:p>
    <w:p w14:paraId="23EB59BE">
      <w:pPr>
        <w:tabs>
          <w:tab w:val="left" w:pos="8422"/>
          <w:tab w:val="left" w:pos="9622"/>
        </w:tabs>
        <w:spacing w:line="360" w:lineRule="auto"/>
        <w:ind w:left="4800" w:leftChars="2000" w:right="120" w:rightChars="50"/>
        <w:jc w:val="left"/>
        <w:rPr>
          <w:highlight w:val="none"/>
        </w:rPr>
      </w:pPr>
    </w:p>
    <w:p w14:paraId="74D6D33A">
      <w:pPr>
        <w:adjustRightInd w:val="0"/>
        <w:snapToGrid w:val="0"/>
        <w:spacing w:line="360" w:lineRule="auto"/>
        <w:jc w:val="right"/>
        <w:rPr>
          <w:rFonts w:hAnsi="宋体" w:cs="宋体"/>
          <w:bCs/>
          <w:szCs w:val="24"/>
          <w:highlight w:val="none"/>
          <w:u w:val="single"/>
        </w:rPr>
      </w:pPr>
      <w:r>
        <w:rPr>
          <w:rFonts w:hint="eastAsia" w:hAnsi="宋体" w:cs="宋体"/>
          <w:bCs/>
          <w:spacing w:val="120"/>
          <w:kern w:val="0"/>
          <w:szCs w:val="24"/>
          <w:highlight w:val="none"/>
          <w:fitText w:val="1200" w:id="863327819"/>
        </w:rPr>
        <w:t>投标</w:t>
      </w:r>
      <w:r>
        <w:rPr>
          <w:rFonts w:hint="eastAsia" w:hAnsi="宋体" w:cs="宋体"/>
          <w:bCs/>
          <w:spacing w:val="0"/>
          <w:kern w:val="0"/>
          <w:szCs w:val="24"/>
          <w:highlight w:val="none"/>
          <w:fitText w:val="1200" w:id="863327819"/>
        </w:rPr>
        <w:t>人</w:t>
      </w:r>
      <w:r>
        <w:rPr>
          <w:rFonts w:hint="eastAsia" w:hAnsi="宋体" w:cs="宋体"/>
          <w:bCs/>
          <w:szCs w:val="24"/>
          <w:highlight w:val="none"/>
        </w:rPr>
        <w:t>：</w:t>
      </w:r>
      <w:r>
        <w:rPr>
          <w:rFonts w:hint="eastAsia" w:hAnsi="宋体" w:cs="宋体"/>
          <w:bCs/>
          <w:szCs w:val="24"/>
          <w:highlight w:val="none"/>
          <w:u w:val="single"/>
          <w:lang w:val="en-US" w:eastAsia="zh-CN"/>
        </w:rPr>
        <w:t xml:space="preserve">            </w:t>
      </w:r>
      <w:r>
        <w:rPr>
          <w:rFonts w:hint="eastAsia" w:hAnsi="宋体" w:cs="宋体"/>
          <w:bCs/>
          <w:szCs w:val="24"/>
          <w:highlight w:val="none"/>
        </w:rPr>
        <w:t>（盖单位章）</w:t>
      </w:r>
    </w:p>
    <w:p w14:paraId="53DDA4A2">
      <w:pPr>
        <w:adjustRightInd w:val="0"/>
        <w:snapToGrid w:val="0"/>
        <w:spacing w:line="360" w:lineRule="auto"/>
        <w:jc w:val="right"/>
        <w:rPr>
          <w:rFonts w:hAnsi="宋体" w:cs="宋体"/>
          <w:szCs w:val="24"/>
          <w:highlight w:val="none"/>
        </w:rPr>
      </w:pPr>
      <w:r>
        <w:rPr>
          <w:rFonts w:hint="eastAsia" w:hAnsi="宋体" w:cs="宋体"/>
          <w:bCs/>
          <w:spacing w:val="360"/>
          <w:kern w:val="0"/>
          <w:szCs w:val="24"/>
          <w:highlight w:val="none"/>
          <w:fitText w:val="1200" w:id="410723403"/>
        </w:rPr>
        <w:t>日</w:t>
      </w:r>
      <w:r>
        <w:rPr>
          <w:rFonts w:hint="eastAsia" w:hAnsi="宋体" w:cs="宋体"/>
          <w:bCs/>
          <w:spacing w:val="0"/>
          <w:kern w:val="0"/>
          <w:szCs w:val="24"/>
          <w:highlight w:val="none"/>
          <w:fitText w:val="1200" w:id="410723403"/>
        </w:rPr>
        <w:t>期</w:t>
      </w:r>
      <w:r>
        <w:rPr>
          <w:rFonts w:hint="eastAsia" w:hAnsi="宋体" w:cs="宋体"/>
          <w:szCs w:val="24"/>
          <w:highlight w:val="none"/>
        </w:rPr>
        <w:t>：</w:t>
      </w:r>
      <w:r>
        <w:rPr>
          <w:rFonts w:hint="eastAsia" w:hAnsi="宋体" w:cs="宋体"/>
          <w:szCs w:val="24"/>
          <w:highlight w:val="none"/>
          <w:u w:val="single"/>
          <w:lang w:val="en-US" w:eastAsia="zh-CN"/>
        </w:rPr>
        <w:t xml:space="preserve">      </w:t>
      </w:r>
      <w:r>
        <w:rPr>
          <w:rFonts w:hint="eastAsia" w:hAnsi="宋体" w:cs="宋体"/>
          <w:szCs w:val="24"/>
          <w:highlight w:val="none"/>
          <w:u w:val="none"/>
        </w:rPr>
        <w:t>年</w:t>
      </w:r>
      <w:r>
        <w:rPr>
          <w:rFonts w:hint="eastAsia" w:hAnsi="宋体" w:cs="宋体"/>
          <w:szCs w:val="24"/>
          <w:highlight w:val="none"/>
          <w:u w:val="single"/>
          <w:lang w:val="en-US" w:eastAsia="zh-CN"/>
        </w:rPr>
        <w:t xml:space="preserve">      </w:t>
      </w:r>
      <w:r>
        <w:rPr>
          <w:rFonts w:hint="eastAsia" w:hAnsi="宋体" w:cs="宋体"/>
          <w:szCs w:val="24"/>
          <w:highlight w:val="none"/>
        </w:rPr>
        <w:t>月</w:t>
      </w:r>
      <w:r>
        <w:rPr>
          <w:rFonts w:hint="eastAsia" w:hAnsi="宋体" w:cs="宋体"/>
          <w:szCs w:val="24"/>
          <w:highlight w:val="none"/>
          <w:u w:val="single"/>
          <w:lang w:val="en-US" w:eastAsia="zh-CN"/>
        </w:rPr>
        <w:t xml:space="preserve">      </w:t>
      </w:r>
      <w:r>
        <w:rPr>
          <w:rFonts w:hint="eastAsia" w:hAnsi="宋体" w:cs="宋体"/>
          <w:szCs w:val="24"/>
          <w:highlight w:val="none"/>
        </w:rPr>
        <w:t>日</w:t>
      </w:r>
    </w:p>
    <w:p w14:paraId="14D694CD">
      <w:pPr>
        <w:jc w:val="center"/>
        <w:rPr>
          <w:rFonts w:ascii="黑体" w:hAnsi="黑体" w:eastAsia="黑体"/>
          <w:bCs/>
          <w:szCs w:val="24"/>
          <w:highlight w:val="none"/>
        </w:rPr>
      </w:pPr>
    </w:p>
    <w:p w14:paraId="55EF930B">
      <w:pPr>
        <w:spacing w:beforeLines="50" w:afterLines="50" w:line="360" w:lineRule="auto"/>
        <w:jc w:val="center"/>
        <w:rPr>
          <w:bCs/>
          <w:szCs w:val="24"/>
          <w:highlight w:val="none"/>
        </w:rPr>
      </w:pPr>
    </w:p>
    <w:p w14:paraId="7FFD670D">
      <w:pPr>
        <w:spacing w:beforeLines="50" w:afterLines="50" w:line="360" w:lineRule="auto"/>
        <w:jc w:val="center"/>
        <w:outlineLvl w:val="0"/>
        <w:rPr>
          <w:bCs/>
          <w:szCs w:val="24"/>
          <w:highlight w:val="none"/>
        </w:rPr>
      </w:pPr>
      <w:r>
        <w:rPr>
          <w:rFonts w:hint="eastAsia"/>
          <w:bCs/>
          <w:szCs w:val="24"/>
          <w:highlight w:val="none"/>
        </w:rPr>
        <w:br w:type="page"/>
      </w:r>
      <w:bookmarkStart w:id="1156" w:name="_Toc140069458"/>
      <w:bookmarkStart w:id="1157" w:name="_Toc5472"/>
      <w:bookmarkStart w:id="1158" w:name="_Toc20943"/>
      <w:r>
        <w:rPr>
          <w:rFonts w:hint="eastAsia"/>
          <w:bCs/>
          <w:szCs w:val="24"/>
          <w:highlight w:val="none"/>
        </w:rPr>
        <w:t>投标人业绩信息表（详细评审）</w:t>
      </w:r>
      <w:bookmarkEnd w:id="1156"/>
      <w:bookmarkEnd w:id="1157"/>
      <w:bookmarkEnd w:id="1158"/>
    </w:p>
    <w:tbl>
      <w:tblPr>
        <w:tblStyle w:val="52"/>
        <w:tblW w:w="5019"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6273"/>
      </w:tblGrid>
      <w:tr w14:paraId="7CA6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2455C6B9">
            <w:pPr>
              <w:topLinePunct/>
              <w:spacing w:line="360" w:lineRule="auto"/>
              <w:jc w:val="center"/>
              <w:rPr>
                <w:rFonts w:hAnsi="宋体" w:cs="宋体"/>
                <w:highlight w:val="none"/>
              </w:rPr>
            </w:pPr>
            <w:r>
              <w:rPr>
                <w:rFonts w:hint="eastAsia" w:hAnsi="宋体" w:cs="宋体"/>
                <w:highlight w:val="none"/>
              </w:rPr>
              <w:t>货物名称</w:t>
            </w:r>
          </w:p>
        </w:tc>
        <w:tc>
          <w:tcPr>
            <w:tcW w:w="6274" w:type="dxa"/>
            <w:vAlign w:val="center"/>
          </w:tcPr>
          <w:p w14:paraId="1EBF17F6">
            <w:pPr>
              <w:topLinePunct/>
              <w:spacing w:line="360" w:lineRule="auto"/>
              <w:rPr>
                <w:rFonts w:hAnsi="宋体" w:cs="宋体"/>
                <w:highlight w:val="none"/>
              </w:rPr>
            </w:pPr>
          </w:p>
        </w:tc>
      </w:tr>
      <w:tr w14:paraId="6AC9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7031F983">
            <w:pPr>
              <w:topLinePunct/>
              <w:spacing w:line="360" w:lineRule="auto"/>
              <w:jc w:val="center"/>
              <w:rPr>
                <w:rFonts w:hAnsi="宋体" w:cs="宋体"/>
                <w:highlight w:val="none"/>
              </w:rPr>
            </w:pPr>
            <w:r>
              <w:rPr>
                <w:rFonts w:hint="eastAsia" w:hAnsi="宋体" w:cs="宋体"/>
                <w:highlight w:val="none"/>
              </w:rPr>
              <w:t>规格和型号</w:t>
            </w:r>
          </w:p>
        </w:tc>
        <w:tc>
          <w:tcPr>
            <w:tcW w:w="6274" w:type="dxa"/>
            <w:vAlign w:val="center"/>
          </w:tcPr>
          <w:p w14:paraId="28CC2C9A">
            <w:pPr>
              <w:topLinePunct/>
              <w:spacing w:line="360" w:lineRule="auto"/>
              <w:rPr>
                <w:rFonts w:hAnsi="宋体" w:cs="宋体"/>
                <w:highlight w:val="none"/>
              </w:rPr>
            </w:pPr>
          </w:p>
        </w:tc>
      </w:tr>
      <w:tr w14:paraId="317D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3BB5DC0C">
            <w:pPr>
              <w:topLinePunct/>
              <w:spacing w:line="360" w:lineRule="auto"/>
              <w:jc w:val="center"/>
              <w:rPr>
                <w:rFonts w:hAnsi="宋体" w:cs="宋体"/>
                <w:highlight w:val="none"/>
              </w:rPr>
            </w:pPr>
            <w:r>
              <w:rPr>
                <w:rFonts w:hint="eastAsia" w:hAnsi="宋体" w:cs="宋体"/>
                <w:highlight w:val="none"/>
              </w:rPr>
              <w:t>项目名称</w:t>
            </w:r>
          </w:p>
        </w:tc>
        <w:tc>
          <w:tcPr>
            <w:tcW w:w="6274" w:type="dxa"/>
            <w:vAlign w:val="center"/>
          </w:tcPr>
          <w:p w14:paraId="24A2B64E">
            <w:pPr>
              <w:topLinePunct/>
              <w:spacing w:line="360" w:lineRule="auto"/>
              <w:rPr>
                <w:rFonts w:hAnsi="宋体" w:cs="宋体"/>
                <w:highlight w:val="none"/>
              </w:rPr>
            </w:pPr>
          </w:p>
        </w:tc>
      </w:tr>
      <w:tr w14:paraId="5102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5298F0EE">
            <w:pPr>
              <w:topLinePunct/>
              <w:spacing w:line="360" w:lineRule="auto"/>
              <w:jc w:val="center"/>
              <w:rPr>
                <w:rFonts w:hAnsi="宋体" w:cs="宋体"/>
                <w:highlight w:val="none"/>
              </w:rPr>
            </w:pPr>
            <w:r>
              <w:rPr>
                <w:rFonts w:hint="eastAsia" w:hAnsi="宋体" w:cs="宋体"/>
                <w:highlight w:val="none"/>
              </w:rPr>
              <w:t>买方名称</w:t>
            </w:r>
          </w:p>
        </w:tc>
        <w:tc>
          <w:tcPr>
            <w:tcW w:w="6274" w:type="dxa"/>
            <w:vAlign w:val="center"/>
          </w:tcPr>
          <w:p w14:paraId="1067FACF">
            <w:pPr>
              <w:topLinePunct/>
              <w:spacing w:line="360" w:lineRule="auto"/>
              <w:rPr>
                <w:rFonts w:hAnsi="宋体" w:cs="宋体"/>
                <w:highlight w:val="none"/>
              </w:rPr>
            </w:pPr>
          </w:p>
        </w:tc>
      </w:tr>
      <w:tr w14:paraId="1B48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7971D5F8">
            <w:pPr>
              <w:topLinePunct/>
              <w:spacing w:line="360" w:lineRule="auto"/>
              <w:jc w:val="center"/>
              <w:rPr>
                <w:rFonts w:hAnsi="宋体" w:cs="宋体"/>
                <w:highlight w:val="none"/>
              </w:rPr>
            </w:pPr>
            <w:r>
              <w:rPr>
                <w:rFonts w:hint="eastAsia" w:hAnsi="宋体" w:cs="宋体"/>
                <w:highlight w:val="none"/>
              </w:rPr>
              <w:t>买方联系人及电话</w:t>
            </w:r>
          </w:p>
        </w:tc>
        <w:tc>
          <w:tcPr>
            <w:tcW w:w="6274" w:type="dxa"/>
            <w:vAlign w:val="center"/>
          </w:tcPr>
          <w:p w14:paraId="4CC009D9">
            <w:pPr>
              <w:topLinePunct/>
              <w:spacing w:line="360" w:lineRule="auto"/>
              <w:rPr>
                <w:rFonts w:hAnsi="宋体" w:cs="宋体"/>
                <w:highlight w:val="none"/>
              </w:rPr>
            </w:pPr>
          </w:p>
        </w:tc>
      </w:tr>
      <w:tr w14:paraId="6F94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0F469715">
            <w:pPr>
              <w:topLinePunct/>
              <w:spacing w:line="360" w:lineRule="auto"/>
              <w:jc w:val="center"/>
              <w:rPr>
                <w:rFonts w:hAnsi="宋体" w:cs="宋体"/>
                <w:highlight w:val="none"/>
              </w:rPr>
            </w:pPr>
            <w:r>
              <w:rPr>
                <w:rFonts w:hint="eastAsia" w:hAnsi="宋体" w:cs="宋体"/>
                <w:highlight w:val="none"/>
              </w:rPr>
              <w:t>合同价格</w:t>
            </w:r>
          </w:p>
        </w:tc>
        <w:tc>
          <w:tcPr>
            <w:tcW w:w="6274" w:type="dxa"/>
            <w:vAlign w:val="center"/>
          </w:tcPr>
          <w:p w14:paraId="30464968">
            <w:pPr>
              <w:topLinePunct/>
              <w:spacing w:line="360" w:lineRule="auto"/>
              <w:rPr>
                <w:rFonts w:hAnsi="宋体" w:cs="宋体"/>
                <w:highlight w:val="none"/>
              </w:rPr>
            </w:pPr>
          </w:p>
        </w:tc>
      </w:tr>
      <w:tr w14:paraId="7300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31ABE458">
            <w:pPr>
              <w:topLinePunct/>
              <w:spacing w:line="360" w:lineRule="auto"/>
              <w:jc w:val="center"/>
              <w:rPr>
                <w:rFonts w:hAnsi="宋体" w:cs="宋体"/>
                <w:highlight w:val="none"/>
              </w:rPr>
            </w:pPr>
            <w:r>
              <w:rPr>
                <w:rFonts w:hint="eastAsia" w:hAnsi="宋体" w:cs="宋体"/>
                <w:highlight w:val="none"/>
              </w:rPr>
              <w:t>项目概况及履约情况</w:t>
            </w:r>
          </w:p>
        </w:tc>
        <w:tc>
          <w:tcPr>
            <w:tcW w:w="6274" w:type="dxa"/>
            <w:vAlign w:val="center"/>
          </w:tcPr>
          <w:p w14:paraId="6571EAB3">
            <w:pPr>
              <w:topLinePunct/>
              <w:spacing w:line="360" w:lineRule="auto"/>
              <w:rPr>
                <w:rFonts w:hAnsi="宋体" w:cs="宋体"/>
                <w:highlight w:val="none"/>
              </w:rPr>
            </w:pPr>
          </w:p>
          <w:p w14:paraId="72F918AD">
            <w:pPr>
              <w:topLinePunct/>
              <w:spacing w:line="360" w:lineRule="auto"/>
              <w:rPr>
                <w:rFonts w:hAnsi="宋体" w:cs="宋体"/>
                <w:highlight w:val="none"/>
              </w:rPr>
            </w:pPr>
          </w:p>
          <w:p w14:paraId="65F07A26">
            <w:pPr>
              <w:topLinePunct/>
              <w:spacing w:line="360" w:lineRule="auto"/>
              <w:rPr>
                <w:rFonts w:hAnsi="宋体" w:cs="宋体"/>
                <w:highlight w:val="none"/>
              </w:rPr>
            </w:pPr>
          </w:p>
          <w:p w14:paraId="5BFDBCF0">
            <w:pPr>
              <w:topLinePunct/>
              <w:spacing w:line="360" w:lineRule="auto"/>
              <w:rPr>
                <w:rFonts w:hAnsi="宋体" w:cs="宋体"/>
                <w:highlight w:val="none"/>
              </w:rPr>
            </w:pPr>
          </w:p>
          <w:p w14:paraId="0B010939">
            <w:pPr>
              <w:topLinePunct/>
              <w:spacing w:line="360" w:lineRule="auto"/>
              <w:rPr>
                <w:rFonts w:hAnsi="宋体" w:cs="宋体"/>
                <w:highlight w:val="none"/>
              </w:rPr>
            </w:pPr>
          </w:p>
          <w:p w14:paraId="3FEB4321">
            <w:pPr>
              <w:topLinePunct/>
              <w:spacing w:line="360" w:lineRule="auto"/>
              <w:rPr>
                <w:rFonts w:hAnsi="宋体" w:cs="宋体"/>
                <w:highlight w:val="none"/>
              </w:rPr>
            </w:pPr>
          </w:p>
          <w:p w14:paraId="2C859744">
            <w:pPr>
              <w:topLinePunct/>
              <w:spacing w:line="360" w:lineRule="auto"/>
              <w:rPr>
                <w:rFonts w:hAnsi="宋体" w:cs="宋体"/>
                <w:highlight w:val="none"/>
              </w:rPr>
            </w:pPr>
          </w:p>
        </w:tc>
      </w:tr>
      <w:tr w14:paraId="4A59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vAlign w:val="center"/>
          </w:tcPr>
          <w:p w14:paraId="1DBC4E34">
            <w:pPr>
              <w:topLinePunct/>
              <w:spacing w:line="360" w:lineRule="auto"/>
              <w:jc w:val="center"/>
              <w:rPr>
                <w:rFonts w:hAnsi="宋体" w:cs="宋体"/>
                <w:highlight w:val="none"/>
              </w:rPr>
            </w:pPr>
            <w:r>
              <w:rPr>
                <w:rFonts w:hint="eastAsia" w:hAnsi="宋体" w:cs="宋体"/>
                <w:highlight w:val="none"/>
              </w:rPr>
              <w:t>备注</w:t>
            </w:r>
          </w:p>
        </w:tc>
        <w:tc>
          <w:tcPr>
            <w:tcW w:w="6274" w:type="dxa"/>
            <w:vAlign w:val="center"/>
          </w:tcPr>
          <w:p w14:paraId="7653F361">
            <w:pPr>
              <w:topLinePunct/>
              <w:spacing w:line="360" w:lineRule="auto"/>
              <w:jc w:val="center"/>
              <w:rPr>
                <w:rFonts w:hAnsi="宋体" w:cs="宋体"/>
                <w:highlight w:val="none"/>
              </w:rPr>
            </w:pPr>
            <w:r>
              <w:rPr>
                <w:rFonts w:hint="eastAsia" w:ascii="Times New Roman"/>
                <w:szCs w:val="24"/>
                <w:highlight w:val="none"/>
              </w:rPr>
              <w:t>商务文件详细评审业绩</w:t>
            </w:r>
          </w:p>
        </w:tc>
      </w:tr>
    </w:tbl>
    <w:p w14:paraId="14C2FDA1">
      <w:pPr>
        <w:autoSpaceDE w:val="0"/>
        <w:autoSpaceDN w:val="0"/>
        <w:adjustRightInd w:val="0"/>
        <w:spacing w:line="300" w:lineRule="exact"/>
        <w:jc w:val="left"/>
        <w:rPr>
          <w:rFonts w:ascii="Times New Roman" w:cs="宋体"/>
          <w:szCs w:val="24"/>
          <w:highlight w:val="none"/>
        </w:rPr>
      </w:pPr>
      <w:r>
        <w:rPr>
          <w:rFonts w:hint="eastAsia" w:ascii="Times New Roman" w:cs="宋体"/>
          <w:szCs w:val="24"/>
          <w:highlight w:val="none"/>
        </w:rPr>
        <w:t>注：投标人应根据招标文件要求在本表后附相关证明材料。</w:t>
      </w:r>
    </w:p>
    <w:p w14:paraId="117395D1">
      <w:pPr>
        <w:spacing w:line="440" w:lineRule="exact"/>
        <w:ind w:firstLine="2467" w:firstLineChars="1028"/>
        <w:rPr>
          <w:rFonts w:ascii="Times New Roman"/>
          <w:szCs w:val="24"/>
          <w:highlight w:val="none"/>
        </w:rPr>
      </w:pPr>
    </w:p>
    <w:p w14:paraId="16BEBFFA">
      <w:pPr>
        <w:spacing w:beforeLines="50" w:afterLines="50" w:line="360" w:lineRule="auto"/>
        <w:jc w:val="center"/>
        <w:outlineLvl w:val="0"/>
        <w:rPr>
          <w:bCs/>
          <w:szCs w:val="24"/>
          <w:highlight w:val="none"/>
        </w:rPr>
      </w:pPr>
      <w:r>
        <w:rPr>
          <w:rFonts w:hint="eastAsia" w:ascii="Times New Roman"/>
          <w:bCs/>
          <w:szCs w:val="24"/>
          <w:highlight w:val="none"/>
        </w:rPr>
        <w:br w:type="page"/>
      </w:r>
      <w:bookmarkStart w:id="1159" w:name="_Toc2852"/>
      <w:bookmarkStart w:id="1160" w:name="_Toc954"/>
      <w:bookmarkStart w:id="1161" w:name="_Toc140069459"/>
      <w:r>
        <w:rPr>
          <w:rFonts w:hint="eastAsia" w:ascii="Times New Roman"/>
          <w:bCs/>
          <w:szCs w:val="24"/>
          <w:highlight w:val="none"/>
        </w:rPr>
        <w:t>（二）</w:t>
      </w:r>
      <w:bookmarkEnd w:id="1159"/>
      <w:bookmarkStart w:id="1162" w:name="_Toc7173"/>
      <w:r>
        <w:rPr>
          <w:rFonts w:hint="eastAsia"/>
          <w:bCs/>
          <w:szCs w:val="24"/>
          <w:highlight w:val="none"/>
        </w:rPr>
        <w:t>项目负责人业绩情况表（详细评审）</w:t>
      </w:r>
      <w:bookmarkEnd w:id="1160"/>
      <w:bookmarkEnd w:id="1161"/>
    </w:p>
    <w:tbl>
      <w:tblPr>
        <w:tblStyle w:val="5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3"/>
        <w:gridCol w:w="5627"/>
        <w:gridCol w:w="1323"/>
      </w:tblGrid>
      <w:tr w14:paraId="5D70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18" w:type="pct"/>
            <w:vAlign w:val="center"/>
          </w:tcPr>
          <w:p w14:paraId="452E7C2A">
            <w:pPr>
              <w:jc w:val="center"/>
              <w:rPr>
                <w:rFonts w:ascii="Times New Roman"/>
                <w:highlight w:val="none"/>
              </w:rPr>
            </w:pPr>
            <w:r>
              <w:rPr>
                <w:rFonts w:hint="eastAsia" w:ascii="Times New Roman"/>
                <w:highlight w:val="none"/>
              </w:rPr>
              <w:t>业绩序号</w:t>
            </w:r>
          </w:p>
        </w:tc>
        <w:tc>
          <w:tcPr>
            <w:tcW w:w="3304" w:type="pct"/>
            <w:vAlign w:val="center"/>
          </w:tcPr>
          <w:p w14:paraId="619842A1">
            <w:pPr>
              <w:jc w:val="center"/>
              <w:rPr>
                <w:rFonts w:ascii="Times New Roman"/>
                <w:highlight w:val="none"/>
              </w:rPr>
            </w:pPr>
            <w:r>
              <w:rPr>
                <w:rFonts w:hint="eastAsia" w:ascii="Times New Roman"/>
                <w:highlight w:val="none"/>
              </w:rPr>
              <w:t>项目</w:t>
            </w:r>
            <w:r>
              <w:rPr>
                <w:rFonts w:ascii="Times New Roman"/>
                <w:highlight w:val="none"/>
              </w:rPr>
              <w:t>名称</w:t>
            </w:r>
            <w:r>
              <w:rPr>
                <w:rFonts w:hint="eastAsia" w:ascii="Times New Roman"/>
                <w:highlight w:val="none"/>
              </w:rPr>
              <w:t>（合同名称）</w:t>
            </w:r>
          </w:p>
        </w:tc>
        <w:tc>
          <w:tcPr>
            <w:tcW w:w="777" w:type="pct"/>
            <w:vAlign w:val="center"/>
          </w:tcPr>
          <w:p w14:paraId="2D17432E">
            <w:pPr>
              <w:jc w:val="center"/>
              <w:rPr>
                <w:rFonts w:ascii="Times New Roman"/>
                <w:highlight w:val="none"/>
              </w:rPr>
            </w:pPr>
            <w:r>
              <w:rPr>
                <w:rFonts w:hint="eastAsia" w:ascii="Times New Roman"/>
                <w:highlight w:val="none"/>
              </w:rPr>
              <w:t>备注</w:t>
            </w:r>
          </w:p>
        </w:tc>
      </w:tr>
      <w:tr w14:paraId="5046A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vAlign w:val="center"/>
          </w:tcPr>
          <w:p w14:paraId="59637A6F">
            <w:pPr>
              <w:jc w:val="center"/>
              <w:rPr>
                <w:rFonts w:ascii="Times New Roman"/>
                <w:highlight w:val="none"/>
              </w:rPr>
            </w:pPr>
            <w:r>
              <w:rPr>
                <w:rFonts w:hint="eastAsia" w:ascii="Times New Roman"/>
                <w:highlight w:val="none"/>
              </w:rPr>
              <w:t>1</w:t>
            </w:r>
          </w:p>
        </w:tc>
        <w:tc>
          <w:tcPr>
            <w:tcW w:w="3304" w:type="pct"/>
            <w:vAlign w:val="center"/>
          </w:tcPr>
          <w:p w14:paraId="71D2E947">
            <w:pPr>
              <w:jc w:val="center"/>
              <w:rPr>
                <w:rFonts w:ascii="Times New Roman"/>
                <w:highlight w:val="none"/>
              </w:rPr>
            </w:pPr>
          </w:p>
        </w:tc>
        <w:tc>
          <w:tcPr>
            <w:tcW w:w="777" w:type="pct"/>
            <w:vAlign w:val="center"/>
          </w:tcPr>
          <w:p w14:paraId="1D91247B">
            <w:pPr>
              <w:jc w:val="center"/>
              <w:rPr>
                <w:rFonts w:ascii="Times New Roman"/>
                <w:highlight w:val="none"/>
              </w:rPr>
            </w:pPr>
          </w:p>
        </w:tc>
      </w:tr>
      <w:tr w14:paraId="011D9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vAlign w:val="center"/>
          </w:tcPr>
          <w:p w14:paraId="4115F978">
            <w:pPr>
              <w:jc w:val="center"/>
              <w:rPr>
                <w:rFonts w:ascii="Times New Roman"/>
                <w:highlight w:val="none"/>
              </w:rPr>
            </w:pPr>
            <w:r>
              <w:rPr>
                <w:rFonts w:ascii="Times New Roman"/>
                <w:highlight w:val="none"/>
              </w:rPr>
              <w:t>2</w:t>
            </w:r>
          </w:p>
        </w:tc>
        <w:tc>
          <w:tcPr>
            <w:tcW w:w="3304" w:type="pct"/>
            <w:vAlign w:val="center"/>
          </w:tcPr>
          <w:p w14:paraId="60C12B1E">
            <w:pPr>
              <w:jc w:val="center"/>
              <w:rPr>
                <w:rFonts w:ascii="Times New Roman"/>
                <w:highlight w:val="none"/>
              </w:rPr>
            </w:pPr>
          </w:p>
        </w:tc>
        <w:tc>
          <w:tcPr>
            <w:tcW w:w="777" w:type="pct"/>
            <w:vAlign w:val="center"/>
          </w:tcPr>
          <w:p w14:paraId="2BCB52C7">
            <w:pPr>
              <w:jc w:val="center"/>
              <w:rPr>
                <w:rFonts w:ascii="Times New Roman"/>
                <w:highlight w:val="none"/>
              </w:rPr>
            </w:pPr>
          </w:p>
        </w:tc>
      </w:tr>
      <w:tr w14:paraId="03C9B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vAlign w:val="center"/>
          </w:tcPr>
          <w:p w14:paraId="4791379A">
            <w:pPr>
              <w:jc w:val="center"/>
              <w:rPr>
                <w:rFonts w:ascii="Times New Roman"/>
                <w:highlight w:val="none"/>
              </w:rPr>
            </w:pPr>
            <w:r>
              <w:rPr>
                <w:rFonts w:hint="eastAsia" w:ascii="Times New Roman"/>
                <w:highlight w:val="none"/>
              </w:rPr>
              <w:t>……</w:t>
            </w:r>
          </w:p>
        </w:tc>
        <w:tc>
          <w:tcPr>
            <w:tcW w:w="3304" w:type="pct"/>
            <w:vAlign w:val="center"/>
          </w:tcPr>
          <w:p w14:paraId="16176023">
            <w:pPr>
              <w:jc w:val="center"/>
              <w:rPr>
                <w:rFonts w:ascii="Times New Roman"/>
                <w:highlight w:val="none"/>
              </w:rPr>
            </w:pPr>
          </w:p>
        </w:tc>
        <w:tc>
          <w:tcPr>
            <w:tcW w:w="777" w:type="pct"/>
            <w:vAlign w:val="center"/>
          </w:tcPr>
          <w:p w14:paraId="024A8AFA">
            <w:pPr>
              <w:jc w:val="center"/>
              <w:rPr>
                <w:rFonts w:ascii="Times New Roman"/>
                <w:highlight w:val="none"/>
              </w:rPr>
            </w:pPr>
          </w:p>
        </w:tc>
      </w:tr>
    </w:tbl>
    <w:p w14:paraId="7F21BAFF">
      <w:pPr>
        <w:spacing w:line="360" w:lineRule="auto"/>
        <w:ind w:firstLine="480" w:firstLineChars="200"/>
        <w:rPr>
          <w:highlight w:val="none"/>
        </w:rPr>
      </w:pPr>
      <w:r>
        <w:rPr>
          <w:rFonts w:hint="eastAsia"/>
          <w:highlight w:val="none"/>
        </w:rPr>
        <w:t>注：</w:t>
      </w:r>
    </w:p>
    <w:p w14:paraId="641EE8E1">
      <w:pPr>
        <w:spacing w:line="360" w:lineRule="auto"/>
        <w:ind w:firstLine="480" w:firstLineChars="200"/>
        <w:rPr>
          <w:highlight w:val="none"/>
        </w:rPr>
      </w:pPr>
      <w:r>
        <w:rPr>
          <w:rFonts w:hint="eastAsia"/>
          <w:highlight w:val="none"/>
        </w:rPr>
        <w:t>1.投标人应将用于商务文件详细评审的项目负责人业绩在上表中列明，按照列明</w:t>
      </w:r>
      <w:r>
        <w:rPr>
          <w:highlight w:val="none"/>
        </w:rPr>
        <w:t>的</w:t>
      </w:r>
      <w:r>
        <w:rPr>
          <w:rFonts w:hint="eastAsia"/>
          <w:highlight w:val="none"/>
        </w:rPr>
        <w:t>业绩序号先后</w:t>
      </w:r>
      <w:r>
        <w:rPr>
          <w:highlight w:val="none"/>
        </w:rPr>
        <w:t>顺序</w:t>
      </w:r>
      <w:r>
        <w:rPr>
          <w:rFonts w:hint="eastAsia"/>
          <w:highlight w:val="none"/>
        </w:rPr>
        <w:t>依次填写“项目负责人</w:t>
      </w:r>
      <w:r>
        <w:rPr>
          <w:highlight w:val="none"/>
        </w:rPr>
        <w:t>业绩</w:t>
      </w:r>
      <w:r>
        <w:rPr>
          <w:rFonts w:hint="eastAsia"/>
          <w:highlight w:val="none"/>
        </w:rPr>
        <w:t>信息</w:t>
      </w:r>
      <w:r>
        <w:rPr>
          <w:highlight w:val="none"/>
        </w:rPr>
        <w:t>表</w:t>
      </w:r>
      <w:r>
        <w:rPr>
          <w:rFonts w:hint="eastAsia"/>
          <w:highlight w:val="none"/>
        </w:rPr>
        <w:t>（详细评审）”，并附相应业绩证明材料。</w:t>
      </w:r>
    </w:p>
    <w:p w14:paraId="59E3E198">
      <w:pPr>
        <w:spacing w:line="360" w:lineRule="auto"/>
        <w:ind w:firstLine="480" w:firstLineChars="200"/>
        <w:rPr>
          <w:highlight w:val="none"/>
        </w:rPr>
      </w:pPr>
      <w:r>
        <w:rPr>
          <w:rFonts w:hint="eastAsia"/>
          <w:highlight w:val="none"/>
        </w:rPr>
        <w:t>2.评标</w:t>
      </w:r>
      <w:r>
        <w:rPr>
          <w:highlight w:val="none"/>
        </w:rPr>
        <w:t>委员会应当按照上表</w:t>
      </w:r>
      <w:r>
        <w:rPr>
          <w:rFonts w:hint="eastAsia"/>
          <w:highlight w:val="none"/>
        </w:rPr>
        <w:t>列明</w:t>
      </w:r>
      <w:r>
        <w:rPr>
          <w:highlight w:val="none"/>
        </w:rPr>
        <w:t>的</w:t>
      </w:r>
      <w:r>
        <w:rPr>
          <w:rFonts w:hint="eastAsia"/>
          <w:highlight w:val="none"/>
        </w:rPr>
        <w:t>业绩序号先后</w:t>
      </w:r>
      <w:r>
        <w:rPr>
          <w:highlight w:val="none"/>
        </w:rPr>
        <w:t>顺序</w:t>
      </w:r>
      <w:r>
        <w:rPr>
          <w:rFonts w:hint="eastAsia"/>
          <w:highlight w:val="none"/>
        </w:rPr>
        <w:t>依次</w:t>
      </w:r>
      <w:r>
        <w:rPr>
          <w:highlight w:val="none"/>
        </w:rPr>
        <w:t>进行评审，</w:t>
      </w:r>
      <w:r>
        <w:rPr>
          <w:rFonts w:hint="eastAsia"/>
          <w:highlight w:val="none"/>
        </w:rPr>
        <w:t>且仅评审评审标准规定数量的业绩，超出规定数量部分或未在上表列明的业绩均不作为</w:t>
      </w:r>
      <w:r>
        <w:rPr>
          <w:rFonts w:hint="eastAsia" w:ascii="Times New Roman"/>
          <w:highlight w:val="none"/>
        </w:rPr>
        <w:t>商务文件详细评审项目负责人业绩</w:t>
      </w:r>
      <w:r>
        <w:rPr>
          <w:rFonts w:hint="eastAsia"/>
          <w:highlight w:val="none"/>
        </w:rPr>
        <w:t>予以评审。</w:t>
      </w:r>
    </w:p>
    <w:p w14:paraId="5D4803F0">
      <w:pPr>
        <w:tabs>
          <w:tab w:val="left" w:pos="8422"/>
          <w:tab w:val="left" w:pos="9622"/>
        </w:tabs>
        <w:spacing w:line="360" w:lineRule="auto"/>
        <w:ind w:left="4800" w:leftChars="2000" w:right="120" w:rightChars="50"/>
        <w:jc w:val="left"/>
        <w:rPr>
          <w:highlight w:val="none"/>
        </w:rPr>
      </w:pPr>
    </w:p>
    <w:p w14:paraId="1B6412DA">
      <w:pPr>
        <w:adjustRightInd w:val="0"/>
        <w:snapToGrid w:val="0"/>
        <w:spacing w:line="360" w:lineRule="auto"/>
        <w:jc w:val="right"/>
        <w:rPr>
          <w:rFonts w:hAnsi="宋体" w:cs="宋体"/>
          <w:bCs/>
          <w:szCs w:val="24"/>
          <w:highlight w:val="none"/>
          <w:u w:val="single"/>
        </w:rPr>
      </w:pPr>
      <w:r>
        <w:rPr>
          <w:rFonts w:hint="eastAsia" w:hAnsi="宋体" w:cs="宋体"/>
          <w:bCs/>
          <w:spacing w:val="120"/>
          <w:kern w:val="0"/>
          <w:szCs w:val="24"/>
          <w:highlight w:val="none"/>
          <w:fitText w:val="1200" w:id="148585789"/>
        </w:rPr>
        <w:t>投标</w:t>
      </w:r>
      <w:r>
        <w:rPr>
          <w:rFonts w:hint="eastAsia" w:hAnsi="宋体" w:cs="宋体"/>
          <w:bCs/>
          <w:spacing w:val="0"/>
          <w:kern w:val="0"/>
          <w:szCs w:val="24"/>
          <w:highlight w:val="none"/>
          <w:fitText w:val="1200" w:id="148585789"/>
        </w:rPr>
        <w:t>人</w:t>
      </w:r>
      <w:r>
        <w:rPr>
          <w:rFonts w:hint="eastAsia" w:hAnsi="宋体" w:cs="宋体"/>
          <w:bCs/>
          <w:szCs w:val="24"/>
          <w:highlight w:val="none"/>
        </w:rPr>
        <w:t>：</w:t>
      </w:r>
      <w:r>
        <w:rPr>
          <w:rFonts w:hint="eastAsia" w:hAnsi="宋体" w:cs="宋体"/>
          <w:bCs/>
          <w:szCs w:val="24"/>
          <w:highlight w:val="none"/>
          <w:u w:val="single"/>
          <w:lang w:val="en-US" w:eastAsia="zh-CN"/>
        </w:rPr>
        <w:t xml:space="preserve">            </w:t>
      </w:r>
      <w:r>
        <w:rPr>
          <w:rFonts w:hint="eastAsia" w:hAnsi="宋体" w:cs="宋体"/>
          <w:bCs/>
          <w:szCs w:val="24"/>
          <w:highlight w:val="none"/>
        </w:rPr>
        <w:t>（盖单位章）</w:t>
      </w:r>
    </w:p>
    <w:p w14:paraId="5101078D">
      <w:pPr>
        <w:adjustRightInd w:val="0"/>
        <w:snapToGrid w:val="0"/>
        <w:spacing w:line="360" w:lineRule="auto"/>
        <w:jc w:val="right"/>
        <w:rPr>
          <w:rFonts w:hAnsi="宋体" w:cs="宋体"/>
          <w:szCs w:val="24"/>
          <w:highlight w:val="none"/>
        </w:rPr>
      </w:pPr>
      <w:r>
        <w:rPr>
          <w:rFonts w:hint="eastAsia" w:hAnsi="宋体" w:cs="宋体"/>
          <w:bCs/>
          <w:spacing w:val="360"/>
          <w:kern w:val="0"/>
          <w:szCs w:val="24"/>
          <w:highlight w:val="none"/>
          <w:fitText w:val="1200" w:id="593562235"/>
        </w:rPr>
        <w:t>日</w:t>
      </w:r>
      <w:r>
        <w:rPr>
          <w:rFonts w:hint="eastAsia" w:hAnsi="宋体" w:cs="宋体"/>
          <w:bCs/>
          <w:spacing w:val="0"/>
          <w:kern w:val="0"/>
          <w:szCs w:val="24"/>
          <w:highlight w:val="none"/>
          <w:fitText w:val="1200" w:id="593562235"/>
        </w:rPr>
        <w:t>期</w:t>
      </w:r>
      <w:r>
        <w:rPr>
          <w:rFonts w:hint="eastAsia" w:hAnsi="宋体" w:cs="宋体"/>
          <w:szCs w:val="24"/>
          <w:highlight w:val="none"/>
        </w:rPr>
        <w:t>：</w:t>
      </w:r>
      <w:r>
        <w:rPr>
          <w:rFonts w:hint="eastAsia" w:hAnsi="宋体" w:cs="宋体"/>
          <w:szCs w:val="24"/>
          <w:highlight w:val="none"/>
          <w:u w:val="single"/>
          <w:lang w:val="en-US" w:eastAsia="zh-CN"/>
        </w:rPr>
        <w:t xml:space="preserve">      </w:t>
      </w:r>
      <w:r>
        <w:rPr>
          <w:rFonts w:hint="eastAsia" w:hAnsi="宋体" w:cs="宋体"/>
          <w:szCs w:val="24"/>
          <w:highlight w:val="none"/>
          <w:u w:val="none"/>
        </w:rPr>
        <w:t>年</w:t>
      </w:r>
      <w:r>
        <w:rPr>
          <w:rFonts w:hint="eastAsia" w:hAnsi="宋体" w:cs="宋体"/>
          <w:szCs w:val="24"/>
          <w:highlight w:val="none"/>
          <w:u w:val="single"/>
          <w:lang w:val="en-US" w:eastAsia="zh-CN"/>
        </w:rPr>
        <w:t xml:space="preserve">      </w:t>
      </w:r>
      <w:r>
        <w:rPr>
          <w:rFonts w:hint="eastAsia" w:hAnsi="宋体" w:cs="宋体"/>
          <w:szCs w:val="24"/>
          <w:highlight w:val="none"/>
        </w:rPr>
        <w:t>月</w:t>
      </w:r>
      <w:r>
        <w:rPr>
          <w:rFonts w:hint="eastAsia" w:hAnsi="宋体" w:cs="宋体"/>
          <w:szCs w:val="24"/>
          <w:highlight w:val="none"/>
          <w:u w:val="single"/>
          <w:lang w:val="en-US" w:eastAsia="zh-CN"/>
        </w:rPr>
        <w:t xml:space="preserve">      </w:t>
      </w:r>
      <w:r>
        <w:rPr>
          <w:rFonts w:hint="eastAsia" w:hAnsi="宋体" w:cs="宋体"/>
          <w:szCs w:val="24"/>
          <w:highlight w:val="none"/>
        </w:rPr>
        <w:t>日</w:t>
      </w:r>
    </w:p>
    <w:p w14:paraId="21CB3E8D">
      <w:pPr>
        <w:jc w:val="center"/>
        <w:rPr>
          <w:bCs/>
          <w:szCs w:val="24"/>
          <w:highlight w:val="none"/>
        </w:rPr>
      </w:pPr>
    </w:p>
    <w:p w14:paraId="4CDF873F">
      <w:pPr>
        <w:spacing w:beforeLines="50" w:afterLines="50" w:line="360" w:lineRule="auto"/>
        <w:jc w:val="center"/>
        <w:outlineLvl w:val="0"/>
        <w:rPr>
          <w:rFonts w:ascii="Times New Roman"/>
          <w:bCs/>
          <w:szCs w:val="24"/>
          <w:highlight w:val="none"/>
        </w:rPr>
      </w:pPr>
      <w:r>
        <w:rPr>
          <w:rFonts w:hint="eastAsia" w:ascii="Times New Roman"/>
          <w:bCs/>
          <w:szCs w:val="24"/>
          <w:highlight w:val="none"/>
        </w:rPr>
        <w:br w:type="page"/>
      </w:r>
      <w:bookmarkStart w:id="1163" w:name="_Toc12951"/>
      <w:bookmarkStart w:id="1164" w:name="_Toc140069460"/>
      <w:r>
        <w:rPr>
          <w:rFonts w:hint="eastAsia" w:ascii="Times New Roman"/>
          <w:bCs/>
          <w:szCs w:val="24"/>
          <w:highlight w:val="none"/>
        </w:rPr>
        <w:t>项目负责人业绩信息表（详细评审）</w:t>
      </w:r>
      <w:bookmarkEnd w:id="1163"/>
      <w:bookmarkEnd w:id="1164"/>
    </w:p>
    <w:tbl>
      <w:tblPr>
        <w:tblStyle w:val="5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5EA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1C285C3F">
            <w:pPr>
              <w:topLinePunct/>
              <w:spacing w:line="360" w:lineRule="auto"/>
              <w:jc w:val="center"/>
              <w:rPr>
                <w:rFonts w:hAnsi="宋体" w:cs="宋体"/>
                <w:highlight w:val="none"/>
              </w:rPr>
            </w:pPr>
            <w:r>
              <w:rPr>
                <w:rFonts w:hint="eastAsia" w:hAnsi="宋体" w:cs="宋体"/>
                <w:highlight w:val="none"/>
              </w:rPr>
              <w:t>货物名称</w:t>
            </w:r>
          </w:p>
        </w:tc>
        <w:tc>
          <w:tcPr>
            <w:tcW w:w="6253" w:type="dxa"/>
            <w:vAlign w:val="center"/>
          </w:tcPr>
          <w:p w14:paraId="62BC5AB5">
            <w:pPr>
              <w:topLinePunct/>
              <w:spacing w:line="360" w:lineRule="auto"/>
              <w:rPr>
                <w:rFonts w:hAnsi="宋体" w:cs="宋体"/>
                <w:highlight w:val="none"/>
              </w:rPr>
            </w:pPr>
          </w:p>
        </w:tc>
      </w:tr>
      <w:tr w14:paraId="101E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EC6E5AE">
            <w:pPr>
              <w:topLinePunct/>
              <w:spacing w:line="360" w:lineRule="auto"/>
              <w:jc w:val="center"/>
              <w:rPr>
                <w:rFonts w:hAnsi="宋体" w:cs="宋体"/>
                <w:highlight w:val="none"/>
              </w:rPr>
            </w:pPr>
            <w:r>
              <w:rPr>
                <w:rFonts w:hint="eastAsia" w:hAnsi="宋体" w:cs="宋体"/>
                <w:highlight w:val="none"/>
              </w:rPr>
              <w:t>规格和型号</w:t>
            </w:r>
          </w:p>
        </w:tc>
        <w:tc>
          <w:tcPr>
            <w:tcW w:w="6253" w:type="dxa"/>
            <w:vAlign w:val="center"/>
          </w:tcPr>
          <w:p w14:paraId="4D62E0B8">
            <w:pPr>
              <w:topLinePunct/>
              <w:spacing w:line="360" w:lineRule="auto"/>
              <w:rPr>
                <w:rFonts w:hAnsi="宋体" w:cs="宋体"/>
                <w:highlight w:val="none"/>
              </w:rPr>
            </w:pPr>
          </w:p>
        </w:tc>
      </w:tr>
      <w:tr w14:paraId="674D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0D515869">
            <w:pPr>
              <w:topLinePunct/>
              <w:spacing w:line="360" w:lineRule="auto"/>
              <w:jc w:val="center"/>
              <w:rPr>
                <w:rFonts w:hAnsi="宋体" w:cs="宋体"/>
                <w:highlight w:val="none"/>
              </w:rPr>
            </w:pPr>
            <w:r>
              <w:rPr>
                <w:rFonts w:hint="eastAsia" w:hAnsi="宋体" w:cs="宋体"/>
                <w:highlight w:val="none"/>
              </w:rPr>
              <w:t>项目名称</w:t>
            </w:r>
          </w:p>
        </w:tc>
        <w:tc>
          <w:tcPr>
            <w:tcW w:w="6253" w:type="dxa"/>
            <w:vAlign w:val="center"/>
          </w:tcPr>
          <w:p w14:paraId="0EE443E5">
            <w:pPr>
              <w:topLinePunct/>
              <w:spacing w:line="360" w:lineRule="auto"/>
              <w:rPr>
                <w:rFonts w:hAnsi="宋体" w:cs="宋体"/>
                <w:highlight w:val="none"/>
              </w:rPr>
            </w:pPr>
          </w:p>
        </w:tc>
      </w:tr>
      <w:tr w14:paraId="32E5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4A232C2">
            <w:pPr>
              <w:topLinePunct/>
              <w:spacing w:line="360" w:lineRule="auto"/>
              <w:jc w:val="center"/>
              <w:rPr>
                <w:rFonts w:hAnsi="宋体" w:cs="宋体"/>
                <w:highlight w:val="none"/>
              </w:rPr>
            </w:pPr>
            <w:r>
              <w:rPr>
                <w:rFonts w:hint="eastAsia" w:hAnsi="宋体" w:cs="宋体"/>
                <w:highlight w:val="none"/>
              </w:rPr>
              <w:t>买方名称</w:t>
            </w:r>
          </w:p>
        </w:tc>
        <w:tc>
          <w:tcPr>
            <w:tcW w:w="6253" w:type="dxa"/>
            <w:vAlign w:val="center"/>
          </w:tcPr>
          <w:p w14:paraId="55322549">
            <w:pPr>
              <w:topLinePunct/>
              <w:spacing w:line="360" w:lineRule="auto"/>
              <w:rPr>
                <w:rFonts w:hAnsi="宋体" w:cs="宋体"/>
                <w:highlight w:val="none"/>
              </w:rPr>
            </w:pPr>
          </w:p>
        </w:tc>
      </w:tr>
      <w:tr w14:paraId="37C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67D310F5">
            <w:pPr>
              <w:topLinePunct/>
              <w:spacing w:line="360" w:lineRule="auto"/>
              <w:jc w:val="center"/>
              <w:rPr>
                <w:rFonts w:hAnsi="宋体" w:cs="宋体"/>
                <w:highlight w:val="none"/>
              </w:rPr>
            </w:pPr>
            <w:r>
              <w:rPr>
                <w:rFonts w:hint="eastAsia" w:hAnsi="宋体" w:cs="宋体"/>
                <w:highlight w:val="none"/>
              </w:rPr>
              <w:t>买方联系人及电话</w:t>
            </w:r>
          </w:p>
        </w:tc>
        <w:tc>
          <w:tcPr>
            <w:tcW w:w="6253" w:type="dxa"/>
            <w:vAlign w:val="center"/>
          </w:tcPr>
          <w:p w14:paraId="58C54DFB">
            <w:pPr>
              <w:topLinePunct/>
              <w:spacing w:line="360" w:lineRule="auto"/>
              <w:rPr>
                <w:rFonts w:hAnsi="宋体" w:cs="宋体"/>
                <w:highlight w:val="none"/>
              </w:rPr>
            </w:pPr>
          </w:p>
        </w:tc>
      </w:tr>
      <w:tr w14:paraId="72B1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75BA1EE2">
            <w:pPr>
              <w:topLinePunct/>
              <w:spacing w:line="360" w:lineRule="auto"/>
              <w:jc w:val="center"/>
              <w:rPr>
                <w:rFonts w:hAnsi="宋体" w:cs="宋体"/>
                <w:highlight w:val="none"/>
              </w:rPr>
            </w:pPr>
            <w:r>
              <w:rPr>
                <w:rFonts w:hint="eastAsia" w:hAnsi="宋体" w:cs="宋体"/>
                <w:highlight w:val="none"/>
              </w:rPr>
              <w:t>合同价格</w:t>
            </w:r>
          </w:p>
        </w:tc>
        <w:tc>
          <w:tcPr>
            <w:tcW w:w="6253" w:type="dxa"/>
            <w:vAlign w:val="center"/>
          </w:tcPr>
          <w:p w14:paraId="6DC7786D">
            <w:pPr>
              <w:topLinePunct/>
              <w:spacing w:line="360" w:lineRule="auto"/>
              <w:rPr>
                <w:rFonts w:hAnsi="宋体" w:cs="宋体"/>
                <w:highlight w:val="none"/>
              </w:rPr>
            </w:pPr>
          </w:p>
        </w:tc>
      </w:tr>
      <w:tr w14:paraId="0CF2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6BA2DC99">
            <w:pPr>
              <w:topLinePunct/>
              <w:spacing w:line="360" w:lineRule="auto"/>
              <w:jc w:val="center"/>
              <w:rPr>
                <w:rFonts w:hAnsi="宋体" w:cs="宋体"/>
                <w:highlight w:val="none"/>
              </w:rPr>
            </w:pPr>
            <w:r>
              <w:rPr>
                <w:rFonts w:hint="eastAsia" w:hAnsi="宋体" w:cs="宋体"/>
                <w:highlight w:val="none"/>
              </w:rPr>
              <w:t>合同项目负责人</w:t>
            </w:r>
          </w:p>
        </w:tc>
        <w:tc>
          <w:tcPr>
            <w:tcW w:w="6253" w:type="dxa"/>
            <w:vAlign w:val="center"/>
          </w:tcPr>
          <w:p w14:paraId="7621AFAF">
            <w:pPr>
              <w:topLinePunct/>
              <w:spacing w:line="360" w:lineRule="auto"/>
              <w:rPr>
                <w:rFonts w:hAnsi="宋体" w:cs="宋体"/>
                <w:highlight w:val="none"/>
              </w:rPr>
            </w:pPr>
          </w:p>
        </w:tc>
      </w:tr>
      <w:tr w14:paraId="15E1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6E6E7DD5">
            <w:pPr>
              <w:topLinePunct/>
              <w:spacing w:line="360" w:lineRule="auto"/>
              <w:jc w:val="center"/>
              <w:rPr>
                <w:rFonts w:hAnsi="宋体" w:cs="宋体"/>
                <w:highlight w:val="none"/>
              </w:rPr>
            </w:pPr>
            <w:r>
              <w:rPr>
                <w:rFonts w:hint="eastAsia" w:hAnsi="宋体" w:cs="宋体"/>
                <w:highlight w:val="none"/>
              </w:rPr>
              <w:t>项目概况及履约情况</w:t>
            </w:r>
          </w:p>
        </w:tc>
        <w:tc>
          <w:tcPr>
            <w:tcW w:w="6253" w:type="dxa"/>
            <w:vAlign w:val="center"/>
          </w:tcPr>
          <w:p w14:paraId="3A0BF550">
            <w:pPr>
              <w:topLinePunct/>
              <w:spacing w:line="360" w:lineRule="auto"/>
              <w:rPr>
                <w:rFonts w:hAnsi="宋体" w:cs="宋体"/>
                <w:highlight w:val="none"/>
              </w:rPr>
            </w:pPr>
          </w:p>
          <w:p w14:paraId="0507F9E4">
            <w:pPr>
              <w:topLinePunct/>
              <w:spacing w:line="360" w:lineRule="auto"/>
              <w:rPr>
                <w:rFonts w:hAnsi="宋体" w:cs="宋体"/>
                <w:highlight w:val="none"/>
              </w:rPr>
            </w:pPr>
          </w:p>
          <w:p w14:paraId="064B95F1">
            <w:pPr>
              <w:topLinePunct/>
              <w:spacing w:line="360" w:lineRule="auto"/>
              <w:rPr>
                <w:rFonts w:hAnsi="宋体" w:cs="宋体"/>
                <w:highlight w:val="none"/>
              </w:rPr>
            </w:pPr>
          </w:p>
          <w:p w14:paraId="18169170">
            <w:pPr>
              <w:topLinePunct/>
              <w:spacing w:line="360" w:lineRule="auto"/>
              <w:rPr>
                <w:rFonts w:hAnsi="宋体" w:cs="宋体"/>
                <w:highlight w:val="none"/>
              </w:rPr>
            </w:pPr>
          </w:p>
          <w:p w14:paraId="4EBE687A">
            <w:pPr>
              <w:topLinePunct/>
              <w:spacing w:line="360" w:lineRule="auto"/>
              <w:rPr>
                <w:rFonts w:hAnsi="宋体" w:cs="宋体"/>
                <w:highlight w:val="none"/>
              </w:rPr>
            </w:pPr>
          </w:p>
          <w:p w14:paraId="23EB0111">
            <w:pPr>
              <w:topLinePunct/>
              <w:spacing w:line="360" w:lineRule="auto"/>
              <w:rPr>
                <w:rFonts w:hAnsi="宋体" w:cs="宋体"/>
                <w:highlight w:val="none"/>
              </w:rPr>
            </w:pPr>
          </w:p>
          <w:p w14:paraId="7F57DB61">
            <w:pPr>
              <w:topLinePunct/>
              <w:spacing w:line="360" w:lineRule="auto"/>
              <w:rPr>
                <w:rFonts w:hAnsi="宋体" w:cs="宋体"/>
                <w:highlight w:val="none"/>
              </w:rPr>
            </w:pPr>
          </w:p>
        </w:tc>
      </w:tr>
      <w:tr w14:paraId="0F24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AF990D6">
            <w:pPr>
              <w:topLinePunct/>
              <w:spacing w:line="360" w:lineRule="auto"/>
              <w:jc w:val="center"/>
              <w:rPr>
                <w:rFonts w:hAnsi="宋体" w:cs="宋体"/>
                <w:highlight w:val="none"/>
              </w:rPr>
            </w:pPr>
            <w:r>
              <w:rPr>
                <w:rFonts w:hint="eastAsia" w:hAnsi="宋体" w:cs="宋体"/>
                <w:highlight w:val="none"/>
              </w:rPr>
              <w:t>备注</w:t>
            </w:r>
          </w:p>
        </w:tc>
        <w:tc>
          <w:tcPr>
            <w:tcW w:w="6253" w:type="dxa"/>
            <w:vAlign w:val="center"/>
          </w:tcPr>
          <w:p w14:paraId="12427706">
            <w:pPr>
              <w:topLinePunct/>
              <w:spacing w:line="360" w:lineRule="auto"/>
              <w:jc w:val="center"/>
              <w:rPr>
                <w:rFonts w:hAnsi="宋体" w:cs="宋体"/>
                <w:highlight w:val="none"/>
              </w:rPr>
            </w:pPr>
            <w:r>
              <w:rPr>
                <w:rFonts w:hint="eastAsia" w:ascii="Times New Roman"/>
                <w:szCs w:val="24"/>
                <w:highlight w:val="none"/>
              </w:rPr>
              <w:t>商务文件详细评审业绩</w:t>
            </w:r>
          </w:p>
        </w:tc>
      </w:tr>
    </w:tbl>
    <w:p w14:paraId="01AE1DC2">
      <w:pPr>
        <w:autoSpaceDE w:val="0"/>
        <w:autoSpaceDN w:val="0"/>
        <w:adjustRightInd w:val="0"/>
        <w:spacing w:line="300" w:lineRule="exact"/>
        <w:jc w:val="left"/>
        <w:rPr>
          <w:rFonts w:ascii="Times New Roman" w:cs="宋体"/>
          <w:szCs w:val="24"/>
          <w:highlight w:val="none"/>
        </w:rPr>
      </w:pPr>
      <w:r>
        <w:rPr>
          <w:rFonts w:hint="eastAsia" w:ascii="Times New Roman" w:cs="宋体"/>
          <w:szCs w:val="24"/>
          <w:highlight w:val="none"/>
        </w:rPr>
        <w:t>注：投标人应根据招标文件要求在本表后附相关证明材料。</w:t>
      </w:r>
    </w:p>
    <w:p w14:paraId="06C978B4">
      <w:pPr>
        <w:jc w:val="center"/>
        <w:rPr>
          <w:sz w:val="28"/>
          <w:szCs w:val="28"/>
          <w:highlight w:val="none"/>
        </w:rPr>
      </w:pPr>
    </w:p>
    <w:p w14:paraId="4C2ECD17">
      <w:pPr>
        <w:spacing w:beforeLines="50" w:afterLines="50" w:line="360" w:lineRule="auto"/>
        <w:jc w:val="center"/>
        <w:outlineLvl w:val="3"/>
        <w:rPr>
          <w:rFonts w:ascii="Times New Roman"/>
          <w:bCs/>
          <w:szCs w:val="24"/>
          <w:highlight w:val="none"/>
        </w:rPr>
      </w:pPr>
      <w:r>
        <w:rPr>
          <w:rFonts w:hint="eastAsia" w:ascii="Times New Roman"/>
          <w:bCs/>
          <w:szCs w:val="24"/>
          <w:highlight w:val="none"/>
        </w:rPr>
        <w:br w:type="page"/>
      </w:r>
      <w:r>
        <w:rPr>
          <w:rFonts w:hint="eastAsia" w:ascii="Times New Roman"/>
          <w:bCs/>
          <w:szCs w:val="24"/>
          <w:highlight w:val="none"/>
        </w:rPr>
        <w:t>（三）其他</w:t>
      </w:r>
      <w:bookmarkEnd w:id="1162"/>
    </w:p>
    <w:p w14:paraId="7B5ADBDA">
      <w:pPr>
        <w:rPr>
          <w:highlight w:val="none"/>
        </w:rPr>
      </w:pPr>
      <w:r>
        <w:rPr>
          <w:rFonts w:ascii="Times New Roman"/>
          <w:szCs w:val="22"/>
          <w:highlight w:val="none"/>
        </w:rPr>
        <w:br w:type="page"/>
      </w:r>
      <w:bookmarkStart w:id="1165" w:name="_Toc460227118"/>
      <w:bookmarkStart w:id="1166" w:name="_Toc460660233"/>
      <w:bookmarkStart w:id="1167" w:name="_Toc421917010"/>
      <w:bookmarkStart w:id="1168" w:name="_Toc390411629"/>
    </w:p>
    <w:p w14:paraId="50DAE63A">
      <w:pPr>
        <w:pStyle w:val="2"/>
        <w:jc w:val="center"/>
        <w:rPr>
          <w:bCs w:val="0"/>
          <w:highlight w:val="none"/>
        </w:rPr>
      </w:pPr>
      <w:bookmarkStart w:id="1169" w:name="_Toc13623"/>
      <w:bookmarkStart w:id="1170" w:name="_Toc1866"/>
      <w:bookmarkStart w:id="1171" w:name="_Toc117001997"/>
      <w:r>
        <w:rPr>
          <w:rFonts w:hint="eastAsia"/>
          <w:bCs w:val="0"/>
          <w:highlight w:val="none"/>
        </w:rPr>
        <w:t>八、诚信投标承诺书</w:t>
      </w:r>
      <w:bookmarkEnd w:id="1169"/>
      <w:bookmarkEnd w:id="1170"/>
      <w:bookmarkEnd w:id="1171"/>
    </w:p>
    <w:p w14:paraId="143B0DFA">
      <w:pPr>
        <w:spacing w:line="360" w:lineRule="auto"/>
        <w:rPr>
          <w:rFonts w:ascii="Times New Roman" w:cs="宋体"/>
          <w:szCs w:val="24"/>
          <w:highlight w:val="none"/>
        </w:rPr>
      </w:pPr>
      <w:r>
        <w:rPr>
          <w:rFonts w:hint="eastAsia" w:ascii="Times New Roman" w:cs="宋体"/>
          <w:bCs/>
          <w:szCs w:val="24"/>
          <w:highlight w:val="none"/>
          <w:u w:val="single"/>
        </w:rPr>
        <w:t>致：（招标人）</w:t>
      </w:r>
    </w:p>
    <w:p w14:paraId="77179A33">
      <w:pPr>
        <w:spacing w:beforeLines="100" w:line="360" w:lineRule="auto"/>
        <w:rPr>
          <w:rFonts w:ascii="Times New Roman" w:cs="宋体"/>
          <w:szCs w:val="24"/>
          <w:highlight w:val="none"/>
        </w:rPr>
      </w:pPr>
      <w:r>
        <w:rPr>
          <w:rFonts w:hint="eastAsia" w:ascii="Times New Roman" w:cs="宋体"/>
          <w:szCs w:val="24"/>
          <w:highlight w:val="none"/>
        </w:rPr>
        <w:t>我公司郑重承诺：</w:t>
      </w:r>
    </w:p>
    <w:p w14:paraId="567DDBC8">
      <w:pPr>
        <w:spacing w:beforeLines="100" w:line="360" w:lineRule="auto"/>
        <w:ind w:firstLine="480" w:firstLineChars="200"/>
        <w:rPr>
          <w:rFonts w:ascii="Times New Roman" w:cs="宋体"/>
          <w:szCs w:val="24"/>
          <w:highlight w:val="none"/>
        </w:rPr>
      </w:pPr>
      <w:r>
        <w:rPr>
          <w:rFonts w:hint="eastAsia" w:ascii="Times New Roman" w:cs="宋体"/>
          <w:szCs w:val="24"/>
          <w:highlight w:val="none"/>
        </w:rPr>
        <w:t>1.遵循公开、公正和诚实信用的原则自愿参加</w:t>
      </w:r>
      <w:r>
        <w:rPr>
          <w:rFonts w:hint="eastAsia" w:ascii="Times New Roman" w:cs="宋体"/>
          <w:color w:val="auto"/>
          <w:sz w:val="24"/>
          <w:szCs w:val="24"/>
          <w:highlight w:val="none"/>
          <w:u w:val="single"/>
        </w:rPr>
        <w:t>（招标项目名称）</w:t>
      </w:r>
      <w:r>
        <w:rPr>
          <w:rFonts w:hint="eastAsia" w:ascii="Times New Roman" w:cs="宋体"/>
          <w:color w:val="auto"/>
          <w:sz w:val="24"/>
          <w:szCs w:val="24"/>
          <w:highlight w:val="none"/>
        </w:rPr>
        <w:t xml:space="preserve"> </w:t>
      </w:r>
      <w:r>
        <w:rPr>
          <w:rFonts w:hint="eastAsia" w:ascii="Times New Roman" w:cs="宋体"/>
          <w:color w:val="auto"/>
          <w:sz w:val="24"/>
          <w:szCs w:val="24"/>
          <w:highlight w:val="none"/>
          <w:u w:val="single"/>
        </w:rPr>
        <w:t xml:space="preserve">      </w:t>
      </w:r>
      <w:r>
        <w:rPr>
          <w:rFonts w:hint="eastAsia" w:ascii="Times New Roman" w:cs="宋体"/>
          <w:color w:val="auto"/>
          <w:sz w:val="24"/>
          <w:szCs w:val="24"/>
          <w:highlight w:val="none"/>
          <w:u w:val="none"/>
        </w:rPr>
        <w:t>标</w:t>
      </w:r>
      <w:r>
        <w:rPr>
          <w:rFonts w:hint="eastAsia" w:ascii="Times New Roman" w:cs="宋体"/>
          <w:szCs w:val="24"/>
          <w:highlight w:val="none"/>
        </w:rPr>
        <w:t>段的投标。</w:t>
      </w:r>
    </w:p>
    <w:p w14:paraId="1F810913">
      <w:pPr>
        <w:spacing w:line="360" w:lineRule="auto"/>
        <w:ind w:firstLine="480" w:firstLineChars="200"/>
        <w:rPr>
          <w:rFonts w:ascii="Times New Roman" w:cs="宋体"/>
          <w:szCs w:val="24"/>
          <w:highlight w:val="none"/>
        </w:rPr>
      </w:pPr>
      <w:r>
        <w:rPr>
          <w:rFonts w:hint="eastAsia" w:ascii="Times New Roman" w:cs="宋体"/>
          <w:szCs w:val="24"/>
          <w:highlight w:val="none"/>
        </w:rPr>
        <w:t>2.本次投标提供的资质证书、业绩及奖项等一切材料均真实、有效、合法。否则，我公司愿意接受招标人、公共资源交易监督管理部门作出的相关处理、处罚。</w:t>
      </w:r>
    </w:p>
    <w:p w14:paraId="60F32952">
      <w:pPr>
        <w:spacing w:line="360" w:lineRule="auto"/>
        <w:ind w:firstLine="480" w:firstLineChars="200"/>
        <w:rPr>
          <w:rFonts w:ascii="Times New Roman" w:cs="宋体"/>
          <w:szCs w:val="24"/>
          <w:highlight w:val="none"/>
        </w:rPr>
      </w:pPr>
      <w:r>
        <w:rPr>
          <w:rFonts w:hint="eastAsia" w:ascii="Times New Roman" w:cs="宋体"/>
          <w:szCs w:val="24"/>
          <w:highlight w:val="none"/>
        </w:rPr>
        <w:t>3.本次投标为我公司自行投标，未出借、转让资质证书，未让他人挂靠投标。</w:t>
      </w:r>
    </w:p>
    <w:p w14:paraId="5FD7AEF3">
      <w:pPr>
        <w:spacing w:line="360" w:lineRule="auto"/>
        <w:ind w:firstLine="480" w:firstLineChars="200"/>
        <w:rPr>
          <w:rFonts w:ascii="Times New Roman" w:cs="宋体"/>
          <w:szCs w:val="24"/>
          <w:highlight w:val="none"/>
        </w:rPr>
      </w:pPr>
      <w:r>
        <w:rPr>
          <w:rFonts w:hint="eastAsia" w:ascii="Times New Roman" w:cs="宋体"/>
          <w:szCs w:val="24"/>
          <w:highlight w:val="none"/>
        </w:rPr>
        <w:t>4.未与其他投标人相互串通投标报价，未排挤其他投标人的公平竞争、损害招标人的合法权益。</w:t>
      </w:r>
    </w:p>
    <w:p w14:paraId="40478343">
      <w:pPr>
        <w:spacing w:line="360" w:lineRule="auto"/>
        <w:ind w:firstLine="480" w:firstLineChars="200"/>
        <w:rPr>
          <w:rFonts w:ascii="Times New Roman" w:cs="宋体"/>
          <w:szCs w:val="24"/>
          <w:highlight w:val="none"/>
        </w:rPr>
      </w:pPr>
      <w:r>
        <w:rPr>
          <w:rFonts w:hint="eastAsia" w:ascii="Times New Roman" w:cs="宋体"/>
          <w:szCs w:val="24"/>
          <w:highlight w:val="none"/>
        </w:rPr>
        <w:t>5.未与招标人、招标代理机构或其他投标人串通投标，损害国家利益、社会公共利益或者他人的合法权益。</w:t>
      </w:r>
    </w:p>
    <w:p w14:paraId="26AFB2B1">
      <w:pPr>
        <w:spacing w:line="360" w:lineRule="auto"/>
        <w:ind w:firstLine="480" w:firstLineChars="200"/>
        <w:rPr>
          <w:rFonts w:ascii="Times New Roman" w:cs="宋体"/>
          <w:szCs w:val="24"/>
          <w:highlight w:val="none"/>
        </w:rPr>
      </w:pPr>
      <w:r>
        <w:rPr>
          <w:rFonts w:hint="eastAsia" w:ascii="Times New Roman" w:cs="宋体"/>
          <w:szCs w:val="24"/>
          <w:highlight w:val="none"/>
        </w:rPr>
        <w:t>6.中标后按照合同约定履行义务，完成中标项目；不向他人转让中标项目，不将中标项目肢解后分别向他人转让；不违法分包。</w:t>
      </w:r>
    </w:p>
    <w:p w14:paraId="44A1D0C9">
      <w:pPr>
        <w:spacing w:line="360" w:lineRule="auto"/>
        <w:ind w:firstLine="480" w:firstLineChars="200"/>
        <w:rPr>
          <w:rFonts w:ascii="Times New Roman" w:cs="宋体"/>
          <w:szCs w:val="24"/>
          <w:highlight w:val="none"/>
        </w:rPr>
      </w:pPr>
      <w:r>
        <w:rPr>
          <w:rFonts w:hint="eastAsia" w:ascii="Times New Roman" w:cs="宋体"/>
          <w:szCs w:val="24"/>
          <w:highlight w:val="none"/>
        </w:rPr>
        <w:t>7.如提出异议（投诉），对提供的异议（投诉）材料的真实性负责，不恶意异议（投诉）；不捏造事实、提供虚假材料或者以非法手段取得证明材料进行异议（投诉），影响交易活动正常进行；否则，我公司愿意接受公共资源交易监督管理部门作出的相关处理、处罚。</w:t>
      </w:r>
    </w:p>
    <w:p w14:paraId="2DFC3063">
      <w:pPr>
        <w:spacing w:line="360" w:lineRule="auto"/>
        <w:ind w:firstLine="480" w:firstLineChars="200"/>
        <w:rPr>
          <w:rFonts w:ascii="Times New Roman" w:cs="宋体"/>
          <w:szCs w:val="24"/>
          <w:highlight w:val="none"/>
        </w:rPr>
      </w:pPr>
      <w:r>
        <w:rPr>
          <w:rFonts w:hint="eastAsia" w:ascii="Times New Roman" w:cs="宋体"/>
          <w:szCs w:val="24"/>
          <w:highlight w:val="none"/>
        </w:rPr>
        <w:t>8.本次投标不存在第二章“投标人须知”第1.4.3项、第1.4.4项规定的任何一种情形。</w:t>
      </w:r>
    </w:p>
    <w:p w14:paraId="662350E2">
      <w:pPr>
        <w:spacing w:line="360" w:lineRule="auto"/>
        <w:ind w:firstLine="480" w:firstLineChars="200"/>
        <w:rPr>
          <w:rFonts w:hint="eastAsia" w:ascii="Times New Roman" w:cs="宋体"/>
          <w:color w:val="auto"/>
          <w:sz w:val="24"/>
          <w:szCs w:val="24"/>
          <w:highlight w:val="none"/>
          <w:u w:val="single"/>
        </w:rPr>
      </w:pPr>
      <w:r>
        <w:rPr>
          <w:rFonts w:hint="eastAsia" w:ascii="Times New Roman" w:cs="宋体"/>
          <w:color w:val="auto"/>
          <w:sz w:val="24"/>
          <w:szCs w:val="24"/>
          <w:highlight w:val="none"/>
        </w:rPr>
        <w:t>9.</w:t>
      </w:r>
      <w:r>
        <w:rPr>
          <w:rFonts w:hint="eastAsia" w:ascii="Times New Roman" w:cs="宋体"/>
          <w:color w:val="auto"/>
          <w:sz w:val="24"/>
          <w:szCs w:val="24"/>
          <w:highlight w:val="none"/>
          <w:u w:val="single"/>
        </w:rPr>
        <w:t xml:space="preserve">                    </w:t>
      </w:r>
      <w:r>
        <w:rPr>
          <w:rFonts w:ascii="Times New Roman"/>
          <w:snapToGrid w:val="0"/>
          <w:color w:val="auto"/>
          <w:sz w:val="24"/>
          <w:szCs w:val="24"/>
          <w:highlight w:val="none"/>
        </w:rPr>
        <w:t>（其他补充</w:t>
      </w:r>
      <w:r>
        <w:rPr>
          <w:rFonts w:hint="eastAsia" w:ascii="Times New Roman"/>
          <w:snapToGrid w:val="0"/>
          <w:color w:val="auto"/>
          <w:sz w:val="24"/>
          <w:szCs w:val="24"/>
          <w:highlight w:val="none"/>
        </w:rPr>
        <w:t>承诺</w:t>
      </w:r>
      <w:r>
        <w:rPr>
          <w:rFonts w:ascii="Times New Roman"/>
          <w:snapToGrid w:val="0"/>
          <w:color w:val="auto"/>
          <w:sz w:val="24"/>
          <w:szCs w:val="24"/>
          <w:highlight w:val="none"/>
        </w:rPr>
        <w:t>）</w:t>
      </w:r>
      <w:r>
        <w:rPr>
          <w:rFonts w:hint="eastAsia" w:ascii="Times New Roman"/>
          <w:snapToGrid w:val="0"/>
          <w:color w:val="auto"/>
          <w:sz w:val="24"/>
          <w:szCs w:val="24"/>
          <w:highlight w:val="none"/>
        </w:rPr>
        <w:t>。</w:t>
      </w:r>
    </w:p>
    <w:p w14:paraId="4318EFED">
      <w:pPr>
        <w:spacing w:line="360" w:lineRule="auto"/>
        <w:ind w:firstLine="480" w:firstLineChars="200"/>
        <w:rPr>
          <w:rFonts w:hint="eastAsia" w:ascii="Times New Roman" w:cs="宋体"/>
          <w:color w:val="auto"/>
          <w:sz w:val="24"/>
          <w:szCs w:val="24"/>
          <w:highlight w:val="none"/>
        </w:rPr>
      </w:pPr>
    </w:p>
    <w:p w14:paraId="7FA84D1A">
      <w:pPr>
        <w:spacing w:line="360" w:lineRule="auto"/>
        <w:ind w:firstLine="480" w:firstLineChars="200"/>
        <w:rPr>
          <w:rFonts w:hint="eastAsia" w:ascii="Times New Roman" w:cs="宋体"/>
          <w:color w:val="auto"/>
          <w:sz w:val="24"/>
          <w:szCs w:val="24"/>
          <w:highlight w:val="none"/>
        </w:rPr>
      </w:pPr>
    </w:p>
    <w:p w14:paraId="6AC4194D">
      <w:pPr>
        <w:adjustRightInd w:val="0"/>
        <w:snapToGrid w:val="0"/>
        <w:spacing w:line="360" w:lineRule="auto"/>
        <w:jc w:val="right"/>
        <w:rPr>
          <w:rFonts w:hint="eastAsia" w:ascii="Times New Roman"/>
          <w:bCs/>
          <w:color w:val="auto"/>
          <w:sz w:val="24"/>
          <w:szCs w:val="24"/>
          <w:highlight w:val="none"/>
        </w:rPr>
      </w:pPr>
      <w:r>
        <w:rPr>
          <w:rFonts w:hint="eastAsia" w:ascii="Times New Roman"/>
          <w:bCs/>
          <w:color w:val="auto"/>
          <w:spacing w:val="120"/>
          <w:kern w:val="0"/>
          <w:sz w:val="24"/>
          <w:szCs w:val="24"/>
          <w:highlight w:val="none"/>
          <w:fitText w:val="1200" w:id="1280857755"/>
        </w:rPr>
        <w:t>投标</w:t>
      </w:r>
      <w:r>
        <w:rPr>
          <w:rFonts w:hint="eastAsia" w:ascii="Times New Roman"/>
          <w:bCs/>
          <w:color w:val="auto"/>
          <w:spacing w:val="0"/>
          <w:kern w:val="0"/>
          <w:sz w:val="24"/>
          <w:szCs w:val="24"/>
          <w:highlight w:val="none"/>
          <w:fitText w:val="1200" w:id="1280857755"/>
        </w:rPr>
        <w:t>人</w:t>
      </w:r>
      <w:r>
        <w:rPr>
          <w:rFonts w:hint="eastAsia" w:ascii="Times New Roman"/>
          <w:bCs/>
          <w:color w:val="auto"/>
          <w:sz w:val="24"/>
          <w:szCs w:val="24"/>
          <w:highlight w:val="none"/>
        </w:rPr>
        <w:t>：</w:t>
      </w:r>
      <w:r>
        <w:rPr>
          <w:rFonts w:hint="eastAsia" w:ascii="Times New Roman"/>
          <w:bCs/>
          <w:color w:val="auto"/>
          <w:sz w:val="24"/>
          <w:szCs w:val="24"/>
          <w:highlight w:val="none"/>
          <w:u w:val="single"/>
        </w:rPr>
        <w:t xml:space="preserve">            </w:t>
      </w:r>
      <w:r>
        <w:rPr>
          <w:rFonts w:hint="eastAsia" w:ascii="Times New Roman"/>
          <w:bCs/>
          <w:color w:val="auto"/>
          <w:sz w:val="24"/>
          <w:szCs w:val="24"/>
          <w:highlight w:val="none"/>
        </w:rPr>
        <w:t>（盖单位章）</w:t>
      </w:r>
    </w:p>
    <w:p w14:paraId="497EB6DE">
      <w:pPr>
        <w:adjustRightInd w:val="0"/>
        <w:snapToGrid w:val="0"/>
        <w:spacing w:line="360" w:lineRule="auto"/>
        <w:jc w:val="right"/>
        <w:rPr>
          <w:rFonts w:hint="eastAsia"/>
          <w:color w:val="auto"/>
          <w:highlight w:val="none"/>
        </w:rPr>
      </w:pPr>
      <w:r>
        <w:rPr>
          <w:rFonts w:hint="eastAsia" w:ascii="Times New Roman"/>
          <w:color w:val="auto"/>
          <w:spacing w:val="0"/>
          <w:kern w:val="0"/>
          <w:szCs w:val="21"/>
          <w:highlight w:val="none"/>
          <w:fitText w:val="1200" w:id="24393647"/>
        </w:rPr>
        <w:t>法定代表人</w:t>
      </w:r>
      <w:r>
        <w:rPr>
          <w:rFonts w:hint="eastAsia" w:ascii="Times New Roman"/>
          <w:color w:val="auto"/>
          <w:szCs w:val="21"/>
          <w:highlight w:val="none"/>
        </w:rPr>
        <w:t>：</w:t>
      </w:r>
      <w:r>
        <w:rPr>
          <w:rFonts w:hint="eastAsia" w:ascii="Times New Roman"/>
          <w:bCs/>
          <w:color w:val="auto"/>
          <w:szCs w:val="21"/>
          <w:highlight w:val="none"/>
          <w:u w:val="single"/>
        </w:rPr>
        <w:t xml:space="preserve">          </w:t>
      </w:r>
      <w:r>
        <w:rPr>
          <w:rFonts w:hint="eastAsia" w:ascii="Times New Roman"/>
          <w:color w:val="auto"/>
          <w:szCs w:val="21"/>
          <w:highlight w:val="none"/>
        </w:rPr>
        <w:t>（签字或盖章）</w:t>
      </w:r>
    </w:p>
    <w:p w14:paraId="330B2377">
      <w:pPr>
        <w:adjustRightInd w:val="0"/>
        <w:snapToGrid w:val="0"/>
        <w:spacing w:line="360" w:lineRule="auto"/>
        <w:jc w:val="right"/>
        <w:rPr>
          <w:rFonts w:hint="eastAsia" w:ascii="Times New Roman" w:eastAsia="黑体"/>
          <w:color w:val="auto"/>
          <w:sz w:val="24"/>
          <w:szCs w:val="24"/>
          <w:highlight w:val="none"/>
        </w:rPr>
      </w:pPr>
      <w:r>
        <w:rPr>
          <w:rFonts w:hint="eastAsia" w:ascii="Times New Roman"/>
          <w:bCs/>
          <w:color w:val="auto"/>
          <w:spacing w:val="360"/>
          <w:kern w:val="0"/>
          <w:sz w:val="24"/>
          <w:szCs w:val="24"/>
          <w:highlight w:val="none"/>
          <w:fitText w:val="1200" w:id="1329425535"/>
        </w:rPr>
        <w:t>日</w:t>
      </w:r>
      <w:r>
        <w:rPr>
          <w:rFonts w:hint="eastAsia" w:ascii="Times New Roman"/>
          <w:bCs/>
          <w:color w:val="auto"/>
          <w:spacing w:val="0"/>
          <w:kern w:val="0"/>
          <w:sz w:val="24"/>
          <w:szCs w:val="24"/>
          <w:highlight w:val="none"/>
          <w:fitText w:val="1200" w:id="1329425535"/>
        </w:rPr>
        <w:t>期</w:t>
      </w:r>
      <w:r>
        <w:rPr>
          <w:rFonts w:hint="eastAsia" w:ascii="Times New Roman"/>
          <w:color w:val="auto"/>
          <w:sz w:val="24"/>
          <w:szCs w:val="24"/>
          <w:highlight w:val="none"/>
        </w:rPr>
        <w:t>：</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年</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月</w:t>
      </w:r>
      <w:r>
        <w:rPr>
          <w:rFonts w:hint="eastAsia" w:ascii="Times New Roman"/>
          <w:color w:val="auto"/>
          <w:sz w:val="24"/>
          <w:szCs w:val="24"/>
          <w:highlight w:val="none"/>
          <w:u w:val="single"/>
        </w:rPr>
        <w:t xml:space="preserve">      </w:t>
      </w:r>
      <w:r>
        <w:rPr>
          <w:rFonts w:hint="eastAsia" w:ascii="Times New Roman"/>
          <w:color w:val="auto"/>
          <w:sz w:val="24"/>
          <w:szCs w:val="24"/>
          <w:highlight w:val="none"/>
        </w:rPr>
        <w:t>日</w:t>
      </w:r>
    </w:p>
    <w:p w14:paraId="33267291">
      <w:pPr>
        <w:rPr>
          <w:sz w:val="28"/>
          <w:szCs w:val="28"/>
          <w:highlight w:val="none"/>
        </w:rPr>
      </w:pPr>
    </w:p>
    <w:p w14:paraId="3E662ADD">
      <w:pPr>
        <w:ind w:firstLine="480"/>
        <w:jc w:val="center"/>
        <w:rPr>
          <w:rFonts w:ascii="Times New Roman"/>
          <w:kern w:val="2"/>
          <w:sz w:val="21"/>
          <w:highlight w:val="none"/>
        </w:rPr>
      </w:pPr>
      <w:r>
        <w:rPr>
          <w:rFonts w:hint="eastAsia" w:ascii="Times New Roman"/>
          <w:sz w:val="28"/>
          <w:szCs w:val="28"/>
          <w:highlight w:val="none"/>
        </w:rPr>
        <w:br w:type="page"/>
      </w:r>
      <w:bookmarkStart w:id="1172" w:name="_Toc14879"/>
    </w:p>
    <w:p w14:paraId="7FC68C99">
      <w:pPr>
        <w:jc w:val="center"/>
        <w:rPr>
          <w:sz w:val="28"/>
          <w:szCs w:val="28"/>
          <w:highlight w:val="none"/>
        </w:rPr>
      </w:pPr>
      <w:r>
        <w:rPr>
          <w:rFonts w:hint="eastAsia" w:ascii="黑体" w:hAnsi="黑体" w:eastAsia="黑体"/>
          <w:highlight w:val="none"/>
        </w:rPr>
        <w:t>十、其他</w:t>
      </w:r>
      <w:bookmarkEnd w:id="1165"/>
      <w:bookmarkEnd w:id="1166"/>
      <w:bookmarkEnd w:id="1167"/>
      <w:bookmarkEnd w:id="1168"/>
      <w:r>
        <w:rPr>
          <w:rFonts w:hint="eastAsia" w:ascii="黑体" w:hAnsi="黑体" w:eastAsia="黑体"/>
          <w:highlight w:val="none"/>
        </w:rPr>
        <w:t>材料</w:t>
      </w:r>
      <w:bookmarkEnd w:id="1172"/>
    </w:p>
    <w:p w14:paraId="30E711D7">
      <w:pPr>
        <w:tabs>
          <w:tab w:val="left" w:pos="2580"/>
          <w:tab w:val="left" w:pos="5940"/>
        </w:tabs>
        <w:autoSpaceDE w:val="0"/>
        <w:autoSpaceDN w:val="0"/>
        <w:adjustRightInd w:val="0"/>
        <w:snapToGrid w:val="0"/>
        <w:spacing w:line="400" w:lineRule="exact"/>
        <w:ind w:firstLine="456" w:firstLineChars="200"/>
        <w:rPr>
          <w:rFonts w:ascii="Times New Roman"/>
          <w:spacing w:val="-6"/>
          <w:szCs w:val="21"/>
          <w:highlight w:val="none"/>
        </w:rPr>
      </w:pPr>
      <w:r>
        <w:rPr>
          <w:rFonts w:hint="eastAsia" w:ascii="Times New Roman"/>
          <w:spacing w:val="-6"/>
          <w:szCs w:val="24"/>
          <w:highlight w:val="none"/>
        </w:rPr>
        <w:t>投标人根据自身情况可以自行增加相关内容，如无，本节可以不附</w:t>
      </w:r>
      <w:r>
        <w:rPr>
          <w:rFonts w:hint="eastAsia" w:ascii="Times New Roman"/>
          <w:spacing w:val="-6"/>
          <w:szCs w:val="21"/>
          <w:highlight w:val="none"/>
        </w:rPr>
        <w:t>。</w:t>
      </w:r>
    </w:p>
    <w:p w14:paraId="5EF9DC48">
      <w:pPr>
        <w:spacing w:line="360" w:lineRule="auto"/>
        <w:ind w:firstLine="480" w:firstLineChars="200"/>
        <w:jc w:val="left"/>
        <w:rPr>
          <w:rFonts w:ascii="Times New Roman"/>
          <w:szCs w:val="22"/>
          <w:highlight w:val="none"/>
        </w:rPr>
      </w:pPr>
    </w:p>
    <w:p w14:paraId="043CA37C">
      <w:pPr>
        <w:spacing w:before="480" w:beforeLines="200" w:line="360" w:lineRule="auto"/>
        <w:jc w:val="center"/>
        <w:outlineLvl w:val="0"/>
        <w:rPr>
          <w:rFonts w:hint="eastAsia" w:ascii="Times New Roman"/>
          <w:b/>
          <w:bCs/>
          <w:color w:val="auto"/>
          <w:sz w:val="44"/>
          <w:szCs w:val="44"/>
          <w:highlight w:val="none"/>
        </w:rPr>
      </w:pPr>
      <w:r>
        <w:rPr>
          <w:rFonts w:hint="eastAsia" w:ascii="Times New Roman"/>
          <w:highlight w:val="none"/>
        </w:rPr>
        <w:br w:type="page"/>
      </w:r>
      <w:bookmarkStart w:id="1173" w:name="_Toc14638"/>
      <w:bookmarkStart w:id="1174" w:name="_Toc9691"/>
      <w:bookmarkStart w:id="1175" w:name="_Toc30110"/>
      <w:bookmarkStart w:id="1176" w:name="_Toc15622"/>
      <w:bookmarkStart w:id="1177" w:name="_Toc14552"/>
      <w:bookmarkStart w:id="1178" w:name="_Toc584"/>
      <w:bookmarkStart w:id="1179" w:name="_Toc0"/>
      <w:bookmarkStart w:id="1180" w:name="_Toc17482"/>
      <w:r>
        <w:rPr>
          <w:rFonts w:hint="eastAsia" w:ascii="Times New Roman"/>
          <w:b/>
          <w:color w:val="auto"/>
          <w:sz w:val="44"/>
          <w:szCs w:val="44"/>
          <w:highlight w:val="none"/>
          <w:u w:val="single"/>
        </w:rPr>
        <w:t>（招标项目名称）</w:t>
      </w:r>
      <w:r>
        <w:rPr>
          <w:rFonts w:hint="eastAsia" w:ascii="Times New Roman"/>
          <w:color w:val="auto"/>
          <w:sz w:val="44"/>
          <w:szCs w:val="44"/>
          <w:highlight w:val="none"/>
        </w:rPr>
        <w:t xml:space="preserve"> </w:t>
      </w:r>
      <w:r>
        <w:rPr>
          <w:rFonts w:hint="eastAsia" w:ascii="Times New Roman"/>
          <w:bCs/>
          <w:color w:val="auto"/>
          <w:sz w:val="44"/>
          <w:szCs w:val="44"/>
          <w:highlight w:val="none"/>
          <w:u w:val="single"/>
        </w:rPr>
        <w:t xml:space="preserve">      </w:t>
      </w:r>
      <w:r>
        <w:rPr>
          <w:rFonts w:hint="eastAsia" w:ascii="Times New Roman"/>
          <w:b/>
          <w:color w:val="auto"/>
          <w:sz w:val="44"/>
          <w:szCs w:val="44"/>
          <w:highlight w:val="none"/>
        </w:rPr>
        <w:t>标段招标</w:t>
      </w:r>
      <w:bookmarkEnd w:id="1173"/>
      <w:bookmarkEnd w:id="1174"/>
      <w:bookmarkEnd w:id="1175"/>
      <w:bookmarkEnd w:id="1176"/>
      <w:bookmarkEnd w:id="1177"/>
      <w:bookmarkEnd w:id="1178"/>
      <w:bookmarkEnd w:id="1179"/>
      <w:bookmarkEnd w:id="1180"/>
    </w:p>
    <w:p w14:paraId="72C0E3BF">
      <w:pPr>
        <w:pStyle w:val="4"/>
        <w:spacing w:before="1200" w:beforeLines="500" w:after="240" w:afterLines="100" w:line="240" w:lineRule="auto"/>
        <w:jc w:val="center"/>
        <w:rPr>
          <w:rFonts w:hint="eastAsia" w:ascii="Times New Roman" w:hAnsi="Times New Roman" w:eastAsia="黑体"/>
          <w:b w:val="0"/>
          <w:color w:val="auto"/>
          <w:sz w:val="44"/>
          <w:szCs w:val="44"/>
          <w:highlight w:val="none"/>
        </w:rPr>
      </w:pPr>
      <w:bookmarkStart w:id="1181" w:name="_Toc29888"/>
      <w:bookmarkStart w:id="1182" w:name="_Toc10513"/>
      <w:bookmarkStart w:id="1183" w:name="_Toc23592"/>
      <w:r>
        <w:rPr>
          <w:rFonts w:hint="eastAsia" w:ascii="Times New Roman" w:hAnsi="Times New Roman" w:eastAsia="黑体"/>
          <w:b w:val="0"/>
          <w:color w:val="auto"/>
          <w:sz w:val="44"/>
          <w:szCs w:val="44"/>
          <w:highlight w:val="none"/>
        </w:rPr>
        <w:t>投标文件</w:t>
      </w:r>
      <w:bookmarkEnd w:id="1181"/>
      <w:bookmarkEnd w:id="1182"/>
    </w:p>
    <w:p w14:paraId="68751217">
      <w:pPr>
        <w:pStyle w:val="4"/>
        <w:jc w:val="center"/>
        <w:rPr>
          <w:rFonts w:hint="eastAsia" w:ascii="Times New Roman" w:hAnsi="Times New Roman" w:eastAsia="黑体"/>
          <w:b w:val="0"/>
          <w:bCs w:val="0"/>
          <w:color w:val="auto"/>
          <w:sz w:val="36"/>
          <w:szCs w:val="22"/>
          <w:highlight w:val="none"/>
        </w:rPr>
      </w:pPr>
      <w:bookmarkStart w:id="1184" w:name="_Toc22241"/>
      <w:bookmarkStart w:id="1185" w:name="_Toc8247"/>
      <w:r>
        <w:rPr>
          <w:rFonts w:hint="eastAsia" w:ascii="Times New Roman" w:hAnsi="Times New Roman" w:eastAsia="黑体"/>
          <w:b w:val="0"/>
          <w:bCs w:val="0"/>
          <w:color w:val="auto"/>
          <w:sz w:val="36"/>
          <w:szCs w:val="22"/>
          <w:highlight w:val="none"/>
        </w:rPr>
        <w:t>（技术文件）</w:t>
      </w:r>
      <w:bookmarkEnd w:id="1183"/>
      <w:bookmarkEnd w:id="1184"/>
      <w:bookmarkEnd w:id="1185"/>
    </w:p>
    <w:p w14:paraId="15ABD802">
      <w:pPr>
        <w:spacing w:before="7200" w:beforeLines="3000" w:line="480" w:lineRule="auto"/>
        <w:jc w:val="center"/>
        <w:outlineLvl w:val="9"/>
        <w:rPr>
          <w:rFonts w:hint="eastAsia" w:ascii="Times New Roman" w:eastAsia="黑体"/>
          <w:color w:val="auto"/>
          <w:sz w:val="28"/>
          <w:szCs w:val="28"/>
          <w:highlight w:val="none"/>
        </w:rPr>
      </w:pPr>
      <w:bookmarkStart w:id="1186" w:name="_Toc15620"/>
      <w:bookmarkStart w:id="1187" w:name="_Toc2070"/>
      <w:bookmarkStart w:id="1188" w:name="_Toc18372"/>
      <w:bookmarkStart w:id="1189" w:name="_Toc7858"/>
      <w:bookmarkStart w:id="1190" w:name="_Toc14549"/>
      <w:r>
        <w:rPr>
          <w:rFonts w:hint="eastAsia" w:ascii="Times New Roman" w:eastAsia="黑体"/>
          <w:color w:val="auto"/>
          <w:sz w:val="28"/>
          <w:szCs w:val="28"/>
          <w:highlight w:val="none"/>
        </w:rPr>
        <w:t>投标人：</w:t>
      </w:r>
      <w:r>
        <w:rPr>
          <w:rFonts w:hint="eastAsia" w:ascii="Times New Roman" w:eastAsia="黑体"/>
          <w:color w:val="auto"/>
          <w:sz w:val="28"/>
          <w:szCs w:val="28"/>
          <w:highlight w:val="none"/>
          <w:u w:val="single"/>
        </w:rPr>
        <w:t xml:space="preserve">                               </w:t>
      </w:r>
      <w:r>
        <w:rPr>
          <w:rFonts w:hint="eastAsia" w:ascii="Times New Roman" w:eastAsia="黑体"/>
          <w:color w:val="auto"/>
          <w:sz w:val="28"/>
          <w:szCs w:val="28"/>
          <w:highlight w:val="none"/>
        </w:rPr>
        <w:t>（盖单位章）</w:t>
      </w:r>
      <w:bookmarkEnd w:id="1186"/>
      <w:bookmarkEnd w:id="1187"/>
      <w:bookmarkEnd w:id="1188"/>
      <w:bookmarkEnd w:id="1189"/>
      <w:bookmarkEnd w:id="1190"/>
    </w:p>
    <w:p w14:paraId="76D01EF8">
      <w:pPr>
        <w:tabs>
          <w:tab w:val="left" w:pos="3280"/>
          <w:tab w:val="left" w:pos="4680"/>
          <w:tab w:val="left" w:pos="6080"/>
        </w:tabs>
        <w:autoSpaceDE w:val="0"/>
        <w:autoSpaceDN w:val="0"/>
        <w:adjustRightInd w:val="0"/>
        <w:snapToGrid w:val="0"/>
        <w:spacing w:line="480" w:lineRule="auto"/>
        <w:jc w:val="center"/>
        <w:rPr>
          <w:rFonts w:ascii="Times New Roman"/>
          <w:bCs/>
          <w:w w:val="99"/>
          <w:sz w:val="28"/>
          <w:szCs w:val="22"/>
          <w:highlight w:val="none"/>
        </w:rPr>
      </w:pPr>
      <w:r>
        <w:rPr>
          <w:rFonts w:hint="eastAsia" w:ascii="Times New Roman" w:eastAsia="黑体"/>
          <w:color w:val="auto"/>
          <w:sz w:val="28"/>
          <w:szCs w:val="28"/>
          <w:highlight w:val="none"/>
          <w:u w:val="single"/>
        </w:rPr>
        <w:t xml:space="preserve">    </w:t>
      </w:r>
      <w:bookmarkStart w:id="1191" w:name="_Toc23773"/>
      <w:bookmarkStart w:id="1192" w:name="_Toc518"/>
      <w:bookmarkStart w:id="1193" w:name="_Toc18115"/>
      <w:bookmarkStart w:id="1194" w:name="_Toc16137"/>
      <w:bookmarkStart w:id="1195" w:name="_Toc31763"/>
      <w:r>
        <w:rPr>
          <w:rFonts w:hint="eastAsia" w:ascii="Times New Roman" w:eastAsia="黑体"/>
          <w:color w:val="auto"/>
          <w:sz w:val="28"/>
          <w:szCs w:val="28"/>
          <w:highlight w:val="none"/>
        </w:rPr>
        <w:t>年</w:t>
      </w:r>
      <w:r>
        <w:rPr>
          <w:rFonts w:hint="eastAsia" w:ascii="Times New Roman" w:eastAsia="黑体"/>
          <w:color w:val="auto"/>
          <w:sz w:val="28"/>
          <w:szCs w:val="28"/>
          <w:highlight w:val="none"/>
          <w:u w:val="single"/>
        </w:rPr>
        <w:t xml:space="preserve">   </w:t>
      </w:r>
      <w:r>
        <w:rPr>
          <w:rFonts w:hint="eastAsia" w:ascii="Times New Roman" w:eastAsia="黑体"/>
          <w:color w:val="auto"/>
          <w:sz w:val="28"/>
          <w:szCs w:val="28"/>
          <w:highlight w:val="none"/>
        </w:rPr>
        <w:t>月</w:t>
      </w:r>
      <w:r>
        <w:rPr>
          <w:rFonts w:hint="eastAsia" w:ascii="Times New Roman" w:eastAsia="黑体"/>
          <w:color w:val="auto"/>
          <w:sz w:val="28"/>
          <w:szCs w:val="28"/>
          <w:highlight w:val="none"/>
          <w:u w:val="single"/>
        </w:rPr>
        <w:t xml:space="preserve">   </w:t>
      </w:r>
      <w:r>
        <w:rPr>
          <w:rFonts w:hint="eastAsia" w:ascii="Times New Roman" w:eastAsia="黑体"/>
          <w:color w:val="auto"/>
          <w:sz w:val="28"/>
          <w:szCs w:val="28"/>
          <w:highlight w:val="none"/>
        </w:rPr>
        <w:t>日</w:t>
      </w:r>
      <w:bookmarkEnd w:id="1191"/>
      <w:bookmarkEnd w:id="1192"/>
      <w:bookmarkEnd w:id="1193"/>
      <w:bookmarkEnd w:id="1194"/>
      <w:bookmarkEnd w:id="1195"/>
    </w:p>
    <w:p w14:paraId="2F597622">
      <w:pPr>
        <w:spacing w:beforeLines="100" w:afterLines="100"/>
        <w:ind w:firstLine="640" w:firstLineChars="200"/>
        <w:jc w:val="center"/>
        <w:rPr>
          <w:rFonts w:ascii="Times New Roman"/>
          <w:sz w:val="28"/>
          <w:szCs w:val="21"/>
          <w:highlight w:val="none"/>
        </w:rPr>
      </w:pPr>
      <w:bookmarkStart w:id="1196" w:name="_Toc421917018"/>
      <w:bookmarkStart w:id="1197" w:name="_Toc460660258"/>
      <w:bookmarkStart w:id="1198" w:name="_Toc535241146"/>
      <w:bookmarkStart w:id="1199" w:name="_Toc460227143"/>
      <w:bookmarkStart w:id="1200" w:name="_Toc224103503"/>
      <w:bookmarkStart w:id="1201" w:name="_Toc390411637"/>
      <w:r>
        <w:rPr>
          <w:rFonts w:ascii="Times New Roman"/>
          <w:sz w:val="32"/>
          <w:szCs w:val="32"/>
          <w:highlight w:val="none"/>
        </w:rPr>
        <w:br w:type="page"/>
      </w:r>
      <w:r>
        <w:rPr>
          <w:rFonts w:hint="eastAsia" w:ascii="Times New Roman"/>
          <w:sz w:val="28"/>
          <w:szCs w:val="21"/>
          <w:highlight w:val="none"/>
        </w:rPr>
        <w:t>目  录</w:t>
      </w:r>
    </w:p>
    <w:p w14:paraId="613623FE">
      <w:pPr>
        <w:spacing w:line="360" w:lineRule="auto"/>
        <w:ind w:firstLine="480" w:firstLineChars="200"/>
        <w:rPr>
          <w:rFonts w:hAnsi="宋体" w:cs="宋体"/>
          <w:highlight w:val="none"/>
        </w:rPr>
      </w:pPr>
      <w:r>
        <w:rPr>
          <w:rFonts w:hint="eastAsia" w:hAnsi="宋体" w:cs="宋体"/>
          <w:highlight w:val="none"/>
        </w:rPr>
        <w:t>一、技术条款偏差表</w:t>
      </w:r>
    </w:p>
    <w:p w14:paraId="6D482E9F">
      <w:pPr>
        <w:spacing w:line="360" w:lineRule="auto"/>
        <w:ind w:firstLine="480" w:firstLineChars="200"/>
        <w:rPr>
          <w:rFonts w:hAnsi="宋体" w:cs="宋体"/>
          <w:highlight w:val="none"/>
        </w:rPr>
      </w:pPr>
      <w:r>
        <w:rPr>
          <w:rFonts w:hint="eastAsia" w:hAnsi="宋体" w:cs="宋体"/>
          <w:highlight w:val="none"/>
        </w:rPr>
        <w:t>二、投标货物技术性能指标的详细描述</w:t>
      </w:r>
    </w:p>
    <w:p w14:paraId="31C5F371">
      <w:pPr>
        <w:spacing w:line="360" w:lineRule="auto"/>
        <w:ind w:firstLine="480" w:firstLineChars="200"/>
        <w:rPr>
          <w:rFonts w:hAnsi="宋体" w:cs="宋体"/>
          <w:highlight w:val="none"/>
        </w:rPr>
      </w:pPr>
      <w:r>
        <w:rPr>
          <w:rFonts w:hint="eastAsia" w:hAnsi="宋体" w:cs="宋体"/>
          <w:highlight w:val="none"/>
        </w:rPr>
        <w:t>三、技术服务和质保期服务计划</w:t>
      </w:r>
    </w:p>
    <w:p w14:paraId="1818BCDD">
      <w:pPr>
        <w:spacing w:line="360" w:lineRule="auto"/>
        <w:ind w:firstLine="480" w:firstLineChars="200"/>
        <w:rPr>
          <w:rFonts w:hAnsi="宋体" w:cs="宋体"/>
          <w:highlight w:val="none"/>
        </w:rPr>
      </w:pPr>
      <w:r>
        <w:rPr>
          <w:rFonts w:hint="eastAsia" w:hAnsi="宋体" w:cs="宋体"/>
          <w:highlight w:val="none"/>
        </w:rPr>
        <w:t>四、技术支持资料</w:t>
      </w:r>
    </w:p>
    <w:p w14:paraId="228C59D0">
      <w:pPr>
        <w:spacing w:line="360" w:lineRule="auto"/>
        <w:ind w:firstLine="480" w:firstLineChars="200"/>
        <w:rPr>
          <w:rFonts w:hAnsi="宋体" w:cs="宋体"/>
          <w:highlight w:val="none"/>
        </w:rPr>
      </w:pPr>
      <w:r>
        <w:rPr>
          <w:rFonts w:hint="eastAsia" w:hAnsi="宋体" w:cs="宋体"/>
          <w:highlight w:val="none"/>
        </w:rPr>
        <w:t>五、技术文件详细评审资料</w:t>
      </w:r>
    </w:p>
    <w:p w14:paraId="5842256F">
      <w:pPr>
        <w:spacing w:line="360" w:lineRule="auto"/>
        <w:ind w:firstLine="480" w:firstLineChars="200"/>
        <w:rPr>
          <w:rFonts w:hAnsi="宋体" w:cs="宋体"/>
          <w:highlight w:val="none"/>
        </w:rPr>
      </w:pPr>
      <w:r>
        <w:rPr>
          <w:rFonts w:hint="eastAsia" w:hAnsi="宋体" w:cs="宋体"/>
          <w:highlight w:val="none"/>
        </w:rPr>
        <w:t>六、其他内容</w:t>
      </w:r>
    </w:p>
    <w:p w14:paraId="07A9CB19">
      <w:pPr>
        <w:pStyle w:val="2"/>
        <w:spacing w:before="0" w:after="0"/>
        <w:ind w:firstLine="480"/>
        <w:jc w:val="center"/>
        <w:rPr>
          <w:rFonts w:cs="黑体"/>
          <w:highlight w:val="none"/>
        </w:rPr>
      </w:pPr>
      <w:r>
        <w:rPr>
          <w:rFonts w:hint="eastAsia" w:cs="黑体"/>
          <w:highlight w:val="none"/>
        </w:rPr>
        <w:br w:type="page"/>
      </w:r>
      <w:r>
        <w:rPr>
          <w:rFonts w:hint="eastAsia" w:cs="黑体"/>
          <w:highlight w:val="none"/>
        </w:rPr>
        <w:t>一、技术条款偏差表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69"/>
        <w:gridCol w:w="977"/>
        <w:gridCol w:w="1150"/>
        <w:gridCol w:w="992"/>
        <w:gridCol w:w="1418"/>
        <w:gridCol w:w="1506"/>
      </w:tblGrid>
      <w:tr w14:paraId="1327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vAlign w:val="center"/>
          </w:tcPr>
          <w:p w14:paraId="3BB7BF3F">
            <w:pPr>
              <w:widowControl/>
              <w:snapToGrid w:val="0"/>
              <w:spacing w:line="360" w:lineRule="auto"/>
              <w:jc w:val="center"/>
              <w:rPr>
                <w:rFonts w:hAnsi="宋体" w:cs="宋体"/>
                <w:highlight w:val="none"/>
              </w:rPr>
            </w:pPr>
            <w:r>
              <w:rPr>
                <w:rFonts w:hint="eastAsia" w:hAnsi="宋体" w:cs="宋体"/>
                <w:highlight w:val="none"/>
              </w:rPr>
              <w:t>序号</w:t>
            </w:r>
          </w:p>
        </w:tc>
        <w:tc>
          <w:tcPr>
            <w:tcW w:w="3796" w:type="dxa"/>
            <w:gridSpan w:val="3"/>
            <w:vAlign w:val="center"/>
          </w:tcPr>
          <w:p w14:paraId="11836092">
            <w:pPr>
              <w:widowControl/>
              <w:snapToGrid w:val="0"/>
              <w:spacing w:line="360" w:lineRule="auto"/>
              <w:jc w:val="center"/>
              <w:rPr>
                <w:rFonts w:hAnsi="宋体" w:cs="宋体"/>
                <w:highlight w:val="none"/>
              </w:rPr>
            </w:pPr>
            <w:r>
              <w:rPr>
                <w:rFonts w:hint="eastAsia" w:hAnsi="宋体" w:cs="宋体"/>
                <w:highlight w:val="none"/>
              </w:rPr>
              <w:t>招标文件要求</w:t>
            </w:r>
          </w:p>
        </w:tc>
        <w:tc>
          <w:tcPr>
            <w:tcW w:w="2410" w:type="dxa"/>
            <w:gridSpan w:val="2"/>
            <w:vAlign w:val="center"/>
          </w:tcPr>
          <w:p w14:paraId="09B4CECF">
            <w:pPr>
              <w:widowControl/>
              <w:snapToGrid w:val="0"/>
              <w:spacing w:line="360" w:lineRule="auto"/>
              <w:jc w:val="center"/>
              <w:rPr>
                <w:rFonts w:hAnsi="宋体" w:cs="宋体"/>
                <w:highlight w:val="none"/>
              </w:rPr>
            </w:pPr>
            <w:r>
              <w:rPr>
                <w:rFonts w:hint="eastAsia" w:hAnsi="宋体" w:cs="宋体"/>
                <w:highlight w:val="none"/>
              </w:rPr>
              <w:t>投标文件响应</w:t>
            </w:r>
          </w:p>
        </w:tc>
        <w:tc>
          <w:tcPr>
            <w:tcW w:w="1506" w:type="dxa"/>
            <w:vMerge w:val="restart"/>
            <w:vAlign w:val="center"/>
          </w:tcPr>
          <w:p w14:paraId="433FF5A5">
            <w:pPr>
              <w:widowControl/>
              <w:snapToGrid w:val="0"/>
              <w:spacing w:line="360" w:lineRule="auto"/>
              <w:jc w:val="center"/>
              <w:rPr>
                <w:rFonts w:hAnsi="宋体" w:cs="宋体"/>
                <w:highlight w:val="none"/>
              </w:rPr>
            </w:pPr>
            <w:r>
              <w:rPr>
                <w:rFonts w:hint="eastAsia" w:hAnsi="宋体" w:cs="宋体"/>
                <w:highlight w:val="none"/>
              </w:rPr>
              <w:t>偏差说明</w:t>
            </w:r>
          </w:p>
        </w:tc>
      </w:tr>
      <w:tr w14:paraId="5BE8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740" w:type="dxa"/>
            <w:vMerge w:val="continue"/>
            <w:vAlign w:val="center"/>
          </w:tcPr>
          <w:p w14:paraId="0DAB9C5C">
            <w:pPr>
              <w:widowControl/>
              <w:snapToGrid w:val="0"/>
              <w:spacing w:line="360" w:lineRule="auto"/>
              <w:jc w:val="center"/>
              <w:rPr>
                <w:rFonts w:hAnsi="宋体" w:cs="宋体"/>
                <w:highlight w:val="none"/>
              </w:rPr>
            </w:pPr>
          </w:p>
        </w:tc>
        <w:tc>
          <w:tcPr>
            <w:tcW w:w="1669" w:type="dxa"/>
            <w:vAlign w:val="center"/>
          </w:tcPr>
          <w:p w14:paraId="272BD294">
            <w:pPr>
              <w:widowControl/>
              <w:snapToGrid w:val="0"/>
              <w:spacing w:line="360" w:lineRule="auto"/>
              <w:jc w:val="center"/>
              <w:rPr>
                <w:rFonts w:hAnsi="宋体" w:cs="宋体"/>
                <w:highlight w:val="none"/>
              </w:rPr>
            </w:pPr>
            <w:r>
              <w:rPr>
                <w:rFonts w:hint="eastAsia" w:hAnsi="宋体" w:cs="宋体"/>
                <w:highlight w:val="none"/>
              </w:rPr>
              <w:t>供货要求</w:t>
            </w:r>
          </w:p>
        </w:tc>
        <w:tc>
          <w:tcPr>
            <w:tcW w:w="977" w:type="dxa"/>
            <w:vAlign w:val="center"/>
          </w:tcPr>
          <w:p w14:paraId="1AF1C9FF">
            <w:pPr>
              <w:widowControl/>
              <w:snapToGrid w:val="0"/>
              <w:spacing w:line="360" w:lineRule="auto"/>
              <w:jc w:val="center"/>
              <w:rPr>
                <w:rFonts w:hAnsi="宋体" w:cs="宋体"/>
                <w:highlight w:val="none"/>
              </w:rPr>
            </w:pPr>
            <w:r>
              <w:rPr>
                <w:rFonts w:hint="eastAsia" w:hAnsi="宋体" w:cs="宋体"/>
                <w:highlight w:val="none"/>
              </w:rPr>
              <w:t>章节及条款号</w:t>
            </w:r>
          </w:p>
        </w:tc>
        <w:tc>
          <w:tcPr>
            <w:tcW w:w="1150" w:type="dxa"/>
            <w:vAlign w:val="center"/>
          </w:tcPr>
          <w:p w14:paraId="1CBF2487">
            <w:pPr>
              <w:widowControl/>
              <w:snapToGrid w:val="0"/>
              <w:spacing w:line="360" w:lineRule="auto"/>
              <w:jc w:val="center"/>
              <w:rPr>
                <w:rFonts w:hAnsi="宋体" w:cs="宋体"/>
                <w:highlight w:val="none"/>
              </w:rPr>
            </w:pPr>
            <w:r>
              <w:rPr>
                <w:rFonts w:hint="eastAsia" w:hAnsi="宋体" w:cs="宋体"/>
                <w:highlight w:val="none"/>
              </w:rPr>
              <w:t>具体要求</w:t>
            </w:r>
          </w:p>
        </w:tc>
        <w:tc>
          <w:tcPr>
            <w:tcW w:w="992" w:type="dxa"/>
            <w:vAlign w:val="center"/>
          </w:tcPr>
          <w:p w14:paraId="7E977565">
            <w:pPr>
              <w:widowControl/>
              <w:snapToGrid w:val="0"/>
              <w:spacing w:line="360" w:lineRule="auto"/>
              <w:jc w:val="center"/>
              <w:rPr>
                <w:rFonts w:hAnsi="宋体" w:cs="宋体"/>
                <w:highlight w:val="none"/>
              </w:rPr>
            </w:pPr>
            <w:r>
              <w:rPr>
                <w:rFonts w:hint="eastAsia" w:hAnsi="宋体" w:cs="宋体"/>
                <w:highlight w:val="none"/>
              </w:rPr>
              <w:t>章节及条款号</w:t>
            </w:r>
          </w:p>
        </w:tc>
        <w:tc>
          <w:tcPr>
            <w:tcW w:w="1418" w:type="dxa"/>
            <w:vAlign w:val="center"/>
          </w:tcPr>
          <w:p w14:paraId="253FB331">
            <w:pPr>
              <w:widowControl/>
              <w:snapToGrid w:val="0"/>
              <w:spacing w:line="360" w:lineRule="auto"/>
              <w:jc w:val="center"/>
              <w:rPr>
                <w:rFonts w:hAnsi="宋体" w:cs="宋体"/>
                <w:highlight w:val="none"/>
              </w:rPr>
            </w:pPr>
            <w:r>
              <w:rPr>
                <w:rFonts w:hint="eastAsia" w:hAnsi="宋体" w:cs="宋体"/>
                <w:highlight w:val="none"/>
              </w:rPr>
              <w:t>具体内容</w:t>
            </w:r>
          </w:p>
        </w:tc>
        <w:tc>
          <w:tcPr>
            <w:tcW w:w="1506" w:type="dxa"/>
            <w:vMerge w:val="continue"/>
            <w:vAlign w:val="center"/>
          </w:tcPr>
          <w:p w14:paraId="667AE4DF">
            <w:pPr>
              <w:widowControl/>
              <w:snapToGrid w:val="0"/>
              <w:spacing w:line="360" w:lineRule="auto"/>
              <w:jc w:val="center"/>
              <w:rPr>
                <w:rFonts w:hAnsi="宋体" w:cs="宋体"/>
                <w:highlight w:val="none"/>
              </w:rPr>
            </w:pPr>
          </w:p>
        </w:tc>
      </w:tr>
      <w:tr w14:paraId="4851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vAlign w:val="center"/>
          </w:tcPr>
          <w:p w14:paraId="4CBFF43D">
            <w:pPr>
              <w:widowControl/>
              <w:snapToGrid w:val="0"/>
              <w:spacing w:line="360" w:lineRule="auto"/>
              <w:jc w:val="center"/>
              <w:rPr>
                <w:rFonts w:hAnsi="宋体" w:cs="宋体"/>
                <w:highlight w:val="none"/>
              </w:rPr>
            </w:pPr>
            <w:r>
              <w:rPr>
                <w:rFonts w:hint="eastAsia" w:hAnsi="宋体" w:cs="宋体"/>
                <w:highlight w:val="none"/>
              </w:rPr>
              <w:t>1</w:t>
            </w:r>
          </w:p>
        </w:tc>
        <w:tc>
          <w:tcPr>
            <w:tcW w:w="1669" w:type="dxa"/>
            <w:vMerge w:val="restart"/>
            <w:vAlign w:val="center"/>
          </w:tcPr>
          <w:p w14:paraId="4D433D9F">
            <w:pPr>
              <w:widowControl/>
              <w:snapToGrid w:val="0"/>
              <w:spacing w:line="360" w:lineRule="auto"/>
              <w:jc w:val="center"/>
              <w:rPr>
                <w:rFonts w:hAnsi="宋体" w:cs="宋体"/>
                <w:highlight w:val="none"/>
              </w:rPr>
            </w:pPr>
            <w:r>
              <w:rPr>
                <w:rFonts w:hint="eastAsia" w:hAnsi="宋体" w:cs="宋体"/>
                <w:highlight w:val="none"/>
              </w:rPr>
              <w:t>供货范围</w:t>
            </w:r>
          </w:p>
        </w:tc>
        <w:tc>
          <w:tcPr>
            <w:tcW w:w="977" w:type="dxa"/>
            <w:vAlign w:val="center"/>
          </w:tcPr>
          <w:p w14:paraId="044BC284">
            <w:pPr>
              <w:widowControl/>
              <w:snapToGrid w:val="0"/>
              <w:spacing w:line="360" w:lineRule="auto"/>
              <w:jc w:val="center"/>
              <w:rPr>
                <w:rFonts w:hAnsi="宋体" w:cs="宋体"/>
                <w:highlight w:val="none"/>
              </w:rPr>
            </w:pPr>
          </w:p>
        </w:tc>
        <w:tc>
          <w:tcPr>
            <w:tcW w:w="1150" w:type="dxa"/>
            <w:vAlign w:val="center"/>
          </w:tcPr>
          <w:p w14:paraId="29A17A0F">
            <w:pPr>
              <w:widowControl/>
              <w:snapToGrid w:val="0"/>
              <w:spacing w:line="360" w:lineRule="auto"/>
              <w:jc w:val="center"/>
              <w:rPr>
                <w:rFonts w:hAnsi="宋体" w:cs="宋体"/>
                <w:highlight w:val="none"/>
              </w:rPr>
            </w:pPr>
          </w:p>
        </w:tc>
        <w:tc>
          <w:tcPr>
            <w:tcW w:w="992" w:type="dxa"/>
            <w:vAlign w:val="center"/>
          </w:tcPr>
          <w:p w14:paraId="33022236">
            <w:pPr>
              <w:widowControl/>
              <w:snapToGrid w:val="0"/>
              <w:spacing w:line="360" w:lineRule="auto"/>
              <w:jc w:val="center"/>
              <w:rPr>
                <w:rFonts w:hAnsi="宋体" w:cs="宋体"/>
                <w:highlight w:val="none"/>
              </w:rPr>
            </w:pPr>
          </w:p>
        </w:tc>
        <w:tc>
          <w:tcPr>
            <w:tcW w:w="1418" w:type="dxa"/>
            <w:vAlign w:val="center"/>
          </w:tcPr>
          <w:p w14:paraId="5374A0CF">
            <w:pPr>
              <w:widowControl/>
              <w:snapToGrid w:val="0"/>
              <w:spacing w:line="360" w:lineRule="auto"/>
              <w:jc w:val="center"/>
              <w:rPr>
                <w:rFonts w:hAnsi="宋体" w:cs="宋体"/>
                <w:highlight w:val="none"/>
              </w:rPr>
            </w:pPr>
          </w:p>
        </w:tc>
        <w:tc>
          <w:tcPr>
            <w:tcW w:w="1506" w:type="dxa"/>
            <w:vAlign w:val="center"/>
          </w:tcPr>
          <w:p w14:paraId="54BB73C9">
            <w:pPr>
              <w:widowControl/>
              <w:snapToGrid w:val="0"/>
              <w:spacing w:line="360" w:lineRule="auto"/>
              <w:jc w:val="center"/>
              <w:rPr>
                <w:rFonts w:hAnsi="宋体" w:cs="宋体"/>
                <w:highlight w:val="none"/>
              </w:rPr>
            </w:pPr>
          </w:p>
        </w:tc>
      </w:tr>
      <w:tr w14:paraId="06DE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vAlign w:val="center"/>
          </w:tcPr>
          <w:p w14:paraId="2F7F4199">
            <w:pPr>
              <w:widowControl/>
              <w:snapToGrid w:val="0"/>
              <w:spacing w:line="360" w:lineRule="auto"/>
              <w:jc w:val="center"/>
              <w:rPr>
                <w:rFonts w:hAnsi="宋体" w:cs="宋体"/>
                <w:highlight w:val="none"/>
              </w:rPr>
            </w:pPr>
          </w:p>
        </w:tc>
        <w:tc>
          <w:tcPr>
            <w:tcW w:w="1669" w:type="dxa"/>
            <w:vMerge w:val="continue"/>
            <w:vAlign w:val="center"/>
          </w:tcPr>
          <w:p w14:paraId="6E6D7519">
            <w:pPr>
              <w:widowControl/>
              <w:snapToGrid w:val="0"/>
              <w:spacing w:line="360" w:lineRule="auto"/>
              <w:jc w:val="center"/>
              <w:rPr>
                <w:rFonts w:hAnsi="宋体" w:cs="宋体"/>
                <w:highlight w:val="none"/>
              </w:rPr>
            </w:pPr>
          </w:p>
        </w:tc>
        <w:tc>
          <w:tcPr>
            <w:tcW w:w="977" w:type="dxa"/>
            <w:vAlign w:val="center"/>
          </w:tcPr>
          <w:p w14:paraId="78FC6824">
            <w:pPr>
              <w:widowControl/>
              <w:snapToGrid w:val="0"/>
              <w:spacing w:line="360" w:lineRule="auto"/>
              <w:jc w:val="center"/>
              <w:rPr>
                <w:rFonts w:hAnsi="宋体" w:cs="宋体"/>
                <w:highlight w:val="none"/>
              </w:rPr>
            </w:pPr>
          </w:p>
        </w:tc>
        <w:tc>
          <w:tcPr>
            <w:tcW w:w="1150" w:type="dxa"/>
            <w:vAlign w:val="center"/>
          </w:tcPr>
          <w:p w14:paraId="78F6FA92">
            <w:pPr>
              <w:widowControl/>
              <w:snapToGrid w:val="0"/>
              <w:spacing w:line="360" w:lineRule="auto"/>
              <w:jc w:val="center"/>
              <w:rPr>
                <w:rFonts w:hAnsi="宋体" w:cs="宋体"/>
                <w:highlight w:val="none"/>
              </w:rPr>
            </w:pPr>
          </w:p>
        </w:tc>
        <w:tc>
          <w:tcPr>
            <w:tcW w:w="992" w:type="dxa"/>
            <w:vAlign w:val="center"/>
          </w:tcPr>
          <w:p w14:paraId="1DB0D0C1">
            <w:pPr>
              <w:widowControl/>
              <w:snapToGrid w:val="0"/>
              <w:spacing w:line="360" w:lineRule="auto"/>
              <w:jc w:val="center"/>
              <w:rPr>
                <w:rFonts w:hAnsi="宋体" w:cs="宋体"/>
                <w:highlight w:val="none"/>
              </w:rPr>
            </w:pPr>
          </w:p>
        </w:tc>
        <w:tc>
          <w:tcPr>
            <w:tcW w:w="1418" w:type="dxa"/>
            <w:vAlign w:val="center"/>
          </w:tcPr>
          <w:p w14:paraId="60D23822">
            <w:pPr>
              <w:widowControl/>
              <w:snapToGrid w:val="0"/>
              <w:spacing w:line="360" w:lineRule="auto"/>
              <w:jc w:val="center"/>
              <w:rPr>
                <w:rFonts w:hAnsi="宋体" w:cs="宋体"/>
                <w:highlight w:val="none"/>
              </w:rPr>
            </w:pPr>
          </w:p>
        </w:tc>
        <w:tc>
          <w:tcPr>
            <w:tcW w:w="1506" w:type="dxa"/>
            <w:vAlign w:val="center"/>
          </w:tcPr>
          <w:p w14:paraId="7205A7EB">
            <w:pPr>
              <w:widowControl/>
              <w:snapToGrid w:val="0"/>
              <w:spacing w:line="360" w:lineRule="auto"/>
              <w:jc w:val="center"/>
              <w:rPr>
                <w:rFonts w:hAnsi="宋体" w:cs="宋体"/>
                <w:highlight w:val="none"/>
              </w:rPr>
            </w:pPr>
          </w:p>
        </w:tc>
      </w:tr>
      <w:tr w14:paraId="1DA1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vAlign w:val="center"/>
          </w:tcPr>
          <w:p w14:paraId="76FFC5BA">
            <w:pPr>
              <w:widowControl/>
              <w:snapToGrid w:val="0"/>
              <w:spacing w:line="360" w:lineRule="auto"/>
              <w:jc w:val="center"/>
              <w:rPr>
                <w:rFonts w:hAnsi="宋体" w:cs="宋体"/>
                <w:highlight w:val="none"/>
              </w:rPr>
            </w:pPr>
          </w:p>
        </w:tc>
        <w:tc>
          <w:tcPr>
            <w:tcW w:w="1669" w:type="dxa"/>
            <w:vMerge w:val="continue"/>
            <w:vAlign w:val="center"/>
          </w:tcPr>
          <w:p w14:paraId="00F3ECAA">
            <w:pPr>
              <w:widowControl/>
              <w:snapToGrid w:val="0"/>
              <w:spacing w:line="360" w:lineRule="auto"/>
              <w:jc w:val="center"/>
              <w:rPr>
                <w:rFonts w:hAnsi="宋体" w:cs="宋体"/>
                <w:highlight w:val="none"/>
              </w:rPr>
            </w:pPr>
          </w:p>
        </w:tc>
        <w:tc>
          <w:tcPr>
            <w:tcW w:w="977" w:type="dxa"/>
            <w:vAlign w:val="center"/>
          </w:tcPr>
          <w:p w14:paraId="05030349">
            <w:pPr>
              <w:widowControl/>
              <w:snapToGrid w:val="0"/>
              <w:spacing w:line="360" w:lineRule="auto"/>
              <w:jc w:val="center"/>
              <w:rPr>
                <w:rFonts w:hAnsi="宋体" w:cs="宋体"/>
                <w:highlight w:val="none"/>
              </w:rPr>
            </w:pPr>
          </w:p>
        </w:tc>
        <w:tc>
          <w:tcPr>
            <w:tcW w:w="1150" w:type="dxa"/>
            <w:vAlign w:val="center"/>
          </w:tcPr>
          <w:p w14:paraId="5ECE1AB1">
            <w:pPr>
              <w:widowControl/>
              <w:snapToGrid w:val="0"/>
              <w:spacing w:line="360" w:lineRule="auto"/>
              <w:jc w:val="center"/>
              <w:rPr>
                <w:rFonts w:hAnsi="宋体" w:cs="宋体"/>
                <w:highlight w:val="none"/>
              </w:rPr>
            </w:pPr>
          </w:p>
        </w:tc>
        <w:tc>
          <w:tcPr>
            <w:tcW w:w="992" w:type="dxa"/>
            <w:vAlign w:val="center"/>
          </w:tcPr>
          <w:p w14:paraId="7308FEEC">
            <w:pPr>
              <w:widowControl/>
              <w:snapToGrid w:val="0"/>
              <w:spacing w:line="360" w:lineRule="auto"/>
              <w:jc w:val="center"/>
              <w:rPr>
                <w:rFonts w:hAnsi="宋体" w:cs="宋体"/>
                <w:highlight w:val="none"/>
              </w:rPr>
            </w:pPr>
          </w:p>
        </w:tc>
        <w:tc>
          <w:tcPr>
            <w:tcW w:w="1418" w:type="dxa"/>
            <w:vAlign w:val="center"/>
          </w:tcPr>
          <w:p w14:paraId="391048DC">
            <w:pPr>
              <w:widowControl/>
              <w:snapToGrid w:val="0"/>
              <w:spacing w:line="360" w:lineRule="auto"/>
              <w:jc w:val="center"/>
              <w:rPr>
                <w:rFonts w:hAnsi="宋体" w:cs="宋体"/>
                <w:highlight w:val="none"/>
              </w:rPr>
            </w:pPr>
          </w:p>
        </w:tc>
        <w:tc>
          <w:tcPr>
            <w:tcW w:w="1506" w:type="dxa"/>
            <w:vAlign w:val="center"/>
          </w:tcPr>
          <w:p w14:paraId="0DD7DC69">
            <w:pPr>
              <w:widowControl/>
              <w:snapToGrid w:val="0"/>
              <w:spacing w:line="360" w:lineRule="auto"/>
              <w:jc w:val="center"/>
              <w:rPr>
                <w:rFonts w:hAnsi="宋体" w:cs="宋体"/>
                <w:highlight w:val="none"/>
              </w:rPr>
            </w:pPr>
          </w:p>
        </w:tc>
      </w:tr>
      <w:tr w14:paraId="741E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vAlign w:val="center"/>
          </w:tcPr>
          <w:p w14:paraId="23E390C9">
            <w:pPr>
              <w:widowControl/>
              <w:snapToGrid w:val="0"/>
              <w:spacing w:line="360" w:lineRule="auto"/>
              <w:jc w:val="center"/>
              <w:rPr>
                <w:rFonts w:hAnsi="宋体" w:cs="宋体"/>
                <w:highlight w:val="none"/>
              </w:rPr>
            </w:pPr>
            <w:r>
              <w:rPr>
                <w:rFonts w:hint="eastAsia" w:hAnsi="宋体" w:cs="宋体"/>
                <w:highlight w:val="none"/>
              </w:rPr>
              <w:t>2</w:t>
            </w:r>
          </w:p>
        </w:tc>
        <w:tc>
          <w:tcPr>
            <w:tcW w:w="1669" w:type="dxa"/>
            <w:vMerge w:val="restart"/>
            <w:vAlign w:val="center"/>
          </w:tcPr>
          <w:p w14:paraId="0B4A1F7B">
            <w:pPr>
              <w:widowControl/>
              <w:snapToGrid w:val="0"/>
              <w:spacing w:line="360" w:lineRule="auto"/>
              <w:jc w:val="center"/>
              <w:rPr>
                <w:rFonts w:hAnsi="宋体" w:cs="宋体"/>
                <w:highlight w:val="none"/>
              </w:rPr>
            </w:pPr>
            <w:r>
              <w:rPr>
                <w:rFonts w:hint="eastAsia" w:hAnsi="宋体" w:cs="宋体"/>
                <w:highlight w:val="none"/>
              </w:rPr>
              <w:t>相关配置、功能、技术性能参数等具体要求</w:t>
            </w:r>
          </w:p>
        </w:tc>
        <w:tc>
          <w:tcPr>
            <w:tcW w:w="977" w:type="dxa"/>
            <w:vAlign w:val="center"/>
          </w:tcPr>
          <w:p w14:paraId="7C3B4D9D">
            <w:pPr>
              <w:widowControl/>
              <w:snapToGrid w:val="0"/>
              <w:spacing w:line="360" w:lineRule="auto"/>
              <w:jc w:val="center"/>
              <w:rPr>
                <w:rFonts w:hAnsi="宋体" w:cs="宋体"/>
                <w:highlight w:val="none"/>
              </w:rPr>
            </w:pPr>
          </w:p>
        </w:tc>
        <w:tc>
          <w:tcPr>
            <w:tcW w:w="1150" w:type="dxa"/>
            <w:vAlign w:val="center"/>
          </w:tcPr>
          <w:p w14:paraId="234F1AA9">
            <w:pPr>
              <w:widowControl/>
              <w:snapToGrid w:val="0"/>
              <w:spacing w:line="360" w:lineRule="auto"/>
              <w:jc w:val="center"/>
              <w:rPr>
                <w:rFonts w:hAnsi="宋体" w:cs="宋体"/>
                <w:highlight w:val="none"/>
              </w:rPr>
            </w:pPr>
          </w:p>
        </w:tc>
        <w:tc>
          <w:tcPr>
            <w:tcW w:w="992" w:type="dxa"/>
            <w:vAlign w:val="center"/>
          </w:tcPr>
          <w:p w14:paraId="11C04BF8">
            <w:pPr>
              <w:widowControl/>
              <w:snapToGrid w:val="0"/>
              <w:spacing w:line="360" w:lineRule="auto"/>
              <w:jc w:val="center"/>
              <w:rPr>
                <w:rFonts w:hAnsi="宋体" w:cs="宋体"/>
                <w:highlight w:val="none"/>
              </w:rPr>
            </w:pPr>
          </w:p>
        </w:tc>
        <w:tc>
          <w:tcPr>
            <w:tcW w:w="1418" w:type="dxa"/>
            <w:vAlign w:val="center"/>
          </w:tcPr>
          <w:p w14:paraId="31C07915">
            <w:pPr>
              <w:widowControl/>
              <w:snapToGrid w:val="0"/>
              <w:spacing w:line="360" w:lineRule="auto"/>
              <w:jc w:val="center"/>
              <w:rPr>
                <w:rFonts w:hAnsi="宋体" w:cs="宋体"/>
                <w:highlight w:val="none"/>
              </w:rPr>
            </w:pPr>
          </w:p>
        </w:tc>
        <w:tc>
          <w:tcPr>
            <w:tcW w:w="1506" w:type="dxa"/>
            <w:vAlign w:val="center"/>
          </w:tcPr>
          <w:p w14:paraId="350E1110">
            <w:pPr>
              <w:widowControl/>
              <w:snapToGrid w:val="0"/>
              <w:spacing w:line="360" w:lineRule="auto"/>
              <w:jc w:val="center"/>
              <w:rPr>
                <w:rFonts w:hAnsi="宋体" w:cs="宋体"/>
                <w:highlight w:val="none"/>
              </w:rPr>
            </w:pPr>
          </w:p>
        </w:tc>
      </w:tr>
      <w:tr w14:paraId="71C6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vAlign w:val="center"/>
          </w:tcPr>
          <w:p w14:paraId="35527B5C">
            <w:pPr>
              <w:widowControl/>
              <w:snapToGrid w:val="0"/>
              <w:spacing w:line="360" w:lineRule="auto"/>
              <w:jc w:val="center"/>
              <w:rPr>
                <w:rFonts w:hAnsi="宋体" w:cs="宋体"/>
                <w:highlight w:val="none"/>
              </w:rPr>
            </w:pPr>
          </w:p>
        </w:tc>
        <w:tc>
          <w:tcPr>
            <w:tcW w:w="1669" w:type="dxa"/>
            <w:vMerge w:val="continue"/>
            <w:vAlign w:val="center"/>
          </w:tcPr>
          <w:p w14:paraId="4C282499">
            <w:pPr>
              <w:widowControl/>
              <w:snapToGrid w:val="0"/>
              <w:spacing w:line="360" w:lineRule="auto"/>
              <w:jc w:val="center"/>
              <w:rPr>
                <w:rFonts w:hAnsi="宋体" w:cs="宋体"/>
                <w:highlight w:val="none"/>
              </w:rPr>
            </w:pPr>
          </w:p>
        </w:tc>
        <w:tc>
          <w:tcPr>
            <w:tcW w:w="977" w:type="dxa"/>
            <w:vAlign w:val="center"/>
          </w:tcPr>
          <w:p w14:paraId="4431E18C">
            <w:pPr>
              <w:widowControl/>
              <w:snapToGrid w:val="0"/>
              <w:spacing w:line="360" w:lineRule="auto"/>
              <w:jc w:val="center"/>
              <w:rPr>
                <w:rFonts w:hAnsi="宋体" w:cs="宋体"/>
                <w:highlight w:val="none"/>
              </w:rPr>
            </w:pPr>
          </w:p>
        </w:tc>
        <w:tc>
          <w:tcPr>
            <w:tcW w:w="1150" w:type="dxa"/>
            <w:vAlign w:val="center"/>
          </w:tcPr>
          <w:p w14:paraId="15C54E1A">
            <w:pPr>
              <w:widowControl/>
              <w:snapToGrid w:val="0"/>
              <w:spacing w:line="360" w:lineRule="auto"/>
              <w:jc w:val="center"/>
              <w:rPr>
                <w:rFonts w:hAnsi="宋体" w:cs="宋体"/>
                <w:highlight w:val="none"/>
              </w:rPr>
            </w:pPr>
          </w:p>
        </w:tc>
        <w:tc>
          <w:tcPr>
            <w:tcW w:w="992" w:type="dxa"/>
            <w:vAlign w:val="center"/>
          </w:tcPr>
          <w:p w14:paraId="16D673EB">
            <w:pPr>
              <w:widowControl/>
              <w:snapToGrid w:val="0"/>
              <w:spacing w:line="360" w:lineRule="auto"/>
              <w:jc w:val="center"/>
              <w:rPr>
                <w:rFonts w:hAnsi="宋体" w:cs="宋体"/>
                <w:highlight w:val="none"/>
              </w:rPr>
            </w:pPr>
          </w:p>
        </w:tc>
        <w:tc>
          <w:tcPr>
            <w:tcW w:w="1418" w:type="dxa"/>
            <w:vAlign w:val="center"/>
          </w:tcPr>
          <w:p w14:paraId="5E16C46A">
            <w:pPr>
              <w:widowControl/>
              <w:snapToGrid w:val="0"/>
              <w:spacing w:line="360" w:lineRule="auto"/>
              <w:jc w:val="center"/>
              <w:rPr>
                <w:rFonts w:hAnsi="宋体" w:cs="宋体"/>
                <w:highlight w:val="none"/>
              </w:rPr>
            </w:pPr>
          </w:p>
        </w:tc>
        <w:tc>
          <w:tcPr>
            <w:tcW w:w="1506" w:type="dxa"/>
            <w:vAlign w:val="center"/>
          </w:tcPr>
          <w:p w14:paraId="764BE75A">
            <w:pPr>
              <w:widowControl/>
              <w:snapToGrid w:val="0"/>
              <w:spacing w:line="360" w:lineRule="auto"/>
              <w:jc w:val="center"/>
              <w:rPr>
                <w:rFonts w:hAnsi="宋体" w:cs="宋体"/>
                <w:highlight w:val="none"/>
              </w:rPr>
            </w:pPr>
          </w:p>
        </w:tc>
      </w:tr>
      <w:tr w14:paraId="4172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740" w:type="dxa"/>
            <w:vMerge w:val="continue"/>
            <w:vAlign w:val="center"/>
          </w:tcPr>
          <w:p w14:paraId="6A92F83D">
            <w:pPr>
              <w:widowControl/>
              <w:snapToGrid w:val="0"/>
              <w:spacing w:line="360" w:lineRule="auto"/>
              <w:jc w:val="center"/>
              <w:rPr>
                <w:rFonts w:hAnsi="宋体" w:cs="宋体"/>
                <w:highlight w:val="none"/>
              </w:rPr>
            </w:pPr>
          </w:p>
        </w:tc>
        <w:tc>
          <w:tcPr>
            <w:tcW w:w="1669" w:type="dxa"/>
            <w:vMerge w:val="continue"/>
            <w:vAlign w:val="center"/>
          </w:tcPr>
          <w:p w14:paraId="61E427B9">
            <w:pPr>
              <w:widowControl/>
              <w:snapToGrid w:val="0"/>
              <w:spacing w:line="360" w:lineRule="auto"/>
              <w:jc w:val="center"/>
              <w:rPr>
                <w:rFonts w:hAnsi="宋体" w:cs="宋体"/>
                <w:highlight w:val="none"/>
              </w:rPr>
            </w:pPr>
          </w:p>
        </w:tc>
        <w:tc>
          <w:tcPr>
            <w:tcW w:w="977" w:type="dxa"/>
            <w:vAlign w:val="center"/>
          </w:tcPr>
          <w:p w14:paraId="0F437DB2">
            <w:pPr>
              <w:widowControl/>
              <w:snapToGrid w:val="0"/>
              <w:spacing w:line="360" w:lineRule="auto"/>
              <w:jc w:val="center"/>
              <w:rPr>
                <w:rFonts w:hAnsi="宋体" w:cs="宋体"/>
                <w:highlight w:val="none"/>
              </w:rPr>
            </w:pPr>
          </w:p>
        </w:tc>
        <w:tc>
          <w:tcPr>
            <w:tcW w:w="1150" w:type="dxa"/>
            <w:vAlign w:val="center"/>
          </w:tcPr>
          <w:p w14:paraId="3AC653F8">
            <w:pPr>
              <w:widowControl/>
              <w:snapToGrid w:val="0"/>
              <w:spacing w:line="360" w:lineRule="auto"/>
              <w:jc w:val="center"/>
              <w:rPr>
                <w:rFonts w:hAnsi="宋体" w:cs="宋体"/>
                <w:highlight w:val="none"/>
              </w:rPr>
            </w:pPr>
          </w:p>
        </w:tc>
        <w:tc>
          <w:tcPr>
            <w:tcW w:w="992" w:type="dxa"/>
            <w:vAlign w:val="center"/>
          </w:tcPr>
          <w:p w14:paraId="0B11D436">
            <w:pPr>
              <w:widowControl/>
              <w:snapToGrid w:val="0"/>
              <w:spacing w:line="360" w:lineRule="auto"/>
              <w:jc w:val="center"/>
              <w:rPr>
                <w:rFonts w:hAnsi="宋体" w:cs="宋体"/>
                <w:highlight w:val="none"/>
              </w:rPr>
            </w:pPr>
          </w:p>
        </w:tc>
        <w:tc>
          <w:tcPr>
            <w:tcW w:w="1418" w:type="dxa"/>
            <w:vAlign w:val="center"/>
          </w:tcPr>
          <w:p w14:paraId="347159AC">
            <w:pPr>
              <w:widowControl/>
              <w:snapToGrid w:val="0"/>
              <w:spacing w:line="360" w:lineRule="auto"/>
              <w:jc w:val="center"/>
              <w:rPr>
                <w:rFonts w:hAnsi="宋体" w:cs="宋体"/>
                <w:highlight w:val="none"/>
              </w:rPr>
            </w:pPr>
          </w:p>
        </w:tc>
        <w:tc>
          <w:tcPr>
            <w:tcW w:w="1506" w:type="dxa"/>
            <w:vAlign w:val="center"/>
          </w:tcPr>
          <w:p w14:paraId="68C09556">
            <w:pPr>
              <w:widowControl/>
              <w:snapToGrid w:val="0"/>
              <w:spacing w:line="360" w:lineRule="auto"/>
              <w:jc w:val="center"/>
              <w:rPr>
                <w:rFonts w:hAnsi="宋体" w:cs="宋体"/>
                <w:highlight w:val="none"/>
              </w:rPr>
            </w:pPr>
          </w:p>
        </w:tc>
      </w:tr>
      <w:tr w14:paraId="32C8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vAlign w:val="center"/>
          </w:tcPr>
          <w:p w14:paraId="58F57EB0">
            <w:pPr>
              <w:widowControl/>
              <w:snapToGrid w:val="0"/>
              <w:spacing w:line="360" w:lineRule="auto"/>
              <w:jc w:val="center"/>
              <w:rPr>
                <w:rFonts w:hAnsi="宋体" w:cs="宋体"/>
                <w:highlight w:val="none"/>
              </w:rPr>
            </w:pPr>
            <w:r>
              <w:rPr>
                <w:rFonts w:hint="eastAsia" w:hAnsi="宋体" w:cs="宋体"/>
                <w:highlight w:val="none"/>
              </w:rPr>
              <w:t>3</w:t>
            </w:r>
          </w:p>
        </w:tc>
        <w:tc>
          <w:tcPr>
            <w:tcW w:w="1669" w:type="dxa"/>
            <w:vMerge w:val="restart"/>
            <w:vAlign w:val="center"/>
          </w:tcPr>
          <w:p w14:paraId="69357E08">
            <w:pPr>
              <w:widowControl/>
              <w:snapToGrid w:val="0"/>
              <w:spacing w:line="360" w:lineRule="auto"/>
              <w:jc w:val="center"/>
              <w:rPr>
                <w:rFonts w:hAnsi="宋体" w:cs="宋体"/>
                <w:highlight w:val="none"/>
              </w:rPr>
            </w:pPr>
            <w:r>
              <w:rPr>
                <w:rFonts w:hint="eastAsia" w:hAnsi="宋体" w:cs="宋体"/>
                <w:highlight w:val="none"/>
              </w:rPr>
              <w:t>检验考核要求</w:t>
            </w:r>
          </w:p>
        </w:tc>
        <w:tc>
          <w:tcPr>
            <w:tcW w:w="977" w:type="dxa"/>
            <w:vAlign w:val="center"/>
          </w:tcPr>
          <w:p w14:paraId="38076C4F">
            <w:pPr>
              <w:widowControl/>
              <w:snapToGrid w:val="0"/>
              <w:spacing w:line="360" w:lineRule="auto"/>
              <w:jc w:val="center"/>
              <w:rPr>
                <w:rFonts w:hAnsi="宋体" w:cs="宋体"/>
                <w:highlight w:val="none"/>
              </w:rPr>
            </w:pPr>
          </w:p>
        </w:tc>
        <w:tc>
          <w:tcPr>
            <w:tcW w:w="1150" w:type="dxa"/>
            <w:vAlign w:val="center"/>
          </w:tcPr>
          <w:p w14:paraId="41EA51C1">
            <w:pPr>
              <w:widowControl/>
              <w:snapToGrid w:val="0"/>
              <w:spacing w:line="360" w:lineRule="auto"/>
              <w:jc w:val="center"/>
              <w:rPr>
                <w:rFonts w:hAnsi="宋体" w:cs="宋体"/>
                <w:highlight w:val="none"/>
              </w:rPr>
            </w:pPr>
          </w:p>
        </w:tc>
        <w:tc>
          <w:tcPr>
            <w:tcW w:w="992" w:type="dxa"/>
            <w:vAlign w:val="center"/>
          </w:tcPr>
          <w:p w14:paraId="3F1D28DA">
            <w:pPr>
              <w:widowControl/>
              <w:snapToGrid w:val="0"/>
              <w:spacing w:line="360" w:lineRule="auto"/>
              <w:jc w:val="center"/>
              <w:rPr>
                <w:rFonts w:hAnsi="宋体" w:cs="宋体"/>
                <w:highlight w:val="none"/>
              </w:rPr>
            </w:pPr>
          </w:p>
        </w:tc>
        <w:tc>
          <w:tcPr>
            <w:tcW w:w="1418" w:type="dxa"/>
            <w:vAlign w:val="center"/>
          </w:tcPr>
          <w:p w14:paraId="408F82D0">
            <w:pPr>
              <w:widowControl/>
              <w:snapToGrid w:val="0"/>
              <w:spacing w:line="360" w:lineRule="auto"/>
              <w:jc w:val="center"/>
              <w:rPr>
                <w:rFonts w:hAnsi="宋体" w:cs="宋体"/>
                <w:highlight w:val="none"/>
              </w:rPr>
            </w:pPr>
          </w:p>
        </w:tc>
        <w:tc>
          <w:tcPr>
            <w:tcW w:w="1506" w:type="dxa"/>
            <w:vAlign w:val="center"/>
          </w:tcPr>
          <w:p w14:paraId="0688966A">
            <w:pPr>
              <w:widowControl/>
              <w:snapToGrid w:val="0"/>
              <w:spacing w:line="360" w:lineRule="auto"/>
              <w:jc w:val="center"/>
              <w:rPr>
                <w:rFonts w:hAnsi="宋体" w:cs="宋体"/>
                <w:highlight w:val="none"/>
              </w:rPr>
            </w:pPr>
          </w:p>
        </w:tc>
      </w:tr>
      <w:tr w14:paraId="05A3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vAlign w:val="center"/>
          </w:tcPr>
          <w:p w14:paraId="16E994BE">
            <w:pPr>
              <w:widowControl/>
              <w:snapToGrid w:val="0"/>
              <w:spacing w:line="360" w:lineRule="auto"/>
              <w:jc w:val="center"/>
              <w:rPr>
                <w:rFonts w:hAnsi="宋体" w:cs="宋体"/>
                <w:highlight w:val="none"/>
              </w:rPr>
            </w:pPr>
          </w:p>
        </w:tc>
        <w:tc>
          <w:tcPr>
            <w:tcW w:w="1669" w:type="dxa"/>
            <w:vMerge w:val="continue"/>
            <w:vAlign w:val="center"/>
          </w:tcPr>
          <w:p w14:paraId="59F295AB">
            <w:pPr>
              <w:widowControl/>
              <w:snapToGrid w:val="0"/>
              <w:spacing w:line="360" w:lineRule="auto"/>
              <w:jc w:val="center"/>
              <w:rPr>
                <w:rFonts w:hAnsi="宋体" w:cs="宋体"/>
                <w:highlight w:val="none"/>
              </w:rPr>
            </w:pPr>
          </w:p>
        </w:tc>
        <w:tc>
          <w:tcPr>
            <w:tcW w:w="977" w:type="dxa"/>
            <w:vAlign w:val="center"/>
          </w:tcPr>
          <w:p w14:paraId="168B4F53">
            <w:pPr>
              <w:widowControl/>
              <w:snapToGrid w:val="0"/>
              <w:spacing w:line="360" w:lineRule="auto"/>
              <w:jc w:val="center"/>
              <w:rPr>
                <w:rFonts w:hAnsi="宋体" w:cs="宋体"/>
                <w:highlight w:val="none"/>
              </w:rPr>
            </w:pPr>
          </w:p>
        </w:tc>
        <w:tc>
          <w:tcPr>
            <w:tcW w:w="1150" w:type="dxa"/>
            <w:vAlign w:val="center"/>
          </w:tcPr>
          <w:p w14:paraId="3845C2B8">
            <w:pPr>
              <w:widowControl/>
              <w:snapToGrid w:val="0"/>
              <w:spacing w:line="360" w:lineRule="auto"/>
              <w:jc w:val="center"/>
              <w:rPr>
                <w:rFonts w:hAnsi="宋体" w:cs="宋体"/>
                <w:highlight w:val="none"/>
              </w:rPr>
            </w:pPr>
          </w:p>
        </w:tc>
        <w:tc>
          <w:tcPr>
            <w:tcW w:w="992" w:type="dxa"/>
            <w:vAlign w:val="center"/>
          </w:tcPr>
          <w:p w14:paraId="4CCC3039">
            <w:pPr>
              <w:widowControl/>
              <w:snapToGrid w:val="0"/>
              <w:spacing w:line="360" w:lineRule="auto"/>
              <w:jc w:val="center"/>
              <w:rPr>
                <w:rFonts w:hAnsi="宋体" w:cs="宋体"/>
                <w:highlight w:val="none"/>
              </w:rPr>
            </w:pPr>
          </w:p>
        </w:tc>
        <w:tc>
          <w:tcPr>
            <w:tcW w:w="1418" w:type="dxa"/>
            <w:vAlign w:val="center"/>
          </w:tcPr>
          <w:p w14:paraId="195F9D1E">
            <w:pPr>
              <w:widowControl/>
              <w:snapToGrid w:val="0"/>
              <w:spacing w:line="360" w:lineRule="auto"/>
              <w:jc w:val="center"/>
              <w:rPr>
                <w:rFonts w:hAnsi="宋体" w:cs="宋体"/>
                <w:highlight w:val="none"/>
              </w:rPr>
            </w:pPr>
          </w:p>
        </w:tc>
        <w:tc>
          <w:tcPr>
            <w:tcW w:w="1506" w:type="dxa"/>
            <w:vAlign w:val="center"/>
          </w:tcPr>
          <w:p w14:paraId="05FADDB1">
            <w:pPr>
              <w:widowControl/>
              <w:snapToGrid w:val="0"/>
              <w:spacing w:line="360" w:lineRule="auto"/>
              <w:jc w:val="center"/>
              <w:rPr>
                <w:rFonts w:hAnsi="宋体" w:cs="宋体"/>
                <w:highlight w:val="none"/>
              </w:rPr>
            </w:pPr>
          </w:p>
        </w:tc>
      </w:tr>
      <w:tr w14:paraId="4146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vAlign w:val="center"/>
          </w:tcPr>
          <w:p w14:paraId="61AC43B0">
            <w:pPr>
              <w:widowControl/>
              <w:snapToGrid w:val="0"/>
              <w:spacing w:line="360" w:lineRule="auto"/>
              <w:jc w:val="center"/>
              <w:rPr>
                <w:rFonts w:hAnsi="宋体" w:cs="宋体"/>
                <w:highlight w:val="none"/>
              </w:rPr>
            </w:pPr>
          </w:p>
        </w:tc>
        <w:tc>
          <w:tcPr>
            <w:tcW w:w="1669" w:type="dxa"/>
            <w:vMerge w:val="continue"/>
            <w:vAlign w:val="center"/>
          </w:tcPr>
          <w:p w14:paraId="41A42FE3">
            <w:pPr>
              <w:widowControl/>
              <w:snapToGrid w:val="0"/>
              <w:spacing w:line="360" w:lineRule="auto"/>
              <w:jc w:val="center"/>
              <w:rPr>
                <w:rFonts w:hAnsi="宋体" w:cs="宋体"/>
                <w:highlight w:val="none"/>
              </w:rPr>
            </w:pPr>
          </w:p>
        </w:tc>
        <w:tc>
          <w:tcPr>
            <w:tcW w:w="977" w:type="dxa"/>
            <w:vAlign w:val="center"/>
          </w:tcPr>
          <w:p w14:paraId="3A6FC168">
            <w:pPr>
              <w:widowControl/>
              <w:snapToGrid w:val="0"/>
              <w:spacing w:line="360" w:lineRule="auto"/>
              <w:jc w:val="center"/>
              <w:rPr>
                <w:rFonts w:hAnsi="宋体" w:cs="宋体"/>
                <w:highlight w:val="none"/>
              </w:rPr>
            </w:pPr>
          </w:p>
        </w:tc>
        <w:tc>
          <w:tcPr>
            <w:tcW w:w="1150" w:type="dxa"/>
            <w:vAlign w:val="center"/>
          </w:tcPr>
          <w:p w14:paraId="2D048FA5">
            <w:pPr>
              <w:widowControl/>
              <w:snapToGrid w:val="0"/>
              <w:spacing w:line="360" w:lineRule="auto"/>
              <w:jc w:val="center"/>
              <w:rPr>
                <w:rFonts w:hAnsi="宋体" w:cs="宋体"/>
                <w:highlight w:val="none"/>
              </w:rPr>
            </w:pPr>
          </w:p>
        </w:tc>
        <w:tc>
          <w:tcPr>
            <w:tcW w:w="992" w:type="dxa"/>
            <w:vAlign w:val="center"/>
          </w:tcPr>
          <w:p w14:paraId="3D9F5614">
            <w:pPr>
              <w:widowControl/>
              <w:snapToGrid w:val="0"/>
              <w:spacing w:line="360" w:lineRule="auto"/>
              <w:jc w:val="center"/>
              <w:rPr>
                <w:rFonts w:hAnsi="宋体" w:cs="宋体"/>
                <w:highlight w:val="none"/>
              </w:rPr>
            </w:pPr>
          </w:p>
        </w:tc>
        <w:tc>
          <w:tcPr>
            <w:tcW w:w="1418" w:type="dxa"/>
            <w:vAlign w:val="center"/>
          </w:tcPr>
          <w:p w14:paraId="3FC9C599">
            <w:pPr>
              <w:widowControl/>
              <w:snapToGrid w:val="0"/>
              <w:spacing w:line="360" w:lineRule="auto"/>
              <w:jc w:val="center"/>
              <w:rPr>
                <w:rFonts w:hAnsi="宋体" w:cs="宋体"/>
                <w:highlight w:val="none"/>
              </w:rPr>
            </w:pPr>
          </w:p>
        </w:tc>
        <w:tc>
          <w:tcPr>
            <w:tcW w:w="1506" w:type="dxa"/>
            <w:vAlign w:val="center"/>
          </w:tcPr>
          <w:p w14:paraId="63DF94B4">
            <w:pPr>
              <w:widowControl/>
              <w:snapToGrid w:val="0"/>
              <w:spacing w:line="360" w:lineRule="auto"/>
              <w:jc w:val="center"/>
              <w:rPr>
                <w:rFonts w:hAnsi="宋体" w:cs="宋体"/>
                <w:highlight w:val="none"/>
              </w:rPr>
            </w:pPr>
          </w:p>
        </w:tc>
      </w:tr>
      <w:tr w14:paraId="0ED2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vAlign w:val="center"/>
          </w:tcPr>
          <w:p w14:paraId="30C8A6AD">
            <w:pPr>
              <w:widowControl/>
              <w:snapToGrid w:val="0"/>
              <w:spacing w:line="360" w:lineRule="auto"/>
              <w:jc w:val="center"/>
              <w:rPr>
                <w:rFonts w:hAnsi="宋体" w:cs="宋体"/>
                <w:highlight w:val="none"/>
              </w:rPr>
            </w:pPr>
            <w:r>
              <w:rPr>
                <w:rFonts w:hint="eastAsia" w:hAnsi="宋体" w:cs="宋体"/>
                <w:highlight w:val="none"/>
              </w:rPr>
              <w:t>4</w:t>
            </w:r>
          </w:p>
        </w:tc>
        <w:tc>
          <w:tcPr>
            <w:tcW w:w="1669" w:type="dxa"/>
            <w:vMerge w:val="restart"/>
            <w:vAlign w:val="center"/>
          </w:tcPr>
          <w:p w14:paraId="6559C84C">
            <w:pPr>
              <w:widowControl/>
              <w:snapToGrid w:val="0"/>
              <w:spacing w:line="360" w:lineRule="auto"/>
              <w:jc w:val="center"/>
              <w:rPr>
                <w:rFonts w:hAnsi="宋体" w:cs="宋体"/>
                <w:highlight w:val="none"/>
              </w:rPr>
            </w:pPr>
            <w:r>
              <w:rPr>
                <w:rFonts w:hint="eastAsia" w:hAnsi="宋体" w:cs="宋体"/>
                <w:highlight w:val="none"/>
              </w:rPr>
              <w:t>技术服务要求</w:t>
            </w:r>
          </w:p>
        </w:tc>
        <w:tc>
          <w:tcPr>
            <w:tcW w:w="977" w:type="dxa"/>
            <w:vAlign w:val="center"/>
          </w:tcPr>
          <w:p w14:paraId="2B6F2DBE">
            <w:pPr>
              <w:widowControl/>
              <w:snapToGrid w:val="0"/>
              <w:spacing w:line="360" w:lineRule="auto"/>
              <w:jc w:val="center"/>
              <w:rPr>
                <w:rFonts w:hAnsi="宋体" w:cs="宋体"/>
                <w:highlight w:val="none"/>
              </w:rPr>
            </w:pPr>
          </w:p>
        </w:tc>
        <w:tc>
          <w:tcPr>
            <w:tcW w:w="1150" w:type="dxa"/>
            <w:vAlign w:val="center"/>
          </w:tcPr>
          <w:p w14:paraId="646D1994">
            <w:pPr>
              <w:widowControl/>
              <w:snapToGrid w:val="0"/>
              <w:spacing w:line="360" w:lineRule="auto"/>
              <w:jc w:val="center"/>
              <w:rPr>
                <w:rFonts w:hAnsi="宋体" w:cs="宋体"/>
                <w:highlight w:val="none"/>
              </w:rPr>
            </w:pPr>
          </w:p>
        </w:tc>
        <w:tc>
          <w:tcPr>
            <w:tcW w:w="992" w:type="dxa"/>
            <w:vAlign w:val="center"/>
          </w:tcPr>
          <w:p w14:paraId="61E0325F">
            <w:pPr>
              <w:widowControl/>
              <w:snapToGrid w:val="0"/>
              <w:spacing w:line="360" w:lineRule="auto"/>
              <w:jc w:val="center"/>
              <w:rPr>
                <w:rFonts w:hAnsi="宋体" w:cs="宋体"/>
                <w:highlight w:val="none"/>
              </w:rPr>
            </w:pPr>
          </w:p>
        </w:tc>
        <w:tc>
          <w:tcPr>
            <w:tcW w:w="1418" w:type="dxa"/>
            <w:vAlign w:val="center"/>
          </w:tcPr>
          <w:p w14:paraId="0E6688E8">
            <w:pPr>
              <w:widowControl/>
              <w:snapToGrid w:val="0"/>
              <w:spacing w:line="360" w:lineRule="auto"/>
              <w:jc w:val="center"/>
              <w:rPr>
                <w:rFonts w:hAnsi="宋体" w:cs="宋体"/>
                <w:highlight w:val="none"/>
              </w:rPr>
            </w:pPr>
          </w:p>
        </w:tc>
        <w:tc>
          <w:tcPr>
            <w:tcW w:w="1506" w:type="dxa"/>
            <w:vAlign w:val="center"/>
          </w:tcPr>
          <w:p w14:paraId="3B3AF721">
            <w:pPr>
              <w:widowControl/>
              <w:snapToGrid w:val="0"/>
              <w:spacing w:line="360" w:lineRule="auto"/>
              <w:jc w:val="center"/>
              <w:rPr>
                <w:rFonts w:hAnsi="宋体" w:cs="宋体"/>
                <w:highlight w:val="none"/>
              </w:rPr>
            </w:pPr>
          </w:p>
        </w:tc>
      </w:tr>
      <w:tr w14:paraId="1786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vAlign w:val="center"/>
          </w:tcPr>
          <w:p w14:paraId="13B5E72F">
            <w:pPr>
              <w:widowControl/>
              <w:snapToGrid w:val="0"/>
              <w:spacing w:line="360" w:lineRule="auto"/>
              <w:jc w:val="center"/>
              <w:rPr>
                <w:rFonts w:hAnsi="宋体" w:cs="宋体"/>
                <w:highlight w:val="none"/>
              </w:rPr>
            </w:pPr>
          </w:p>
        </w:tc>
        <w:tc>
          <w:tcPr>
            <w:tcW w:w="1669" w:type="dxa"/>
            <w:vMerge w:val="continue"/>
            <w:vAlign w:val="center"/>
          </w:tcPr>
          <w:p w14:paraId="3B53612C">
            <w:pPr>
              <w:widowControl/>
              <w:snapToGrid w:val="0"/>
              <w:spacing w:line="360" w:lineRule="auto"/>
              <w:jc w:val="center"/>
              <w:rPr>
                <w:rFonts w:hAnsi="宋体" w:cs="宋体"/>
                <w:highlight w:val="none"/>
              </w:rPr>
            </w:pPr>
          </w:p>
        </w:tc>
        <w:tc>
          <w:tcPr>
            <w:tcW w:w="977" w:type="dxa"/>
            <w:vAlign w:val="center"/>
          </w:tcPr>
          <w:p w14:paraId="34C3C569">
            <w:pPr>
              <w:widowControl/>
              <w:snapToGrid w:val="0"/>
              <w:spacing w:line="360" w:lineRule="auto"/>
              <w:jc w:val="center"/>
              <w:rPr>
                <w:rFonts w:hAnsi="宋体" w:cs="宋体"/>
                <w:highlight w:val="none"/>
              </w:rPr>
            </w:pPr>
          </w:p>
        </w:tc>
        <w:tc>
          <w:tcPr>
            <w:tcW w:w="1150" w:type="dxa"/>
            <w:vAlign w:val="center"/>
          </w:tcPr>
          <w:p w14:paraId="5D0955F3">
            <w:pPr>
              <w:widowControl/>
              <w:snapToGrid w:val="0"/>
              <w:spacing w:line="360" w:lineRule="auto"/>
              <w:jc w:val="center"/>
              <w:rPr>
                <w:rFonts w:hAnsi="宋体" w:cs="宋体"/>
                <w:highlight w:val="none"/>
              </w:rPr>
            </w:pPr>
          </w:p>
        </w:tc>
        <w:tc>
          <w:tcPr>
            <w:tcW w:w="992" w:type="dxa"/>
            <w:vAlign w:val="center"/>
          </w:tcPr>
          <w:p w14:paraId="3DE42E87">
            <w:pPr>
              <w:widowControl/>
              <w:snapToGrid w:val="0"/>
              <w:spacing w:line="360" w:lineRule="auto"/>
              <w:jc w:val="center"/>
              <w:rPr>
                <w:rFonts w:hAnsi="宋体" w:cs="宋体"/>
                <w:highlight w:val="none"/>
              </w:rPr>
            </w:pPr>
          </w:p>
        </w:tc>
        <w:tc>
          <w:tcPr>
            <w:tcW w:w="1418" w:type="dxa"/>
            <w:vAlign w:val="center"/>
          </w:tcPr>
          <w:p w14:paraId="513248CF">
            <w:pPr>
              <w:widowControl/>
              <w:snapToGrid w:val="0"/>
              <w:spacing w:line="360" w:lineRule="auto"/>
              <w:jc w:val="center"/>
              <w:rPr>
                <w:rFonts w:hAnsi="宋体" w:cs="宋体"/>
                <w:highlight w:val="none"/>
              </w:rPr>
            </w:pPr>
          </w:p>
        </w:tc>
        <w:tc>
          <w:tcPr>
            <w:tcW w:w="1506" w:type="dxa"/>
            <w:vAlign w:val="center"/>
          </w:tcPr>
          <w:p w14:paraId="51C9514C">
            <w:pPr>
              <w:widowControl/>
              <w:snapToGrid w:val="0"/>
              <w:spacing w:line="360" w:lineRule="auto"/>
              <w:jc w:val="center"/>
              <w:rPr>
                <w:rFonts w:hAnsi="宋体" w:cs="宋体"/>
                <w:highlight w:val="none"/>
              </w:rPr>
            </w:pPr>
          </w:p>
        </w:tc>
      </w:tr>
      <w:tr w14:paraId="17DD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vAlign w:val="center"/>
          </w:tcPr>
          <w:p w14:paraId="77FB44E3">
            <w:pPr>
              <w:widowControl/>
              <w:snapToGrid w:val="0"/>
              <w:spacing w:line="360" w:lineRule="auto"/>
              <w:jc w:val="center"/>
              <w:rPr>
                <w:rFonts w:hAnsi="宋体" w:cs="宋体"/>
                <w:highlight w:val="none"/>
              </w:rPr>
            </w:pPr>
          </w:p>
        </w:tc>
        <w:tc>
          <w:tcPr>
            <w:tcW w:w="1669" w:type="dxa"/>
            <w:vMerge w:val="continue"/>
            <w:vAlign w:val="center"/>
          </w:tcPr>
          <w:p w14:paraId="03DD0CCD">
            <w:pPr>
              <w:widowControl/>
              <w:snapToGrid w:val="0"/>
              <w:spacing w:line="360" w:lineRule="auto"/>
              <w:jc w:val="center"/>
              <w:rPr>
                <w:rFonts w:hAnsi="宋体" w:cs="宋体"/>
                <w:highlight w:val="none"/>
              </w:rPr>
            </w:pPr>
          </w:p>
        </w:tc>
        <w:tc>
          <w:tcPr>
            <w:tcW w:w="977" w:type="dxa"/>
            <w:vAlign w:val="center"/>
          </w:tcPr>
          <w:p w14:paraId="2DD25810">
            <w:pPr>
              <w:widowControl/>
              <w:snapToGrid w:val="0"/>
              <w:spacing w:line="360" w:lineRule="auto"/>
              <w:jc w:val="center"/>
              <w:rPr>
                <w:rFonts w:hAnsi="宋体" w:cs="宋体"/>
                <w:highlight w:val="none"/>
              </w:rPr>
            </w:pPr>
          </w:p>
        </w:tc>
        <w:tc>
          <w:tcPr>
            <w:tcW w:w="1150" w:type="dxa"/>
            <w:vAlign w:val="center"/>
          </w:tcPr>
          <w:p w14:paraId="4AFEDB20">
            <w:pPr>
              <w:widowControl/>
              <w:snapToGrid w:val="0"/>
              <w:spacing w:line="360" w:lineRule="auto"/>
              <w:jc w:val="center"/>
              <w:rPr>
                <w:rFonts w:hAnsi="宋体" w:cs="宋体"/>
                <w:highlight w:val="none"/>
              </w:rPr>
            </w:pPr>
          </w:p>
        </w:tc>
        <w:tc>
          <w:tcPr>
            <w:tcW w:w="992" w:type="dxa"/>
            <w:vAlign w:val="center"/>
          </w:tcPr>
          <w:p w14:paraId="1A9693DD">
            <w:pPr>
              <w:widowControl/>
              <w:snapToGrid w:val="0"/>
              <w:spacing w:line="360" w:lineRule="auto"/>
              <w:jc w:val="center"/>
              <w:rPr>
                <w:rFonts w:hAnsi="宋体" w:cs="宋体"/>
                <w:highlight w:val="none"/>
              </w:rPr>
            </w:pPr>
          </w:p>
        </w:tc>
        <w:tc>
          <w:tcPr>
            <w:tcW w:w="1418" w:type="dxa"/>
            <w:vAlign w:val="center"/>
          </w:tcPr>
          <w:p w14:paraId="164F33C3">
            <w:pPr>
              <w:widowControl/>
              <w:snapToGrid w:val="0"/>
              <w:spacing w:line="360" w:lineRule="auto"/>
              <w:jc w:val="center"/>
              <w:rPr>
                <w:rFonts w:hAnsi="宋体" w:cs="宋体"/>
                <w:highlight w:val="none"/>
              </w:rPr>
            </w:pPr>
          </w:p>
        </w:tc>
        <w:tc>
          <w:tcPr>
            <w:tcW w:w="1506" w:type="dxa"/>
            <w:vAlign w:val="center"/>
          </w:tcPr>
          <w:p w14:paraId="6891F9AD">
            <w:pPr>
              <w:widowControl/>
              <w:snapToGrid w:val="0"/>
              <w:spacing w:line="360" w:lineRule="auto"/>
              <w:jc w:val="center"/>
              <w:rPr>
                <w:rFonts w:hAnsi="宋体" w:cs="宋体"/>
                <w:highlight w:val="none"/>
              </w:rPr>
            </w:pPr>
          </w:p>
        </w:tc>
      </w:tr>
      <w:tr w14:paraId="610D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vAlign w:val="center"/>
          </w:tcPr>
          <w:p w14:paraId="7459F169">
            <w:pPr>
              <w:widowControl/>
              <w:snapToGrid w:val="0"/>
              <w:spacing w:line="360" w:lineRule="auto"/>
              <w:jc w:val="center"/>
              <w:rPr>
                <w:rFonts w:hAnsi="宋体" w:cs="宋体"/>
                <w:highlight w:val="none"/>
              </w:rPr>
            </w:pPr>
            <w:r>
              <w:rPr>
                <w:rFonts w:hint="eastAsia" w:hAnsi="宋体" w:cs="宋体"/>
                <w:highlight w:val="none"/>
              </w:rPr>
              <w:t>……</w:t>
            </w:r>
          </w:p>
        </w:tc>
        <w:tc>
          <w:tcPr>
            <w:tcW w:w="1669" w:type="dxa"/>
            <w:vMerge w:val="restart"/>
            <w:vAlign w:val="center"/>
          </w:tcPr>
          <w:p w14:paraId="35119F5D">
            <w:pPr>
              <w:widowControl/>
              <w:snapToGrid w:val="0"/>
              <w:spacing w:line="360" w:lineRule="auto"/>
              <w:jc w:val="center"/>
              <w:rPr>
                <w:rFonts w:hAnsi="宋体" w:cs="宋体"/>
                <w:highlight w:val="none"/>
              </w:rPr>
            </w:pPr>
            <w:r>
              <w:rPr>
                <w:rFonts w:hint="eastAsia" w:hAnsi="宋体" w:cs="宋体"/>
                <w:highlight w:val="none"/>
              </w:rPr>
              <w:t>其他要求</w:t>
            </w:r>
          </w:p>
        </w:tc>
        <w:tc>
          <w:tcPr>
            <w:tcW w:w="977" w:type="dxa"/>
            <w:vAlign w:val="center"/>
          </w:tcPr>
          <w:p w14:paraId="3E33C869">
            <w:pPr>
              <w:widowControl/>
              <w:snapToGrid w:val="0"/>
              <w:spacing w:line="360" w:lineRule="auto"/>
              <w:jc w:val="center"/>
              <w:rPr>
                <w:rFonts w:hAnsi="宋体" w:cs="宋体"/>
                <w:highlight w:val="none"/>
              </w:rPr>
            </w:pPr>
          </w:p>
        </w:tc>
        <w:tc>
          <w:tcPr>
            <w:tcW w:w="1150" w:type="dxa"/>
            <w:vAlign w:val="center"/>
          </w:tcPr>
          <w:p w14:paraId="44172384">
            <w:pPr>
              <w:widowControl/>
              <w:snapToGrid w:val="0"/>
              <w:spacing w:line="360" w:lineRule="auto"/>
              <w:jc w:val="center"/>
              <w:rPr>
                <w:rFonts w:hAnsi="宋体" w:cs="宋体"/>
                <w:highlight w:val="none"/>
              </w:rPr>
            </w:pPr>
          </w:p>
        </w:tc>
        <w:tc>
          <w:tcPr>
            <w:tcW w:w="992" w:type="dxa"/>
            <w:vAlign w:val="center"/>
          </w:tcPr>
          <w:p w14:paraId="00D41163">
            <w:pPr>
              <w:widowControl/>
              <w:snapToGrid w:val="0"/>
              <w:spacing w:line="360" w:lineRule="auto"/>
              <w:jc w:val="center"/>
              <w:rPr>
                <w:rFonts w:hAnsi="宋体" w:cs="宋体"/>
                <w:highlight w:val="none"/>
              </w:rPr>
            </w:pPr>
          </w:p>
        </w:tc>
        <w:tc>
          <w:tcPr>
            <w:tcW w:w="1418" w:type="dxa"/>
            <w:vAlign w:val="center"/>
          </w:tcPr>
          <w:p w14:paraId="58B73DAD">
            <w:pPr>
              <w:widowControl/>
              <w:snapToGrid w:val="0"/>
              <w:spacing w:line="360" w:lineRule="auto"/>
              <w:jc w:val="center"/>
              <w:rPr>
                <w:rFonts w:hAnsi="宋体" w:cs="宋体"/>
                <w:highlight w:val="none"/>
              </w:rPr>
            </w:pPr>
          </w:p>
        </w:tc>
        <w:tc>
          <w:tcPr>
            <w:tcW w:w="1506" w:type="dxa"/>
            <w:vAlign w:val="center"/>
          </w:tcPr>
          <w:p w14:paraId="01BCCE98">
            <w:pPr>
              <w:widowControl/>
              <w:snapToGrid w:val="0"/>
              <w:spacing w:line="360" w:lineRule="auto"/>
              <w:jc w:val="center"/>
              <w:rPr>
                <w:rFonts w:hAnsi="宋体" w:cs="宋体"/>
                <w:highlight w:val="none"/>
              </w:rPr>
            </w:pPr>
          </w:p>
        </w:tc>
      </w:tr>
      <w:tr w14:paraId="006A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vAlign w:val="center"/>
          </w:tcPr>
          <w:p w14:paraId="24FCFA60">
            <w:pPr>
              <w:widowControl/>
              <w:snapToGrid w:val="0"/>
              <w:spacing w:line="360" w:lineRule="auto"/>
              <w:jc w:val="center"/>
              <w:rPr>
                <w:rFonts w:hAnsi="宋体" w:cs="宋体"/>
                <w:highlight w:val="none"/>
              </w:rPr>
            </w:pPr>
          </w:p>
        </w:tc>
        <w:tc>
          <w:tcPr>
            <w:tcW w:w="1669" w:type="dxa"/>
            <w:vMerge w:val="continue"/>
            <w:vAlign w:val="center"/>
          </w:tcPr>
          <w:p w14:paraId="0ED68984">
            <w:pPr>
              <w:widowControl/>
              <w:snapToGrid w:val="0"/>
              <w:spacing w:line="360" w:lineRule="auto"/>
              <w:jc w:val="center"/>
              <w:rPr>
                <w:rFonts w:hAnsi="宋体" w:cs="宋体"/>
                <w:highlight w:val="none"/>
              </w:rPr>
            </w:pPr>
          </w:p>
        </w:tc>
        <w:tc>
          <w:tcPr>
            <w:tcW w:w="977" w:type="dxa"/>
            <w:vAlign w:val="center"/>
          </w:tcPr>
          <w:p w14:paraId="4CAD6867">
            <w:pPr>
              <w:widowControl/>
              <w:snapToGrid w:val="0"/>
              <w:spacing w:line="360" w:lineRule="auto"/>
              <w:jc w:val="center"/>
              <w:rPr>
                <w:rFonts w:hAnsi="宋体" w:cs="宋体"/>
                <w:highlight w:val="none"/>
              </w:rPr>
            </w:pPr>
          </w:p>
        </w:tc>
        <w:tc>
          <w:tcPr>
            <w:tcW w:w="1150" w:type="dxa"/>
            <w:vAlign w:val="center"/>
          </w:tcPr>
          <w:p w14:paraId="1C662D12">
            <w:pPr>
              <w:widowControl/>
              <w:snapToGrid w:val="0"/>
              <w:spacing w:line="360" w:lineRule="auto"/>
              <w:jc w:val="center"/>
              <w:rPr>
                <w:rFonts w:hAnsi="宋体" w:cs="宋体"/>
                <w:highlight w:val="none"/>
              </w:rPr>
            </w:pPr>
          </w:p>
        </w:tc>
        <w:tc>
          <w:tcPr>
            <w:tcW w:w="992" w:type="dxa"/>
            <w:vAlign w:val="center"/>
          </w:tcPr>
          <w:p w14:paraId="3A7D4755">
            <w:pPr>
              <w:widowControl/>
              <w:snapToGrid w:val="0"/>
              <w:spacing w:line="360" w:lineRule="auto"/>
              <w:jc w:val="center"/>
              <w:rPr>
                <w:rFonts w:hAnsi="宋体" w:cs="宋体"/>
                <w:highlight w:val="none"/>
              </w:rPr>
            </w:pPr>
          </w:p>
        </w:tc>
        <w:tc>
          <w:tcPr>
            <w:tcW w:w="1418" w:type="dxa"/>
            <w:vAlign w:val="center"/>
          </w:tcPr>
          <w:p w14:paraId="3D931CBE">
            <w:pPr>
              <w:widowControl/>
              <w:snapToGrid w:val="0"/>
              <w:spacing w:line="360" w:lineRule="auto"/>
              <w:jc w:val="center"/>
              <w:rPr>
                <w:rFonts w:hAnsi="宋体" w:cs="宋体"/>
                <w:highlight w:val="none"/>
              </w:rPr>
            </w:pPr>
          </w:p>
        </w:tc>
        <w:tc>
          <w:tcPr>
            <w:tcW w:w="1506" w:type="dxa"/>
            <w:vAlign w:val="center"/>
          </w:tcPr>
          <w:p w14:paraId="0FE084BD">
            <w:pPr>
              <w:widowControl/>
              <w:snapToGrid w:val="0"/>
              <w:spacing w:line="360" w:lineRule="auto"/>
              <w:jc w:val="center"/>
              <w:rPr>
                <w:rFonts w:hAnsi="宋体" w:cs="宋体"/>
                <w:highlight w:val="none"/>
              </w:rPr>
            </w:pPr>
          </w:p>
        </w:tc>
      </w:tr>
    </w:tbl>
    <w:p w14:paraId="246F8980">
      <w:pPr>
        <w:spacing w:line="360" w:lineRule="auto"/>
        <w:rPr>
          <w:rFonts w:hAnsi="宋体" w:cs="宋体"/>
          <w:highlight w:val="none"/>
        </w:rPr>
      </w:pPr>
    </w:p>
    <w:p w14:paraId="32682D50">
      <w:pPr>
        <w:spacing w:line="360" w:lineRule="auto"/>
        <w:rPr>
          <w:rFonts w:hAnsi="宋体" w:cs="宋体"/>
          <w:highlight w:val="none"/>
        </w:rPr>
      </w:pPr>
      <w:r>
        <w:rPr>
          <w:rFonts w:hint="eastAsia" w:hAnsi="宋体" w:cs="宋体"/>
          <w:highlight w:val="none"/>
        </w:rPr>
        <w:t>投标人保证：除技术条款偏差表列出的偏差外，投标人响应招标文件的全部要求。</w:t>
      </w:r>
    </w:p>
    <w:p w14:paraId="5805A110">
      <w:pPr>
        <w:rPr>
          <w:highlight w:val="none"/>
        </w:rPr>
      </w:pPr>
    </w:p>
    <w:p w14:paraId="05CC7F1C">
      <w:pPr>
        <w:spacing w:beforeLines="50" w:afterLines="50" w:line="360" w:lineRule="auto"/>
        <w:jc w:val="center"/>
        <w:outlineLvl w:val="2"/>
        <w:rPr>
          <w:rFonts w:ascii="Times New Roman"/>
          <w:bCs/>
          <w:szCs w:val="24"/>
          <w:highlight w:val="none"/>
        </w:rPr>
      </w:pPr>
      <w:r>
        <w:rPr>
          <w:rFonts w:ascii="Times New Roman"/>
          <w:sz w:val="32"/>
          <w:szCs w:val="32"/>
          <w:highlight w:val="none"/>
        </w:rPr>
        <w:br w:type="page"/>
      </w:r>
      <w:bookmarkEnd w:id="1196"/>
      <w:bookmarkEnd w:id="1197"/>
      <w:bookmarkEnd w:id="1198"/>
      <w:bookmarkEnd w:id="1199"/>
      <w:bookmarkEnd w:id="1200"/>
      <w:bookmarkEnd w:id="1201"/>
      <w:r>
        <w:rPr>
          <w:rFonts w:hint="eastAsia" w:ascii="黑体" w:hAnsi="黑体" w:eastAsia="黑体" w:cs="黑体"/>
          <w:szCs w:val="24"/>
          <w:highlight w:val="none"/>
        </w:rPr>
        <w:t>二、投标货物技术性能指标的详细描述</w:t>
      </w:r>
    </w:p>
    <w:p w14:paraId="55FFF6C0">
      <w:pPr>
        <w:jc w:val="center"/>
        <w:rPr>
          <w:sz w:val="28"/>
          <w:szCs w:val="28"/>
          <w:highlight w:val="none"/>
        </w:rPr>
      </w:pPr>
    </w:p>
    <w:p w14:paraId="3DE06A07">
      <w:pPr>
        <w:pStyle w:val="2"/>
        <w:jc w:val="center"/>
        <w:rPr>
          <w:rFonts w:cs="黑体"/>
          <w:bCs w:val="0"/>
          <w:szCs w:val="22"/>
          <w:highlight w:val="none"/>
        </w:rPr>
      </w:pPr>
      <w:r>
        <w:rPr>
          <w:rFonts w:hint="eastAsia" w:ascii="Times New Roman" w:hAnsi="Times New Roman" w:eastAsia="宋体"/>
          <w:highlight w:val="none"/>
        </w:rPr>
        <w:br w:type="page"/>
      </w:r>
      <w:r>
        <w:rPr>
          <w:rFonts w:hint="eastAsia" w:cs="黑体"/>
          <w:bCs w:val="0"/>
          <w:highlight w:val="none"/>
        </w:rPr>
        <w:t>三、技术服务和质保期服务计划</w:t>
      </w:r>
    </w:p>
    <w:p w14:paraId="346A0B09">
      <w:pPr>
        <w:pStyle w:val="2"/>
        <w:jc w:val="center"/>
        <w:rPr>
          <w:highlight w:val="none"/>
        </w:rPr>
      </w:pPr>
      <w:r>
        <w:rPr>
          <w:rFonts w:hint="eastAsia" w:ascii="Times New Roman" w:hAnsi="Times New Roman"/>
          <w:highlight w:val="none"/>
        </w:rPr>
        <w:br w:type="page"/>
      </w:r>
      <w:r>
        <w:rPr>
          <w:rFonts w:hint="eastAsia" w:ascii="Times New Roman" w:hAnsi="Times New Roman"/>
          <w:highlight w:val="none"/>
        </w:rPr>
        <w:t>四、</w:t>
      </w:r>
      <w:r>
        <w:rPr>
          <w:rFonts w:hint="eastAsia" w:cs="黑体"/>
          <w:bCs w:val="0"/>
          <w:highlight w:val="none"/>
        </w:rPr>
        <w:t>技术支持资料</w:t>
      </w:r>
    </w:p>
    <w:p w14:paraId="4E418F35">
      <w:pPr>
        <w:pStyle w:val="2"/>
        <w:jc w:val="center"/>
        <w:rPr>
          <w:rFonts w:ascii="Times New Roman" w:hAnsi="Times New Roman"/>
          <w:highlight w:val="none"/>
        </w:rPr>
      </w:pPr>
      <w:r>
        <w:rPr>
          <w:szCs w:val="22"/>
          <w:highlight w:val="none"/>
        </w:rPr>
        <w:br w:type="page"/>
      </w:r>
      <w:r>
        <w:rPr>
          <w:rFonts w:hint="eastAsia" w:ascii="Times New Roman" w:hAnsi="Times New Roman"/>
          <w:highlight w:val="none"/>
        </w:rPr>
        <w:t>五、技术文件详细评审资料</w:t>
      </w:r>
    </w:p>
    <w:p w14:paraId="07944118">
      <w:pPr>
        <w:rPr>
          <w:highlight w:val="none"/>
        </w:rPr>
      </w:pPr>
      <w:r>
        <w:rPr>
          <w:rFonts w:hint="eastAsia" w:ascii="Times New Roman"/>
          <w:szCs w:val="24"/>
          <w:highlight w:val="none"/>
        </w:rPr>
        <w:t>投标人对照技术文件详细评审条件，自行提供其他相关资料（如有）</w:t>
      </w:r>
    </w:p>
    <w:p w14:paraId="790B37B6">
      <w:pPr>
        <w:spacing w:beforeLines="50" w:afterLines="50" w:line="360" w:lineRule="auto"/>
        <w:jc w:val="center"/>
        <w:outlineLvl w:val="3"/>
        <w:rPr>
          <w:bCs/>
          <w:szCs w:val="24"/>
          <w:highlight w:val="none"/>
        </w:rPr>
      </w:pPr>
      <w:r>
        <w:rPr>
          <w:rFonts w:hint="eastAsia"/>
          <w:bCs/>
          <w:szCs w:val="24"/>
          <w:highlight w:val="none"/>
        </w:rPr>
        <w:t>（一）供货及安装方案</w:t>
      </w:r>
    </w:p>
    <w:p w14:paraId="14A70DF0">
      <w:pPr>
        <w:spacing w:beforeLines="50" w:afterLines="50" w:line="360" w:lineRule="auto"/>
        <w:jc w:val="center"/>
        <w:outlineLvl w:val="3"/>
        <w:rPr>
          <w:bCs/>
          <w:szCs w:val="24"/>
          <w:highlight w:val="none"/>
        </w:rPr>
      </w:pPr>
      <w:r>
        <w:rPr>
          <w:rFonts w:hint="eastAsia"/>
          <w:bCs/>
          <w:szCs w:val="24"/>
          <w:highlight w:val="none"/>
        </w:rPr>
        <w:br w:type="page"/>
      </w:r>
      <w:r>
        <w:rPr>
          <w:rFonts w:hint="eastAsia"/>
          <w:bCs/>
          <w:szCs w:val="24"/>
          <w:highlight w:val="none"/>
        </w:rPr>
        <w:t>（二）其他</w:t>
      </w:r>
    </w:p>
    <w:p w14:paraId="2164BD84">
      <w:pPr>
        <w:pStyle w:val="2"/>
        <w:spacing w:beforeLines="100" w:afterLines="100" w:line="240" w:lineRule="auto"/>
        <w:jc w:val="center"/>
        <w:rPr>
          <w:rFonts w:ascii="Times New Roman" w:hAnsi="Times New Roman"/>
          <w:highlight w:val="none"/>
        </w:rPr>
      </w:pPr>
      <w:r>
        <w:rPr>
          <w:rFonts w:hint="eastAsia" w:ascii="Times New Roman" w:hAnsi="Times New Roman"/>
          <w:highlight w:val="none"/>
        </w:rPr>
        <w:br w:type="page"/>
      </w:r>
      <w:r>
        <w:rPr>
          <w:rFonts w:hint="eastAsia" w:ascii="Times New Roman" w:hAnsi="Times New Roman"/>
          <w:highlight w:val="none"/>
        </w:rPr>
        <w:t>六、其他内容</w:t>
      </w:r>
    </w:p>
    <w:p w14:paraId="1EEF1D9C">
      <w:pPr>
        <w:tabs>
          <w:tab w:val="left" w:pos="2580"/>
          <w:tab w:val="left" w:pos="5940"/>
        </w:tabs>
        <w:autoSpaceDE w:val="0"/>
        <w:autoSpaceDN w:val="0"/>
        <w:adjustRightInd w:val="0"/>
        <w:snapToGrid w:val="0"/>
        <w:spacing w:line="400" w:lineRule="exact"/>
        <w:ind w:firstLine="456" w:firstLineChars="200"/>
        <w:jc w:val="center"/>
        <w:rPr>
          <w:rFonts w:ascii="Times New Roman"/>
          <w:spacing w:val="-6"/>
          <w:szCs w:val="21"/>
          <w:highlight w:val="none"/>
        </w:rPr>
      </w:pPr>
      <w:r>
        <w:rPr>
          <w:rFonts w:hint="eastAsia" w:ascii="Times New Roman"/>
          <w:spacing w:val="-6"/>
          <w:szCs w:val="24"/>
          <w:highlight w:val="none"/>
        </w:rPr>
        <w:t>投标人根据自身情况可以自行增加相关内容，如无，本节可以不附</w:t>
      </w:r>
      <w:r>
        <w:rPr>
          <w:rFonts w:hint="eastAsia" w:ascii="Times New Roman"/>
          <w:spacing w:val="-6"/>
          <w:szCs w:val="21"/>
          <w:highlight w:val="none"/>
        </w:rPr>
        <w:t>。</w:t>
      </w:r>
    </w:p>
    <w:p w14:paraId="03461BF3">
      <w:pPr>
        <w:tabs>
          <w:tab w:val="left" w:pos="2580"/>
          <w:tab w:val="left" w:pos="5940"/>
        </w:tabs>
        <w:autoSpaceDE w:val="0"/>
        <w:autoSpaceDN w:val="0"/>
        <w:adjustRightInd w:val="0"/>
        <w:snapToGrid w:val="0"/>
        <w:spacing w:before="480" w:beforeLines="200" w:line="360" w:lineRule="auto"/>
        <w:jc w:val="center"/>
        <w:outlineLvl w:val="0"/>
        <w:rPr>
          <w:rFonts w:hint="eastAsia" w:ascii="Times New Roman"/>
          <w:b/>
          <w:bCs/>
          <w:color w:val="auto"/>
          <w:sz w:val="44"/>
          <w:szCs w:val="44"/>
          <w:highlight w:val="none"/>
        </w:rPr>
      </w:pPr>
      <w:r>
        <w:rPr>
          <w:rFonts w:hint="eastAsia" w:ascii="Times New Roman" w:eastAsia="黑体"/>
          <w:sz w:val="28"/>
          <w:szCs w:val="28"/>
          <w:highlight w:val="none"/>
          <w:u w:val="single"/>
        </w:rPr>
        <w:br w:type="page"/>
      </w:r>
      <w:bookmarkStart w:id="1202" w:name="_Toc31668"/>
      <w:r>
        <w:rPr>
          <w:rFonts w:hint="eastAsia" w:ascii="Times New Roman"/>
          <w:b/>
          <w:color w:val="auto"/>
          <w:sz w:val="44"/>
          <w:szCs w:val="44"/>
          <w:highlight w:val="none"/>
          <w:u w:val="single"/>
        </w:rPr>
        <w:t>（招标项目名称）</w:t>
      </w:r>
      <w:r>
        <w:rPr>
          <w:rFonts w:hint="eastAsia" w:ascii="Times New Roman"/>
          <w:color w:val="auto"/>
          <w:sz w:val="44"/>
          <w:szCs w:val="44"/>
          <w:highlight w:val="none"/>
        </w:rPr>
        <w:t xml:space="preserve"> </w:t>
      </w:r>
      <w:r>
        <w:rPr>
          <w:rFonts w:hint="eastAsia" w:ascii="Times New Roman"/>
          <w:bCs/>
          <w:color w:val="auto"/>
          <w:sz w:val="44"/>
          <w:szCs w:val="44"/>
          <w:highlight w:val="none"/>
          <w:u w:val="single"/>
        </w:rPr>
        <w:t xml:space="preserve">      </w:t>
      </w:r>
      <w:r>
        <w:rPr>
          <w:rFonts w:hint="eastAsia" w:ascii="Times New Roman"/>
          <w:b/>
          <w:color w:val="auto"/>
          <w:sz w:val="44"/>
          <w:szCs w:val="44"/>
          <w:highlight w:val="none"/>
        </w:rPr>
        <w:t>标段招标</w:t>
      </w:r>
      <w:bookmarkEnd w:id="1202"/>
    </w:p>
    <w:p w14:paraId="489AA093">
      <w:pPr>
        <w:pStyle w:val="4"/>
        <w:spacing w:before="1200" w:beforeLines="500" w:after="240" w:afterLines="100" w:line="240" w:lineRule="auto"/>
        <w:jc w:val="center"/>
        <w:rPr>
          <w:rFonts w:hint="eastAsia" w:ascii="Times New Roman" w:hAnsi="Times New Roman" w:eastAsia="黑体"/>
          <w:b w:val="0"/>
          <w:color w:val="auto"/>
          <w:sz w:val="44"/>
          <w:szCs w:val="44"/>
          <w:highlight w:val="none"/>
        </w:rPr>
      </w:pPr>
      <w:bookmarkStart w:id="1203" w:name="_Toc20069"/>
      <w:bookmarkStart w:id="1204" w:name="_Toc20892"/>
      <w:bookmarkStart w:id="1205" w:name="_Toc7747"/>
      <w:r>
        <w:rPr>
          <w:rFonts w:hint="eastAsia" w:ascii="Times New Roman" w:hAnsi="Times New Roman" w:eastAsia="黑体"/>
          <w:b w:val="0"/>
          <w:color w:val="auto"/>
          <w:sz w:val="44"/>
          <w:szCs w:val="44"/>
          <w:highlight w:val="none"/>
        </w:rPr>
        <w:t>投标文件</w:t>
      </w:r>
      <w:bookmarkEnd w:id="1203"/>
      <w:bookmarkEnd w:id="1204"/>
    </w:p>
    <w:p w14:paraId="760CA51D">
      <w:pPr>
        <w:pStyle w:val="4"/>
        <w:jc w:val="center"/>
        <w:rPr>
          <w:rFonts w:hint="eastAsia" w:ascii="Times New Roman" w:hAnsi="Times New Roman" w:eastAsia="黑体"/>
          <w:b w:val="0"/>
          <w:color w:val="auto"/>
          <w:highlight w:val="none"/>
        </w:rPr>
      </w:pPr>
      <w:bookmarkStart w:id="1206" w:name="_Toc20930"/>
      <w:bookmarkStart w:id="1207" w:name="_Toc28422"/>
      <w:r>
        <w:rPr>
          <w:rFonts w:hint="eastAsia" w:ascii="Times New Roman" w:hAnsi="Times New Roman" w:eastAsia="黑体"/>
          <w:b w:val="0"/>
          <w:color w:val="auto"/>
          <w:highlight w:val="none"/>
        </w:rPr>
        <w:t>（报价文件）</w:t>
      </w:r>
      <w:bookmarkEnd w:id="1205"/>
      <w:bookmarkEnd w:id="1206"/>
      <w:bookmarkEnd w:id="1207"/>
    </w:p>
    <w:p w14:paraId="73B2A327">
      <w:pPr>
        <w:spacing w:before="7200" w:beforeLines="3000" w:line="480" w:lineRule="auto"/>
        <w:jc w:val="center"/>
        <w:rPr>
          <w:rFonts w:hint="eastAsia" w:ascii="Times New Roman" w:eastAsia="黑体"/>
          <w:color w:val="auto"/>
          <w:sz w:val="28"/>
          <w:szCs w:val="28"/>
          <w:highlight w:val="none"/>
        </w:rPr>
      </w:pPr>
      <w:bookmarkStart w:id="1208" w:name="_Toc9461"/>
      <w:bookmarkStart w:id="1209" w:name="_Toc11104"/>
      <w:bookmarkStart w:id="1210" w:name="_Toc19468"/>
      <w:bookmarkStart w:id="1211" w:name="_Toc28590"/>
      <w:r>
        <w:rPr>
          <w:rFonts w:hint="eastAsia" w:ascii="Times New Roman" w:eastAsia="黑体"/>
          <w:color w:val="auto"/>
          <w:sz w:val="28"/>
          <w:szCs w:val="28"/>
          <w:highlight w:val="none"/>
        </w:rPr>
        <w:t>投标人：</w:t>
      </w:r>
      <w:r>
        <w:rPr>
          <w:rFonts w:hint="eastAsia" w:ascii="Times New Roman" w:eastAsia="黑体"/>
          <w:color w:val="auto"/>
          <w:sz w:val="28"/>
          <w:szCs w:val="28"/>
          <w:highlight w:val="none"/>
          <w:u w:val="single"/>
        </w:rPr>
        <w:t xml:space="preserve">                               </w:t>
      </w:r>
      <w:r>
        <w:rPr>
          <w:rFonts w:hint="eastAsia" w:ascii="Times New Roman" w:eastAsia="黑体"/>
          <w:color w:val="auto"/>
          <w:sz w:val="28"/>
          <w:szCs w:val="28"/>
          <w:highlight w:val="none"/>
        </w:rPr>
        <w:t>（盖单位章）</w:t>
      </w:r>
      <w:bookmarkEnd w:id="1208"/>
      <w:bookmarkEnd w:id="1209"/>
      <w:bookmarkEnd w:id="1210"/>
      <w:bookmarkEnd w:id="1211"/>
    </w:p>
    <w:p w14:paraId="076ABFB2">
      <w:pPr>
        <w:tabs>
          <w:tab w:val="left" w:pos="3280"/>
          <w:tab w:val="left" w:pos="4680"/>
          <w:tab w:val="left" w:pos="6080"/>
        </w:tabs>
        <w:autoSpaceDE w:val="0"/>
        <w:autoSpaceDN w:val="0"/>
        <w:adjustRightInd w:val="0"/>
        <w:snapToGrid w:val="0"/>
        <w:spacing w:line="480" w:lineRule="auto"/>
        <w:jc w:val="center"/>
        <w:rPr>
          <w:rFonts w:ascii="Times New Roman"/>
          <w:bCs/>
          <w:sz w:val="28"/>
          <w:szCs w:val="22"/>
          <w:highlight w:val="none"/>
        </w:rPr>
      </w:pPr>
      <w:r>
        <w:rPr>
          <w:rFonts w:hint="eastAsia" w:ascii="Times New Roman" w:eastAsia="黑体"/>
          <w:color w:val="auto"/>
          <w:sz w:val="28"/>
          <w:szCs w:val="28"/>
          <w:highlight w:val="none"/>
          <w:u w:val="single"/>
        </w:rPr>
        <w:t xml:space="preserve">    </w:t>
      </w:r>
      <w:bookmarkStart w:id="1212" w:name="_Toc9542"/>
      <w:bookmarkStart w:id="1213" w:name="_Toc30859"/>
      <w:bookmarkStart w:id="1214" w:name="_Toc2813"/>
      <w:bookmarkStart w:id="1215" w:name="_Toc27697"/>
      <w:r>
        <w:rPr>
          <w:rFonts w:hint="eastAsia" w:ascii="Times New Roman" w:eastAsia="黑体"/>
          <w:color w:val="auto"/>
          <w:sz w:val="28"/>
          <w:szCs w:val="28"/>
          <w:highlight w:val="none"/>
        </w:rPr>
        <w:t>年</w:t>
      </w:r>
      <w:r>
        <w:rPr>
          <w:rFonts w:hint="eastAsia" w:ascii="Times New Roman" w:eastAsia="黑体"/>
          <w:color w:val="auto"/>
          <w:sz w:val="28"/>
          <w:szCs w:val="28"/>
          <w:highlight w:val="none"/>
          <w:u w:val="single"/>
        </w:rPr>
        <w:t xml:space="preserve">   </w:t>
      </w:r>
      <w:r>
        <w:rPr>
          <w:rFonts w:hint="eastAsia" w:ascii="Times New Roman" w:eastAsia="黑体"/>
          <w:color w:val="auto"/>
          <w:sz w:val="28"/>
          <w:szCs w:val="28"/>
          <w:highlight w:val="none"/>
        </w:rPr>
        <w:t>月</w:t>
      </w:r>
      <w:r>
        <w:rPr>
          <w:rFonts w:hint="eastAsia" w:ascii="Times New Roman" w:eastAsia="黑体"/>
          <w:color w:val="auto"/>
          <w:sz w:val="28"/>
          <w:szCs w:val="28"/>
          <w:highlight w:val="none"/>
          <w:u w:val="single"/>
        </w:rPr>
        <w:t xml:space="preserve">   </w:t>
      </w:r>
      <w:r>
        <w:rPr>
          <w:rFonts w:hint="eastAsia" w:ascii="Times New Roman" w:eastAsia="黑体"/>
          <w:color w:val="auto"/>
          <w:sz w:val="28"/>
          <w:szCs w:val="28"/>
          <w:highlight w:val="none"/>
        </w:rPr>
        <w:t>日</w:t>
      </w:r>
      <w:bookmarkEnd w:id="1212"/>
      <w:bookmarkEnd w:id="1213"/>
      <w:bookmarkEnd w:id="1214"/>
      <w:bookmarkEnd w:id="1215"/>
    </w:p>
    <w:p w14:paraId="256885EF">
      <w:pPr>
        <w:spacing w:beforeLines="100" w:afterLines="100" w:line="360" w:lineRule="auto"/>
        <w:ind w:firstLine="480" w:firstLineChars="200"/>
        <w:jc w:val="center"/>
        <w:rPr>
          <w:rFonts w:ascii="Times New Roman"/>
          <w:sz w:val="28"/>
          <w:szCs w:val="21"/>
          <w:highlight w:val="none"/>
        </w:rPr>
      </w:pPr>
      <w:bookmarkStart w:id="1216" w:name="_Toc421917012"/>
      <w:bookmarkStart w:id="1217" w:name="_Toc460660235"/>
      <w:bookmarkStart w:id="1218" w:name="_Toc460227120"/>
      <w:bookmarkStart w:id="1219" w:name="_Toc390411631"/>
      <w:r>
        <w:rPr>
          <w:rFonts w:hint="eastAsia" w:ascii="Times New Roman"/>
          <w:highlight w:val="none"/>
        </w:rPr>
        <w:br w:type="page"/>
      </w:r>
      <w:r>
        <w:rPr>
          <w:rFonts w:hint="eastAsia" w:ascii="Times New Roman"/>
          <w:sz w:val="28"/>
          <w:szCs w:val="21"/>
          <w:highlight w:val="none"/>
        </w:rPr>
        <w:t>目  录</w:t>
      </w:r>
    </w:p>
    <w:p w14:paraId="63A48DEF">
      <w:pPr>
        <w:spacing w:line="360" w:lineRule="auto"/>
        <w:ind w:firstLine="480" w:firstLineChars="200"/>
        <w:rPr>
          <w:rFonts w:ascii="Times New Roman"/>
          <w:szCs w:val="21"/>
          <w:highlight w:val="none"/>
        </w:rPr>
      </w:pPr>
      <w:r>
        <w:rPr>
          <w:rFonts w:hint="eastAsia" w:ascii="Times New Roman"/>
          <w:szCs w:val="21"/>
          <w:highlight w:val="none"/>
        </w:rPr>
        <w:t>一、投标函</w:t>
      </w:r>
    </w:p>
    <w:p w14:paraId="54E12D58">
      <w:pPr>
        <w:spacing w:line="360" w:lineRule="auto"/>
        <w:ind w:firstLine="480" w:firstLineChars="200"/>
        <w:rPr>
          <w:highlight w:val="none"/>
        </w:rPr>
      </w:pPr>
      <w:r>
        <w:rPr>
          <w:rFonts w:hint="eastAsia" w:ascii="Times New Roman"/>
          <w:szCs w:val="21"/>
          <w:highlight w:val="none"/>
        </w:rPr>
        <w:t>二、</w:t>
      </w:r>
      <w:r>
        <w:rPr>
          <w:highlight w:val="none"/>
        </w:rPr>
        <w:t>分项报价表</w:t>
      </w:r>
    </w:p>
    <w:p w14:paraId="7D2A91B7">
      <w:pPr>
        <w:spacing w:line="360" w:lineRule="auto"/>
        <w:ind w:firstLine="480" w:firstLineChars="200"/>
        <w:rPr>
          <w:highlight w:val="none"/>
        </w:rPr>
      </w:pPr>
      <w:r>
        <w:rPr>
          <w:rFonts w:hint="eastAsia" w:ascii="Times New Roman"/>
          <w:szCs w:val="21"/>
          <w:highlight w:val="none"/>
        </w:rPr>
        <w:t>三、</w:t>
      </w:r>
      <w:r>
        <w:rPr>
          <w:rFonts w:hint="eastAsia"/>
          <w:highlight w:val="none"/>
        </w:rPr>
        <w:t>其他内容</w:t>
      </w:r>
    </w:p>
    <w:p w14:paraId="3007768B">
      <w:pPr>
        <w:pStyle w:val="2"/>
        <w:spacing w:beforeLines="100" w:afterLines="100" w:line="240" w:lineRule="auto"/>
        <w:jc w:val="center"/>
        <w:rPr>
          <w:rFonts w:ascii="Times New Roman" w:hAnsi="Times New Roman"/>
          <w:highlight w:val="none"/>
        </w:rPr>
      </w:pPr>
      <w:bookmarkStart w:id="1220" w:name="_Toc14679"/>
      <w:bookmarkStart w:id="1221" w:name="_Toc16012"/>
      <w:bookmarkStart w:id="1222" w:name="_Toc20295"/>
      <w:bookmarkStart w:id="1223" w:name="_Toc4869"/>
      <w:r>
        <w:rPr>
          <w:rFonts w:hint="eastAsia" w:ascii="Times New Roman" w:hAnsi="Times New Roman"/>
          <w:highlight w:val="none"/>
        </w:rPr>
        <w:br w:type="page"/>
      </w:r>
      <w:bookmarkEnd w:id="1216"/>
      <w:bookmarkEnd w:id="1217"/>
      <w:bookmarkEnd w:id="1218"/>
      <w:bookmarkEnd w:id="1219"/>
      <w:bookmarkEnd w:id="1220"/>
      <w:bookmarkEnd w:id="1221"/>
      <w:bookmarkEnd w:id="1222"/>
      <w:bookmarkEnd w:id="1223"/>
      <w:r>
        <w:rPr>
          <w:rFonts w:hint="eastAsia" w:ascii="Times New Roman" w:hAnsi="Times New Roman"/>
          <w:highlight w:val="none"/>
        </w:rPr>
        <w:t>一、投标函</w:t>
      </w:r>
    </w:p>
    <w:p w14:paraId="630D52D8">
      <w:pPr>
        <w:adjustRightInd w:val="0"/>
        <w:snapToGrid w:val="0"/>
        <w:spacing w:line="360" w:lineRule="auto"/>
        <w:rPr>
          <w:rFonts w:hint="eastAsia" w:hAnsi="宋体" w:cs="宋体"/>
          <w:color w:val="auto"/>
          <w:highlight w:val="none"/>
          <w:u w:val="single"/>
        </w:rPr>
      </w:pPr>
      <w:r>
        <w:rPr>
          <w:rFonts w:hint="eastAsia" w:hAnsi="宋体" w:cs="宋体"/>
          <w:color w:val="auto"/>
          <w:highlight w:val="none"/>
          <w:u w:val="none"/>
          <w:lang w:val="en-US" w:eastAsia="zh-CN"/>
        </w:rPr>
        <w:t>致：</w:t>
      </w:r>
      <w:r>
        <w:rPr>
          <w:rFonts w:hint="eastAsia" w:hAnsi="宋体" w:cs="宋体"/>
          <w:color w:val="auto"/>
          <w:highlight w:val="none"/>
          <w:u w:val="single"/>
        </w:rPr>
        <w:t>（招标人）</w:t>
      </w:r>
    </w:p>
    <w:p w14:paraId="66FA777A">
      <w:pPr>
        <w:tabs>
          <w:tab w:val="left" w:pos="7560"/>
        </w:tabs>
        <w:adjustRightInd w:val="0"/>
        <w:snapToGri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1. 我方已仔细研究了</w:t>
      </w:r>
      <w:r>
        <w:rPr>
          <w:rFonts w:hint="eastAsia" w:hAnsi="宋体"/>
          <w:color w:val="auto"/>
          <w:sz w:val="24"/>
          <w:highlight w:val="none"/>
          <w:u w:val="single"/>
        </w:rPr>
        <w:t>（招标项目名称）</w:t>
      </w: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标段</w:t>
      </w:r>
      <w:r>
        <w:rPr>
          <w:rFonts w:hint="eastAsia" w:ascii="宋体" w:hAnsi="宋体" w:cs="宋体"/>
          <w:color w:val="auto"/>
          <w:sz w:val="24"/>
          <w:highlight w:val="none"/>
        </w:rPr>
        <w:t>招标文件的全部内容，愿意以人民币（大写）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）的投标总报价提供招标文件要求的货物、安装及技术服务和质保售后服务等，并按合同约定履行义务。</w:t>
      </w:r>
    </w:p>
    <w:p w14:paraId="7BFA88EC">
      <w:pPr>
        <w:adjustRightInd w:val="0"/>
        <w:snapToGrid w:val="0"/>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2. 我方已按招标文件要求详细审核并确认全部招标文件及有关附件，充分理解投标价格不得低于企业个别成本有关规定。我方经成本核算，所填报的投标报价不低于企业个别成本。</w:t>
      </w:r>
    </w:p>
    <w:p w14:paraId="1D902584">
      <w:pPr>
        <w:adjustRightInd w:val="0"/>
        <w:snapToGrid w:val="0"/>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3. 除非另外达成协议并生效，你方的中标通知书和本投标文件以及招标文件、招标文件澄清、修改、补充文件将成为约束双方的合同文件的组成部分。</w:t>
      </w:r>
    </w:p>
    <w:p w14:paraId="0F50FA75">
      <w:pPr>
        <w:adjustRightInd w:val="0"/>
        <w:snapToGrid w:val="0"/>
        <w:spacing w:line="360" w:lineRule="auto"/>
        <w:ind w:firstLine="420" w:firstLineChars="175"/>
        <w:rPr>
          <w:rFonts w:hint="eastAsia" w:ascii="宋体" w:hAnsi="宋体" w:cs="宋体"/>
          <w:bCs/>
          <w:color w:val="auto"/>
          <w:sz w:val="24"/>
          <w:highlight w:val="none"/>
        </w:rPr>
      </w:pPr>
      <w:r>
        <w:rPr>
          <w:rFonts w:hint="eastAsia" w:ascii="宋体" w:hAnsi="宋体" w:cs="宋体"/>
          <w:bCs/>
          <w:color w:val="auto"/>
          <w:sz w:val="24"/>
          <w:highlight w:val="none"/>
        </w:rPr>
        <w:t>4. 其他补充说明：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（补充说明事项）</w:t>
      </w:r>
    </w:p>
    <w:p w14:paraId="6E59757C">
      <w:pPr>
        <w:adjustRightInd w:val="0"/>
        <w:snapToGrid w:val="0"/>
        <w:spacing w:line="360" w:lineRule="auto"/>
        <w:ind w:firstLine="420" w:firstLineChars="175"/>
        <w:rPr>
          <w:rFonts w:hint="eastAsia" w:ascii="宋体" w:hAnsi="宋体" w:cs="宋体"/>
          <w:bCs/>
          <w:color w:val="auto"/>
          <w:sz w:val="24"/>
          <w:highlight w:val="none"/>
        </w:rPr>
      </w:pPr>
    </w:p>
    <w:p w14:paraId="6C7AB51F">
      <w:pPr>
        <w:adjustRightInd w:val="0"/>
        <w:snapToGrid w:val="0"/>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rPr>
        <w:t>投 标 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（盖单位章）</w:t>
      </w:r>
    </w:p>
    <w:p w14:paraId="2B14523E">
      <w:pPr>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法定代表人（单位负责人）：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76B472DE">
      <w:pPr>
        <w:adjustRightInd w:val="0"/>
        <w:snapToGrid w:val="0"/>
        <w:spacing w:line="360" w:lineRule="auto"/>
        <w:ind w:left="125" w:leftChars="52"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单位地址：</w:t>
      </w:r>
      <w:r>
        <w:rPr>
          <w:rFonts w:hint="eastAsia" w:ascii="宋体" w:hAnsi="宋体" w:cs="宋体"/>
          <w:color w:val="auto"/>
          <w:sz w:val="24"/>
          <w:highlight w:val="none"/>
          <w:u w:val="single"/>
        </w:rPr>
        <w:t xml:space="preserve">                                                       </w:t>
      </w:r>
    </w:p>
    <w:p w14:paraId="36FADAA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0058899">
      <w:pPr>
        <w:adjustRightInd w:val="0"/>
        <w:snapToGrid w:val="0"/>
        <w:spacing w:line="360" w:lineRule="auto"/>
        <w:ind w:firstLine="480" w:firstLineChars="200"/>
        <w:rPr>
          <w:rFonts w:hAnsi="宋体" w:cs="宋体"/>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D34408F">
      <w:pPr>
        <w:adjustRightInd w:val="0"/>
        <w:snapToGrid w:val="0"/>
        <w:spacing w:beforeLines="20" w:afterLines="20" w:line="400" w:lineRule="exact"/>
        <w:rPr>
          <w:szCs w:val="22"/>
          <w:highlight w:val="none"/>
        </w:rPr>
      </w:pPr>
      <w:r>
        <w:rPr>
          <w:szCs w:val="22"/>
          <w:highlight w:val="none"/>
        </w:rPr>
        <w:br w:type="page"/>
      </w:r>
    </w:p>
    <w:p w14:paraId="162DC755">
      <w:pPr>
        <w:pStyle w:val="2"/>
        <w:jc w:val="center"/>
        <w:rPr>
          <w:rFonts w:cs="黑体"/>
          <w:highlight w:val="none"/>
        </w:rPr>
      </w:pPr>
      <w:bookmarkStart w:id="1224" w:name="_Toc460227122"/>
      <w:bookmarkStart w:id="1225" w:name="_Toc460660237"/>
      <w:bookmarkStart w:id="1226" w:name="_Toc421917014"/>
      <w:r>
        <w:rPr>
          <w:rFonts w:hint="eastAsia" w:cs="黑体"/>
          <w:highlight w:val="none"/>
        </w:rPr>
        <w:t>二、</w:t>
      </w:r>
      <w:bookmarkEnd w:id="1224"/>
      <w:bookmarkEnd w:id="1225"/>
      <w:bookmarkEnd w:id="1226"/>
      <w:r>
        <w:rPr>
          <w:rFonts w:hint="eastAsia" w:cs="黑体"/>
          <w:highlight w:val="none"/>
        </w:rPr>
        <w:t>分项报价表</w:t>
      </w:r>
    </w:p>
    <w:p w14:paraId="1D7696D7">
      <w:pPr>
        <w:spacing w:line="360" w:lineRule="auto"/>
        <w:ind w:firstLine="480" w:firstLineChars="200"/>
        <w:rPr>
          <w:rFonts w:hAnsi="宋体" w:cs="宋体"/>
          <w:highlight w:val="none"/>
        </w:rPr>
      </w:pPr>
      <w:r>
        <w:rPr>
          <w:rFonts w:hint="eastAsia" w:hAnsi="宋体" w:cs="宋体"/>
          <w:highlight w:val="none"/>
        </w:rPr>
        <w:t>1.分项报价表说明</w:t>
      </w:r>
    </w:p>
    <w:p w14:paraId="4E237278">
      <w:pPr>
        <w:spacing w:line="360" w:lineRule="auto"/>
        <w:ind w:firstLine="480" w:firstLineChars="200"/>
        <w:rPr>
          <w:rFonts w:hAnsi="宋体" w:cs="宋体"/>
          <w:highlight w:val="none"/>
        </w:rPr>
      </w:pPr>
      <w:r>
        <w:rPr>
          <w:rFonts w:hint="eastAsia" w:hAnsi="宋体" w:cs="宋体"/>
          <w:highlight w:val="none"/>
        </w:rPr>
        <w:t>2.分项报价表</w:t>
      </w:r>
    </w:p>
    <w:p w14:paraId="2B49ED5F">
      <w:pPr>
        <w:rPr>
          <w:highlight w:val="none"/>
        </w:rPr>
      </w:pPr>
    </w:p>
    <w:p w14:paraId="56FC0DC3">
      <w:pPr>
        <w:spacing w:line="360" w:lineRule="auto"/>
        <w:jc w:val="center"/>
        <w:rPr>
          <w:rFonts w:hAnsi="宋体" w:cs="宋体"/>
          <w:highlight w:val="none"/>
        </w:rPr>
      </w:pPr>
      <w:r>
        <w:rPr>
          <w:rFonts w:hint="eastAsia" w:hAnsi="宋体" w:cs="宋体"/>
          <w:highlight w:val="none"/>
        </w:rPr>
        <w:t>表1  分项报价汇总表</w:t>
      </w:r>
    </w:p>
    <w:p w14:paraId="6B4E8F8D">
      <w:pPr>
        <w:spacing w:line="360" w:lineRule="auto"/>
        <w:rPr>
          <w:rFonts w:hAnsi="宋体" w:cs="宋体"/>
          <w:highlight w:val="none"/>
        </w:rPr>
      </w:pPr>
      <w:r>
        <w:rPr>
          <w:rFonts w:hint="eastAsia" w:hAnsi="宋体" w:cs="宋体"/>
          <w:highlight w:val="none"/>
        </w:rPr>
        <w:t xml:space="preserve">项目名称：                                       </w:t>
      </w:r>
    </w:p>
    <w:tbl>
      <w:tblPr>
        <w:tblStyle w:val="52"/>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30"/>
        <w:gridCol w:w="4584"/>
        <w:gridCol w:w="2852"/>
      </w:tblGrid>
      <w:tr w14:paraId="67BC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1E012DFB">
            <w:pPr>
              <w:snapToGrid w:val="0"/>
              <w:spacing w:line="360" w:lineRule="auto"/>
              <w:jc w:val="center"/>
              <w:rPr>
                <w:rFonts w:hAnsi="宋体" w:cs="宋体"/>
                <w:highlight w:val="none"/>
              </w:rPr>
            </w:pPr>
            <w:r>
              <w:rPr>
                <w:rFonts w:hint="eastAsia" w:hAnsi="宋体" w:cs="宋体"/>
                <w:highlight w:val="none"/>
              </w:rPr>
              <w:t>序号</w:t>
            </w:r>
          </w:p>
        </w:tc>
        <w:tc>
          <w:tcPr>
            <w:tcW w:w="1230" w:type="dxa"/>
            <w:tcBorders>
              <w:top w:val="single" w:color="auto" w:sz="4" w:space="0"/>
              <w:left w:val="single" w:color="auto" w:sz="4" w:space="0"/>
              <w:bottom w:val="single" w:color="auto" w:sz="4" w:space="0"/>
              <w:right w:val="single" w:color="auto" w:sz="4" w:space="0"/>
            </w:tcBorders>
            <w:vAlign w:val="center"/>
          </w:tcPr>
          <w:p w14:paraId="33D9CDBB">
            <w:pPr>
              <w:snapToGrid w:val="0"/>
              <w:spacing w:line="360" w:lineRule="auto"/>
              <w:jc w:val="center"/>
              <w:rPr>
                <w:rFonts w:hAnsi="宋体" w:cs="宋体"/>
                <w:highlight w:val="none"/>
              </w:rPr>
            </w:pPr>
            <w:r>
              <w:rPr>
                <w:rFonts w:hint="eastAsia" w:hAnsi="宋体" w:cs="宋体"/>
                <w:highlight w:val="none"/>
              </w:rPr>
              <w:t>表号</w:t>
            </w:r>
          </w:p>
        </w:tc>
        <w:tc>
          <w:tcPr>
            <w:tcW w:w="4584" w:type="dxa"/>
            <w:tcBorders>
              <w:top w:val="single" w:color="auto" w:sz="4" w:space="0"/>
              <w:left w:val="single" w:color="auto" w:sz="4" w:space="0"/>
              <w:bottom w:val="single" w:color="auto" w:sz="4" w:space="0"/>
              <w:right w:val="single" w:color="auto" w:sz="4" w:space="0"/>
            </w:tcBorders>
            <w:vAlign w:val="center"/>
          </w:tcPr>
          <w:p w14:paraId="1AE5D250">
            <w:pPr>
              <w:snapToGrid w:val="0"/>
              <w:spacing w:line="360" w:lineRule="auto"/>
              <w:jc w:val="center"/>
              <w:rPr>
                <w:rFonts w:hAnsi="宋体" w:cs="宋体"/>
                <w:highlight w:val="none"/>
              </w:rPr>
            </w:pPr>
            <w:r>
              <w:rPr>
                <w:rFonts w:hint="eastAsia" w:hAnsi="宋体" w:cs="宋体"/>
                <w:highlight w:val="none"/>
              </w:rPr>
              <w:t>名称</w:t>
            </w:r>
          </w:p>
        </w:tc>
        <w:tc>
          <w:tcPr>
            <w:tcW w:w="2852" w:type="dxa"/>
            <w:tcBorders>
              <w:top w:val="single" w:color="auto" w:sz="4" w:space="0"/>
              <w:left w:val="single" w:color="auto" w:sz="4" w:space="0"/>
              <w:bottom w:val="single" w:color="auto" w:sz="4" w:space="0"/>
              <w:right w:val="single" w:color="auto" w:sz="4" w:space="0"/>
            </w:tcBorders>
            <w:vAlign w:val="center"/>
          </w:tcPr>
          <w:p w14:paraId="187FB369">
            <w:pPr>
              <w:snapToGrid w:val="0"/>
              <w:spacing w:line="360" w:lineRule="auto"/>
              <w:jc w:val="center"/>
              <w:rPr>
                <w:rFonts w:hAnsi="宋体" w:cs="宋体"/>
                <w:highlight w:val="none"/>
              </w:rPr>
            </w:pPr>
            <w:r>
              <w:rPr>
                <w:rFonts w:hint="eastAsia" w:hAnsi="宋体" w:cs="宋体"/>
                <w:highlight w:val="none"/>
              </w:rPr>
              <w:t>合价（元）</w:t>
            </w:r>
          </w:p>
        </w:tc>
      </w:tr>
      <w:tr w14:paraId="23D5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41974914">
            <w:pPr>
              <w:snapToGrid w:val="0"/>
              <w:spacing w:line="360" w:lineRule="auto"/>
              <w:jc w:val="center"/>
              <w:rPr>
                <w:rFonts w:hAnsi="宋体" w:cs="宋体"/>
                <w:highlight w:val="none"/>
              </w:rPr>
            </w:pPr>
            <w:r>
              <w:rPr>
                <w:rFonts w:hint="eastAsia" w:hAnsi="宋体" w:cs="宋体"/>
                <w:highlight w:val="none"/>
              </w:rPr>
              <w:t>1</w:t>
            </w:r>
          </w:p>
        </w:tc>
        <w:tc>
          <w:tcPr>
            <w:tcW w:w="1230" w:type="dxa"/>
            <w:tcBorders>
              <w:top w:val="single" w:color="auto" w:sz="4" w:space="0"/>
              <w:left w:val="single" w:color="auto" w:sz="4" w:space="0"/>
              <w:bottom w:val="single" w:color="auto" w:sz="4" w:space="0"/>
              <w:right w:val="single" w:color="auto" w:sz="4" w:space="0"/>
            </w:tcBorders>
            <w:vAlign w:val="center"/>
          </w:tcPr>
          <w:p w14:paraId="4B25AB02">
            <w:pPr>
              <w:snapToGrid w:val="0"/>
              <w:jc w:val="center"/>
              <w:rPr>
                <w:rFonts w:hAnsi="宋体" w:cs="宋体"/>
                <w:szCs w:val="24"/>
                <w:highlight w:val="none"/>
              </w:rPr>
            </w:pPr>
            <w:r>
              <w:rPr>
                <w:rFonts w:hint="eastAsia" w:hAnsi="宋体" w:cs="宋体"/>
                <w:szCs w:val="24"/>
                <w:highlight w:val="none"/>
              </w:rPr>
              <w:t>表1-1</w:t>
            </w:r>
          </w:p>
        </w:tc>
        <w:tc>
          <w:tcPr>
            <w:tcW w:w="4584" w:type="dxa"/>
            <w:tcBorders>
              <w:top w:val="single" w:color="auto" w:sz="4" w:space="0"/>
              <w:left w:val="single" w:color="auto" w:sz="4" w:space="0"/>
              <w:bottom w:val="single" w:color="auto" w:sz="4" w:space="0"/>
              <w:right w:val="single" w:color="auto" w:sz="4" w:space="0"/>
            </w:tcBorders>
            <w:vAlign w:val="center"/>
          </w:tcPr>
          <w:p w14:paraId="790B3847">
            <w:pPr>
              <w:snapToGrid w:val="0"/>
              <w:spacing w:line="360" w:lineRule="auto"/>
              <w:jc w:val="center"/>
              <w:rPr>
                <w:rFonts w:hAnsi="宋体" w:cs="宋体"/>
                <w:szCs w:val="24"/>
                <w:highlight w:val="none"/>
              </w:rPr>
            </w:pPr>
            <w:r>
              <w:rPr>
                <w:rFonts w:hint="eastAsia" w:hAnsi="宋体" w:cs="宋体"/>
                <w:szCs w:val="24"/>
                <w:highlight w:val="none"/>
              </w:rPr>
              <w:t>货物及安装（如有）报价</w:t>
            </w:r>
          </w:p>
        </w:tc>
        <w:tc>
          <w:tcPr>
            <w:tcW w:w="2852" w:type="dxa"/>
            <w:tcBorders>
              <w:top w:val="single" w:color="auto" w:sz="4" w:space="0"/>
              <w:left w:val="single" w:color="auto" w:sz="4" w:space="0"/>
              <w:bottom w:val="single" w:color="auto" w:sz="4" w:space="0"/>
              <w:right w:val="single" w:color="auto" w:sz="4" w:space="0"/>
            </w:tcBorders>
            <w:vAlign w:val="center"/>
          </w:tcPr>
          <w:p w14:paraId="06CBF845">
            <w:pPr>
              <w:snapToGrid w:val="0"/>
              <w:spacing w:line="360" w:lineRule="auto"/>
              <w:jc w:val="center"/>
              <w:rPr>
                <w:rFonts w:hAnsi="宋体" w:cs="宋体"/>
                <w:highlight w:val="none"/>
              </w:rPr>
            </w:pPr>
          </w:p>
        </w:tc>
      </w:tr>
      <w:tr w14:paraId="3DE7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74904747">
            <w:pPr>
              <w:snapToGrid w:val="0"/>
              <w:spacing w:line="360" w:lineRule="auto"/>
              <w:jc w:val="center"/>
              <w:rPr>
                <w:rFonts w:hAnsi="宋体" w:cs="宋体"/>
                <w:highlight w:val="none"/>
              </w:rPr>
            </w:pPr>
            <w:r>
              <w:rPr>
                <w:rFonts w:hint="eastAsia" w:hAnsi="宋体" w:cs="宋体"/>
                <w:highlight w:val="none"/>
              </w:rPr>
              <w:t>2</w:t>
            </w:r>
          </w:p>
        </w:tc>
        <w:tc>
          <w:tcPr>
            <w:tcW w:w="1230" w:type="dxa"/>
            <w:tcBorders>
              <w:top w:val="single" w:color="auto" w:sz="4" w:space="0"/>
              <w:left w:val="single" w:color="auto" w:sz="4" w:space="0"/>
              <w:bottom w:val="single" w:color="auto" w:sz="4" w:space="0"/>
              <w:right w:val="single" w:color="auto" w:sz="4" w:space="0"/>
            </w:tcBorders>
            <w:vAlign w:val="center"/>
          </w:tcPr>
          <w:p w14:paraId="55BE0DE0">
            <w:pPr>
              <w:snapToGrid w:val="0"/>
              <w:jc w:val="center"/>
              <w:rPr>
                <w:rFonts w:hAnsi="宋体" w:cs="宋体"/>
                <w:szCs w:val="24"/>
                <w:highlight w:val="none"/>
              </w:rPr>
            </w:pPr>
            <w:r>
              <w:rPr>
                <w:rFonts w:hint="eastAsia" w:hAnsi="宋体" w:cs="宋体"/>
                <w:szCs w:val="24"/>
                <w:highlight w:val="none"/>
              </w:rPr>
              <w:t>表1-2</w:t>
            </w:r>
          </w:p>
        </w:tc>
        <w:tc>
          <w:tcPr>
            <w:tcW w:w="4584" w:type="dxa"/>
            <w:tcBorders>
              <w:top w:val="single" w:color="auto" w:sz="4" w:space="0"/>
              <w:left w:val="single" w:color="auto" w:sz="4" w:space="0"/>
              <w:bottom w:val="single" w:color="auto" w:sz="4" w:space="0"/>
              <w:right w:val="single" w:color="auto" w:sz="4" w:space="0"/>
            </w:tcBorders>
            <w:vAlign w:val="center"/>
          </w:tcPr>
          <w:p w14:paraId="1EB19875">
            <w:pPr>
              <w:snapToGrid w:val="0"/>
              <w:spacing w:line="360" w:lineRule="auto"/>
              <w:jc w:val="center"/>
              <w:rPr>
                <w:rFonts w:hAnsi="宋体" w:cs="宋体"/>
                <w:szCs w:val="24"/>
                <w:highlight w:val="none"/>
              </w:rPr>
            </w:pPr>
            <w:r>
              <w:rPr>
                <w:rFonts w:hint="eastAsia" w:hAnsi="宋体" w:cs="宋体"/>
                <w:szCs w:val="24"/>
                <w:highlight w:val="none"/>
              </w:rPr>
              <w:t>暂定金（如有）</w:t>
            </w:r>
          </w:p>
        </w:tc>
        <w:tc>
          <w:tcPr>
            <w:tcW w:w="2852" w:type="dxa"/>
            <w:tcBorders>
              <w:top w:val="single" w:color="auto" w:sz="4" w:space="0"/>
              <w:left w:val="single" w:color="auto" w:sz="4" w:space="0"/>
              <w:bottom w:val="single" w:color="auto" w:sz="4" w:space="0"/>
              <w:right w:val="single" w:color="auto" w:sz="4" w:space="0"/>
            </w:tcBorders>
            <w:vAlign w:val="center"/>
          </w:tcPr>
          <w:p w14:paraId="2A5AB321">
            <w:pPr>
              <w:snapToGrid w:val="0"/>
              <w:spacing w:line="360" w:lineRule="auto"/>
              <w:jc w:val="center"/>
              <w:rPr>
                <w:rFonts w:hAnsi="宋体" w:cs="宋体"/>
                <w:highlight w:val="none"/>
              </w:rPr>
            </w:pPr>
          </w:p>
        </w:tc>
      </w:tr>
      <w:tr w14:paraId="13FC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518C2EA5">
            <w:pPr>
              <w:snapToGrid w:val="0"/>
              <w:spacing w:line="360" w:lineRule="auto"/>
              <w:jc w:val="center"/>
              <w:rPr>
                <w:rFonts w:hAnsi="宋体" w:cs="宋体"/>
                <w:highlight w:val="none"/>
              </w:rPr>
            </w:pPr>
            <w:r>
              <w:rPr>
                <w:rFonts w:hint="eastAsia" w:hAnsi="宋体" w:cs="宋体"/>
                <w:highlight w:val="none"/>
              </w:rPr>
              <w:t>3</w:t>
            </w:r>
          </w:p>
        </w:tc>
        <w:tc>
          <w:tcPr>
            <w:tcW w:w="1230" w:type="dxa"/>
            <w:tcBorders>
              <w:top w:val="single" w:color="auto" w:sz="4" w:space="0"/>
              <w:left w:val="single" w:color="auto" w:sz="4" w:space="0"/>
              <w:bottom w:val="single" w:color="auto" w:sz="4" w:space="0"/>
              <w:right w:val="single" w:color="auto" w:sz="4" w:space="0"/>
            </w:tcBorders>
            <w:vAlign w:val="center"/>
          </w:tcPr>
          <w:p w14:paraId="1D5BF83D">
            <w:pPr>
              <w:snapToGrid w:val="0"/>
              <w:ind w:firstLine="240" w:firstLineChars="100"/>
              <w:rPr>
                <w:rFonts w:hAnsi="宋体" w:cs="宋体"/>
                <w:szCs w:val="24"/>
                <w:highlight w:val="none"/>
              </w:rPr>
            </w:pPr>
            <w:r>
              <w:rPr>
                <w:rFonts w:hint="eastAsia" w:hAnsi="宋体" w:cs="宋体"/>
                <w:szCs w:val="24"/>
                <w:highlight w:val="none"/>
              </w:rPr>
              <w:t>表1-3</w:t>
            </w:r>
          </w:p>
        </w:tc>
        <w:tc>
          <w:tcPr>
            <w:tcW w:w="4584" w:type="dxa"/>
            <w:tcBorders>
              <w:top w:val="single" w:color="auto" w:sz="4" w:space="0"/>
              <w:left w:val="single" w:color="auto" w:sz="4" w:space="0"/>
              <w:bottom w:val="single" w:color="auto" w:sz="4" w:space="0"/>
              <w:right w:val="single" w:color="auto" w:sz="4" w:space="0"/>
            </w:tcBorders>
            <w:vAlign w:val="center"/>
          </w:tcPr>
          <w:p w14:paraId="2F860604">
            <w:pPr>
              <w:snapToGrid w:val="0"/>
              <w:spacing w:line="360" w:lineRule="auto"/>
              <w:jc w:val="center"/>
              <w:rPr>
                <w:rFonts w:hAnsi="宋体" w:cs="宋体"/>
                <w:szCs w:val="24"/>
                <w:highlight w:val="none"/>
              </w:rPr>
            </w:pPr>
            <w:r>
              <w:rPr>
                <w:rFonts w:hint="eastAsia" w:hAnsi="宋体" w:cs="宋体"/>
                <w:szCs w:val="24"/>
                <w:highlight w:val="none"/>
              </w:rPr>
              <w:t>其他（如有）</w:t>
            </w:r>
          </w:p>
        </w:tc>
        <w:tc>
          <w:tcPr>
            <w:tcW w:w="2852" w:type="dxa"/>
            <w:tcBorders>
              <w:top w:val="single" w:color="auto" w:sz="4" w:space="0"/>
              <w:left w:val="single" w:color="auto" w:sz="4" w:space="0"/>
              <w:bottom w:val="single" w:color="auto" w:sz="4" w:space="0"/>
              <w:right w:val="single" w:color="auto" w:sz="4" w:space="0"/>
            </w:tcBorders>
            <w:vAlign w:val="center"/>
          </w:tcPr>
          <w:p w14:paraId="79C52A1E">
            <w:pPr>
              <w:snapToGrid w:val="0"/>
              <w:spacing w:line="360" w:lineRule="auto"/>
              <w:jc w:val="center"/>
              <w:rPr>
                <w:rFonts w:hAnsi="宋体" w:cs="宋体"/>
                <w:highlight w:val="none"/>
              </w:rPr>
            </w:pPr>
          </w:p>
        </w:tc>
      </w:tr>
      <w:tr w14:paraId="1E33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53B8D984">
            <w:pPr>
              <w:snapToGrid w:val="0"/>
              <w:spacing w:line="360" w:lineRule="auto"/>
              <w:jc w:val="center"/>
              <w:rPr>
                <w:rFonts w:hAnsi="宋体" w:cs="宋体"/>
                <w:highlight w:val="none"/>
              </w:rPr>
            </w:pPr>
            <w:r>
              <w:rPr>
                <w:rFonts w:hint="eastAsia" w:hAnsi="宋体" w:cs="宋体"/>
                <w:highlight w:val="none"/>
              </w:rPr>
              <w:t>4</w:t>
            </w:r>
          </w:p>
        </w:tc>
        <w:tc>
          <w:tcPr>
            <w:tcW w:w="1230" w:type="dxa"/>
            <w:tcBorders>
              <w:top w:val="single" w:color="auto" w:sz="4" w:space="0"/>
              <w:left w:val="single" w:color="auto" w:sz="4" w:space="0"/>
              <w:bottom w:val="single" w:color="auto" w:sz="4" w:space="0"/>
              <w:right w:val="single" w:color="auto" w:sz="4" w:space="0"/>
            </w:tcBorders>
            <w:vAlign w:val="center"/>
          </w:tcPr>
          <w:p w14:paraId="3C4CDAED">
            <w:pPr>
              <w:snapToGrid w:val="0"/>
              <w:spacing w:line="360" w:lineRule="auto"/>
              <w:jc w:val="center"/>
              <w:rPr>
                <w:rFonts w:hAnsi="宋体" w:cs="宋体"/>
                <w:highlight w:val="none"/>
              </w:rPr>
            </w:pPr>
            <w:r>
              <w:rPr>
                <w:szCs w:val="21"/>
                <w:highlight w:val="none"/>
              </w:rPr>
              <w:t>……</w:t>
            </w:r>
          </w:p>
        </w:tc>
        <w:tc>
          <w:tcPr>
            <w:tcW w:w="4584" w:type="dxa"/>
            <w:tcBorders>
              <w:top w:val="single" w:color="auto" w:sz="4" w:space="0"/>
              <w:left w:val="single" w:color="auto" w:sz="4" w:space="0"/>
              <w:bottom w:val="single" w:color="auto" w:sz="4" w:space="0"/>
              <w:right w:val="single" w:color="auto" w:sz="4" w:space="0"/>
            </w:tcBorders>
            <w:vAlign w:val="center"/>
          </w:tcPr>
          <w:p w14:paraId="2AB9D212">
            <w:pPr>
              <w:snapToGrid w:val="0"/>
              <w:spacing w:line="360" w:lineRule="auto"/>
              <w:jc w:val="center"/>
              <w:rPr>
                <w:rFonts w:hAnsi="宋体" w:cs="宋体"/>
                <w:highlight w:val="none"/>
              </w:rPr>
            </w:pPr>
          </w:p>
        </w:tc>
        <w:tc>
          <w:tcPr>
            <w:tcW w:w="2852" w:type="dxa"/>
            <w:tcBorders>
              <w:top w:val="single" w:color="auto" w:sz="4" w:space="0"/>
              <w:left w:val="single" w:color="auto" w:sz="4" w:space="0"/>
              <w:bottom w:val="single" w:color="auto" w:sz="4" w:space="0"/>
              <w:right w:val="single" w:color="auto" w:sz="4" w:space="0"/>
            </w:tcBorders>
            <w:vAlign w:val="center"/>
          </w:tcPr>
          <w:p w14:paraId="1DAB052F">
            <w:pPr>
              <w:snapToGrid w:val="0"/>
              <w:spacing w:line="360" w:lineRule="auto"/>
              <w:jc w:val="center"/>
              <w:rPr>
                <w:rFonts w:hAnsi="宋体" w:cs="宋体"/>
                <w:highlight w:val="none"/>
              </w:rPr>
            </w:pPr>
          </w:p>
        </w:tc>
      </w:tr>
      <w:tr w14:paraId="2609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7DB6ADBC">
            <w:pPr>
              <w:snapToGrid w:val="0"/>
              <w:spacing w:line="360" w:lineRule="auto"/>
              <w:jc w:val="center"/>
              <w:rPr>
                <w:rFonts w:hAnsi="宋体" w:cs="宋体"/>
                <w:highlight w:val="none"/>
              </w:rPr>
            </w:pPr>
            <w:r>
              <w:rPr>
                <w:rFonts w:hint="eastAsia" w:hAnsi="宋体" w:cs="宋体"/>
                <w:highlight w:val="none"/>
              </w:rPr>
              <w:t>5</w:t>
            </w:r>
          </w:p>
        </w:tc>
        <w:tc>
          <w:tcPr>
            <w:tcW w:w="1230" w:type="dxa"/>
            <w:tcBorders>
              <w:top w:val="single" w:color="auto" w:sz="4" w:space="0"/>
              <w:left w:val="single" w:color="auto" w:sz="4" w:space="0"/>
              <w:bottom w:val="single" w:color="auto" w:sz="4" w:space="0"/>
              <w:right w:val="single" w:color="auto" w:sz="4" w:space="0"/>
            </w:tcBorders>
            <w:vAlign w:val="center"/>
          </w:tcPr>
          <w:p w14:paraId="43CD55BB">
            <w:pPr>
              <w:snapToGrid w:val="0"/>
              <w:spacing w:line="360" w:lineRule="auto"/>
              <w:jc w:val="center"/>
              <w:rPr>
                <w:rFonts w:hAnsi="宋体" w:cs="宋体"/>
                <w:highlight w:val="none"/>
              </w:rPr>
            </w:pPr>
          </w:p>
        </w:tc>
        <w:tc>
          <w:tcPr>
            <w:tcW w:w="4584" w:type="dxa"/>
            <w:tcBorders>
              <w:top w:val="single" w:color="auto" w:sz="4" w:space="0"/>
              <w:left w:val="single" w:color="auto" w:sz="4" w:space="0"/>
              <w:bottom w:val="single" w:color="auto" w:sz="4" w:space="0"/>
              <w:right w:val="single" w:color="auto" w:sz="4" w:space="0"/>
            </w:tcBorders>
            <w:vAlign w:val="center"/>
          </w:tcPr>
          <w:p w14:paraId="0A029424">
            <w:pPr>
              <w:snapToGrid w:val="0"/>
              <w:spacing w:line="360" w:lineRule="auto"/>
              <w:jc w:val="center"/>
              <w:rPr>
                <w:rFonts w:hAnsi="宋体" w:cs="宋体"/>
                <w:highlight w:val="none"/>
              </w:rPr>
            </w:pPr>
          </w:p>
        </w:tc>
        <w:tc>
          <w:tcPr>
            <w:tcW w:w="2852" w:type="dxa"/>
            <w:tcBorders>
              <w:top w:val="single" w:color="auto" w:sz="4" w:space="0"/>
              <w:left w:val="single" w:color="auto" w:sz="4" w:space="0"/>
              <w:bottom w:val="single" w:color="auto" w:sz="4" w:space="0"/>
              <w:right w:val="single" w:color="auto" w:sz="4" w:space="0"/>
            </w:tcBorders>
            <w:vAlign w:val="center"/>
          </w:tcPr>
          <w:p w14:paraId="0A8A4667">
            <w:pPr>
              <w:snapToGrid w:val="0"/>
              <w:spacing w:line="360" w:lineRule="auto"/>
              <w:jc w:val="center"/>
              <w:rPr>
                <w:rFonts w:hAnsi="宋体" w:cs="宋体"/>
                <w:highlight w:val="none"/>
              </w:rPr>
            </w:pPr>
          </w:p>
        </w:tc>
      </w:tr>
      <w:tr w14:paraId="1B74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27B6D8F0">
            <w:pPr>
              <w:snapToGrid w:val="0"/>
              <w:spacing w:line="360" w:lineRule="auto"/>
              <w:jc w:val="center"/>
              <w:rPr>
                <w:rFonts w:hAnsi="宋体" w:cs="宋体"/>
                <w:highlight w:val="none"/>
              </w:rPr>
            </w:pPr>
            <w:r>
              <w:rPr>
                <w:rFonts w:hAnsi="宋体" w:cs="宋体"/>
                <w:highlight w:val="none"/>
              </w:rPr>
              <w:t>…</w:t>
            </w:r>
            <w:r>
              <w:rPr>
                <w:rFonts w:hint="eastAsia" w:hAnsi="宋体" w:cs="宋体"/>
                <w:highlight w:val="none"/>
              </w:rPr>
              <w:t>.</w:t>
            </w:r>
          </w:p>
        </w:tc>
        <w:tc>
          <w:tcPr>
            <w:tcW w:w="1230" w:type="dxa"/>
            <w:tcBorders>
              <w:top w:val="single" w:color="auto" w:sz="4" w:space="0"/>
              <w:left w:val="single" w:color="auto" w:sz="4" w:space="0"/>
              <w:bottom w:val="single" w:color="auto" w:sz="4" w:space="0"/>
              <w:right w:val="single" w:color="auto" w:sz="4" w:space="0"/>
            </w:tcBorders>
            <w:vAlign w:val="center"/>
          </w:tcPr>
          <w:p w14:paraId="1AF1AC17">
            <w:pPr>
              <w:snapToGrid w:val="0"/>
              <w:spacing w:line="360" w:lineRule="auto"/>
              <w:jc w:val="center"/>
              <w:rPr>
                <w:rFonts w:hAnsi="宋体" w:cs="宋体"/>
                <w:highlight w:val="none"/>
              </w:rPr>
            </w:pPr>
          </w:p>
        </w:tc>
        <w:tc>
          <w:tcPr>
            <w:tcW w:w="4584" w:type="dxa"/>
            <w:tcBorders>
              <w:top w:val="single" w:color="auto" w:sz="4" w:space="0"/>
              <w:left w:val="single" w:color="auto" w:sz="4" w:space="0"/>
              <w:bottom w:val="single" w:color="auto" w:sz="4" w:space="0"/>
              <w:right w:val="single" w:color="auto" w:sz="4" w:space="0"/>
            </w:tcBorders>
            <w:vAlign w:val="center"/>
          </w:tcPr>
          <w:p w14:paraId="5F0A5E4D">
            <w:pPr>
              <w:snapToGrid w:val="0"/>
              <w:spacing w:line="360" w:lineRule="auto"/>
              <w:jc w:val="center"/>
              <w:rPr>
                <w:rFonts w:hAnsi="宋体" w:cs="宋体"/>
                <w:highlight w:val="none"/>
              </w:rPr>
            </w:pPr>
          </w:p>
        </w:tc>
        <w:tc>
          <w:tcPr>
            <w:tcW w:w="2852" w:type="dxa"/>
            <w:tcBorders>
              <w:top w:val="single" w:color="auto" w:sz="4" w:space="0"/>
              <w:left w:val="single" w:color="auto" w:sz="4" w:space="0"/>
              <w:bottom w:val="single" w:color="auto" w:sz="4" w:space="0"/>
              <w:right w:val="single" w:color="auto" w:sz="4" w:space="0"/>
            </w:tcBorders>
            <w:vAlign w:val="center"/>
          </w:tcPr>
          <w:p w14:paraId="6A29F863">
            <w:pPr>
              <w:snapToGrid w:val="0"/>
              <w:spacing w:line="360" w:lineRule="auto"/>
              <w:jc w:val="center"/>
              <w:rPr>
                <w:rFonts w:hAnsi="宋体" w:cs="宋体"/>
                <w:highlight w:val="none"/>
              </w:rPr>
            </w:pPr>
          </w:p>
        </w:tc>
      </w:tr>
      <w:tr w14:paraId="62F5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2" w:type="dxa"/>
            <w:gridSpan w:val="3"/>
            <w:tcBorders>
              <w:top w:val="single" w:color="auto" w:sz="4" w:space="0"/>
              <w:left w:val="single" w:color="auto" w:sz="4" w:space="0"/>
              <w:bottom w:val="single" w:color="auto" w:sz="4" w:space="0"/>
              <w:right w:val="single" w:color="auto" w:sz="4" w:space="0"/>
            </w:tcBorders>
            <w:vAlign w:val="center"/>
          </w:tcPr>
          <w:p w14:paraId="25DB4FFB">
            <w:pPr>
              <w:snapToGrid w:val="0"/>
              <w:spacing w:line="360" w:lineRule="auto"/>
              <w:jc w:val="left"/>
              <w:rPr>
                <w:rFonts w:hAnsi="宋体" w:cs="宋体"/>
                <w:highlight w:val="none"/>
              </w:rPr>
            </w:pPr>
            <w:r>
              <w:rPr>
                <w:rFonts w:hint="eastAsia" w:hAnsi="宋体" w:cs="宋体"/>
                <w:highlight w:val="none"/>
              </w:rPr>
              <w:t>投标总报价等于序号项之和，转入投标函中（等于投标函中的投标总报价）</w:t>
            </w:r>
          </w:p>
        </w:tc>
        <w:tc>
          <w:tcPr>
            <w:tcW w:w="2852" w:type="dxa"/>
            <w:tcBorders>
              <w:top w:val="single" w:color="auto" w:sz="4" w:space="0"/>
              <w:left w:val="single" w:color="auto" w:sz="4" w:space="0"/>
              <w:bottom w:val="single" w:color="auto" w:sz="4" w:space="0"/>
              <w:right w:val="single" w:color="auto" w:sz="4" w:space="0"/>
            </w:tcBorders>
            <w:vAlign w:val="center"/>
          </w:tcPr>
          <w:p w14:paraId="22BC4EFE">
            <w:pPr>
              <w:snapToGrid w:val="0"/>
              <w:spacing w:line="360" w:lineRule="auto"/>
              <w:jc w:val="center"/>
              <w:rPr>
                <w:rFonts w:hAnsi="宋体" w:cs="宋体"/>
                <w:highlight w:val="none"/>
              </w:rPr>
            </w:pPr>
          </w:p>
        </w:tc>
      </w:tr>
    </w:tbl>
    <w:p w14:paraId="782E85A3">
      <w:pPr>
        <w:snapToGrid w:val="0"/>
        <w:spacing w:line="360" w:lineRule="auto"/>
        <w:ind w:firstLine="480" w:firstLineChars="200"/>
        <w:jc w:val="left"/>
        <w:rPr>
          <w:highlight w:val="none"/>
        </w:rPr>
      </w:pPr>
      <w:r>
        <w:rPr>
          <w:rFonts w:hint="eastAsia"/>
          <w:highlight w:val="none"/>
        </w:rPr>
        <w:t>注1：货物及安装报价包括货物、安装、调试、考核（检测）验收、培训等内容。</w:t>
      </w:r>
    </w:p>
    <w:p w14:paraId="71572084">
      <w:pPr>
        <w:snapToGrid w:val="0"/>
        <w:spacing w:line="360" w:lineRule="auto"/>
        <w:ind w:firstLine="480" w:firstLineChars="200"/>
        <w:jc w:val="left"/>
        <w:rPr>
          <w:highlight w:val="none"/>
        </w:rPr>
      </w:pPr>
      <w:r>
        <w:rPr>
          <w:rFonts w:hint="eastAsia"/>
          <w:highlight w:val="none"/>
        </w:rPr>
        <w:t>注2：投标报价均为含税价。</w:t>
      </w:r>
    </w:p>
    <w:p w14:paraId="0C5BDB5A">
      <w:pPr>
        <w:spacing w:line="360" w:lineRule="auto"/>
        <w:ind w:firstLine="480" w:firstLineChars="200"/>
        <w:rPr>
          <w:rFonts w:hAnsi="宋体" w:cs="宋体"/>
          <w:highlight w:val="none"/>
        </w:rPr>
      </w:pPr>
      <w:r>
        <w:rPr>
          <w:rFonts w:hint="eastAsia"/>
          <w:highlight w:val="none"/>
        </w:rPr>
        <w:t>注3：本表供招标人参考，可根据项目情况按照设备分项、安装分项、备品备件等分项分别报价</w:t>
      </w:r>
    </w:p>
    <w:p w14:paraId="12880917">
      <w:pPr>
        <w:rPr>
          <w:highlight w:val="none"/>
        </w:rPr>
      </w:pPr>
      <w:r>
        <w:rPr>
          <w:highlight w:val="none"/>
        </w:rPr>
        <w:br w:type="page"/>
      </w:r>
    </w:p>
    <w:p w14:paraId="22E44846">
      <w:pPr>
        <w:spacing w:line="360" w:lineRule="auto"/>
        <w:jc w:val="center"/>
        <w:rPr>
          <w:rFonts w:hAnsi="宋体" w:cs="宋体"/>
          <w:szCs w:val="24"/>
          <w:highlight w:val="none"/>
        </w:rPr>
      </w:pPr>
      <w:r>
        <w:rPr>
          <w:rFonts w:hint="eastAsia" w:hAnsi="宋体" w:cs="宋体"/>
          <w:szCs w:val="24"/>
          <w:highlight w:val="none"/>
        </w:rPr>
        <w:t>表1-1  货物及安装分项报价表</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943"/>
        <w:gridCol w:w="454"/>
        <w:gridCol w:w="856"/>
        <w:gridCol w:w="1328"/>
        <w:gridCol w:w="638"/>
        <w:gridCol w:w="477"/>
        <w:gridCol w:w="1123"/>
        <w:gridCol w:w="1117"/>
        <w:gridCol w:w="924"/>
      </w:tblGrid>
      <w:tr w14:paraId="5A47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0CE01A16">
            <w:pPr>
              <w:spacing w:line="360" w:lineRule="auto"/>
              <w:jc w:val="center"/>
              <w:rPr>
                <w:rFonts w:hAnsi="宋体" w:cs="宋体"/>
                <w:bCs/>
                <w:szCs w:val="24"/>
                <w:highlight w:val="none"/>
              </w:rPr>
            </w:pPr>
            <w:r>
              <w:rPr>
                <w:rFonts w:hint="eastAsia" w:hAnsi="宋体" w:cs="宋体"/>
                <w:bCs/>
                <w:szCs w:val="24"/>
                <w:highlight w:val="none"/>
              </w:rPr>
              <w:t>序号</w:t>
            </w:r>
          </w:p>
        </w:tc>
        <w:tc>
          <w:tcPr>
            <w:tcW w:w="554" w:type="pct"/>
            <w:tcBorders>
              <w:top w:val="single" w:color="auto" w:sz="4" w:space="0"/>
              <w:left w:val="single" w:color="auto" w:sz="4" w:space="0"/>
              <w:bottom w:val="single" w:color="auto" w:sz="4" w:space="0"/>
              <w:right w:val="single" w:color="auto" w:sz="4" w:space="0"/>
            </w:tcBorders>
            <w:vAlign w:val="center"/>
          </w:tcPr>
          <w:p w14:paraId="69FE5F87">
            <w:pPr>
              <w:spacing w:line="360" w:lineRule="auto"/>
              <w:jc w:val="center"/>
              <w:rPr>
                <w:rFonts w:hAnsi="宋体" w:cs="宋体"/>
                <w:bCs/>
                <w:szCs w:val="24"/>
                <w:highlight w:val="none"/>
              </w:rPr>
            </w:pPr>
            <w:r>
              <w:rPr>
                <w:rFonts w:hint="eastAsia" w:hAnsi="宋体" w:cs="宋体"/>
                <w:bCs/>
                <w:szCs w:val="24"/>
                <w:highlight w:val="none"/>
              </w:rPr>
              <w:t>货物名称</w:t>
            </w:r>
          </w:p>
        </w:tc>
        <w:tc>
          <w:tcPr>
            <w:tcW w:w="267" w:type="pct"/>
            <w:tcBorders>
              <w:top w:val="single" w:color="auto" w:sz="4" w:space="0"/>
              <w:left w:val="single" w:color="auto" w:sz="4" w:space="0"/>
              <w:bottom w:val="single" w:color="auto" w:sz="4" w:space="0"/>
              <w:right w:val="single" w:color="auto" w:sz="4" w:space="0"/>
            </w:tcBorders>
            <w:vAlign w:val="center"/>
          </w:tcPr>
          <w:p w14:paraId="597F567A">
            <w:pPr>
              <w:spacing w:line="360" w:lineRule="auto"/>
              <w:jc w:val="center"/>
              <w:rPr>
                <w:rFonts w:hAnsi="宋体" w:cs="宋体"/>
                <w:bCs/>
                <w:szCs w:val="24"/>
                <w:highlight w:val="none"/>
              </w:rPr>
            </w:pPr>
            <w:r>
              <w:rPr>
                <w:rFonts w:hint="eastAsia" w:hAnsi="宋体" w:cs="宋体"/>
                <w:bCs/>
                <w:szCs w:val="24"/>
                <w:highlight w:val="none"/>
              </w:rPr>
              <w:t>规格</w:t>
            </w:r>
          </w:p>
        </w:tc>
        <w:tc>
          <w:tcPr>
            <w:tcW w:w="503" w:type="pct"/>
            <w:tcBorders>
              <w:top w:val="single" w:color="auto" w:sz="4" w:space="0"/>
              <w:left w:val="single" w:color="auto" w:sz="4" w:space="0"/>
              <w:bottom w:val="single" w:color="auto" w:sz="4" w:space="0"/>
              <w:right w:val="single" w:color="auto" w:sz="4" w:space="0"/>
            </w:tcBorders>
            <w:vAlign w:val="center"/>
          </w:tcPr>
          <w:p w14:paraId="0D1ECB44">
            <w:pPr>
              <w:spacing w:line="360" w:lineRule="auto"/>
              <w:jc w:val="center"/>
              <w:rPr>
                <w:rFonts w:hAnsi="宋体" w:cs="宋体"/>
                <w:bCs/>
                <w:szCs w:val="24"/>
                <w:highlight w:val="none"/>
              </w:rPr>
            </w:pPr>
            <w:r>
              <w:rPr>
                <w:rFonts w:hint="eastAsia" w:hAnsi="宋体" w:cs="宋体"/>
                <w:bCs/>
                <w:szCs w:val="24"/>
                <w:highlight w:val="none"/>
              </w:rPr>
              <w:t>品牌</w:t>
            </w:r>
          </w:p>
        </w:tc>
        <w:tc>
          <w:tcPr>
            <w:tcW w:w="780" w:type="pct"/>
            <w:tcBorders>
              <w:top w:val="single" w:color="auto" w:sz="4" w:space="0"/>
              <w:left w:val="single" w:color="auto" w:sz="4" w:space="0"/>
              <w:bottom w:val="single" w:color="auto" w:sz="4" w:space="0"/>
              <w:right w:val="single" w:color="auto" w:sz="4" w:space="0"/>
            </w:tcBorders>
            <w:vAlign w:val="center"/>
          </w:tcPr>
          <w:p w14:paraId="1D576B22">
            <w:pPr>
              <w:spacing w:line="360" w:lineRule="auto"/>
              <w:jc w:val="center"/>
              <w:rPr>
                <w:rFonts w:hAnsi="宋体" w:cs="宋体"/>
                <w:bCs/>
                <w:szCs w:val="24"/>
                <w:highlight w:val="none"/>
              </w:rPr>
            </w:pPr>
            <w:r>
              <w:rPr>
                <w:rFonts w:hint="eastAsia" w:hAnsi="宋体" w:cs="宋体"/>
                <w:bCs/>
                <w:szCs w:val="24"/>
                <w:highlight w:val="none"/>
              </w:rPr>
              <w:t>制造商/生产商</w:t>
            </w:r>
          </w:p>
        </w:tc>
        <w:tc>
          <w:tcPr>
            <w:tcW w:w="375" w:type="pct"/>
            <w:tcBorders>
              <w:top w:val="single" w:color="auto" w:sz="4" w:space="0"/>
              <w:left w:val="single" w:color="auto" w:sz="4" w:space="0"/>
              <w:bottom w:val="single" w:color="auto" w:sz="4" w:space="0"/>
              <w:right w:val="single" w:color="auto" w:sz="4" w:space="0"/>
            </w:tcBorders>
            <w:vAlign w:val="center"/>
          </w:tcPr>
          <w:p w14:paraId="1AFF8A7A">
            <w:pPr>
              <w:spacing w:line="360" w:lineRule="auto"/>
              <w:jc w:val="center"/>
              <w:rPr>
                <w:rFonts w:hAnsi="宋体" w:cs="宋体"/>
                <w:bCs/>
                <w:szCs w:val="24"/>
                <w:highlight w:val="none"/>
              </w:rPr>
            </w:pPr>
            <w:r>
              <w:rPr>
                <w:rFonts w:hint="eastAsia" w:hAnsi="宋体" w:cs="宋体"/>
                <w:bCs/>
                <w:szCs w:val="24"/>
                <w:highlight w:val="none"/>
              </w:rPr>
              <w:t>单位</w:t>
            </w:r>
          </w:p>
        </w:tc>
        <w:tc>
          <w:tcPr>
            <w:tcW w:w="280" w:type="pct"/>
            <w:tcBorders>
              <w:top w:val="single" w:color="auto" w:sz="4" w:space="0"/>
              <w:left w:val="single" w:color="auto" w:sz="4" w:space="0"/>
              <w:bottom w:val="single" w:color="auto" w:sz="4" w:space="0"/>
              <w:right w:val="single" w:color="auto" w:sz="4" w:space="0"/>
            </w:tcBorders>
            <w:vAlign w:val="center"/>
          </w:tcPr>
          <w:p w14:paraId="1D0333FD">
            <w:pPr>
              <w:spacing w:line="360" w:lineRule="auto"/>
              <w:jc w:val="center"/>
              <w:rPr>
                <w:rFonts w:hAnsi="宋体" w:cs="宋体"/>
                <w:bCs/>
                <w:szCs w:val="24"/>
                <w:highlight w:val="none"/>
              </w:rPr>
            </w:pPr>
            <w:r>
              <w:rPr>
                <w:rFonts w:hint="eastAsia" w:hAnsi="宋体" w:cs="宋体"/>
                <w:bCs/>
                <w:szCs w:val="24"/>
                <w:highlight w:val="none"/>
              </w:rPr>
              <w:t>数量</w:t>
            </w:r>
          </w:p>
        </w:tc>
        <w:tc>
          <w:tcPr>
            <w:tcW w:w="656" w:type="pct"/>
            <w:tcBorders>
              <w:top w:val="single" w:color="auto" w:sz="4" w:space="0"/>
              <w:left w:val="single" w:color="auto" w:sz="4" w:space="0"/>
              <w:bottom w:val="single" w:color="auto" w:sz="4" w:space="0"/>
              <w:right w:val="single" w:color="auto" w:sz="4" w:space="0"/>
            </w:tcBorders>
            <w:vAlign w:val="center"/>
          </w:tcPr>
          <w:p w14:paraId="4A4DB5E4">
            <w:pPr>
              <w:spacing w:line="360" w:lineRule="auto"/>
              <w:jc w:val="center"/>
              <w:rPr>
                <w:rFonts w:hAnsi="宋体" w:cs="宋体"/>
                <w:bCs/>
                <w:szCs w:val="24"/>
                <w:highlight w:val="none"/>
              </w:rPr>
            </w:pPr>
            <w:r>
              <w:rPr>
                <w:rFonts w:hint="eastAsia" w:hAnsi="宋体" w:cs="宋体"/>
                <w:bCs/>
                <w:szCs w:val="24"/>
                <w:highlight w:val="none"/>
              </w:rPr>
              <w:t>单价（元）</w:t>
            </w:r>
          </w:p>
        </w:tc>
        <w:tc>
          <w:tcPr>
            <w:tcW w:w="656" w:type="pct"/>
            <w:tcBorders>
              <w:top w:val="single" w:color="auto" w:sz="4" w:space="0"/>
              <w:left w:val="single" w:color="auto" w:sz="4" w:space="0"/>
              <w:bottom w:val="single" w:color="auto" w:sz="4" w:space="0"/>
              <w:right w:val="single" w:color="auto" w:sz="4" w:space="0"/>
            </w:tcBorders>
            <w:vAlign w:val="center"/>
          </w:tcPr>
          <w:p w14:paraId="713C9191">
            <w:pPr>
              <w:spacing w:line="360" w:lineRule="auto"/>
              <w:jc w:val="center"/>
              <w:rPr>
                <w:rFonts w:hAnsi="宋体" w:cs="宋体"/>
                <w:bCs/>
                <w:szCs w:val="24"/>
                <w:highlight w:val="none"/>
              </w:rPr>
            </w:pPr>
            <w:r>
              <w:rPr>
                <w:rFonts w:hint="eastAsia" w:hAnsi="宋体" w:cs="宋体"/>
                <w:bCs/>
                <w:szCs w:val="24"/>
                <w:highlight w:val="none"/>
              </w:rPr>
              <w:t>合价（元）</w:t>
            </w:r>
          </w:p>
        </w:tc>
        <w:tc>
          <w:tcPr>
            <w:tcW w:w="541" w:type="pct"/>
            <w:tcBorders>
              <w:top w:val="single" w:color="auto" w:sz="4" w:space="0"/>
              <w:left w:val="single" w:color="auto" w:sz="4" w:space="0"/>
              <w:bottom w:val="single" w:color="auto" w:sz="4" w:space="0"/>
              <w:right w:val="single" w:color="auto" w:sz="4" w:space="0"/>
            </w:tcBorders>
            <w:vAlign w:val="center"/>
          </w:tcPr>
          <w:p w14:paraId="1C81328F">
            <w:pPr>
              <w:spacing w:line="360" w:lineRule="auto"/>
              <w:jc w:val="center"/>
              <w:rPr>
                <w:rFonts w:hAnsi="宋体" w:cs="宋体"/>
                <w:bCs/>
                <w:szCs w:val="24"/>
                <w:highlight w:val="none"/>
              </w:rPr>
            </w:pPr>
            <w:r>
              <w:rPr>
                <w:rFonts w:hint="eastAsia" w:hAnsi="宋体" w:cs="宋体"/>
                <w:bCs/>
                <w:szCs w:val="24"/>
                <w:highlight w:val="none"/>
              </w:rPr>
              <w:t>备注</w:t>
            </w:r>
          </w:p>
        </w:tc>
      </w:tr>
      <w:tr w14:paraId="6815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6730755C">
            <w:pPr>
              <w:widowControl/>
              <w:spacing w:line="360" w:lineRule="auto"/>
              <w:jc w:val="center"/>
              <w:rPr>
                <w:rFonts w:hAnsi="宋体" w:cs="宋体"/>
                <w:bCs/>
                <w:szCs w:val="24"/>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229374AE">
            <w:pPr>
              <w:widowControl/>
              <w:spacing w:line="360" w:lineRule="auto"/>
              <w:jc w:val="center"/>
              <w:rPr>
                <w:rFonts w:hAnsi="宋体" w:cs="宋体"/>
                <w:bCs/>
                <w:szCs w:val="24"/>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00F738FB">
            <w:pPr>
              <w:widowControl/>
              <w:spacing w:line="360" w:lineRule="auto"/>
              <w:jc w:val="center"/>
              <w:rPr>
                <w:rFonts w:hAnsi="宋体" w:cs="宋体"/>
                <w:bCs/>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7E8CB5B6">
            <w:pPr>
              <w:widowControl/>
              <w:spacing w:line="360" w:lineRule="auto"/>
              <w:jc w:val="center"/>
              <w:rPr>
                <w:rFonts w:hAnsi="宋体" w:cs="宋体"/>
                <w:bCs/>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63928063">
            <w:pPr>
              <w:widowControl/>
              <w:spacing w:line="360" w:lineRule="auto"/>
              <w:jc w:val="center"/>
              <w:rPr>
                <w:rFonts w:hAnsi="宋体" w:cs="宋体"/>
                <w:bCs/>
                <w:szCs w:val="24"/>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408773CF">
            <w:pPr>
              <w:spacing w:line="360" w:lineRule="auto"/>
              <w:jc w:val="center"/>
              <w:rPr>
                <w:rFonts w:hAnsi="宋体" w:cs="宋体"/>
                <w:bCs/>
                <w:szCs w:val="24"/>
                <w:highlight w:val="none"/>
              </w:rPr>
            </w:pPr>
          </w:p>
        </w:tc>
        <w:tc>
          <w:tcPr>
            <w:tcW w:w="280" w:type="pct"/>
            <w:tcBorders>
              <w:top w:val="single" w:color="auto" w:sz="4" w:space="0"/>
              <w:left w:val="single" w:color="auto" w:sz="4" w:space="0"/>
              <w:bottom w:val="single" w:color="auto" w:sz="4" w:space="0"/>
              <w:right w:val="single" w:color="auto" w:sz="4" w:space="0"/>
            </w:tcBorders>
            <w:vAlign w:val="center"/>
          </w:tcPr>
          <w:p w14:paraId="4B59EC4E">
            <w:pPr>
              <w:spacing w:line="360" w:lineRule="auto"/>
              <w:jc w:val="center"/>
              <w:rPr>
                <w:rFonts w:hAnsi="宋体" w:cs="宋体"/>
                <w:bCs/>
                <w:szCs w:val="24"/>
                <w:highlight w:val="none"/>
              </w:rPr>
            </w:pPr>
          </w:p>
        </w:tc>
        <w:tc>
          <w:tcPr>
            <w:tcW w:w="656" w:type="pct"/>
            <w:tcBorders>
              <w:top w:val="single" w:color="auto" w:sz="4" w:space="0"/>
              <w:left w:val="single" w:color="auto" w:sz="4" w:space="0"/>
              <w:bottom w:val="single" w:color="auto" w:sz="4" w:space="0"/>
              <w:right w:val="single" w:color="auto" w:sz="4" w:space="0"/>
            </w:tcBorders>
            <w:vAlign w:val="center"/>
          </w:tcPr>
          <w:p w14:paraId="343B55FA">
            <w:pPr>
              <w:spacing w:line="360" w:lineRule="auto"/>
              <w:jc w:val="center"/>
              <w:rPr>
                <w:rFonts w:hAnsi="宋体" w:cs="宋体"/>
                <w:bCs/>
                <w:szCs w:val="24"/>
                <w:highlight w:val="none"/>
              </w:rPr>
            </w:pPr>
          </w:p>
        </w:tc>
        <w:tc>
          <w:tcPr>
            <w:tcW w:w="656" w:type="pct"/>
            <w:tcBorders>
              <w:top w:val="single" w:color="auto" w:sz="4" w:space="0"/>
              <w:left w:val="single" w:color="auto" w:sz="4" w:space="0"/>
              <w:bottom w:val="single" w:color="auto" w:sz="4" w:space="0"/>
              <w:right w:val="single" w:color="auto" w:sz="4" w:space="0"/>
            </w:tcBorders>
            <w:vAlign w:val="center"/>
          </w:tcPr>
          <w:p w14:paraId="16F47588">
            <w:pPr>
              <w:spacing w:line="360" w:lineRule="auto"/>
              <w:jc w:val="center"/>
              <w:rPr>
                <w:rFonts w:hAnsi="宋体" w:cs="宋体"/>
                <w:bCs/>
                <w:szCs w:val="24"/>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74654D37">
            <w:pPr>
              <w:spacing w:line="360" w:lineRule="auto"/>
              <w:jc w:val="center"/>
              <w:rPr>
                <w:rFonts w:hAnsi="宋体" w:cs="宋体"/>
                <w:bCs/>
                <w:szCs w:val="24"/>
                <w:highlight w:val="none"/>
              </w:rPr>
            </w:pPr>
          </w:p>
        </w:tc>
      </w:tr>
      <w:tr w14:paraId="0935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5591B319">
            <w:pPr>
              <w:spacing w:line="360" w:lineRule="auto"/>
              <w:jc w:val="center"/>
              <w:rPr>
                <w:rFonts w:hAnsi="宋体" w:cs="宋体"/>
                <w:bCs/>
                <w:szCs w:val="24"/>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7A2A91E0">
            <w:pPr>
              <w:spacing w:line="360" w:lineRule="auto"/>
              <w:jc w:val="center"/>
              <w:rPr>
                <w:rFonts w:hAnsi="宋体" w:cs="宋体"/>
                <w:bCs/>
                <w:szCs w:val="24"/>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58DD8B2E">
            <w:pPr>
              <w:spacing w:line="360" w:lineRule="auto"/>
              <w:jc w:val="center"/>
              <w:rPr>
                <w:rFonts w:hAnsi="宋体" w:cs="宋体"/>
                <w:bCs/>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799C26C3">
            <w:pPr>
              <w:spacing w:line="360" w:lineRule="auto"/>
              <w:jc w:val="center"/>
              <w:rPr>
                <w:rFonts w:hAnsi="宋体" w:cs="宋体"/>
                <w:bCs/>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56212D1E">
            <w:pPr>
              <w:spacing w:line="360" w:lineRule="auto"/>
              <w:jc w:val="center"/>
              <w:rPr>
                <w:rFonts w:hAnsi="宋体" w:cs="宋体"/>
                <w:bCs/>
                <w:szCs w:val="24"/>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0D7431C3">
            <w:pPr>
              <w:spacing w:line="360" w:lineRule="auto"/>
              <w:jc w:val="center"/>
              <w:rPr>
                <w:rFonts w:hAnsi="宋体" w:cs="宋体"/>
                <w:bCs/>
                <w:szCs w:val="24"/>
                <w:highlight w:val="none"/>
              </w:rPr>
            </w:pPr>
          </w:p>
        </w:tc>
        <w:tc>
          <w:tcPr>
            <w:tcW w:w="280" w:type="pct"/>
            <w:tcBorders>
              <w:top w:val="single" w:color="auto" w:sz="4" w:space="0"/>
              <w:left w:val="single" w:color="auto" w:sz="4" w:space="0"/>
              <w:bottom w:val="single" w:color="auto" w:sz="4" w:space="0"/>
              <w:right w:val="single" w:color="auto" w:sz="4" w:space="0"/>
            </w:tcBorders>
            <w:vAlign w:val="center"/>
          </w:tcPr>
          <w:p w14:paraId="4FF9EE45">
            <w:pPr>
              <w:spacing w:line="360" w:lineRule="auto"/>
              <w:jc w:val="center"/>
              <w:rPr>
                <w:rFonts w:hAnsi="宋体" w:cs="宋体"/>
                <w:bCs/>
                <w:szCs w:val="24"/>
                <w:highlight w:val="none"/>
              </w:rPr>
            </w:pPr>
          </w:p>
        </w:tc>
        <w:tc>
          <w:tcPr>
            <w:tcW w:w="656" w:type="pct"/>
            <w:tcBorders>
              <w:top w:val="single" w:color="auto" w:sz="4" w:space="0"/>
              <w:left w:val="single" w:color="auto" w:sz="4" w:space="0"/>
              <w:bottom w:val="single" w:color="auto" w:sz="4" w:space="0"/>
              <w:right w:val="single" w:color="auto" w:sz="4" w:space="0"/>
            </w:tcBorders>
            <w:vAlign w:val="center"/>
          </w:tcPr>
          <w:p w14:paraId="47660D31">
            <w:pPr>
              <w:spacing w:line="360" w:lineRule="auto"/>
              <w:jc w:val="center"/>
              <w:rPr>
                <w:rFonts w:hAnsi="宋体" w:cs="宋体"/>
                <w:bCs/>
                <w:szCs w:val="24"/>
                <w:highlight w:val="none"/>
              </w:rPr>
            </w:pPr>
          </w:p>
        </w:tc>
        <w:tc>
          <w:tcPr>
            <w:tcW w:w="656" w:type="pct"/>
            <w:tcBorders>
              <w:top w:val="single" w:color="auto" w:sz="4" w:space="0"/>
              <w:left w:val="single" w:color="auto" w:sz="4" w:space="0"/>
              <w:bottom w:val="single" w:color="auto" w:sz="4" w:space="0"/>
              <w:right w:val="single" w:color="auto" w:sz="4" w:space="0"/>
            </w:tcBorders>
            <w:vAlign w:val="center"/>
          </w:tcPr>
          <w:p w14:paraId="1C9C45CF">
            <w:pPr>
              <w:spacing w:line="360" w:lineRule="auto"/>
              <w:jc w:val="center"/>
              <w:rPr>
                <w:rFonts w:hAnsi="宋体" w:cs="宋体"/>
                <w:bCs/>
                <w:szCs w:val="24"/>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412DF12C">
            <w:pPr>
              <w:spacing w:line="360" w:lineRule="auto"/>
              <w:jc w:val="center"/>
              <w:rPr>
                <w:rFonts w:hAnsi="宋体" w:cs="宋体"/>
                <w:bCs/>
                <w:szCs w:val="24"/>
                <w:highlight w:val="none"/>
              </w:rPr>
            </w:pPr>
          </w:p>
        </w:tc>
      </w:tr>
      <w:tr w14:paraId="0E25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6382095E">
            <w:pPr>
              <w:spacing w:line="360" w:lineRule="auto"/>
              <w:jc w:val="center"/>
              <w:rPr>
                <w:rFonts w:hAnsi="宋体" w:cs="宋体"/>
                <w:bCs/>
                <w:szCs w:val="24"/>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772868E8">
            <w:pPr>
              <w:spacing w:line="360" w:lineRule="auto"/>
              <w:jc w:val="center"/>
              <w:rPr>
                <w:rFonts w:hAnsi="宋体" w:cs="宋体"/>
                <w:bCs/>
                <w:szCs w:val="24"/>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38796CD7">
            <w:pPr>
              <w:spacing w:line="360" w:lineRule="auto"/>
              <w:jc w:val="center"/>
              <w:rPr>
                <w:rFonts w:hAnsi="宋体" w:cs="宋体"/>
                <w:bCs/>
                <w:szCs w:val="24"/>
                <w:highlight w:val="none"/>
              </w:rPr>
            </w:pPr>
          </w:p>
        </w:tc>
        <w:tc>
          <w:tcPr>
            <w:tcW w:w="503" w:type="pct"/>
            <w:tcBorders>
              <w:top w:val="single" w:color="auto" w:sz="4" w:space="0"/>
              <w:left w:val="single" w:color="auto" w:sz="4" w:space="0"/>
              <w:bottom w:val="single" w:color="auto" w:sz="4" w:space="0"/>
              <w:right w:val="single" w:color="auto" w:sz="4" w:space="0"/>
            </w:tcBorders>
            <w:vAlign w:val="center"/>
          </w:tcPr>
          <w:p w14:paraId="6BBCE410">
            <w:pPr>
              <w:spacing w:line="360" w:lineRule="auto"/>
              <w:jc w:val="center"/>
              <w:rPr>
                <w:rFonts w:hAnsi="宋体" w:cs="宋体"/>
                <w:bCs/>
                <w:szCs w:val="24"/>
                <w:highlight w: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6B7F2DB9">
            <w:pPr>
              <w:spacing w:line="360" w:lineRule="auto"/>
              <w:jc w:val="center"/>
              <w:rPr>
                <w:rFonts w:hAnsi="宋体" w:cs="宋体"/>
                <w:bCs/>
                <w:szCs w:val="24"/>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31D8B98B">
            <w:pPr>
              <w:spacing w:line="360" w:lineRule="auto"/>
              <w:jc w:val="center"/>
              <w:rPr>
                <w:rFonts w:hAnsi="宋体" w:cs="宋体"/>
                <w:bCs/>
                <w:szCs w:val="24"/>
                <w:highlight w:val="none"/>
              </w:rPr>
            </w:pPr>
          </w:p>
        </w:tc>
        <w:tc>
          <w:tcPr>
            <w:tcW w:w="280" w:type="pct"/>
            <w:tcBorders>
              <w:top w:val="single" w:color="auto" w:sz="4" w:space="0"/>
              <w:left w:val="single" w:color="auto" w:sz="4" w:space="0"/>
              <w:bottom w:val="single" w:color="auto" w:sz="4" w:space="0"/>
              <w:right w:val="single" w:color="auto" w:sz="4" w:space="0"/>
            </w:tcBorders>
            <w:vAlign w:val="center"/>
          </w:tcPr>
          <w:p w14:paraId="350AC11A">
            <w:pPr>
              <w:spacing w:line="360" w:lineRule="auto"/>
              <w:jc w:val="center"/>
              <w:rPr>
                <w:rFonts w:hAnsi="宋体" w:cs="宋体"/>
                <w:bCs/>
                <w:szCs w:val="24"/>
                <w:highlight w:val="none"/>
              </w:rPr>
            </w:pPr>
          </w:p>
        </w:tc>
        <w:tc>
          <w:tcPr>
            <w:tcW w:w="656" w:type="pct"/>
            <w:tcBorders>
              <w:top w:val="single" w:color="auto" w:sz="4" w:space="0"/>
              <w:left w:val="single" w:color="auto" w:sz="4" w:space="0"/>
              <w:bottom w:val="single" w:color="auto" w:sz="4" w:space="0"/>
              <w:right w:val="single" w:color="auto" w:sz="4" w:space="0"/>
            </w:tcBorders>
            <w:vAlign w:val="center"/>
          </w:tcPr>
          <w:p w14:paraId="61492B07">
            <w:pPr>
              <w:spacing w:line="360" w:lineRule="auto"/>
              <w:jc w:val="center"/>
              <w:rPr>
                <w:rFonts w:hAnsi="宋体" w:cs="宋体"/>
                <w:bCs/>
                <w:szCs w:val="24"/>
                <w:highlight w:val="none"/>
              </w:rPr>
            </w:pPr>
          </w:p>
        </w:tc>
        <w:tc>
          <w:tcPr>
            <w:tcW w:w="656" w:type="pct"/>
            <w:tcBorders>
              <w:top w:val="single" w:color="auto" w:sz="4" w:space="0"/>
              <w:left w:val="single" w:color="auto" w:sz="4" w:space="0"/>
              <w:bottom w:val="single" w:color="auto" w:sz="4" w:space="0"/>
              <w:right w:val="single" w:color="auto" w:sz="4" w:space="0"/>
            </w:tcBorders>
            <w:vAlign w:val="center"/>
          </w:tcPr>
          <w:p w14:paraId="179D0482">
            <w:pPr>
              <w:spacing w:line="360" w:lineRule="auto"/>
              <w:jc w:val="center"/>
              <w:rPr>
                <w:rFonts w:hAnsi="宋体" w:cs="宋体"/>
                <w:bCs/>
                <w:szCs w:val="24"/>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5565BC01">
            <w:pPr>
              <w:spacing w:line="360" w:lineRule="auto"/>
              <w:jc w:val="center"/>
              <w:rPr>
                <w:rFonts w:hAnsi="宋体" w:cs="宋体"/>
                <w:bCs/>
                <w:szCs w:val="24"/>
                <w:highlight w:val="none"/>
              </w:rPr>
            </w:pPr>
          </w:p>
        </w:tc>
      </w:tr>
      <w:tr w14:paraId="1D50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801" w:type="pct"/>
            <w:gridSpan w:val="8"/>
            <w:tcBorders>
              <w:top w:val="single" w:color="auto" w:sz="4" w:space="0"/>
              <w:left w:val="single" w:color="auto" w:sz="4" w:space="0"/>
              <w:bottom w:val="single" w:color="auto" w:sz="4" w:space="0"/>
              <w:right w:val="single" w:color="auto" w:sz="4" w:space="0"/>
            </w:tcBorders>
            <w:vAlign w:val="center"/>
          </w:tcPr>
          <w:p w14:paraId="1D1F7A61">
            <w:pPr>
              <w:spacing w:line="360" w:lineRule="auto"/>
              <w:jc w:val="center"/>
              <w:rPr>
                <w:rFonts w:hAnsi="宋体" w:cs="宋体"/>
                <w:bCs/>
                <w:szCs w:val="24"/>
                <w:highlight w:val="none"/>
              </w:rPr>
            </w:pPr>
            <w:r>
              <w:rPr>
                <w:rFonts w:hint="eastAsia" w:hAnsi="宋体" w:cs="宋体"/>
                <w:bCs/>
                <w:szCs w:val="24"/>
                <w:highlight w:val="none"/>
              </w:rPr>
              <w:t>合计（转入表1）</w:t>
            </w:r>
          </w:p>
        </w:tc>
        <w:tc>
          <w:tcPr>
            <w:tcW w:w="656" w:type="pct"/>
            <w:tcBorders>
              <w:top w:val="single" w:color="auto" w:sz="4" w:space="0"/>
              <w:left w:val="single" w:color="auto" w:sz="4" w:space="0"/>
              <w:bottom w:val="single" w:color="auto" w:sz="4" w:space="0"/>
              <w:right w:val="single" w:color="auto" w:sz="4" w:space="0"/>
            </w:tcBorders>
            <w:vAlign w:val="center"/>
          </w:tcPr>
          <w:p w14:paraId="22A2E321">
            <w:pPr>
              <w:spacing w:line="360" w:lineRule="auto"/>
              <w:jc w:val="center"/>
              <w:rPr>
                <w:rFonts w:hAnsi="宋体" w:cs="宋体"/>
                <w:bCs/>
                <w:szCs w:val="24"/>
                <w:highlight w:val="none"/>
              </w:rPr>
            </w:pPr>
          </w:p>
        </w:tc>
        <w:tc>
          <w:tcPr>
            <w:tcW w:w="541" w:type="pct"/>
            <w:tcBorders>
              <w:top w:val="single" w:color="auto" w:sz="4" w:space="0"/>
              <w:left w:val="single" w:color="auto" w:sz="4" w:space="0"/>
              <w:bottom w:val="single" w:color="auto" w:sz="4" w:space="0"/>
              <w:right w:val="single" w:color="auto" w:sz="4" w:space="0"/>
            </w:tcBorders>
            <w:vAlign w:val="center"/>
          </w:tcPr>
          <w:p w14:paraId="6639E3B6">
            <w:pPr>
              <w:spacing w:line="360" w:lineRule="auto"/>
              <w:jc w:val="center"/>
              <w:rPr>
                <w:rFonts w:hAnsi="宋体" w:cs="宋体"/>
                <w:bCs/>
                <w:szCs w:val="24"/>
                <w:highlight w:val="none"/>
              </w:rPr>
            </w:pPr>
          </w:p>
        </w:tc>
      </w:tr>
      <w:tr w14:paraId="534F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A8E57E0">
            <w:pPr>
              <w:spacing w:line="360" w:lineRule="auto"/>
              <w:jc w:val="center"/>
              <w:rPr>
                <w:rFonts w:hAnsi="宋体" w:cs="宋体"/>
                <w:bCs/>
                <w:szCs w:val="24"/>
                <w:highlight w:val="none"/>
              </w:rPr>
            </w:pPr>
            <w:r>
              <w:rPr>
                <w:rFonts w:hint="eastAsia" w:hAnsi="宋体" w:cs="宋体"/>
                <w:bCs/>
                <w:szCs w:val="24"/>
                <w:highlight w:val="none"/>
              </w:rPr>
              <w:t>注：货物及安装分项报价的汇总金额转入表1，计入本项目投标总价。</w:t>
            </w:r>
          </w:p>
        </w:tc>
      </w:tr>
    </w:tbl>
    <w:p w14:paraId="55852A67">
      <w:pPr>
        <w:spacing w:line="360" w:lineRule="auto"/>
        <w:jc w:val="center"/>
        <w:rPr>
          <w:rFonts w:hAnsi="宋体" w:cs="宋体"/>
          <w:bCs/>
          <w:szCs w:val="24"/>
          <w:highlight w:val="none"/>
        </w:rPr>
      </w:pPr>
    </w:p>
    <w:p w14:paraId="2BE8C794">
      <w:pPr>
        <w:spacing w:line="360" w:lineRule="auto"/>
        <w:jc w:val="center"/>
        <w:rPr>
          <w:rFonts w:hAnsi="宋体" w:cs="宋体"/>
          <w:bCs/>
          <w:szCs w:val="24"/>
          <w:highlight w:val="none"/>
        </w:rPr>
      </w:pPr>
      <w:r>
        <w:rPr>
          <w:rFonts w:hint="eastAsia" w:hAnsi="宋体" w:cs="宋体"/>
          <w:bCs/>
          <w:szCs w:val="24"/>
          <w:highlight w:val="none"/>
        </w:rPr>
        <w:br w:type="page"/>
      </w:r>
      <w:r>
        <w:rPr>
          <w:rFonts w:hint="eastAsia" w:hAnsi="宋体" w:cs="宋体"/>
          <w:szCs w:val="24"/>
          <w:highlight w:val="none"/>
        </w:rPr>
        <w:t>表1-2  暂定金（如有）</w:t>
      </w:r>
    </w:p>
    <w:tbl>
      <w:tblPr>
        <w:tblStyle w:val="5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944"/>
        <w:gridCol w:w="2581"/>
        <w:gridCol w:w="2129"/>
      </w:tblGrid>
      <w:tr w14:paraId="519C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14:paraId="7D9FF348">
            <w:pPr>
              <w:spacing w:line="360" w:lineRule="auto"/>
              <w:jc w:val="center"/>
              <w:rPr>
                <w:rFonts w:hAnsi="宋体" w:cs="宋体"/>
                <w:bCs/>
                <w:szCs w:val="24"/>
                <w:highlight w:val="none"/>
              </w:rPr>
            </w:pPr>
            <w:r>
              <w:rPr>
                <w:rFonts w:hint="eastAsia" w:hAnsi="宋体" w:cs="宋体"/>
                <w:bCs/>
                <w:szCs w:val="24"/>
                <w:highlight w:val="none"/>
              </w:rPr>
              <w:t>序号</w:t>
            </w:r>
          </w:p>
        </w:tc>
        <w:tc>
          <w:tcPr>
            <w:tcW w:w="1729" w:type="pct"/>
            <w:tcBorders>
              <w:top w:val="single" w:color="auto" w:sz="4" w:space="0"/>
              <w:left w:val="single" w:color="auto" w:sz="4" w:space="0"/>
              <w:bottom w:val="single" w:color="auto" w:sz="4" w:space="0"/>
              <w:right w:val="single" w:color="auto" w:sz="4" w:space="0"/>
            </w:tcBorders>
            <w:vAlign w:val="center"/>
          </w:tcPr>
          <w:p w14:paraId="30D3B3C9">
            <w:pPr>
              <w:spacing w:line="360" w:lineRule="auto"/>
              <w:jc w:val="center"/>
              <w:rPr>
                <w:rFonts w:hAnsi="宋体" w:cs="宋体"/>
                <w:bCs/>
                <w:szCs w:val="24"/>
                <w:highlight w:val="none"/>
              </w:rPr>
            </w:pPr>
            <w:r>
              <w:rPr>
                <w:rFonts w:hint="eastAsia" w:hAnsi="宋体" w:cs="宋体"/>
                <w:bCs/>
                <w:szCs w:val="24"/>
                <w:highlight w:val="none"/>
              </w:rPr>
              <w:t>项目</w:t>
            </w:r>
          </w:p>
        </w:tc>
        <w:tc>
          <w:tcPr>
            <w:tcW w:w="1515" w:type="pct"/>
            <w:tcBorders>
              <w:top w:val="single" w:color="auto" w:sz="4" w:space="0"/>
              <w:left w:val="single" w:color="auto" w:sz="4" w:space="0"/>
              <w:bottom w:val="single" w:color="auto" w:sz="4" w:space="0"/>
              <w:right w:val="single" w:color="auto" w:sz="4" w:space="0"/>
            </w:tcBorders>
            <w:vAlign w:val="center"/>
          </w:tcPr>
          <w:p w14:paraId="228720B3">
            <w:pPr>
              <w:spacing w:line="360" w:lineRule="auto"/>
              <w:jc w:val="center"/>
              <w:rPr>
                <w:rFonts w:hAnsi="宋体" w:cs="宋体"/>
                <w:bCs/>
                <w:szCs w:val="24"/>
                <w:highlight w:val="none"/>
              </w:rPr>
            </w:pPr>
            <w:r>
              <w:rPr>
                <w:rFonts w:hint="eastAsia" w:hAnsi="宋体" w:cs="宋体"/>
                <w:bCs/>
                <w:szCs w:val="24"/>
                <w:highlight w:val="none"/>
              </w:rPr>
              <w:t>内容</w:t>
            </w:r>
          </w:p>
        </w:tc>
        <w:tc>
          <w:tcPr>
            <w:tcW w:w="1249" w:type="pct"/>
            <w:tcBorders>
              <w:top w:val="single" w:color="auto" w:sz="4" w:space="0"/>
              <w:left w:val="single" w:color="auto" w:sz="4" w:space="0"/>
              <w:bottom w:val="single" w:color="auto" w:sz="4" w:space="0"/>
              <w:right w:val="single" w:color="auto" w:sz="4" w:space="0"/>
            </w:tcBorders>
            <w:vAlign w:val="center"/>
          </w:tcPr>
          <w:p w14:paraId="165C59CD">
            <w:pPr>
              <w:spacing w:line="360" w:lineRule="auto"/>
              <w:jc w:val="center"/>
              <w:rPr>
                <w:rFonts w:hAnsi="宋体" w:cs="宋体"/>
                <w:bCs/>
                <w:szCs w:val="24"/>
                <w:highlight w:val="none"/>
              </w:rPr>
            </w:pPr>
            <w:r>
              <w:rPr>
                <w:rFonts w:hint="eastAsia" w:hAnsi="宋体" w:cs="宋体"/>
                <w:bCs/>
                <w:szCs w:val="24"/>
                <w:highlight w:val="none"/>
              </w:rPr>
              <w:t>暂定金（元）</w:t>
            </w:r>
          </w:p>
        </w:tc>
      </w:tr>
      <w:tr w14:paraId="299D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14:paraId="559B9F94">
            <w:pPr>
              <w:spacing w:line="360" w:lineRule="auto"/>
              <w:jc w:val="center"/>
              <w:rPr>
                <w:rFonts w:hAnsi="宋体" w:cs="宋体"/>
                <w:bCs/>
                <w:szCs w:val="24"/>
                <w:highlight w:val="none"/>
              </w:rPr>
            </w:pPr>
          </w:p>
        </w:tc>
        <w:tc>
          <w:tcPr>
            <w:tcW w:w="1729" w:type="pct"/>
            <w:tcBorders>
              <w:top w:val="single" w:color="auto" w:sz="4" w:space="0"/>
              <w:left w:val="single" w:color="auto" w:sz="4" w:space="0"/>
              <w:bottom w:val="single" w:color="auto" w:sz="4" w:space="0"/>
              <w:right w:val="single" w:color="auto" w:sz="4" w:space="0"/>
            </w:tcBorders>
            <w:vAlign w:val="center"/>
          </w:tcPr>
          <w:p w14:paraId="53A2DC5F">
            <w:pPr>
              <w:spacing w:line="360" w:lineRule="auto"/>
              <w:jc w:val="center"/>
              <w:rPr>
                <w:rFonts w:hAnsi="宋体" w:cs="宋体"/>
                <w:bCs/>
                <w:szCs w:val="24"/>
                <w:highlight w:val="none"/>
              </w:rPr>
            </w:pPr>
          </w:p>
        </w:tc>
        <w:tc>
          <w:tcPr>
            <w:tcW w:w="1515" w:type="pct"/>
            <w:tcBorders>
              <w:top w:val="single" w:color="auto" w:sz="4" w:space="0"/>
              <w:left w:val="single" w:color="auto" w:sz="4" w:space="0"/>
              <w:bottom w:val="single" w:color="auto" w:sz="4" w:space="0"/>
              <w:right w:val="single" w:color="auto" w:sz="4" w:space="0"/>
            </w:tcBorders>
            <w:vAlign w:val="center"/>
          </w:tcPr>
          <w:p w14:paraId="1ACA44C2">
            <w:pPr>
              <w:spacing w:line="360" w:lineRule="auto"/>
              <w:jc w:val="center"/>
              <w:rPr>
                <w:rFonts w:hAnsi="宋体" w:cs="宋体"/>
                <w:bCs/>
                <w:szCs w:val="24"/>
                <w:highlight w:val="none"/>
              </w:rPr>
            </w:pPr>
          </w:p>
        </w:tc>
        <w:tc>
          <w:tcPr>
            <w:tcW w:w="1249" w:type="pct"/>
            <w:tcBorders>
              <w:top w:val="single" w:color="auto" w:sz="4" w:space="0"/>
              <w:left w:val="single" w:color="auto" w:sz="4" w:space="0"/>
              <w:bottom w:val="single" w:color="auto" w:sz="4" w:space="0"/>
              <w:right w:val="single" w:color="auto" w:sz="4" w:space="0"/>
            </w:tcBorders>
            <w:vAlign w:val="center"/>
          </w:tcPr>
          <w:p w14:paraId="76878C18">
            <w:pPr>
              <w:spacing w:line="360" w:lineRule="auto"/>
              <w:jc w:val="center"/>
              <w:rPr>
                <w:rFonts w:hAnsi="宋体" w:cs="宋体"/>
                <w:bCs/>
                <w:szCs w:val="24"/>
                <w:highlight w:val="none"/>
              </w:rPr>
            </w:pPr>
          </w:p>
        </w:tc>
      </w:tr>
      <w:tr w14:paraId="31D9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14:paraId="44E7871E">
            <w:pPr>
              <w:spacing w:line="360" w:lineRule="auto"/>
              <w:jc w:val="center"/>
              <w:rPr>
                <w:rFonts w:hAnsi="宋体" w:cs="宋体"/>
                <w:bCs/>
                <w:szCs w:val="24"/>
                <w:highlight w:val="none"/>
              </w:rPr>
            </w:pPr>
          </w:p>
        </w:tc>
        <w:tc>
          <w:tcPr>
            <w:tcW w:w="1729" w:type="pct"/>
            <w:tcBorders>
              <w:top w:val="single" w:color="auto" w:sz="4" w:space="0"/>
              <w:left w:val="single" w:color="auto" w:sz="4" w:space="0"/>
              <w:bottom w:val="single" w:color="auto" w:sz="4" w:space="0"/>
              <w:right w:val="single" w:color="auto" w:sz="4" w:space="0"/>
            </w:tcBorders>
            <w:vAlign w:val="center"/>
          </w:tcPr>
          <w:p w14:paraId="0B8D31DF">
            <w:pPr>
              <w:spacing w:line="360" w:lineRule="auto"/>
              <w:jc w:val="center"/>
              <w:rPr>
                <w:rFonts w:hAnsi="宋体" w:cs="宋体"/>
                <w:bCs/>
                <w:szCs w:val="24"/>
                <w:highlight w:val="none"/>
              </w:rPr>
            </w:pPr>
          </w:p>
        </w:tc>
        <w:tc>
          <w:tcPr>
            <w:tcW w:w="1515" w:type="pct"/>
            <w:tcBorders>
              <w:top w:val="single" w:color="auto" w:sz="4" w:space="0"/>
              <w:left w:val="single" w:color="auto" w:sz="4" w:space="0"/>
              <w:bottom w:val="single" w:color="auto" w:sz="4" w:space="0"/>
              <w:right w:val="single" w:color="auto" w:sz="4" w:space="0"/>
            </w:tcBorders>
            <w:vAlign w:val="center"/>
          </w:tcPr>
          <w:p w14:paraId="36C6F581">
            <w:pPr>
              <w:spacing w:line="360" w:lineRule="auto"/>
              <w:jc w:val="center"/>
              <w:rPr>
                <w:rFonts w:hAnsi="宋体" w:cs="宋体"/>
                <w:bCs/>
                <w:szCs w:val="24"/>
                <w:highlight w:val="none"/>
              </w:rPr>
            </w:pPr>
          </w:p>
        </w:tc>
        <w:tc>
          <w:tcPr>
            <w:tcW w:w="1249" w:type="pct"/>
            <w:tcBorders>
              <w:top w:val="single" w:color="auto" w:sz="4" w:space="0"/>
              <w:left w:val="single" w:color="auto" w:sz="4" w:space="0"/>
              <w:bottom w:val="single" w:color="auto" w:sz="4" w:space="0"/>
              <w:right w:val="single" w:color="auto" w:sz="4" w:space="0"/>
            </w:tcBorders>
            <w:vAlign w:val="center"/>
          </w:tcPr>
          <w:p w14:paraId="1FA6B7E6">
            <w:pPr>
              <w:spacing w:line="360" w:lineRule="auto"/>
              <w:jc w:val="center"/>
              <w:rPr>
                <w:rFonts w:hAnsi="宋体" w:cs="宋体"/>
                <w:bCs/>
                <w:szCs w:val="24"/>
                <w:highlight w:val="none"/>
              </w:rPr>
            </w:pPr>
          </w:p>
        </w:tc>
      </w:tr>
      <w:tr w14:paraId="2780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14:paraId="00A045AA">
            <w:pPr>
              <w:spacing w:line="360" w:lineRule="auto"/>
              <w:jc w:val="center"/>
              <w:rPr>
                <w:rFonts w:hAnsi="宋体" w:cs="宋体"/>
                <w:bCs/>
                <w:szCs w:val="24"/>
                <w:highlight w:val="none"/>
              </w:rPr>
            </w:pPr>
          </w:p>
        </w:tc>
        <w:tc>
          <w:tcPr>
            <w:tcW w:w="1729" w:type="pct"/>
            <w:tcBorders>
              <w:top w:val="single" w:color="auto" w:sz="4" w:space="0"/>
              <w:left w:val="single" w:color="auto" w:sz="4" w:space="0"/>
              <w:bottom w:val="single" w:color="auto" w:sz="4" w:space="0"/>
              <w:right w:val="single" w:color="auto" w:sz="4" w:space="0"/>
            </w:tcBorders>
            <w:vAlign w:val="center"/>
          </w:tcPr>
          <w:p w14:paraId="7548025B">
            <w:pPr>
              <w:spacing w:line="360" w:lineRule="auto"/>
              <w:jc w:val="center"/>
              <w:rPr>
                <w:rFonts w:hAnsi="宋体" w:cs="宋体"/>
                <w:bCs/>
                <w:szCs w:val="24"/>
                <w:highlight w:val="none"/>
              </w:rPr>
            </w:pPr>
          </w:p>
        </w:tc>
        <w:tc>
          <w:tcPr>
            <w:tcW w:w="1515" w:type="pct"/>
            <w:tcBorders>
              <w:top w:val="single" w:color="auto" w:sz="4" w:space="0"/>
              <w:left w:val="single" w:color="auto" w:sz="4" w:space="0"/>
              <w:bottom w:val="single" w:color="auto" w:sz="4" w:space="0"/>
              <w:right w:val="single" w:color="auto" w:sz="4" w:space="0"/>
            </w:tcBorders>
            <w:vAlign w:val="center"/>
          </w:tcPr>
          <w:p w14:paraId="0B1D2330">
            <w:pPr>
              <w:spacing w:line="360" w:lineRule="auto"/>
              <w:jc w:val="center"/>
              <w:rPr>
                <w:rFonts w:hAnsi="宋体" w:cs="宋体"/>
                <w:bCs/>
                <w:szCs w:val="24"/>
                <w:highlight w:val="none"/>
              </w:rPr>
            </w:pPr>
          </w:p>
        </w:tc>
        <w:tc>
          <w:tcPr>
            <w:tcW w:w="1249" w:type="pct"/>
            <w:tcBorders>
              <w:top w:val="single" w:color="auto" w:sz="4" w:space="0"/>
              <w:left w:val="single" w:color="auto" w:sz="4" w:space="0"/>
              <w:bottom w:val="single" w:color="auto" w:sz="4" w:space="0"/>
              <w:right w:val="single" w:color="auto" w:sz="4" w:space="0"/>
            </w:tcBorders>
            <w:vAlign w:val="center"/>
          </w:tcPr>
          <w:p w14:paraId="4F622F80">
            <w:pPr>
              <w:spacing w:line="360" w:lineRule="auto"/>
              <w:jc w:val="center"/>
              <w:rPr>
                <w:rFonts w:hAnsi="宋体" w:cs="宋体"/>
                <w:bCs/>
                <w:szCs w:val="24"/>
                <w:highlight w:val="none"/>
              </w:rPr>
            </w:pPr>
          </w:p>
        </w:tc>
      </w:tr>
      <w:tr w14:paraId="03D0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750" w:type="pct"/>
            <w:gridSpan w:val="3"/>
            <w:tcBorders>
              <w:top w:val="single" w:color="auto" w:sz="4" w:space="0"/>
              <w:left w:val="single" w:color="auto" w:sz="4" w:space="0"/>
              <w:bottom w:val="single" w:color="auto" w:sz="4" w:space="0"/>
              <w:right w:val="single" w:color="auto" w:sz="4" w:space="0"/>
            </w:tcBorders>
            <w:vAlign w:val="center"/>
          </w:tcPr>
          <w:p w14:paraId="75D403E5">
            <w:pPr>
              <w:spacing w:line="360" w:lineRule="auto"/>
              <w:jc w:val="center"/>
              <w:rPr>
                <w:rFonts w:hAnsi="宋体" w:cs="宋体"/>
                <w:bCs/>
                <w:szCs w:val="24"/>
                <w:highlight w:val="none"/>
              </w:rPr>
            </w:pPr>
            <w:r>
              <w:rPr>
                <w:rFonts w:hint="eastAsia" w:hAnsi="宋体" w:cs="宋体"/>
                <w:bCs/>
                <w:szCs w:val="24"/>
                <w:highlight w:val="none"/>
              </w:rPr>
              <w:t>合计（转入表1）</w:t>
            </w:r>
          </w:p>
        </w:tc>
        <w:tc>
          <w:tcPr>
            <w:tcW w:w="1249" w:type="pct"/>
            <w:tcBorders>
              <w:top w:val="single" w:color="auto" w:sz="4" w:space="0"/>
              <w:left w:val="single" w:color="auto" w:sz="4" w:space="0"/>
              <w:bottom w:val="single" w:color="auto" w:sz="4" w:space="0"/>
              <w:right w:val="single" w:color="auto" w:sz="4" w:space="0"/>
            </w:tcBorders>
            <w:vAlign w:val="center"/>
          </w:tcPr>
          <w:p w14:paraId="131F6E8B">
            <w:pPr>
              <w:spacing w:line="360" w:lineRule="auto"/>
              <w:jc w:val="center"/>
              <w:rPr>
                <w:rFonts w:hAnsi="宋体" w:cs="宋体"/>
                <w:bCs/>
                <w:szCs w:val="24"/>
                <w:highlight w:val="none"/>
              </w:rPr>
            </w:pPr>
          </w:p>
        </w:tc>
      </w:tr>
      <w:tr w14:paraId="0ED2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6E7310B">
            <w:pPr>
              <w:widowControl/>
              <w:tabs>
                <w:tab w:val="center" w:pos="4201"/>
                <w:tab w:val="right" w:leader="dot" w:pos="9298"/>
              </w:tabs>
              <w:autoSpaceDE w:val="0"/>
              <w:autoSpaceDN w:val="0"/>
              <w:snapToGrid w:val="0"/>
              <w:spacing w:line="360" w:lineRule="auto"/>
              <w:rPr>
                <w:rFonts w:hAnsi="宋体" w:cs="宋体"/>
                <w:bCs/>
                <w:szCs w:val="24"/>
                <w:highlight w:val="none"/>
              </w:rPr>
            </w:pPr>
            <w:r>
              <w:rPr>
                <w:rFonts w:hint="eastAsia" w:hAnsi="宋体" w:cs="宋体"/>
                <w:bCs/>
                <w:szCs w:val="24"/>
                <w:highlight w:val="none"/>
              </w:rPr>
              <w:t>注：本表中金额为招标人为本项目设定的暂定金，投标人不应对此费用金额做出任何修改，并将此费用转入表1，计入本项目投标总价。</w:t>
            </w:r>
          </w:p>
        </w:tc>
      </w:tr>
    </w:tbl>
    <w:p w14:paraId="2AF79BEC">
      <w:pPr>
        <w:pStyle w:val="2"/>
        <w:spacing w:beforeLines="100" w:afterLines="100" w:line="240" w:lineRule="auto"/>
        <w:jc w:val="center"/>
        <w:rPr>
          <w:rFonts w:ascii="Times New Roman" w:hAnsi="Times New Roman"/>
          <w:highlight w:val="none"/>
        </w:rPr>
      </w:pPr>
      <w:r>
        <w:rPr>
          <w:rFonts w:hint="eastAsia" w:eastAsia="宋体"/>
          <w:highlight w:val="none"/>
        </w:rPr>
        <w:br w:type="page"/>
      </w:r>
      <w:r>
        <w:rPr>
          <w:rFonts w:hint="eastAsia" w:ascii="Times New Roman" w:hAnsi="Times New Roman"/>
          <w:highlight w:val="none"/>
        </w:rPr>
        <w:t>三、其他内容</w:t>
      </w:r>
    </w:p>
    <w:p w14:paraId="448864D6">
      <w:pPr>
        <w:tabs>
          <w:tab w:val="left" w:pos="2580"/>
          <w:tab w:val="left" w:pos="5940"/>
        </w:tabs>
        <w:autoSpaceDE w:val="0"/>
        <w:autoSpaceDN w:val="0"/>
        <w:adjustRightInd w:val="0"/>
        <w:snapToGrid w:val="0"/>
        <w:spacing w:line="400" w:lineRule="exact"/>
        <w:ind w:firstLine="456" w:firstLineChars="200"/>
        <w:jc w:val="center"/>
        <w:rPr>
          <w:rFonts w:ascii="Times New Roman"/>
          <w:spacing w:val="-6"/>
          <w:szCs w:val="21"/>
          <w:highlight w:val="none"/>
        </w:rPr>
      </w:pPr>
      <w:r>
        <w:rPr>
          <w:rFonts w:hint="eastAsia" w:ascii="Times New Roman"/>
          <w:spacing w:val="-6"/>
          <w:szCs w:val="24"/>
          <w:highlight w:val="none"/>
        </w:rPr>
        <w:t>投标人根据自身情况可以自行增加相关内容，如无，本节可以不附</w:t>
      </w:r>
      <w:r>
        <w:rPr>
          <w:rFonts w:hint="eastAsia" w:ascii="Times New Roman"/>
          <w:spacing w:val="-6"/>
          <w:szCs w:val="21"/>
          <w:highlight w:val="none"/>
        </w:rPr>
        <w:t>。</w:t>
      </w:r>
    </w:p>
    <w:p w14:paraId="6D37871B">
      <w:pPr>
        <w:spacing w:line="360" w:lineRule="auto"/>
        <w:rPr>
          <w:highlight w:val="none"/>
        </w:rPr>
      </w:pPr>
    </w:p>
    <w:sectPr>
      <w:headerReference r:id="rId4" w:type="default"/>
      <w:footerReference r:id="rId5" w:type="default"/>
      <w:footerReference r:id="rId6" w:type="even"/>
      <w:footnotePr>
        <w:numFmt w:val="decimalEnclosedCircleChinese"/>
        <w:numRestart w:val="eachPage"/>
      </w:footnotePr>
      <w:pgSz w:w="11906" w:h="16838"/>
      <w:pgMar w:top="1440" w:right="1803" w:bottom="1440" w:left="1803" w:header="851" w:footer="851"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Sylfaen">
    <w:panose1 w:val="010A0502050306030303"/>
    <w:charset w:val="00"/>
    <w:family w:val="roman"/>
    <w:pitch w:val="default"/>
    <w:sig w:usb0="040006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A7FC">
    <w:pPr>
      <w:pStyle w:val="32"/>
    </w:pPr>
    <w:r>
      <w:pict>
        <v:shape id="文本框 5" o:spid="_x0000_s1026" o:spt="202" type="#_x0000_t202" style="position:absolute;left:0pt;margin-top:0pt;height:24.05pt;width:31.6pt;mso-position-horizontal:center;mso-position-horizontal-relative:margin;z-index:251659264;mso-width-relative:page;mso-height-relative:page;" filled="f" stroked="f" coordsize="21600,21600" o:gfxdata="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nHUg1AAAAAMBAAAPAAAAAAAAAAEAIAAAACIAAABkcnMvZG93bnJldi54bWxQSwECFAAUAAAA&#10;CACHTuJAeUAh0LkBAABxAwAADgAAAAAAAAABACAAAAAjAQAAZHJzL2Uyb0RvYy54bWxQSwUGAAAA&#10;AAYABgBZAQAATgUAAAAA&#10;">
          <v:path/>
          <v:fill on="f" focussize="0,0"/>
          <v:stroke on="f" joinstyle="miter"/>
          <v:imagedata o:title=""/>
          <o:lock v:ext="edit"/>
          <v:textbox inset="0mm,0mm,0mm,0mm">
            <w:txbxContent>
              <w:p w14:paraId="5AC304E4">
                <w:pPr>
                  <w:pStyle w:val="3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22</w:t>
                </w:r>
                <w:r>
                  <w:rPr>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C3C06">
    <w:pPr>
      <w:pStyle w:val="32"/>
      <w:framePr w:wrap="around" w:vAnchor="text" w:hAnchor="margin" w:xAlign="center" w:y="1"/>
      <w:rPr>
        <w:rStyle w:val="56"/>
      </w:rPr>
    </w:pPr>
    <w:r>
      <w:fldChar w:fldCharType="begin"/>
    </w:r>
    <w:r>
      <w:rPr>
        <w:rStyle w:val="56"/>
      </w:rPr>
      <w:instrText xml:space="preserve">PAGE  </w:instrText>
    </w:r>
    <w:r>
      <w:fldChar w:fldCharType="end"/>
    </w:r>
  </w:p>
  <w:p w14:paraId="48316829">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E690188">
      <w:pPr>
        <w:pStyle w:val="41"/>
        <w:rPr>
          <w:rFonts w:cs="楷体"/>
          <w:bCs/>
          <w:snapToGrid w:val="0"/>
          <w:color w:val="000000"/>
        </w:rPr>
      </w:pPr>
      <w:r>
        <w:rPr>
          <w:rStyle w:val="67"/>
          <w:rFonts w:cs="楷体"/>
          <w:bCs/>
          <w:snapToGrid w:val="0"/>
          <w:color w:val="000000"/>
          <w:sz w:val="21"/>
          <w:szCs w:val="21"/>
        </w:rPr>
        <w:footnoteRef/>
      </w:r>
      <w:r>
        <w:rPr>
          <w:rFonts w:hint="eastAsia" w:cs="楷体"/>
          <w:bCs/>
          <w:snapToGrid w:val="0"/>
          <w:color w:val="000000"/>
        </w:rPr>
        <w:t>本条内容可修改为：“本担保自（生效日期）之日起生效，至（失效日期）之日失效。” 如买方接受履约保函采用固定有效期，在项目专用合同条款中应增加保证卖方在履约保函失效日前向买方出具后续阶段履约保函的约束性条款，直至买方签发合同货物验收证书或验收款支付函且卖方按照合同约定缴纳质量保证金之日为止。</w:t>
      </w:r>
    </w:p>
  </w:footnote>
  <w:footnote w:id="1">
    <w:p w14:paraId="3CE8442F">
      <w:pPr>
        <w:pStyle w:val="41"/>
        <w:rPr>
          <w:color w:val="000000"/>
        </w:rPr>
      </w:pPr>
      <w:r>
        <w:rPr>
          <w:rStyle w:val="67"/>
          <w:color w:val="000000"/>
        </w:rPr>
        <w:footnoteRef/>
      </w:r>
      <w:r>
        <w:rPr>
          <w:rFonts w:hint="eastAsia"/>
          <w:color w:val="000000"/>
        </w:rPr>
        <w:t>适用于招标文件要求提供“项目负责人”的情形。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A16C">
    <w:pPr>
      <w:pStyle w:val="33"/>
      <w:jc w:val="left"/>
    </w:pPr>
    <w:r>
      <w:rPr>
        <w:rFonts w:hint="eastAsia"/>
      </w:rPr>
      <w:t>建筑智能化项目招标示范文本（</w:t>
    </w:r>
    <w:r>
      <w:rPr>
        <w:rFonts w:hint="eastAsia"/>
        <w:lang w:val="en-US" w:eastAsia="zh-CN"/>
      </w:rPr>
      <w:t>一次平均</w:t>
    </w:r>
    <w:r>
      <w:rPr>
        <w:rFonts w:hint="eastAsia"/>
      </w:rPr>
      <w:t>202</w:t>
    </w:r>
    <w:r>
      <w:rPr>
        <w:rFonts w:hint="eastAsia"/>
        <w:lang w:val="en-US" w:eastAsia="zh-CN"/>
      </w:rPr>
      <w:t>511</w:t>
    </w:r>
    <w:r>
      <w:rPr>
        <w:rFonts w:hint="eastAsia"/>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7C9C7"/>
    <w:multiLevelType w:val="singleLevel"/>
    <w:tmpl w:val="9617C9C7"/>
    <w:lvl w:ilvl="0" w:tentative="0">
      <w:start w:val="3"/>
      <w:numFmt w:val="chineseCounting"/>
      <w:suff w:val="nothing"/>
      <w:lvlText w:val="（%1）"/>
      <w:lvlJc w:val="left"/>
      <w:rPr>
        <w:rFonts w:hint="eastAsia"/>
      </w:rPr>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0000000A"/>
    <w:multiLevelType w:val="singleLevel"/>
    <w:tmpl w:val="0000000A"/>
    <w:lvl w:ilvl="0" w:tentative="0">
      <w:start w:val="1"/>
      <w:numFmt w:val="decimal"/>
      <w:suff w:val="nothing"/>
      <w:lvlText w:val="（%1）"/>
      <w:lvlJc w:val="left"/>
      <w:pPr>
        <w:tabs>
          <w:tab w:val="left" w:pos="0"/>
        </w:tabs>
        <w:ind w:left="0" w:firstLine="0"/>
      </w:pPr>
    </w:lvl>
  </w:abstractNum>
  <w:abstractNum w:abstractNumId="3">
    <w:nsid w:val="0CD8FF82"/>
    <w:multiLevelType w:val="singleLevel"/>
    <w:tmpl w:val="0CD8FF82"/>
    <w:lvl w:ilvl="0" w:tentative="0">
      <w:start w:val="2"/>
      <w:numFmt w:val="chineseCounting"/>
      <w:suff w:val="nothing"/>
      <w:lvlText w:val="%1、"/>
      <w:lvlJc w:val="left"/>
      <w:rPr>
        <w:rFonts w:hint="eastAsia"/>
      </w:rPr>
    </w:lvl>
  </w:abstractNum>
  <w:abstractNum w:abstractNumId="4">
    <w:nsid w:val="434E7049"/>
    <w:multiLevelType w:val="singleLevel"/>
    <w:tmpl w:val="434E7049"/>
    <w:lvl w:ilvl="0" w:tentative="0">
      <w:start w:val="1"/>
      <w:numFmt w:val="decimal"/>
      <w:suff w:val="space"/>
      <w:lvlText w:val="%1."/>
      <w:lvlJc w:val="left"/>
    </w:lvl>
  </w:abstractNum>
  <w:abstractNum w:abstractNumId="5">
    <w:nsid w:val="76D617AF"/>
    <w:multiLevelType w:val="singleLevel"/>
    <w:tmpl w:val="76D617AF"/>
    <w:lvl w:ilvl="0" w:tentative="0">
      <w:start w:val="6"/>
      <w:numFmt w:val="decimal"/>
      <w:suff w:val="space"/>
      <w:lvlText w:val="%1."/>
      <w:lvlJc w:val="left"/>
    </w:lvl>
  </w:abstractNum>
  <w:abstractNum w:abstractNumId="6">
    <w:nsid w:val="7F7E5238"/>
    <w:multiLevelType w:val="multilevel"/>
    <w:tmpl w:val="7F7E5238"/>
    <w:lvl w:ilvl="0" w:tentative="0">
      <w:start w:val="1"/>
      <w:numFmt w:val="none"/>
      <w:pStyle w:val="13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5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42"/>
      <w:lvlText w:val="           "/>
      <w:lvlJc w:val="left"/>
      <w:pPr>
        <w:tabs>
          <w:tab w:val="left" w:pos="1440"/>
        </w:tabs>
        <w:ind w:left="1152" w:hanging="1152"/>
      </w:pPr>
      <w:rPr>
        <w:rFonts w:hint="eastAsia"/>
      </w:rPr>
    </w:lvl>
    <w:lvl w:ilvl="6" w:tentative="0">
      <w:start w:val="1"/>
      <w:numFmt w:val="decimal"/>
      <w:pStyle w:val="144"/>
      <w:lvlText w:val="%1.%2.%3.%4.%5.%6.%7"/>
      <w:lvlJc w:val="left"/>
      <w:pPr>
        <w:tabs>
          <w:tab w:val="left" w:pos="2520"/>
        </w:tabs>
        <w:ind w:left="1296" w:hanging="1296"/>
      </w:pPr>
      <w:rPr>
        <w:rFonts w:hint="eastAsia"/>
      </w:rPr>
    </w:lvl>
    <w:lvl w:ilvl="7" w:tentative="0">
      <w:start w:val="1"/>
      <w:numFmt w:val="decimal"/>
      <w:pStyle w:val="146"/>
      <w:lvlText w:val="%1.%2.%3.%4.%5.%6.%7.%8"/>
      <w:lvlJc w:val="left"/>
      <w:pPr>
        <w:tabs>
          <w:tab w:val="left" w:pos="1440"/>
        </w:tabs>
        <w:ind w:left="1440" w:hanging="1440"/>
      </w:pPr>
      <w:rPr>
        <w:rFonts w:hint="eastAsia"/>
      </w:rPr>
    </w:lvl>
    <w:lvl w:ilvl="8" w:tentative="0">
      <w:start w:val="1"/>
      <w:numFmt w:val="decimal"/>
      <w:pStyle w:val="148"/>
      <w:lvlText w:val="%1.%2.%3.%4.%5.%6.%7.%8.%9"/>
      <w:lvlJc w:val="left"/>
      <w:pPr>
        <w:tabs>
          <w:tab w:val="left" w:pos="1584"/>
        </w:tabs>
        <w:ind w:left="1584" w:hanging="1584"/>
      </w:pPr>
      <w:rPr>
        <w:rFonts w:hint="eastAsia"/>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VhMTIyMzUzMzNmN2Y4Y2MwYzMxMmM2YmViYmZkYmEifQ=="/>
  </w:docVars>
  <w:rsids>
    <w:rsidRoot w:val="00172A27"/>
    <w:rsid w:val="00000461"/>
    <w:rsid w:val="000018B8"/>
    <w:rsid w:val="000019D9"/>
    <w:rsid w:val="00001A78"/>
    <w:rsid w:val="00001C66"/>
    <w:rsid w:val="00002D91"/>
    <w:rsid w:val="00002F77"/>
    <w:rsid w:val="00005402"/>
    <w:rsid w:val="00005BB2"/>
    <w:rsid w:val="0000765A"/>
    <w:rsid w:val="000078B8"/>
    <w:rsid w:val="0001052A"/>
    <w:rsid w:val="000110EA"/>
    <w:rsid w:val="00012F97"/>
    <w:rsid w:val="00013020"/>
    <w:rsid w:val="00013F89"/>
    <w:rsid w:val="00014CCC"/>
    <w:rsid w:val="00020429"/>
    <w:rsid w:val="000219E9"/>
    <w:rsid w:val="00021C4F"/>
    <w:rsid w:val="0002210C"/>
    <w:rsid w:val="000223E2"/>
    <w:rsid w:val="0002308F"/>
    <w:rsid w:val="0002396A"/>
    <w:rsid w:val="00026638"/>
    <w:rsid w:val="00027183"/>
    <w:rsid w:val="000308BD"/>
    <w:rsid w:val="00031800"/>
    <w:rsid w:val="00031F4B"/>
    <w:rsid w:val="00032363"/>
    <w:rsid w:val="00033008"/>
    <w:rsid w:val="00033094"/>
    <w:rsid w:val="00033535"/>
    <w:rsid w:val="00034E70"/>
    <w:rsid w:val="00035C6F"/>
    <w:rsid w:val="00035DE8"/>
    <w:rsid w:val="0003614A"/>
    <w:rsid w:val="00036169"/>
    <w:rsid w:val="00036B4D"/>
    <w:rsid w:val="00036EA3"/>
    <w:rsid w:val="00036EE9"/>
    <w:rsid w:val="00037BBC"/>
    <w:rsid w:val="0004182B"/>
    <w:rsid w:val="00042A09"/>
    <w:rsid w:val="00043541"/>
    <w:rsid w:val="00043CDD"/>
    <w:rsid w:val="00043F3A"/>
    <w:rsid w:val="00044449"/>
    <w:rsid w:val="00045BA0"/>
    <w:rsid w:val="000465A6"/>
    <w:rsid w:val="00047377"/>
    <w:rsid w:val="00050532"/>
    <w:rsid w:val="000517F3"/>
    <w:rsid w:val="0005181A"/>
    <w:rsid w:val="000541B0"/>
    <w:rsid w:val="0005499C"/>
    <w:rsid w:val="00054AFE"/>
    <w:rsid w:val="00055257"/>
    <w:rsid w:val="00055609"/>
    <w:rsid w:val="0005586E"/>
    <w:rsid w:val="00055C35"/>
    <w:rsid w:val="00056E98"/>
    <w:rsid w:val="0005725C"/>
    <w:rsid w:val="00057D7E"/>
    <w:rsid w:val="00057E5B"/>
    <w:rsid w:val="0006024A"/>
    <w:rsid w:val="00060CF4"/>
    <w:rsid w:val="00061BA9"/>
    <w:rsid w:val="00061F0A"/>
    <w:rsid w:val="00063257"/>
    <w:rsid w:val="000634CE"/>
    <w:rsid w:val="00063765"/>
    <w:rsid w:val="000663BA"/>
    <w:rsid w:val="00066FAB"/>
    <w:rsid w:val="00071C48"/>
    <w:rsid w:val="00072109"/>
    <w:rsid w:val="000732BE"/>
    <w:rsid w:val="00073514"/>
    <w:rsid w:val="000737AC"/>
    <w:rsid w:val="00076A22"/>
    <w:rsid w:val="00076A82"/>
    <w:rsid w:val="00077D9C"/>
    <w:rsid w:val="00077F7B"/>
    <w:rsid w:val="00081A25"/>
    <w:rsid w:val="00081EEC"/>
    <w:rsid w:val="000826F5"/>
    <w:rsid w:val="000828A1"/>
    <w:rsid w:val="00082ABA"/>
    <w:rsid w:val="00082B19"/>
    <w:rsid w:val="00082DC4"/>
    <w:rsid w:val="000833B1"/>
    <w:rsid w:val="00083E91"/>
    <w:rsid w:val="0008436E"/>
    <w:rsid w:val="00084963"/>
    <w:rsid w:val="00085373"/>
    <w:rsid w:val="000853C1"/>
    <w:rsid w:val="00085527"/>
    <w:rsid w:val="00085ACD"/>
    <w:rsid w:val="00085C64"/>
    <w:rsid w:val="00085FA8"/>
    <w:rsid w:val="000868D0"/>
    <w:rsid w:val="0008690D"/>
    <w:rsid w:val="000877D7"/>
    <w:rsid w:val="000904A0"/>
    <w:rsid w:val="000906F8"/>
    <w:rsid w:val="000921A0"/>
    <w:rsid w:val="00092347"/>
    <w:rsid w:val="000925E9"/>
    <w:rsid w:val="00092C06"/>
    <w:rsid w:val="000930E4"/>
    <w:rsid w:val="000945C7"/>
    <w:rsid w:val="00094AA1"/>
    <w:rsid w:val="00095D5C"/>
    <w:rsid w:val="000976BB"/>
    <w:rsid w:val="000A10AD"/>
    <w:rsid w:val="000A14D5"/>
    <w:rsid w:val="000A2093"/>
    <w:rsid w:val="000A2484"/>
    <w:rsid w:val="000A25BD"/>
    <w:rsid w:val="000A25C9"/>
    <w:rsid w:val="000A26BA"/>
    <w:rsid w:val="000A2AE5"/>
    <w:rsid w:val="000A2CA0"/>
    <w:rsid w:val="000A2DA7"/>
    <w:rsid w:val="000A4786"/>
    <w:rsid w:val="000A4846"/>
    <w:rsid w:val="000A4F09"/>
    <w:rsid w:val="000A588E"/>
    <w:rsid w:val="000A74C4"/>
    <w:rsid w:val="000B0326"/>
    <w:rsid w:val="000B0D81"/>
    <w:rsid w:val="000B17C0"/>
    <w:rsid w:val="000B1A25"/>
    <w:rsid w:val="000B1C86"/>
    <w:rsid w:val="000B2DCA"/>
    <w:rsid w:val="000B2EA3"/>
    <w:rsid w:val="000B3B78"/>
    <w:rsid w:val="000B44CF"/>
    <w:rsid w:val="000B4502"/>
    <w:rsid w:val="000B45ED"/>
    <w:rsid w:val="000B465B"/>
    <w:rsid w:val="000C053D"/>
    <w:rsid w:val="000C2F6F"/>
    <w:rsid w:val="000C3780"/>
    <w:rsid w:val="000C3CF6"/>
    <w:rsid w:val="000C3DE3"/>
    <w:rsid w:val="000C5607"/>
    <w:rsid w:val="000C5ECD"/>
    <w:rsid w:val="000C6D46"/>
    <w:rsid w:val="000C76BC"/>
    <w:rsid w:val="000C7B55"/>
    <w:rsid w:val="000D002B"/>
    <w:rsid w:val="000D05C9"/>
    <w:rsid w:val="000D104C"/>
    <w:rsid w:val="000D106F"/>
    <w:rsid w:val="000D1617"/>
    <w:rsid w:val="000D18DA"/>
    <w:rsid w:val="000D1D83"/>
    <w:rsid w:val="000D22F8"/>
    <w:rsid w:val="000D3273"/>
    <w:rsid w:val="000D3553"/>
    <w:rsid w:val="000D410B"/>
    <w:rsid w:val="000D4534"/>
    <w:rsid w:val="000D66D7"/>
    <w:rsid w:val="000D779A"/>
    <w:rsid w:val="000E0493"/>
    <w:rsid w:val="000E15AF"/>
    <w:rsid w:val="000E2484"/>
    <w:rsid w:val="000E5ADA"/>
    <w:rsid w:val="000E60E5"/>
    <w:rsid w:val="000E6540"/>
    <w:rsid w:val="000E7186"/>
    <w:rsid w:val="000E7533"/>
    <w:rsid w:val="000E7955"/>
    <w:rsid w:val="000F0BB8"/>
    <w:rsid w:val="000F30B7"/>
    <w:rsid w:val="000F31DA"/>
    <w:rsid w:val="000F3C34"/>
    <w:rsid w:val="000F3C5E"/>
    <w:rsid w:val="000F5501"/>
    <w:rsid w:val="000F6221"/>
    <w:rsid w:val="000F7527"/>
    <w:rsid w:val="0010005B"/>
    <w:rsid w:val="00101417"/>
    <w:rsid w:val="0010293D"/>
    <w:rsid w:val="0010519E"/>
    <w:rsid w:val="0010564E"/>
    <w:rsid w:val="00105AA8"/>
    <w:rsid w:val="00106121"/>
    <w:rsid w:val="00106426"/>
    <w:rsid w:val="001070B1"/>
    <w:rsid w:val="00110C05"/>
    <w:rsid w:val="00113859"/>
    <w:rsid w:val="001142AA"/>
    <w:rsid w:val="00117156"/>
    <w:rsid w:val="0012071E"/>
    <w:rsid w:val="0012073C"/>
    <w:rsid w:val="00120D75"/>
    <w:rsid w:val="00123E04"/>
    <w:rsid w:val="00123E2A"/>
    <w:rsid w:val="00123E36"/>
    <w:rsid w:val="00125783"/>
    <w:rsid w:val="00125908"/>
    <w:rsid w:val="001259AF"/>
    <w:rsid w:val="00125AFD"/>
    <w:rsid w:val="00125C49"/>
    <w:rsid w:val="00125E15"/>
    <w:rsid w:val="0012717C"/>
    <w:rsid w:val="001276C1"/>
    <w:rsid w:val="00127B5C"/>
    <w:rsid w:val="00131332"/>
    <w:rsid w:val="001319B0"/>
    <w:rsid w:val="001319E4"/>
    <w:rsid w:val="00131CE5"/>
    <w:rsid w:val="00133192"/>
    <w:rsid w:val="00134155"/>
    <w:rsid w:val="00134802"/>
    <w:rsid w:val="00134B0A"/>
    <w:rsid w:val="001364FA"/>
    <w:rsid w:val="00137B93"/>
    <w:rsid w:val="00137F52"/>
    <w:rsid w:val="00140958"/>
    <w:rsid w:val="00140DB8"/>
    <w:rsid w:val="0014150C"/>
    <w:rsid w:val="00141FD0"/>
    <w:rsid w:val="00142D14"/>
    <w:rsid w:val="0014347A"/>
    <w:rsid w:val="00144B7C"/>
    <w:rsid w:val="0014511E"/>
    <w:rsid w:val="001454C8"/>
    <w:rsid w:val="00145939"/>
    <w:rsid w:val="00145B74"/>
    <w:rsid w:val="00145C28"/>
    <w:rsid w:val="00146130"/>
    <w:rsid w:val="00146E40"/>
    <w:rsid w:val="00147F81"/>
    <w:rsid w:val="001502F2"/>
    <w:rsid w:val="001507E0"/>
    <w:rsid w:val="00151063"/>
    <w:rsid w:val="00151530"/>
    <w:rsid w:val="0015216E"/>
    <w:rsid w:val="001521F2"/>
    <w:rsid w:val="00152511"/>
    <w:rsid w:val="0015301F"/>
    <w:rsid w:val="001535C3"/>
    <w:rsid w:val="00153752"/>
    <w:rsid w:val="00153A85"/>
    <w:rsid w:val="00153F39"/>
    <w:rsid w:val="001545E0"/>
    <w:rsid w:val="00154AD4"/>
    <w:rsid w:val="00154F1C"/>
    <w:rsid w:val="00154FF0"/>
    <w:rsid w:val="0015641C"/>
    <w:rsid w:val="00157272"/>
    <w:rsid w:val="00157426"/>
    <w:rsid w:val="0016039F"/>
    <w:rsid w:val="001603B4"/>
    <w:rsid w:val="00161E00"/>
    <w:rsid w:val="00161E33"/>
    <w:rsid w:val="00161FE5"/>
    <w:rsid w:val="00163D05"/>
    <w:rsid w:val="0016668C"/>
    <w:rsid w:val="00166692"/>
    <w:rsid w:val="00166827"/>
    <w:rsid w:val="00166AFE"/>
    <w:rsid w:val="0017051A"/>
    <w:rsid w:val="00170E20"/>
    <w:rsid w:val="001715BC"/>
    <w:rsid w:val="0017189E"/>
    <w:rsid w:val="00172519"/>
    <w:rsid w:val="00172A27"/>
    <w:rsid w:val="00172B8F"/>
    <w:rsid w:val="0017437F"/>
    <w:rsid w:val="001746A4"/>
    <w:rsid w:val="001752AB"/>
    <w:rsid w:val="001756CD"/>
    <w:rsid w:val="00175B5C"/>
    <w:rsid w:val="001762E6"/>
    <w:rsid w:val="00176B84"/>
    <w:rsid w:val="001806DF"/>
    <w:rsid w:val="00181ADF"/>
    <w:rsid w:val="001828BF"/>
    <w:rsid w:val="001832FF"/>
    <w:rsid w:val="00184243"/>
    <w:rsid w:val="001845EF"/>
    <w:rsid w:val="00184D01"/>
    <w:rsid w:val="00185265"/>
    <w:rsid w:val="00185455"/>
    <w:rsid w:val="0019007C"/>
    <w:rsid w:val="001917E0"/>
    <w:rsid w:val="001929AC"/>
    <w:rsid w:val="00192D6E"/>
    <w:rsid w:val="00194A84"/>
    <w:rsid w:val="00195166"/>
    <w:rsid w:val="00196390"/>
    <w:rsid w:val="001A007B"/>
    <w:rsid w:val="001A0938"/>
    <w:rsid w:val="001A159E"/>
    <w:rsid w:val="001A2F36"/>
    <w:rsid w:val="001A32D3"/>
    <w:rsid w:val="001A4A9A"/>
    <w:rsid w:val="001A4C65"/>
    <w:rsid w:val="001A530A"/>
    <w:rsid w:val="001A5B8E"/>
    <w:rsid w:val="001A6A10"/>
    <w:rsid w:val="001B16A2"/>
    <w:rsid w:val="001B17F5"/>
    <w:rsid w:val="001B226C"/>
    <w:rsid w:val="001B27BF"/>
    <w:rsid w:val="001B3D39"/>
    <w:rsid w:val="001B4482"/>
    <w:rsid w:val="001B54DD"/>
    <w:rsid w:val="001B713C"/>
    <w:rsid w:val="001C004F"/>
    <w:rsid w:val="001C04AE"/>
    <w:rsid w:val="001C0B8C"/>
    <w:rsid w:val="001C158F"/>
    <w:rsid w:val="001C1ADD"/>
    <w:rsid w:val="001C2800"/>
    <w:rsid w:val="001C41D9"/>
    <w:rsid w:val="001C4EC4"/>
    <w:rsid w:val="001C593A"/>
    <w:rsid w:val="001C6830"/>
    <w:rsid w:val="001C6C76"/>
    <w:rsid w:val="001C7A9C"/>
    <w:rsid w:val="001D07B4"/>
    <w:rsid w:val="001D145C"/>
    <w:rsid w:val="001D1698"/>
    <w:rsid w:val="001D1A8C"/>
    <w:rsid w:val="001D2748"/>
    <w:rsid w:val="001D31AA"/>
    <w:rsid w:val="001D3853"/>
    <w:rsid w:val="001D3B19"/>
    <w:rsid w:val="001D41D1"/>
    <w:rsid w:val="001D61C0"/>
    <w:rsid w:val="001D67E1"/>
    <w:rsid w:val="001D690E"/>
    <w:rsid w:val="001D697D"/>
    <w:rsid w:val="001D6DEC"/>
    <w:rsid w:val="001D767F"/>
    <w:rsid w:val="001D7863"/>
    <w:rsid w:val="001E04B9"/>
    <w:rsid w:val="001E2742"/>
    <w:rsid w:val="001E29CA"/>
    <w:rsid w:val="001E2BC9"/>
    <w:rsid w:val="001E593B"/>
    <w:rsid w:val="001E6137"/>
    <w:rsid w:val="001E7DEB"/>
    <w:rsid w:val="001F04FF"/>
    <w:rsid w:val="001F0867"/>
    <w:rsid w:val="001F1AA5"/>
    <w:rsid w:val="001F3770"/>
    <w:rsid w:val="001F612B"/>
    <w:rsid w:val="001F63FC"/>
    <w:rsid w:val="001F6E77"/>
    <w:rsid w:val="001F74ED"/>
    <w:rsid w:val="00200DC4"/>
    <w:rsid w:val="0020117F"/>
    <w:rsid w:val="0020178E"/>
    <w:rsid w:val="00202192"/>
    <w:rsid w:val="0020234C"/>
    <w:rsid w:val="00202F49"/>
    <w:rsid w:val="00203DF8"/>
    <w:rsid w:val="00204101"/>
    <w:rsid w:val="00204364"/>
    <w:rsid w:val="00205D3F"/>
    <w:rsid w:val="002060AE"/>
    <w:rsid w:val="00206861"/>
    <w:rsid w:val="002071BD"/>
    <w:rsid w:val="00207A3B"/>
    <w:rsid w:val="00207EE0"/>
    <w:rsid w:val="00210476"/>
    <w:rsid w:val="00211256"/>
    <w:rsid w:val="002119A5"/>
    <w:rsid w:val="00212847"/>
    <w:rsid w:val="00214202"/>
    <w:rsid w:val="0021421A"/>
    <w:rsid w:val="002153F9"/>
    <w:rsid w:val="00215627"/>
    <w:rsid w:val="00216F0A"/>
    <w:rsid w:val="0021729D"/>
    <w:rsid w:val="00221ECE"/>
    <w:rsid w:val="00221FF8"/>
    <w:rsid w:val="00222F85"/>
    <w:rsid w:val="002233F3"/>
    <w:rsid w:val="0022399F"/>
    <w:rsid w:val="00225FAA"/>
    <w:rsid w:val="00226266"/>
    <w:rsid w:val="00226C5A"/>
    <w:rsid w:val="00230CE5"/>
    <w:rsid w:val="00232726"/>
    <w:rsid w:val="002327BD"/>
    <w:rsid w:val="002330D2"/>
    <w:rsid w:val="00233675"/>
    <w:rsid w:val="00233E6E"/>
    <w:rsid w:val="00234769"/>
    <w:rsid w:val="00234FFF"/>
    <w:rsid w:val="0023511D"/>
    <w:rsid w:val="00235666"/>
    <w:rsid w:val="00235883"/>
    <w:rsid w:val="00235A5E"/>
    <w:rsid w:val="00235DF7"/>
    <w:rsid w:val="00236578"/>
    <w:rsid w:val="002367B8"/>
    <w:rsid w:val="002368FF"/>
    <w:rsid w:val="00236CA9"/>
    <w:rsid w:val="00236FB8"/>
    <w:rsid w:val="00237E2E"/>
    <w:rsid w:val="0024213B"/>
    <w:rsid w:val="002422DA"/>
    <w:rsid w:val="00243414"/>
    <w:rsid w:val="00244FA6"/>
    <w:rsid w:val="00246426"/>
    <w:rsid w:val="002507E8"/>
    <w:rsid w:val="0025387D"/>
    <w:rsid w:val="00253F9A"/>
    <w:rsid w:val="00254443"/>
    <w:rsid w:val="00254CCC"/>
    <w:rsid w:val="00254DB7"/>
    <w:rsid w:val="00254F46"/>
    <w:rsid w:val="0025582E"/>
    <w:rsid w:val="00255E46"/>
    <w:rsid w:val="00256C8E"/>
    <w:rsid w:val="002574B6"/>
    <w:rsid w:val="00257B1A"/>
    <w:rsid w:val="00257BB3"/>
    <w:rsid w:val="00257C3E"/>
    <w:rsid w:val="00257FDC"/>
    <w:rsid w:val="002601F1"/>
    <w:rsid w:val="0026054C"/>
    <w:rsid w:val="00261273"/>
    <w:rsid w:val="002640CA"/>
    <w:rsid w:val="002648E7"/>
    <w:rsid w:val="00264D81"/>
    <w:rsid w:val="00265086"/>
    <w:rsid w:val="00265111"/>
    <w:rsid w:val="00265FA5"/>
    <w:rsid w:val="0026607B"/>
    <w:rsid w:val="0026677E"/>
    <w:rsid w:val="00266D19"/>
    <w:rsid w:val="00267281"/>
    <w:rsid w:val="00267DC0"/>
    <w:rsid w:val="002701ED"/>
    <w:rsid w:val="002714D0"/>
    <w:rsid w:val="00272C77"/>
    <w:rsid w:val="00272D4E"/>
    <w:rsid w:val="00272D69"/>
    <w:rsid w:val="0027368B"/>
    <w:rsid w:val="00273BF1"/>
    <w:rsid w:val="00274156"/>
    <w:rsid w:val="002747E7"/>
    <w:rsid w:val="00276010"/>
    <w:rsid w:val="00276258"/>
    <w:rsid w:val="00277223"/>
    <w:rsid w:val="002774F6"/>
    <w:rsid w:val="00277B84"/>
    <w:rsid w:val="00277E31"/>
    <w:rsid w:val="00281108"/>
    <w:rsid w:val="002812A7"/>
    <w:rsid w:val="002812CD"/>
    <w:rsid w:val="002815A4"/>
    <w:rsid w:val="00284F59"/>
    <w:rsid w:val="002936C5"/>
    <w:rsid w:val="00295A39"/>
    <w:rsid w:val="00296BAE"/>
    <w:rsid w:val="0029746D"/>
    <w:rsid w:val="00297AC6"/>
    <w:rsid w:val="002A228C"/>
    <w:rsid w:val="002A2BD0"/>
    <w:rsid w:val="002A2F1B"/>
    <w:rsid w:val="002A309C"/>
    <w:rsid w:val="002A32D5"/>
    <w:rsid w:val="002A3D90"/>
    <w:rsid w:val="002A58E3"/>
    <w:rsid w:val="002A5911"/>
    <w:rsid w:val="002A707C"/>
    <w:rsid w:val="002A7DF7"/>
    <w:rsid w:val="002A7E1F"/>
    <w:rsid w:val="002B09EE"/>
    <w:rsid w:val="002B0CC7"/>
    <w:rsid w:val="002B1536"/>
    <w:rsid w:val="002B2B59"/>
    <w:rsid w:val="002B3301"/>
    <w:rsid w:val="002B3C7E"/>
    <w:rsid w:val="002B423A"/>
    <w:rsid w:val="002B44E9"/>
    <w:rsid w:val="002B4717"/>
    <w:rsid w:val="002B48F8"/>
    <w:rsid w:val="002B49A9"/>
    <w:rsid w:val="002B596D"/>
    <w:rsid w:val="002B65B6"/>
    <w:rsid w:val="002B72EB"/>
    <w:rsid w:val="002C17DA"/>
    <w:rsid w:val="002C2260"/>
    <w:rsid w:val="002C2636"/>
    <w:rsid w:val="002C44D1"/>
    <w:rsid w:val="002C4C10"/>
    <w:rsid w:val="002C634F"/>
    <w:rsid w:val="002C76F0"/>
    <w:rsid w:val="002C78E2"/>
    <w:rsid w:val="002D000B"/>
    <w:rsid w:val="002D0AB0"/>
    <w:rsid w:val="002D3380"/>
    <w:rsid w:val="002D37A6"/>
    <w:rsid w:val="002D3EF1"/>
    <w:rsid w:val="002D435B"/>
    <w:rsid w:val="002D48E2"/>
    <w:rsid w:val="002D4CB3"/>
    <w:rsid w:val="002D52DF"/>
    <w:rsid w:val="002D56D6"/>
    <w:rsid w:val="002D6433"/>
    <w:rsid w:val="002E14B3"/>
    <w:rsid w:val="002E1DE3"/>
    <w:rsid w:val="002E299E"/>
    <w:rsid w:val="002E3481"/>
    <w:rsid w:val="002E3676"/>
    <w:rsid w:val="002E45FA"/>
    <w:rsid w:val="002E48B9"/>
    <w:rsid w:val="002E4B18"/>
    <w:rsid w:val="002E4B61"/>
    <w:rsid w:val="002E5D38"/>
    <w:rsid w:val="002E7E3D"/>
    <w:rsid w:val="002F263C"/>
    <w:rsid w:val="002F30BA"/>
    <w:rsid w:val="002F34AA"/>
    <w:rsid w:val="002F3B56"/>
    <w:rsid w:val="002F4941"/>
    <w:rsid w:val="002F5997"/>
    <w:rsid w:val="002F5BCF"/>
    <w:rsid w:val="002F5D36"/>
    <w:rsid w:val="002F5F4C"/>
    <w:rsid w:val="002F60D8"/>
    <w:rsid w:val="00301854"/>
    <w:rsid w:val="00301939"/>
    <w:rsid w:val="00303612"/>
    <w:rsid w:val="003039DB"/>
    <w:rsid w:val="003040B2"/>
    <w:rsid w:val="0030443C"/>
    <w:rsid w:val="0030717D"/>
    <w:rsid w:val="00307E43"/>
    <w:rsid w:val="00310460"/>
    <w:rsid w:val="003104AC"/>
    <w:rsid w:val="00310623"/>
    <w:rsid w:val="00310C43"/>
    <w:rsid w:val="00311531"/>
    <w:rsid w:val="003147D9"/>
    <w:rsid w:val="00314E7D"/>
    <w:rsid w:val="00314FCD"/>
    <w:rsid w:val="003162E6"/>
    <w:rsid w:val="0031674A"/>
    <w:rsid w:val="00316D5F"/>
    <w:rsid w:val="003209C4"/>
    <w:rsid w:val="00323F94"/>
    <w:rsid w:val="0032512F"/>
    <w:rsid w:val="003257F2"/>
    <w:rsid w:val="003261BF"/>
    <w:rsid w:val="00326B34"/>
    <w:rsid w:val="003300B5"/>
    <w:rsid w:val="0033043B"/>
    <w:rsid w:val="003304F5"/>
    <w:rsid w:val="003306C4"/>
    <w:rsid w:val="00330894"/>
    <w:rsid w:val="00331467"/>
    <w:rsid w:val="0033180A"/>
    <w:rsid w:val="00331872"/>
    <w:rsid w:val="003318D1"/>
    <w:rsid w:val="00332433"/>
    <w:rsid w:val="003326FE"/>
    <w:rsid w:val="00332D12"/>
    <w:rsid w:val="003342D8"/>
    <w:rsid w:val="00334F3F"/>
    <w:rsid w:val="003358E6"/>
    <w:rsid w:val="0033634B"/>
    <w:rsid w:val="003367D4"/>
    <w:rsid w:val="00337584"/>
    <w:rsid w:val="0034028F"/>
    <w:rsid w:val="00344EE8"/>
    <w:rsid w:val="0034507B"/>
    <w:rsid w:val="00346456"/>
    <w:rsid w:val="003476DE"/>
    <w:rsid w:val="00347758"/>
    <w:rsid w:val="003478FB"/>
    <w:rsid w:val="00347F6C"/>
    <w:rsid w:val="0035112F"/>
    <w:rsid w:val="00352E8C"/>
    <w:rsid w:val="003532E6"/>
    <w:rsid w:val="003540F6"/>
    <w:rsid w:val="00354A9C"/>
    <w:rsid w:val="00354D91"/>
    <w:rsid w:val="00360186"/>
    <w:rsid w:val="0036101A"/>
    <w:rsid w:val="00361CD9"/>
    <w:rsid w:val="00362076"/>
    <w:rsid w:val="003629F3"/>
    <w:rsid w:val="00363ED9"/>
    <w:rsid w:val="003646AC"/>
    <w:rsid w:val="00364C8B"/>
    <w:rsid w:val="00365295"/>
    <w:rsid w:val="00365F2A"/>
    <w:rsid w:val="00366A25"/>
    <w:rsid w:val="00366C27"/>
    <w:rsid w:val="003671C7"/>
    <w:rsid w:val="00370526"/>
    <w:rsid w:val="003707C8"/>
    <w:rsid w:val="00370C13"/>
    <w:rsid w:val="003715A1"/>
    <w:rsid w:val="00371989"/>
    <w:rsid w:val="0037237D"/>
    <w:rsid w:val="00372866"/>
    <w:rsid w:val="00372B0D"/>
    <w:rsid w:val="00372D94"/>
    <w:rsid w:val="00372F1C"/>
    <w:rsid w:val="00372FA0"/>
    <w:rsid w:val="00373C30"/>
    <w:rsid w:val="00373DE8"/>
    <w:rsid w:val="003764F6"/>
    <w:rsid w:val="003767E7"/>
    <w:rsid w:val="003768C0"/>
    <w:rsid w:val="00381A84"/>
    <w:rsid w:val="00381EFF"/>
    <w:rsid w:val="003821DE"/>
    <w:rsid w:val="00382566"/>
    <w:rsid w:val="00382C4E"/>
    <w:rsid w:val="00384603"/>
    <w:rsid w:val="00384825"/>
    <w:rsid w:val="00384FF2"/>
    <w:rsid w:val="003850AE"/>
    <w:rsid w:val="003853B4"/>
    <w:rsid w:val="00385594"/>
    <w:rsid w:val="00386D0E"/>
    <w:rsid w:val="00387170"/>
    <w:rsid w:val="003911F1"/>
    <w:rsid w:val="00391565"/>
    <w:rsid w:val="0039164F"/>
    <w:rsid w:val="003916ED"/>
    <w:rsid w:val="00392C55"/>
    <w:rsid w:val="00393298"/>
    <w:rsid w:val="0039397D"/>
    <w:rsid w:val="00393B6D"/>
    <w:rsid w:val="00394B21"/>
    <w:rsid w:val="00394D82"/>
    <w:rsid w:val="0039590C"/>
    <w:rsid w:val="00395A1C"/>
    <w:rsid w:val="00395DEA"/>
    <w:rsid w:val="00395F1B"/>
    <w:rsid w:val="00396285"/>
    <w:rsid w:val="00397D89"/>
    <w:rsid w:val="003A0053"/>
    <w:rsid w:val="003A01B6"/>
    <w:rsid w:val="003A1E13"/>
    <w:rsid w:val="003A1FC6"/>
    <w:rsid w:val="003A248D"/>
    <w:rsid w:val="003A2B28"/>
    <w:rsid w:val="003A495D"/>
    <w:rsid w:val="003A70BE"/>
    <w:rsid w:val="003A7C56"/>
    <w:rsid w:val="003A7C59"/>
    <w:rsid w:val="003B052D"/>
    <w:rsid w:val="003B0906"/>
    <w:rsid w:val="003B09BA"/>
    <w:rsid w:val="003B1797"/>
    <w:rsid w:val="003B1960"/>
    <w:rsid w:val="003B1B57"/>
    <w:rsid w:val="003B1E03"/>
    <w:rsid w:val="003B225A"/>
    <w:rsid w:val="003B3F6B"/>
    <w:rsid w:val="003B4583"/>
    <w:rsid w:val="003B4A7F"/>
    <w:rsid w:val="003B5E27"/>
    <w:rsid w:val="003B5FCE"/>
    <w:rsid w:val="003B7569"/>
    <w:rsid w:val="003C0A97"/>
    <w:rsid w:val="003C0BA3"/>
    <w:rsid w:val="003C1845"/>
    <w:rsid w:val="003C1D2C"/>
    <w:rsid w:val="003C2410"/>
    <w:rsid w:val="003C5396"/>
    <w:rsid w:val="003C580D"/>
    <w:rsid w:val="003C5D7A"/>
    <w:rsid w:val="003C6964"/>
    <w:rsid w:val="003C7270"/>
    <w:rsid w:val="003D16F3"/>
    <w:rsid w:val="003D1F76"/>
    <w:rsid w:val="003D351E"/>
    <w:rsid w:val="003D3903"/>
    <w:rsid w:val="003D4318"/>
    <w:rsid w:val="003D4971"/>
    <w:rsid w:val="003D4E39"/>
    <w:rsid w:val="003D51CA"/>
    <w:rsid w:val="003D61D2"/>
    <w:rsid w:val="003D66F2"/>
    <w:rsid w:val="003D7681"/>
    <w:rsid w:val="003E0E74"/>
    <w:rsid w:val="003E0FE1"/>
    <w:rsid w:val="003E10EF"/>
    <w:rsid w:val="003E183F"/>
    <w:rsid w:val="003E202C"/>
    <w:rsid w:val="003E3D34"/>
    <w:rsid w:val="003E49D2"/>
    <w:rsid w:val="003E55C6"/>
    <w:rsid w:val="003E61F9"/>
    <w:rsid w:val="003E61FF"/>
    <w:rsid w:val="003E6DE1"/>
    <w:rsid w:val="003E74ED"/>
    <w:rsid w:val="003E777E"/>
    <w:rsid w:val="003F0FAA"/>
    <w:rsid w:val="003F1E6A"/>
    <w:rsid w:val="003F26D5"/>
    <w:rsid w:val="003F272B"/>
    <w:rsid w:val="003F2F68"/>
    <w:rsid w:val="003F3504"/>
    <w:rsid w:val="003F4AE4"/>
    <w:rsid w:val="003F5A45"/>
    <w:rsid w:val="00400851"/>
    <w:rsid w:val="00402BC6"/>
    <w:rsid w:val="00402FD1"/>
    <w:rsid w:val="004034CC"/>
    <w:rsid w:val="0040587E"/>
    <w:rsid w:val="00406B70"/>
    <w:rsid w:val="00406F09"/>
    <w:rsid w:val="0040743D"/>
    <w:rsid w:val="00407C80"/>
    <w:rsid w:val="0041055D"/>
    <w:rsid w:val="004118D3"/>
    <w:rsid w:val="00411A4A"/>
    <w:rsid w:val="0041251D"/>
    <w:rsid w:val="00413E15"/>
    <w:rsid w:val="00414D48"/>
    <w:rsid w:val="0041578C"/>
    <w:rsid w:val="0041644E"/>
    <w:rsid w:val="0041741D"/>
    <w:rsid w:val="0041744F"/>
    <w:rsid w:val="004176A6"/>
    <w:rsid w:val="0041788D"/>
    <w:rsid w:val="00417F7E"/>
    <w:rsid w:val="00423F31"/>
    <w:rsid w:val="00424343"/>
    <w:rsid w:val="00424C3B"/>
    <w:rsid w:val="0042641B"/>
    <w:rsid w:val="00426B61"/>
    <w:rsid w:val="00426D10"/>
    <w:rsid w:val="0042766C"/>
    <w:rsid w:val="00427E57"/>
    <w:rsid w:val="00430306"/>
    <w:rsid w:val="00431722"/>
    <w:rsid w:val="00432500"/>
    <w:rsid w:val="004329E5"/>
    <w:rsid w:val="00435627"/>
    <w:rsid w:val="004362DD"/>
    <w:rsid w:val="00436669"/>
    <w:rsid w:val="00436801"/>
    <w:rsid w:val="00436B3D"/>
    <w:rsid w:val="00440264"/>
    <w:rsid w:val="00443529"/>
    <w:rsid w:val="00443775"/>
    <w:rsid w:val="00443AD9"/>
    <w:rsid w:val="00443EBF"/>
    <w:rsid w:val="004476AB"/>
    <w:rsid w:val="004513AA"/>
    <w:rsid w:val="004527CF"/>
    <w:rsid w:val="00452DEB"/>
    <w:rsid w:val="004533F3"/>
    <w:rsid w:val="00453E80"/>
    <w:rsid w:val="004548C7"/>
    <w:rsid w:val="004554A9"/>
    <w:rsid w:val="00455848"/>
    <w:rsid w:val="00457626"/>
    <w:rsid w:val="00457B72"/>
    <w:rsid w:val="004609AE"/>
    <w:rsid w:val="004613C3"/>
    <w:rsid w:val="004635B9"/>
    <w:rsid w:val="00463A7A"/>
    <w:rsid w:val="00464AF2"/>
    <w:rsid w:val="00465417"/>
    <w:rsid w:val="00465EA1"/>
    <w:rsid w:val="00466180"/>
    <w:rsid w:val="004662E9"/>
    <w:rsid w:val="0046711D"/>
    <w:rsid w:val="004673CB"/>
    <w:rsid w:val="004679F2"/>
    <w:rsid w:val="00470F69"/>
    <w:rsid w:val="0047115B"/>
    <w:rsid w:val="00473D65"/>
    <w:rsid w:val="00474539"/>
    <w:rsid w:val="00474782"/>
    <w:rsid w:val="004747C9"/>
    <w:rsid w:val="00474F36"/>
    <w:rsid w:val="00475CA1"/>
    <w:rsid w:val="00476ADF"/>
    <w:rsid w:val="00476FA2"/>
    <w:rsid w:val="00477D4D"/>
    <w:rsid w:val="004800C3"/>
    <w:rsid w:val="004810BE"/>
    <w:rsid w:val="00482549"/>
    <w:rsid w:val="00482563"/>
    <w:rsid w:val="00482B2E"/>
    <w:rsid w:val="0048314B"/>
    <w:rsid w:val="0048438A"/>
    <w:rsid w:val="004866B8"/>
    <w:rsid w:val="004869FA"/>
    <w:rsid w:val="00487120"/>
    <w:rsid w:val="00487CD0"/>
    <w:rsid w:val="00490447"/>
    <w:rsid w:val="00490E5A"/>
    <w:rsid w:val="004910EE"/>
    <w:rsid w:val="00491492"/>
    <w:rsid w:val="00491EF0"/>
    <w:rsid w:val="004923FF"/>
    <w:rsid w:val="004933CF"/>
    <w:rsid w:val="00493C9D"/>
    <w:rsid w:val="004955A9"/>
    <w:rsid w:val="00495C3F"/>
    <w:rsid w:val="00495EDA"/>
    <w:rsid w:val="004960DF"/>
    <w:rsid w:val="0049658E"/>
    <w:rsid w:val="00497B30"/>
    <w:rsid w:val="004A010E"/>
    <w:rsid w:val="004A0217"/>
    <w:rsid w:val="004A0AD1"/>
    <w:rsid w:val="004A18B3"/>
    <w:rsid w:val="004A2A04"/>
    <w:rsid w:val="004A4C6F"/>
    <w:rsid w:val="004A5E76"/>
    <w:rsid w:val="004A6805"/>
    <w:rsid w:val="004A6851"/>
    <w:rsid w:val="004A6F55"/>
    <w:rsid w:val="004B0636"/>
    <w:rsid w:val="004B0ECA"/>
    <w:rsid w:val="004B1463"/>
    <w:rsid w:val="004B2176"/>
    <w:rsid w:val="004B3888"/>
    <w:rsid w:val="004B48FF"/>
    <w:rsid w:val="004B59CD"/>
    <w:rsid w:val="004B6035"/>
    <w:rsid w:val="004B60BE"/>
    <w:rsid w:val="004B6550"/>
    <w:rsid w:val="004B6C8C"/>
    <w:rsid w:val="004B7477"/>
    <w:rsid w:val="004C11D0"/>
    <w:rsid w:val="004C1234"/>
    <w:rsid w:val="004C197E"/>
    <w:rsid w:val="004C2172"/>
    <w:rsid w:val="004C2A8E"/>
    <w:rsid w:val="004C2AFB"/>
    <w:rsid w:val="004C3BA9"/>
    <w:rsid w:val="004C4DEE"/>
    <w:rsid w:val="004C52CE"/>
    <w:rsid w:val="004C64ED"/>
    <w:rsid w:val="004C793D"/>
    <w:rsid w:val="004D022A"/>
    <w:rsid w:val="004D024A"/>
    <w:rsid w:val="004D0262"/>
    <w:rsid w:val="004D098B"/>
    <w:rsid w:val="004D0A17"/>
    <w:rsid w:val="004D1C29"/>
    <w:rsid w:val="004D1CBB"/>
    <w:rsid w:val="004D2934"/>
    <w:rsid w:val="004D3313"/>
    <w:rsid w:val="004D3576"/>
    <w:rsid w:val="004D6EEF"/>
    <w:rsid w:val="004D7715"/>
    <w:rsid w:val="004D7870"/>
    <w:rsid w:val="004D7FBF"/>
    <w:rsid w:val="004E3BC2"/>
    <w:rsid w:val="004E3E79"/>
    <w:rsid w:val="004E4019"/>
    <w:rsid w:val="004E44DA"/>
    <w:rsid w:val="004E49D7"/>
    <w:rsid w:val="004E4A7E"/>
    <w:rsid w:val="004E530C"/>
    <w:rsid w:val="004E5396"/>
    <w:rsid w:val="004E5A7E"/>
    <w:rsid w:val="004E632F"/>
    <w:rsid w:val="004E64F0"/>
    <w:rsid w:val="004E67DC"/>
    <w:rsid w:val="004E6C73"/>
    <w:rsid w:val="004E6D6D"/>
    <w:rsid w:val="004E714D"/>
    <w:rsid w:val="004F0006"/>
    <w:rsid w:val="004F0D60"/>
    <w:rsid w:val="004F104D"/>
    <w:rsid w:val="004F1D8D"/>
    <w:rsid w:val="004F2D32"/>
    <w:rsid w:val="004F32AB"/>
    <w:rsid w:val="004F42D5"/>
    <w:rsid w:val="004F4A05"/>
    <w:rsid w:val="004F4B5D"/>
    <w:rsid w:val="004F4C73"/>
    <w:rsid w:val="004F532B"/>
    <w:rsid w:val="004F5B37"/>
    <w:rsid w:val="004F6FA4"/>
    <w:rsid w:val="004F7733"/>
    <w:rsid w:val="00500358"/>
    <w:rsid w:val="0050135B"/>
    <w:rsid w:val="005020C9"/>
    <w:rsid w:val="0050235D"/>
    <w:rsid w:val="005025B9"/>
    <w:rsid w:val="00502B2F"/>
    <w:rsid w:val="00502F38"/>
    <w:rsid w:val="00502F66"/>
    <w:rsid w:val="005032AC"/>
    <w:rsid w:val="00503966"/>
    <w:rsid w:val="00503CD1"/>
    <w:rsid w:val="00503CEC"/>
    <w:rsid w:val="00504B80"/>
    <w:rsid w:val="00504BA1"/>
    <w:rsid w:val="00504C81"/>
    <w:rsid w:val="00504D5C"/>
    <w:rsid w:val="00506483"/>
    <w:rsid w:val="0050773C"/>
    <w:rsid w:val="005109E0"/>
    <w:rsid w:val="00510ACA"/>
    <w:rsid w:val="00511BDA"/>
    <w:rsid w:val="0051302C"/>
    <w:rsid w:val="005141EF"/>
    <w:rsid w:val="005147B5"/>
    <w:rsid w:val="00516AF9"/>
    <w:rsid w:val="005170F4"/>
    <w:rsid w:val="00520552"/>
    <w:rsid w:val="00522C21"/>
    <w:rsid w:val="00522C4F"/>
    <w:rsid w:val="00523414"/>
    <w:rsid w:val="00523B75"/>
    <w:rsid w:val="005243F4"/>
    <w:rsid w:val="0052543E"/>
    <w:rsid w:val="00525457"/>
    <w:rsid w:val="00525914"/>
    <w:rsid w:val="00526024"/>
    <w:rsid w:val="00526DCB"/>
    <w:rsid w:val="00527F80"/>
    <w:rsid w:val="00531621"/>
    <w:rsid w:val="00531899"/>
    <w:rsid w:val="00535DBE"/>
    <w:rsid w:val="00535EEF"/>
    <w:rsid w:val="0053646F"/>
    <w:rsid w:val="00536CC0"/>
    <w:rsid w:val="005371EF"/>
    <w:rsid w:val="00540235"/>
    <w:rsid w:val="005406A6"/>
    <w:rsid w:val="00541016"/>
    <w:rsid w:val="00541C39"/>
    <w:rsid w:val="00541D75"/>
    <w:rsid w:val="00543576"/>
    <w:rsid w:val="00544A8B"/>
    <w:rsid w:val="00545543"/>
    <w:rsid w:val="005459FA"/>
    <w:rsid w:val="00546D91"/>
    <w:rsid w:val="00546F62"/>
    <w:rsid w:val="00547EA5"/>
    <w:rsid w:val="005502F4"/>
    <w:rsid w:val="0055138C"/>
    <w:rsid w:val="005517FF"/>
    <w:rsid w:val="00551FCF"/>
    <w:rsid w:val="0055318B"/>
    <w:rsid w:val="005535D4"/>
    <w:rsid w:val="00553FDC"/>
    <w:rsid w:val="00554186"/>
    <w:rsid w:val="005548EE"/>
    <w:rsid w:val="00554FE5"/>
    <w:rsid w:val="00555969"/>
    <w:rsid w:val="00555CF7"/>
    <w:rsid w:val="00555DC0"/>
    <w:rsid w:val="00556160"/>
    <w:rsid w:val="00556BE3"/>
    <w:rsid w:val="00556DA3"/>
    <w:rsid w:val="00556E33"/>
    <w:rsid w:val="0056004D"/>
    <w:rsid w:val="00561FBA"/>
    <w:rsid w:val="00562235"/>
    <w:rsid w:val="005624C8"/>
    <w:rsid w:val="00562E83"/>
    <w:rsid w:val="0056303F"/>
    <w:rsid w:val="0056322D"/>
    <w:rsid w:val="00564366"/>
    <w:rsid w:val="00564610"/>
    <w:rsid w:val="00564BA2"/>
    <w:rsid w:val="0056781C"/>
    <w:rsid w:val="00571CC8"/>
    <w:rsid w:val="0057551F"/>
    <w:rsid w:val="0057567B"/>
    <w:rsid w:val="00575E34"/>
    <w:rsid w:val="00575E6E"/>
    <w:rsid w:val="0057690C"/>
    <w:rsid w:val="00576F00"/>
    <w:rsid w:val="00577CCF"/>
    <w:rsid w:val="00584B20"/>
    <w:rsid w:val="00584EBC"/>
    <w:rsid w:val="00585B98"/>
    <w:rsid w:val="00586347"/>
    <w:rsid w:val="00586BEF"/>
    <w:rsid w:val="00587480"/>
    <w:rsid w:val="005879A0"/>
    <w:rsid w:val="0059023F"/>
    <w:rsid w:val="005906A4"/>
    <w:rsid w:val="00590835"/>
    <w:rsid w:val="00592BC6"/>
    <w:rsid w:val="005939C1"/>
    <w:rsid w:val="00593A61"/>
    <w:rsid w:val="00593F7B"/>
    <w:rsid w:val="0059470F"/>
    <w:rsid w:val="0059471B"/>
    <w:rsid w:val="00594792"/>
    <w:rsid w:val="00594913"/>
    <w:rsid w:val="00594AD6"/>
    <w:rsid w:val="00595A16"/>
    <w:rsid w:val="005961D1"/>
    <w:rsid w:val="00597189"/>
    <w:rsid w:val="005A104B"/>
    <w:rsid w:val="005A1FB7"/>
    <w:rsid w:val="005A257F"/>
    <w:rsid w:val="005A2A27"/>
    <w:rsid w:val="005A4BE8"/>
    <w:rsid w:val="005A6794"/>
    <w:rsid w:val="005A6BC2"/>
    <w:rsid w:val="005A706E"/>
    <w:rsid w:val="005A7746"/>
    <w:rsid w:val="005A7F78"/>
    <w:rsid w:val="005B23B8"/>
    <w:rsid w:val="005B2E05"/>
    <w:rsid w:val="005B3C35"/>
    <w:rsid w:val="005B55B5"/>
    <w:rsid w:val="005B6550"/>
    <w:rsid w:val="005B6BFD"/>
    <w:rsid w:val="005B749F"/>
    <w:rsid w:val="005B7704"/>
    <w:rsid w:val="005C0DC4"/>
    <w:rsid w:val="005C11D4"/>
    <w:rsid w:val="005C2388"/>
    <w:rsid w:val="005C3E33"/>
    <w:rsid w:val="005C4774"/>
    <w:rsid w:val="005C59BB"/>
    <w:rsid w:val="005C7C16"/>
    <w:rsid w:val="005D047A"/>
    <w:rsid w:val="005D1249"/>
    <w:rsid w:val="005D4328"/>
    <w:rsid w:val="005D4354"/>
    <w:rsid w:val="005D58CF"/>
    <w:rsid w:val="005D5BB7"/>
    <w:rsid w:val="005D6C4C"/>
    <w:rsid w:val="005D71EF"/>
    <w:rsid w:val="005E0000"/>
    <w:rsid w:val="005E2D6D"/>
    <w:rsid w:val="005E3D4C"/>
    <w:rsid w:val="005E4E4F"/>
    <w:rsid w:val="005E503B"/>
    <w:rsid w:val="005E5F90"/>
    <w:rsid w:val="005E6091"/>
    <w:rsid w:val="005F0B2A"/>
    <w:rsid w:val="005F24F2"/>
    <w:rsid w:val="005F39D5"/>
    <w:rsid w:val="005F4E95"/>
    <w:rsid w:val="005F6C6E"/>
    <w:rsid w:val="005F7619"/>
    <w:rsid w:val="005F7F46"/>
    <w:rsid w:val="006003E9"/>
    <w:rsid w:val="00601521"/>
    <w:rsid w:val="006017C0"/>
    <w:rsid w:val="00601FDA"/>
    <w:rsid w:val="0060271A"/>
    <w:rsid w:val="00603C18"/>
    <w:rsid w:val="00603E51"/>
    <w:rsid w:val="006050D3"/>
    <w:rsid w:val="00605314"/>
    <w:rsid w:val="006053F4"/>
    <w:rsid w:val="006061AF"/>
    <w:rsid w:val="00606E1B"/>
    <w:rsid w:val="00606E75"/>
    <w:rsid w:val="0060787C"/>
    <w:rsid w:val="006110D8"/>
    <w:rsid w:val="00611263"/>
    <w:rsid w:val="00611715"/>
    <w:rsid w:val="00611ECA"/>
    <w:rsid w:val="006120E3"/>
    <w:rsid w:val="00612B18"/>
    <w:rsid w:val="00612FF8"/>
    <w:rsid w:val="00613057"/>
    <w:rsid w:val="00613E64"/>
    <w:rsid w:val="00614800"/>
    <w:rsid w:val="00614CBE"/>
    <w:rsid w:val="0061505C"/>
    <w:rsid w:val="00615F54"/>
    <w:rsid w:val="006176F4"/>
    <w:rsid w:val="00617BB2"/>
    <w:rsid w:val="00622417"/>
    <w:rsid w:val="00622633"/>
    <w:rsid w:val="00623956"/>
    <w:rsid w:val="006240AA"/>
    <w:rsid w:val="0062435E"/>
    <w:rsid w:val="006249C1"/>
    <w:rsid w:val="00624A1D"/>
    <w:rsid w:val="00626134"/>
    <w:rsid w:val="0062647F"/>
    <w:rsid w:val="00626727"/>
    <w:rsid w:val="00626B48"/>
    <w:rsid w:val="00626FB3"/>
    <w:rsid w:val="00627CC6"/>
    <w:rsid w:val="00627F63"/>
    <w:rsid w:val="00631E12"/>
    <w:rsid w:val="00632B6F"/>
    <w:rsid w:val="00632CA3"/>
    <w:rsid w:val="00633CAA"/>
    <w:rsid w:val="00633FFC"/>
    <w:rsid w:val="0063419D"/>
    <w:rsid w:val="00636FC4"/>
    <w:rsid w:val="00637353"/>
    <w:rsid w:val="006401CD"/>
    <w:rsid w:val="00642852"/>
    <w:rsid w:val="0064296F"/>
    <w:rsid w:val="00642D3F"/>
    <w:rsid w:val="00644DFC"/>
    <w:rsid w:val="00650369"/>
    <w:rsid w:val="00651A52"/>
    <w:rsid w:val="00651BCD"/>
    <w:rsid w:val="00652382"/>
    <w:rsid w:val="006540C1"/>
    <w:rsid w:val="006544C5"/>
    <w:rsid w:val="00654C68"/>
    <w:rsid w:val="00654F78"/>
    <w:rsid w:val="00654FAA"/>
    <w:rsid w:val="00655176"/>
    <w:rsid w:val="006559A1"/>
    <w:rsid w:val="00657785"/>
    <w:rsid w:val="00660886"/>
    <w:rsid w:val="00661D14"/>
    <w:rsid w:val="00661FB2"/>
    <w:rsid w:val="00662B49"/>
    <w:rsid w:val="00663E56"/>
    <w:rsid w:val="00664D79"/>
    <w:rsid w:val="00665238"/>
    <w:rsid w:val="006654F1"/>
    <w:rsid w:val="00665CF0"/>
    <w:rsid w:val="006666DB"/>
    <w:rsid w:val="0066767F"/>
    <w:rsid w:val="00670A7B"/>
    <w:rsid w:val="00670ED1"/>
    <w:rsid w:val="00671674"/>
    <w:rsid w:val="00671CB7"/>
    <w:rsid w:val="00672313"/>
    <w:rsid w:val="00672AFF"/>
    <w:rsid w:val="006732D2"/>
    <w:rsid w:val="00673307"/>
    <w:rsid w:val="0067387C"/>
    <w:rsid w:val="006758AC"/>
    <w:rsid w:val="00675965"/>
    <w:rsid w:val="00675D87"/>
    <w:rsid w:val="00676238"/>
    <w:rsid w:val="00676486"/>
    <w:rsid w:val="006764E3"/>
    <w:rsid w:val="00676527"/>
    <w:rsid w:val="00676FA5"/>
    <w:rsid w:val="0067766B"/>
    <w:rsid w:val="00680804"/>
    <w:rsid w:val="00680B31"/>
    <w:rsid w:val="00680C24"/>
    <w:rsid w:val="0068329B"/>
    <w:rsid w:val="006845B3"/>
    <w:rsid w:val="00685001"/>
    <w:rsid w:val="006857D5"/>
    <w:rsid w:val="00685A6C"/>
    <w:rsid w:val="0068754C"/>
    <w:rsid w:val="00690D15"/>
    <w:rsid w:val="00691D93"/>
    <w:rsid w:val="00692169"/>
    <w:rsid w:val="006923F8"/>
    <w:rsid w:val="00693CB1"/>
    <w:rsid w:val="00694ABD"/>
    <w:rsid w:val="00694B61"/>
    <w:rsid w:val="00697042"/>
    <w:rsid w:val="00697C3B"/>
    <w:rsid w:val="006A04FC"/>
    <w:rsid w:val="006A04FE"/>
    <w:rsid w:val="006A349A"/>
    <w:rsid w:val="006A37D7"/>
    <w:rsid w:val="006A3A00"/>
    <w:rsid w:val="006A419A"/>
    <w:rsid w:val="006A50C9"/>
    <w:rsid w:val="006A56D4"/>
    <w:rsid w:val="006A578C"/>
    <w:rsid w:val="006A5C31"/>
    <w:rsid w:val="006A5D30"/>
    <w:rsid w:val="006A62EF"/>
    <w:rsid w:val="006A6B8F"/>
    <w:rsid w:val="006A74FD"/>
    <w:rsid w:val="006B043E"/>
    <w:rsid w:val="006B1178"/>
    <w:rsid w:val="006B17A9"/>
    <w:rsid w:val="006B2762"/>
    <w:rsid w:val="006B2E15"/>
    <w:rsid w:val="006B3AD4"/>
    <w:rsid w:val="006B40DA"/>
    <w:rsid w:val="006B504C"/>
    <w:rsid w:val="006B5D88"/>
    <w:rsid w:val="006B5FA2"/>
    <w:rsid w:val="006B631E"/>
    <w:rsid w:val="006B63F3"/>
    <w:rsid w:val="006B78C8"/>
    <w:rsid w:val="006B7C83"/>
    <w:rsid w:val="006C0BE3"/>
    <w:rsid w:val="006C0FB3"/>
    <w:rsid w:val="006C13ED"/>
    <w:rsid w:val="006C1C09"/>
    <w:rsid w:val="006C2163"/>
    <w:rsid w:val="006C2B87"/>
    <w:rsid w:val="006C6D0C"/>
    <w:rsid w:val="006C7577"/>
    <w:rsid w:val="006D09F5"/>
    <w:rsid w:val="006D0DC7"/>
    <w:rsid w:val="006D1F2A"/>
    <w:rsid w:val="006D2B48"/>
    <w:rsid w:val="006D2C7A"/>
    <w:rsid w:val="006D3738"/>
    <w:rsid w:val="006D55D6"/>
    <w:rsid w:val="006D5760"/>
    <w:rsid w:val="006D7694"/>
    <w:rsid w:val="006D7961"/>
    <w:rsid w:val="006D7AC3"/>
    <w:rsid w:val="006E1694"/>
    <w:rsid w:val="006E1B90"/>
    <w:rsid w:val="006E285C"/>
    <w:rsid w:val="006E33D3"/>
    <w:rsid w:val="006E3598"/>
    <w:rsid w:val="006E35EA"/>
    <w:rsid w:val="006E3F9A"/>
    <w:rsid w:val="006E4060"/>
    <w:rsid w:val="006E4216"/>
    <w:rsid w:val="006E4EB1"/>
    <w:rsid w:val="006E5704"/>
    <w:rsid w:val="006E5DB0"/>
    <w:rsid w:val="006E6195"/>
    <w:rsid w:val="006E790C"/>
    <w:rsid w:val="006E7A0C"/>
    <w:rsid w:val="006F234A"/>
    <w:rsid w:val="006F24B0"/>
    <w:rsid w:val="006F2600"/>
    <w:rsid w:val="006F2B47"/>
    <w:rsid w:val="006F36B6"/>
    <w:rsid w:val="006F3B32"/>
    <w:rsid w:val="006F44EE"/>
    <w:rsid w:val="006F49B4"/>
    <w:rsid w:val="007013EC"/>
    <w:rsid w:val="00701639"/>
    <w:rsid w:val="00701A2F"/>
    <w:rsid w:val="00701C47"/>
    <w:rsid w:val="00701EF0"/>
    <w:rsid w:val="007024BF"/>
    <w:rsid w:val="007028CD"/>
    <w:rsid w:val="007067F8"/>
    <w:rsid w:val="0070704C"/>
    <w:rsid w:val="00707537"/>
    <w:rsid w:val="00712EBE"/>
    <w:rsid w:val="00714313"/>
    <w:rsid w:val="007144AA"/>
    <w:rsid w:val="0071649C"/>
    <w:rsid w:val="007165BB"/>
    <w:rsid w:val="00716A4D"/>
    <w:rsid w:val="00716B99"/>
    <w:rsid w:val="00717DAC"/>
    <w:rsid w:val="0072052C"/>
    <w:rsid w:val="00720BC7"/>
    <w:rsid w:val="00721BC3"/>
    <w:rsid w:val="00721F1A"/>
    <w:rsid w:val="00722237"/>
    <w:rsid w:val="00722928"/>
    <w:rsid w:val="00722D69"/>
    <w:rsid w:val="00724435"/>
    <w:rsid w:val="0072489A"/>
    <w:rsid w:val="00725D93"/>
    <w:rsid w:val="00726354"/>
    <w:rsid w:val="00727770"/>
    <w:rsid w:val="00727A4C"/>
    <w:rsid w:val="00727A9E"/>
    <w:rsid w:val="00731595"/>
    <w:rsid w:val="00731882"/>
    <w:rsid w:val="00731CEC"/>
    <w:rsid w:val="007347AA"/>
    <w:rsid w:val="007352A2"/>
    <w:rsid w:val="00735B6F"/>
    <w:rsid w:val="00735CAB"/>
    <w:rsid w:val="00736A7A"/>
    <w:rsid w:val="0073783F"/>
    <w:rsid w:val="0074013F"/>
    <w:rsid w:val="007419D4"/>
    <w:rsid w:val="00742D4C"/>
    <w:rsid w:val="00743252"/>
    <w:rsid w:val="00743441"/>
    <w:rsid w:val="00743DC0"/>
    <w:rsid w:val="00744492"/>
    <w:rsid w:val="007458DF"/>
    <w:rsid w:val="00745CAD"/>
    <w:rsid w:val="00745DC6"/>
    <w:rsid w:val="00746D40"/>
    <w:rsid w:val="0074729A"/>
    <w:rsid w:val="0074741E"/>
    <w:rsid w:val="00752A4D"/>
    <w:rsid w:val="00752F6C"/>
    <w:rsid w:val="00753F23"/>
    <w:rsid w:val="00755585"/>
    <w:rsid w:val="007575BF"/>
    <w:rsid w:val="0075783C"/>
    <w:rsid w:val="00760148"/>
    <w:rsid w:val="007607C0"/>
    <w:rsid w:val="00762A82"/>
    <w:rsid w:val="00763089"/>
    <w:rsid w:val="007634B3"/>
    <w:rsid w:val="007657B5"/>
    <w:rsid w:val="00765E1D"/>
    <w:rsid w:val="00766CD9"/>
    <w:rsid w:val="00766D71"/>
    <w:rsid w:val="00766E25"/>
    <w:rsid w:val="0076761E"/>
    <w:rsid w:val="00767BF6"/>
    <w:rsid w:val="00770576"/>
    <w:rsid w:val="007715D0"/>
    <w:rsid w:val="0077240B"/>
    <w:rsid w:val="00772938"/>
    <w:rsid w:val="00772A1B"/>
    <w:rsid w:val="0077446C"/>
    <w:rsid w:val="00774DE3"/>
    <w:rsid w:val="00775B35"/>
    <w:rsid w:val="00775D70"/>
    <w:rsid w:val="00775E30"/>
    <w:rsid w:val="007771B9"/>
    <w:rsid w:val="0077760B"/>
    <w:rsid w:val="00777F5F"/>
    <w:rsid w:val="0078043C"/>
    <w:rsid w:val="00780C42"/>
    <w:rsid w:val="00782DDC"/>
    <w:rsid w:val="007836A0"/>
    <w:rsid w:val="0078399A"/>
    <w:rsid w:val="00783DF7"/>
    <w:rsid w:val="00783E08"/>
    <w:rsid w:val="007842E7"/>
    <w:rsid w:val="00784C77"/>
    <w:rsid w:val="007875F2"/>
    <w:rsid w:val="00790DEF"/>
    <w:rsid w:val="0079102F"/>
    <w:rsid w:val="00791AEE"/>
    <w:rsid w:val="00791E2F"/>
    <w:rsid w:val="00791EC0"/>
    <w:rsid w:val="007927A2"/>
    <w:rsid w:val="007928F1"/>
    <w:rsid w:val="00792C93"/>
    <w:rsid w:val="00793EC8"/>
    <w:rsid w:val="007940A4"/>
    <w:rsid w:val="0079437F"/>
    <w:rsid w:val="00794D26"/>
    <w:rsid w:val="0079571F"/>
    <w:rsid w:val="00796BC9"/>
    <w:rsid w:val="007A0580"/>
    <w:rsid w:val="007A1589"/>
    <w:rsid w:val="007A1DA3"/>
    <w:rsid w:val="007A1FBC"/>
    <w:rsid w:val="007A381C"/>
    <w:rsid w:val="007A4810"/>
    <w:rsid w:val="007A6DD0"/>
    <w:rsid w:val="007B0618"/>
    <w:rsid w:val="007B24C2"/>
    <w:rsid w:val="007B258C"/>
    <w:rsid w:val="007B3D1F"/>
    <w:rsid w:val="007B3D49"/>
    <w:rsid w:val="007B3E51"/>
    <w:rsid w:val="007B4CC9"/>
    <w:rsid w:val="007B68F5"/>
    <w:rsid w:val="007B6A22"/>
    <w:rsid w:val="007B797B"/>
    <w:rsid w:val="007C06DB"/>
    <w:rsid w:val="007C0D20"/>
    <w:rsid w:val="007C1861"/>
    <w:rsid w:val="007C1A49"/>
    <w:rsid w:val="007C279A"/>
    <w:rsid w:val="007C3152"/>
    <w:rsid w:val="007C3240"/>
    <w:rsid w:val="007C3B94"/>
    <w:rsid w:val="007C460F"/>
    <w:rsid w:val="007C495E"/>
    <w:rsid w:val="007C592C"/>
    <w:rsid w:val="007C5B4F"/>
    <w:rsid w:val="007C6CA2"/>
    <w:rsid w:val="007D09C4"/>
    <w:rsid w:val="007D12B6"/>
    <w:rsid w:val="007D17F1"/>
    <w:rsid w:val="007D42CF"/>
    <w:rsid w:val="007D42D2"/>
    <w:rsid w:val="007D4FC7"/>
    <w:rsid w:val="007D53EF"/>
    <w:rsid w:val="007D72C0"/>
    <w:rsid w:val="007D7BD4"/>
    <w:rsid w:val="007E15CC"/>
    <w:rsid w:val="007E2343"/>
    <w:rsid w:val="007E25E0"/>
    <w:rsid w:val="007E267C"/>
    <w:rsid w:val="007E2E8C"/>
    <w:rsid w:val="007E3478"/>
    <w:rsid w:val="007E3A43"/>
    <w:rsid w:val="007E44B0"/>
    <w:rsid w:val="007E4DCA"/>
    <w:rsid w:val="007E55EF"/>
    <w:rsid w:val="007E5CF9"/>
    <w:rsid w:val="007E7025"/>
    <w:rsid w:val="007E70FF"/>
    <w:rsid w:val="007F08C4"/>
    <w:rsid w:val="007F38E8"/>
    <w:rsid w:val="007F458F"/>
    <w:rsid w:val="007F4DB3"/>
    <w:rsid w:val="007F4F68"/>
    <w:rsid w:val="007F50E7"/>
    <w:rsid w:val="007F6A0E"/>
    <w:rsid w:val="007F721D"/>
    <w:rsid w:val="008009D5"/>
    <w:rsid w:val="00801423"/>
    <w:rsid w:val="008020F6"/>
    <w:rsid w:val="00803717"/>
    <w:rsid w:val="00803F7B"/>
    <w:rsid w:val="0080421D"/>
    <w:rsid w:val="0080483C"/>
    <w:rsid w:val="008059A1"/>
    <w:rsid w:val="0080657F"/>
    <w:rsid w:val="00810892"/>
    <w:rsid w:val="00810DF6"/>
    <w:rsid w:val="00810F9C"/>
    <w:rsid w:val="008143DE"/>
    <w:rsid w:val="00814B1F"/>
    <w:rsid w:val="00814D8D"/>
    <w:rsid w:val="00815AAC"/>
    <w:rsid w:val="00815B64"/>
    <w:rsid w:val="00816128"/>
    <w:rsid w:val="008166AB"/>
    <w:rsid w:val="00816D1E"/>
    <w:rsid w:val="00817061"/>
    <w:rsid w:val="00817278"/>
    <w:rsid w:val="00821042"/>
    <w:rsid w:val="008220D8"/>
    <w:rsid w:val="0082255A"/>
    <w:rsid w:val="008238E3"/>
    <w:rsid w:val="00823D2C"/>
    <w:rsid w:val="00824524"/>
    <w:rsid w:val="00825603"/>
    <w:rsid w:val="00825718"/>
    <w:rsid w:val="00825989"/>
    <w:rsid w:val="00825D2E"/>
    <w:rsid w:val="00825F92"/>
    <w:rsid w:val="0082696C"/>
    <w:rsid w:val="00826B7A"/>
    <w:rsid w:val="00827A80"/>
    <w:rsid w:val="0083075C"/>
    <w:rsid w:val="00830ED9"/>
    <w:rsid w:val="00831E82"/>
    <w:rsid w:val="008326F3"/>
    <w:rsid w:val="00832A2B"/>
    <w:rsid w:val="0083690B"/>
    <w:rsid w:val="008405FD"/>
    <w:rsid w:val="00840AE4"/>
    <w:rsid w:val="00841679"/>
    <w:rsid w:val="00842702"/>
    <w:rsid w:val="00843AE0"/>
    <w:rsid w:val="00843F99"/>
    <w:rsid w:val="00846C49"/>
    <w:rsid w:val="00847484"/>
    <w:rsid w:val="00847AF9"/>
    <w:rsid w:val="008508E2"/>
    <w:rsid w:val="00850E08"/>
    <w:rsid w:val="008518F8"/>
    <w:rsid w:val="008519B3"/>
    <w:rsid w:val="00852070"/>
    <w:rsid w:val="00852556"/>
    <w:rsid w:val="00852678"/>
    <w:rsid w:val="00853100"/>
    <w:rsid w:val="008534D4"/>
    <w:rsid w:val="008537D8"/>
    <w:rsid w:val="00853F0A"/>
    <w:rsid w:val="008549CB"/>
    <w:rsid w:val="008549E4"/>
    <w:rsid w:val="00855DBA"/>
    <w:rsid w:val="008566A9"/>
    <w:rsid w:val="0085742C"/>
    <w:rsid w:val="00857659"/>
    <w:rsid w:val="00857B9A"/>
    <w:rsid w:val="00860381"/>
    <w:rsid w:val="00860425"/>
    <w:rsid w:val="00860618"/>
    <w:rsid w:val="00860F26"/>
    <w:rsid w:val="0086185C"/>
    <w:rsid w:val="0086189E"/>
    <w:rsid w:val="008632B6"/>
    <w:rsid w:val="00863B35"/>
    <w:rsid w:val="0086476F"/>
    <w:rsid w:val="00864CE2"/>
    <w:rsid w:val="00865423"/>
    <w:rsid w:val="008664F1"/>
    <w:rsid w:val="00866D47"/>
    <w:rsid w:val="00866F14"/>
    <w:rsid w:val="00867341"/>
    <w:rsid w:val="0087002D"/>
    <w:rsid w:val="008716D0"/>
    <w:rsid w:val="008725FB"/>
    <w:rsid w:val="008731C5"/>
    <w:rsid w:val="00873D8A"/>
    <w:rsid w:val="00873ED3"/>
    <w:rsid w:val="00874387"/>
    <w:rsid w:val="00874D06"/>
    <w:rsid w:val="00874F12"/>
    <w:rsid w:val="008753D2"/>
    <w:rsid w:val="008758E7"/>
    <w:rsid w:val="008759C0"/>
    <w:rsid w:val="00875B8C"/>
    <w:rsid w:val="008763DE"/>
    <w:rsid w:val="008776D9"/>
    <w:rsid w:val="00877834"/>
    <w:rsid w:val="00877A64"/>
    <w:rsid w:val="00877BB8"/>
    <w:rsid w:val="00877D4B"/>
    <w:rsid w:val="00877E6C"/>
    <w:rsid w:val="008813FF"/>
    <w:rsid w:val="008841FD"/>
    <w:rsid w:val="0088423A"/>
    <w:rsid w:val="00884255"/>
    <w:rsid w:val="0088486E"/>
    <w:rsid w:val="0088518C"/>
    <w:rsid w:val="00885303"/>
    <w:rsid w:val="00885309"/>
    <w:rsid w:val="00885705"/>
    <w:rsid w:val="008874A0"/>
    <w:rsid w:val="0089002E"/>
    <w:rsid w:val="00890395"/>
    <w:rsid w:val="00892A6F"/>
    <w:rsid w:val="008930AF"/>
    <w:rsid w:val="008935B6"/>
    <w:rsid w:val="00893EB5"/>
    <w:rsid w:val="00894590"/>
    <w:rsid w:val="008949D1"/>
    <w:rsid w:val="00895839"/>
    <w:rsid w:val="00896A19"/>
    <w:rsid w:val="00896A2A"/>
    <w:rsid w:val="0089707E"/>
    <w:rsid w:val="0089710F"/>
    <w:rsid w:val="00897A1F"/>
    <w:rsid w:val="00897FC2"/>
    <w:rsid w:val="008A0107"/>
    <w:rsid w:val="008A04A3"/>
    <w:rsid w:val="008A05A0"/>
    <w:rsid w:val="008A06C8"/>
    <w:rsid w:val="008A219B"/>
    <w:rsid w:val="008A2259"/>
    <w:rsid w:val="008A2293"/>
    <w:rsid w:val="008A25DB"/>
    <w:rsid w:val="008A2C14"/>
    <w:rsid w:val="008A41EA"/>
    <w:rsid w:val="008A435C"/>
    <w:rsid w:val="008A5138"/>
    <w:rsid w:val="008A59D0"/>
    <w:rsid w:val="008A5D88"/>
    <w:rsid w:val="008A60FF"/>
    <w:rsid w:val="008B133F"/>
    <w:rsid w:val="008B1DCB"/>
    <w:rsid w:val="008B2460"/>
    <w:rsid w:val="008B261B"/>
    <w:rsid w:val="008B26CC"/>
    <w:rsid w:val="008B2E3F"/>
    <w:rsid w:val="008B350B"/>
    <w:rsid w:val="008B4171"/>
    <w:rsid w:val="008B426A"/>
    <w:rsid w:val="008B5B6E"/>
    <w:rsid w:val="008B5CBE"/>
    <w:rsid w:val="008B6246"/>
    <w:rsid w:val="008C111D"/>
    <w:rsid w:val="008C1BD3"/>
    <w:rsid w:val="008C223E"/>
    <w:rsid w:val="008C29F0"/>
    <w:rsid w:val="008C2C02"/>
    <w:rsid w:val="008C2DF8"/>
    <w:rsid w:val="008C314D"/>
    <w:rsid w:val="008C3322"/>
    <w:rsid w:val="008C4357"/>
    <w:rsid w:val="008C45CF"/>
    <w:rsid w:val="008C4A8A"/>
    <w:rsid w:val="008C4BB2"/>
    <w:rsid w:val="008C4E82"/>
    <w:rsid w:val="008C4FD7"/>
    <w:rsid w:val="008C692E"/>
    <w:rsid w:val="008C6D0A"/>
    <w:rsid w:val="008D01ED"/>
    <w:rsid w:val="008D0202"/>
    <w:rsid w:val="008D05EB"/>
    <w:rsid w:val="008D0B6E"/>
    <w:rsid w:val="008D1BEA"/>
    <w:rsid w:val="008D1F86"/>
    <w:rsid w:val="008D2510"/>
    <w:rsid w:val="008D3C2E"/>
    <w:rsid w:val="008D40DE"/>
    <w:rsid w:val="008D4631"/>
    <w:rsid w:val="008D5AAD"/>
    <w:rsid w:val="008D62E6"/>
    <w:rsid w:val="008D62F3"/>
    <w:rsid w:val="008D7329"/>
    <w:rsid w:val="008D7C37"/>
    <w:rsid w:val="008E0F79"/>
    <w:rsid w:val="008E156C"/>
    <w:rsid w:val="008E26C3"/>
    <w:rsid w:val="008E2BAB"/>
    <w:rsid w:val="008E39BC"/>
    <w:rsid w:val="008E3C3D"/>
    <w:rsid w:val="008E45F6"/>
    <w:rsid w:val="008E537A"/>
    <w:rsid w:val="008E53BC"/>
    <w:rsid w:val="008E5C88"/>
    <w:rsid w:val="008E5CF8"/>
    <w:rsid w:val="008E613E"/>
    <w:rsid w:val="008E6409"/>
    <w:rsid w:val="008E6470"/>
    <w:rsid w:val="008E6CD5"/>
    <w:rsid w:val="008E795B"/>
    <w:rsid w:val="008F058F"/>
    <w:rsid w:val="008F063B"/>
    <w:rsid w:val="008F1508"/>
    <w:rsid w:val="008F1D88"/>
    <w:rsid w:val="008F3CB5"/>
    <w:rsid w:val="008F4182"/>
    <w:rsid w:val="008F4371"/>
    <w:rsid w:val="008F5258"/>
    <w:rsid w:val="008F5C56"/>
    <w:rsid w:val="008F61E7"/>
    <w:rsid w:val="008F6B1E"/>
    <w:rsid w:val="008F6B35"/>
    <w:rsid w:val="008F6B64"/>
    <w:rsid w:val="0090089C"/>
    <w:rsid w:val="00901DE7"/>
    <w:rsid w:val="00902197"/>
    <w:rsid w:val="00904590"/>
    <w:rsid w:val="0090558E"/>
    <w:rsid w:val="009056F0"/>
    <w:rsid w:val="00906CA0"/>
    <w:rsid w:val="009076A4"/>
    <w:rsid w:val="00907BC6"/>
    <w:rsid w:val="00910D3D"/>
    <w:rsid w:val="00910E31"/>
    <w:rsid w:val="0091194F"/>
    <w:rsid w:val="00912326"/>
    <w:rsid w:val="009139CF"/>
    <w:rsid w:val="00914415"/>
    <w:rsid w:val="009149AB"/>
    <w:rsid w:val="009158AA"/>
    <w:rsid w:val="00915E23"/>
    <w:rsid w:val="00916404"/>
    <w:rsid w:val="009167DF"/>
    <w:rsid w:val="00917169"/>
    <w:rsid w:val="009174F7"/>
    <w:rsid w:val="00917E75"/>
    <w:rsid w:val="0092024A"/>
    <w:rsid w:val="00921381"/>
    <w:rsid w:val="00921689"/>
    <w:rsid w:val="009217C6"/>
    <w:rsid w:val="009226D1"/>
    <w:rsid w:val="00922888"/>
    <w:rsid w:val="009234EA"/>
    <w:rsid w:val="00923539"/>
    <w:rsid w:val="0092363B"/>
    <w:rsid w:val="00924482"/>
    <w:rsid w:val="00924E22"/>
    <w:rsid w:val="009250C8"/>
    <w:rsid w:val="0092567C"/>
    <w:rsid w:val="009257C5"/>
    <w:rsid w:val="00926C5C"/>
    <w:rsid w:val="00927135"/>
    <w:rsid w:val="009311E6"/>
    <w:rsid w:val="00931EB7"/>
    <w:rsid w:val="00932BE9"/>
    <w:rsid w:val="00932D32"/>
    <w:rsid w:val="009331D1"/>
    <w:rsid w:val="009332C9"/>
    <w:rsid w:val="0093398A"/>
    <w:rsid w:val="00933FC7"/>
    <w:rsid w:val="0093427E"/>
    <w:rsid w:val="00934782"/>
    <w:rsid w:val="009351A8"/>
    <w:rsid w:val="00935E0F"/>
    <w:rsid w:val="00936360"/>
    <w:rsid w:val="00936387"/>
    <w:rsid w:val="00936C46"/>
    <w:rsid w:val="0093789A"/>
    <w:rsid w:val="00940DB9"/>
    <w:rsid w:val="00940ED1"/>
    <w:rsid w:val="0094124F"/>
    <w:rsid w:val="0094204D"/>
    <w:rsid w:val="0094218C"/>
    <w:rsid w:val="00942490"/>
    <w:rsid w:val="0094359C"/>
    <w:rsid w:val="00943665"/>
    <w:rsid w:val="0094368E"/>
    <w:rsid w:val="009440E6"/>
    <w:rsid w:val="0094440D"/>
    <w:rsid w:val="00945EAB"/>
    <w:rsid w:val="00946C09"/>
    <w:rsid w:val="009478DC"/>
    <w:rsid w:val="009505E4"/>
    <w:rsid w:val="00951962"/>
    <w:rsid w:val="00951E1D"/>
    <w:rsid w:val="00952039"/>
    <w:rsid w:val="009522BD"/>
    <w:rsid w:val="00953123"/>
    <w:rsid w:val="0095444A"/>
    <w:rsid w:val="0095486F"/>
    <w:rsid w:val="00954B6A"/>
    <w:rsid w:val="009557BA"/>
    <w:rsid w:val="00957CE2"/>
    <w:rsid w:val="00960451"/>
    <w:rsid w:val="00961725"/>
    <w:rsid w:val="00962E6A"/>
    <w:rsid w:val="009631DC"/>
    <w:rsid w:val="00963446"/>
    <w:rsid w:val="00964135"/>
    <w:rsid w:val="0096585C"/>
    <w:rsid w:val="00965931"/>
    <w:rsid w:val="00966002"/>
    <w:rsid w:val="0096649D"/>
    <w:rsid w:val="009665E4"/>
    <w:rsid w:val="00970B92"/>
    <w:rsid w:val="00973035"/>
    <w:rsid w:val="009732A2"/>
    <w:rsid w:val="0097433E"/>
    <w:rsid w:val="009752C8"/>
    <w:rsid w:val="0097644B"/>
    <w:rsid w:val="00976AD9"/>
    <w:rsid w:val="00977146"/>
    <w:rsid w:val="009776DD"/>
    <w:rsid w:val="009779CF"/>
    <w:rsid w:val="0098075C"/>
    <w:rsid w:val="0098125F"/>
    <w:rsid w:val="0098187E"/>
    <w:rsid w:val="009839E5"/>
    <w:rsid w:val="009845B7"/>
    <w:rsid w:val="00984B34"/>
    <w:rsid w:val="009867C6"/>
    <w:rsid w:val="00986A00"/>
    <w:rsid w:val="00986ADB"/>
    <w:rsid w:val="00986BC6"/>
    <w:rsid w:val="00986C04"/>
    <w:rsid w:val="009873E8"/>
    <w:rsid w:val="0099032D"/>
    <w:rsid w:val="00990732"/>
    <w:rsid w:val="00990954"/>
    <w:rsid w:val="00990AE9"/>
    <w:rsid w:val="0099204A"/>
    <w:rsid w:val="00992352"/>
    <w:rsid w:val="00994C87"/>
    <w:rsid w:val="009952D3"/>
    <w:rsid w:val="0099573D"/>
    <w:rsid w:val="00996E3D"/>
    <w:rsid w:val="00997048"/>
    <w:rsid w:val="009A0071"/>
    <w:rsid w:val="009A009B"/>
    <w:rsid w:val="009A01B1"/>
    <w:rsid w:val="009A0D5E"/>
    <w:rsid w:val="009A1CA6"/>
    <w:rsid w:val="009A22C5"/>
    <w:rsid w:val="009A316B"/>
    <w:rsid w:val="009A3E1F"/>
    <w:rsid w:val="009A4072"/>
    <w:rsid w:val="009A44B0"/>
    <w:rsid w:val="009A63D5"/>
    <w:rsid w:val="009A6E00"/>
    <w:rsid w:val="009A746D"/>
    <w:rsid w:val="009A7653"/>
    <w:rsid w:val="009A7732"/>
    <w:rsid w:val="009B14FF"/>
    <w:rsid w:val="009B2B48"/>
    <w:rsid w:val="009B60D0"/>
    <w:rsid w:val="009C0638"/>
    <w:rsid w:val="009C0A00"/>
    <w:rsid w:val="009C0A9F"/>
    <w:rsid w:val="009C12F7"/>
    <w:rsid w:val="009C14BD"/>
    <w:rsid w:val="009C1590"/>
    <w:rsid w:val="009C2228"/>
    <w:rsid w:val="009C3D94"/>
    <w:rsid w:val="009C6097"/>
    <w:rsid w:val="009C748D"/>
    <w:rsid w:val="009C7C37"/>
    <w:rsid w:val="009D0662"/>
    <w:rsid w:val="009D11EF"/>
    <w:rsid w:val="009D1E30"/>
    <w:rsid w:val="009D3196"/>
    <w:rsid w:val="009D346F"/>
    <w:rsid w:val="009D5270"/>
    <w:rsid w:val="009D67A2"/>
    <w:rsid w:val="009D6B56"/>
    <w:rsid w:val="009D713E"/>
    <w:rsid w:val="009E0421"/>
    <w:rsid w:val="009E13D6"/>
    <w:rsid w:val="009E1998"/>
    <w:rsid w:val="009E1AE2"/>
    <w:rsid w:val="009E283E"/>
    <w:rsid w:val="009E3014"/>
    <w:rsid w:val="009E4091"/>
    <w:rsid w:val="009E40BE"/>
    <w:rsid w:val="009E4159"/>
    <w:rsid w:val="009E45E1"/>
    <w:rsid w:val="009E4904"/>
    <w:rsid w:val="009E5103"/>
    <w:rsid w:val="009E5545"/>
    <w:rsid w:val="009E6429"/>
    <w:rsid w:val="009E65E3"/>
    <w:rsid w:val="009E7270"/>
    <w:rsid w:val="009E7E93"/>
    <w:rsid w:val="009F2141"/>
    <w:rsid w:val="009F2DE2"/>
    <w:rsid w:val="009F3CC5"/>
    <w:rsid w:val="009F3CF1"/>
    <w:rsid w:val="009F497C"/>
    <w:rsid w:val="009F4BB4"/>
    <w:rsid w:val="009F7145"/>
    <w:rsid w:val="009F76A9"/>
    <w:rsid w:val="009F7C0D"/>
    <w:rsid w:val="009F7F4B"/>
    <w:rsid w:val="00A00BEE"/>
    <w:rsid w:val="00A00C49"/>
    <w:rsid w:val="00A00F34"/>
    <w:rsid w:val="00A010CD"/>
    <w:rsid w:val="00A01188"/>
    <w:rsid w:val="00A01653"/>
    <w:rsid w:val="00A01A71"/>
    <w:rsid w:val="00A04508"/>
    <w:rsid w:val="00A04A9A"/>
    <w:rsid w:val="00A05005"/>
    <w:rsid w:val="00A05A8E"/>
    <w:rsid w:val="00A10530"/>
    <w:rsid w:val="00A10B43"/>
    <w:rsid w:val="00A11069"/>
    <w:rsid w:val="00A125CB"/>
    <w:rsid w:val="00A1266A"/>
    <w:rsid w:val="00A127B0"/>
    <w:rsid w:val="00A16260"/>
    <w:rsid w:val="00A174D6"/>
    <w:rsid w:val="00A220A6"/>
    <w:rsid w:val="00A22296"/>
    <w:rsid w:val="00A227D4"/>
    <w:rsid w:val="00A23476"/>
    <w:rsid w:val="00A24978"/>
    <w:rsid w:val="00A25C22"/>
    <w:rsid w:val="00A31711"/>
    <w:rsid w:val="00A31E00"/>
    <w:rsid w:val="00A33E8A"/>
    <w:rsid w:val="00A3478A"/>
    <w:rsid w:val="00A350D9"/>
    <w:rsid w:val="00A36A36"/>
    <w:rsid w:val="00A372A2"/>
    <w:rsid w:val="00A37729"/>
    <w:rsid w:val="00A41347"/>
    <w:rsid w:val="00A416D2"/>
    <w:rsid w:val="00A42231"/>
    <w:rsid w:val="00A4272B"/>
    <w:rsid w:val="00A42D66"/>
    <w:rsid w:val="00A44D88"/>
    <w:rsid w:val="00A44FB3"/>
    <w:rsid w:val="00A4553F"/>
    <w:rsid w:val="00A45CCA"/>
    <w:rsid w:val="00A4642D"/>
    <w:rsid w:val="00A474E3"/>
    <w:rsid w:val="00A4787C"/>
    <w:rsid w:val="00A5046A"/>
    <w:rsid w:val="00A51644"/>
    <w:rsid w:val="00A51B31"/>
    <w:rsid w:val="00A51CBD"/>
    <w:rsid w:val="00A51F0A"/>
    <w:rsid w:val="00A5269C"/>
    <w:rsid w:val="00A535BA"/>
    <w:rsid w:val="00A539E0"/>
    <w:rsid w:val="00A54391"/>
    <w:rsid w:val="00A54769"/>
    <w:rsid w:val="00A56434"/>
    <w:rsid w:val="00A5650A"/>
    <w:rsid w:val="00A56723"/>
    <w:rsid w:val="00A56D35"/>
    <w:rsid w:val="00A60BA1"/>
    <w:rsid w:val="00A611EC"/>
    <w:rsid w:val="00A614C7"/>
    <w:rsid w:val="00A61E22"/>
    <w:rsid w:val="00A6208F"/>
    <w:rsid w:val="00A62B73"/>
    <w:rsid w:val="00A63A34"/>
    <w:rsid w:val="00A6444C"/>
    <w:rsid w:val="00A65D01"/>
    <w:rsid w:val="00A664A7"/>
    <w:rsid w:val="00A66CC2"/>
    <w:rsid w:val="00A66EC5"/>
    <w:rsid w:val="00A709C1"/>
    <w:rsid w:val="00A71F2E"/>
    <w:rsid w:val="00A724BB"/>
    <w:rsid w:val="00A73C51"/>
    <w:rsid w:val="00A75868"/>
    <w:rsid w:val="00A7597D"/>
    <w:rsid w:val="00A771BB"/>
    <w:rsid w:val="00A772A7"/>
    <w:rsid w:val="00A80A5D"/>
    <w:rsid w:val="00A80DDE"/>
    <w:rsid w:val="00A811D7"/>
    <w:rsid w:val="00A81997"/>
    <w:rsid w:val="00A828F5"/>
    <w:rsid w:val="00A82C49"/>
    <w:rsid w:val="00A831E6"/>
    <w:rsid w:val="00A83BF6"/>
    <w:rsid w:val="00A844B9"/>
    <w:rsid w:val="00A84919"/>
    <w:rsid w:val="00A863DA"/>
    <w:rsid w:val="00A87D44"/>
    <w:rsid w:val="00A90583"/>
    <w:rsid w:val="00A90EA6"/>
    <w:rsid w:val="00A918C4"/>
    <w:rsid w:val="00A91A73"/>
    <w:rsid w:val="00A92C8B"/>
    <w:rsid w:val="00A92FD8"/>
    <w:rsid w:val="00A93DA6"/>
    <w:rsid w:val="00A941CA"/>
    <w:rsid w:val="00A96C5D"/>
    <w:rsid w:val="00A97152"/>
    <w:rsid w:val="00A97806"/>
    <w:rsid w:val="00A97C4B"/>
    <w:rsid w:val="00AA09BC"/>
    <w:rsid w:val="00AA3137"/>
    <w:rsid w:val="00AB07D4"/>
    <w:rsid w:val="00AB23A9"/>
    <w:rsid w:val="00AB26E8"/>
    <w:rsid w:val="00AB2AB8"/>
    <w:rsid w:val="00AB2BD1"/>
    <w:rsid w:val="00AB2E98"/>
    <w:rsid w:val="00AB4C45"/>
    <w:rsid w:val="00AB52EE"/>
    <w:rsid w:val="00AB6C13"/>
    <w:rsid w:val="00AB71E1"/>
    <w:rsid w:val="00AB74AD"/>
    <w:rsid w:val="00AB7E76"/>
    <w:rsid w:val="00AC0B7E"/>
    <w:rsid w:val="00AC1F59"/>
    <w:rsid w:val="00AC2722"/>
    <w:rsid w:val="00AC33AB"/>
    <w:rsid w:val="00AC4947"/>
    <w:rsid w:val="00AC62E2"/>
    <w:rsid w:val="00AC6675"/>
    <w:rsid w:val="00AC691E"/>
    <w:rsid w:val="00AD04F5"/>
    <w:rsid w:val="00AD0D72"/>
    <w:rsid w:val="00AD190A"/>
    <w:rsid w:val="00AD209B"/>
    <w:rsid w:val="00AD21B5"/>
    <w:rsid w:val="00AD28BD"/>
    <w:rsid w:val="00AD31F0"/>
    <w:rsid w:val="00AD31F5"/>
    <w:rsid w:val="00AD345C"/>
    <w:rsid w:val="00AD3CAA"/>
    <w:rsid w:val="00AD3E31"/>
    <w:rsid w:val="00AD463F"/>
    <w:rsid w:val="00AD48DD"/>
    <w:rsid w:val="00AD4F09"/>
    <w:rsid w:val="00AD549C"/>
    <w:rsid w:val="00AD5F18"/>
    <w:rsid w:val="00AD74DF"/>
    <w:rsid w:val="00AD7C0E"/>
    <w:rsid w:val="00AD7D82"/>
    <w:rsid w:val="00AE087B"/>
    <w:rsid w:val="00AE14CF"/>
    <w:rsid w:val="00AE2E47"/>
    <w:rsid w:val="00AE328A"/>
    <w:rsid w:val="00AE4FAC"/>
    <w:rsid w:val="00AE6DD3"/>
    <w:rsid w:val="00AE7896"/>
    <w:rsid w:val="00AF04CA"/>
    <w:rsid w:val="00AF3AF2"/>
    <w:rsid w:val="00AF42DB"/>
    <w:rsid w:val="00AF4946"/>
    <w:rsid w:val="00AF5EE5"/>
    <w:rsid w:val="00AF6832"/>
    <w:rsid w:val="00AF7BBA"/>
    <w:rsid w:val="00B0062C"/>
    <w:rsid w:val="00B00937"/>
    <w:rsid w:val="00B00FAF"/>
    <w:rsid w:val="00B01110"/>
    <w:rsid w:val="00B01813"/>
    <w:rsid w:val="00B02791"/>
    <w:rsid w:val="00B0452F"/>
    <w:rsid w:val="00B04782"/>
    <w:rsid w:val="00B04C1D"/>
    <w:rsid w:val="00B05A5A"/>
    <w:rsid w:val="00B069C0"/>
    <w:rsid w:val="00B06F27"/>
    <w:rsid w:val="00B072F0"/>
    <w:rsid w:val="00B0774C"/>
    <w:rsid w:val="00B1008C"/>
    <w:rsid w:val="00B10157"/>
    <w:rsid w:val="00B11270"/>
    <w:rsid w:val="00B118F5"/>
    <w:rsid w:val="00B11A3B"/>
    <w:rsid w:val="00B16ADD"/>
    <w:rsid w:val="00B16F33"/>
    <w:rsid w:val="00B22ACC"/>
    <w:rsid w:val="00B22F03"/>
    <w:rsid w:val="00B22F96"/>
    <w:rsid w:val="00B240D8"/>
    <w:rsid w:val="00B2437C"/>
    <w:rsid w:val="00B2566F"/>
    <w:rsid w:val="00B25B81"/>
    <w:rsid w:val="00B25C89"/>
    <w:rsid w:val="00B260EF"/>
    <w:rsid w:val="00B2641B"/>
    <w:rsid w:val="00B27569"/>
    <w:rsid w:val="00B30005"/>
    <w:rsid w:val="00B302CC"/>
    <w:rsid w:val="00B3083A"/>
    <w:rsid w:val="00B30F6A"/>
    <w:rsid w:val="00B31FC4"/>
    <w:rsid w:val="00B32654"/>
    <w:rsid w:val="00B32907"/>
    <w:rsid w:val="00B341EF"/>
    <w:rsid w:val="00B3498A"/>
    <w:rsid w:val="00B3596D"/>
    <w:rsid w:val="00B3666E"/>
    <w:rsid w:val="00B409F8"/>
    <w:rsid w:val="00B41035"/>
    <w:rsid w:val="00B4303F"/>
    <w:rsid w:val="00B43A38"/>
    <w:rsid w:val="00B4449C"/>
    <w:rsid w:val="00B445E9"/>
    <w:rsid w:val="00B45009"/>
    <w:rsid w:val="00B4548B"/>
    <w:rsid w:val="00B454F4"/>
    <w:rsid w:val="00B504F8"/>
    <w:rsid w:val="00B50EF6"/>
    <w:rsid w:val="00B51276"/>
    <w:rsid w:val="00B525E6"/>
    <w:rsid w:val="00B52C8F"/>
    <w:rsid w:val="00B52DE5"/>
    <w:rsid w:val="00B53498"/>
    <w:rsid w:val="00B54148"/>
    <w:rsid w:val="00B54E5E"/>
    <w:rsid w:val="00B5595F"/>
    <w:rsid w:val="00B55D86"/>
    <w:rsid w:val="00B56871"/>
    <w:rsid w:val="00B5760C"/>
    <w:rsid w:val="00B57991"/>
    <w:rsid w:val="00B60363"/>
    <w:rsid w:val="00B608B2"/>
    <w:rsid w:val="00B613EE"/>
    <w:rsid w:val="00B62C0C"/>
    <w:rsid w:val="00B63136"/>
    <w:rsid w:val="00B64615"/>
    <w:rsid w:val="00B66EE8"/>
    <w:rsid w:val="00B6772B"/>
    <w:rsid w:val="00B67A2A"/>
    <w:rsid w:val="00B67DB8"/>
    <w:rsid w:val="00B701F9"/>
    <w:rsid w:val="00B70407"/>
    <w:rsid w:val="00B707D7"/>
    <w:rsid w:val="00B70CC8"/>
    <w:rsid w:val="00B72185"/>
    <w:rsid w:val="00B724B4"/>
    <w:rsid w:val="00B726CC"/>
    <w:rsid w:val="00B732F4"/>
    <w:rsid w:val="00B73A52"/>
    <w:rsid w:val="00B73E29"/>
    <w:rsid w:val="00B75353"/>
    <w:rsid w:val="00B75DF3"/>
    <w:rsid w:val="00B75F65"/>
    <w:rsid w:val="00B766A1"/>
    <w:rsid w:val="00B77822"/>
    <w:rsid w:val="00B77FDB"/>
    <w:rsid w:val="00B803FD"/>
    <w:rsid w:val="00B811C0"/>
    <w:rsid w:val="00B8353C"/>
    <w:rsid w:val="00B84736"/>
    <w:rsid w:val="00B85AFB"/>
    <w:rsid w:val="00B8697E"/>
    <w:rsid w:val="00B90189"/>
    <w:rsid w:val="00B902B4"/>
    <w:rsid w:val="00B90B1F"/>
    <w:rsid w:val="00B92B30"/>
    <w:rsid w:val="00B93943"/>
    <w:rsid w:val="00B948C2"/>
    <w:rsid w:val="00B94E50"/>
    <w:rsid w:val="00B95673"/>
    <w:rsid w:val="00B95C24"/>
    <w:rsid w:val="00B9699C"/>
    <w:rsid w:val="00B97F8B"/>
    <w:rsid w:val="00BA010D"/>
    <w:rsid w:val="00BA03BA"/>
    <w:rsid w:val="00BA0B16"/>
    <w:rsid w:val="00BA0BF3"/>
    <w:rsid w:val="00BA1F1F"/>
    <w:rsid w:val="00BA2950"/>
    <w:rsid w:val="00BA30EB"/>
    <w:rsid w:val="00BA4599"/>
    <w:rsid w:val="00BA48CC"/>
    <w:rsid w:val="00BA4A89"/>
    <w:rsid w:val="00BA540C"/>
    <w:rsid w:val="00BA5FB5"/>
    <w:rsid w:val="00BA70F4"/>
    <w:rsid w:val="00BA7DD3"/>
    <w:rsid w:val="00BB14AE"/>
    <w:rsid w:val="00BB19E2"/>
    <w:rsid w:val="00BB1D59"/>
    <w:rsid w:val="00BB294A"/>
    <w:rsid w:val="00BB2AE3"/>
    <w:rsid w:val="00BB3678"/>
    <w:rsid w:val="00BB441A"/>
    <w:rsid w:val="00BB4B3C"/>
    <w:rsid w:val="00BB67C3"/>
    <w:rsid w:val="00BB6F41"/>
    <w:rsid w:val="00BB704A"/>
    <w:rsid w:val="00BB71CB"/>
    <w:rsid w:val="00BB76C7"/>
    <w:rsid w:val="00BC1A4C"/>
    <w:rsid w:val="00BC1D2C"/>
    <w:rsid w:val="00BC2730"/>
    <w:rsid w:val="00BC2870"/>
    <w:rsid w:val="00BC2D99"/>
    <w:rsid w:val="00BC364C"/>
    <w:rsid w:val="00BC521A"/>
    <w:rsid w:val="00BC553E"/>
    <w:rsid w:val="00BC5CFD"/>
    <w:rsid w:val="00BC5FF5"/>
    <w:rsid w:val="00BC610C"/>
    <w:rsid w:val="00BC6137"/>
    <w:rsid w:val="00BC6A21"/>
    <w:rsid w:val="00BD0655"/>
    <w:rsid w:val="00BD0BE1"/>
    <w:rsid w:val="00BD1AC3"/>
    <w:rsid w:val="00BD261E"/>
    <w:rsid w:val="00BD32A2"/>
    <w:rsid w:val="00BD35BB"/>
    <w:rsid w:val="00BD45E4"/>
    <w:rsid w:val="00BD4E06"/>
    <w:rsid w:val="00BD5274"/>
    <w:rsid w:val="00BD5D50"/>
    <w:rsid w:val="00BD679F"/>
    <w:rsid w:val="00BD749C"/>
    <w:rsid w:val="00BE04A0"/>
    <w:rsid w:val="00BE0718"/>
    <w:rsid w:val="00BE0B1C"/>
    <w:rsid w:val="00BE1277"/>
    <w:rsid w:val="00BE139B"/>
    <w:rsid w:val="00BE3681"/>
    <w:rsid w:val="00BE3DD5"/>
    <w:rsid w:val="00BE4C53"/>
    <w:rsid w:val="00BE6273"/>
    <w:rsid w:val="00BF1006"/>
    <w:rsid w:val="00BF10CA"/>
    <w:rsid w:val="00BF119D"/>
    <w:rsid w:val="00BF12D4"/>
    <w:rsid w:val="00BF1E6B"/>
    <w:rsid w:val="00BF20DF"/>
    <w:rsid w:val="00BF2250"/>
    <w:rsid w:val="00BF2B41"/>
    <w:rsid w:val="00BF4804"/>
    <w:rsid w:val="00BF52D0"/>
    <w:rsid w:val="00BF5982"/>
    <w:rsid w:val="00C01389"/>
    <w:rsid w:val="00C0258E"/>
    <w:rsid w:val="00C060EA"/>
    <w:rsid w:val="00C062FE"/>
    <w:rsid w:val="00C0708C"/>
    <w:rsid w:val="00C0792F"/>
    <w:rsid w:val="00C100AA"/>
    <w:rsid w:val="00C10A35"/>
    <w:rsid w:val="00C10B12"/>
    <w:rsid w:val="00C11872"/>
    <w:rsid w:val="00C12AF8"/>
    <w:rsid w:val="00C13070"/>
    <w:rsid w:val="00C143E8"/>
    <w:rsid w:val="00C147A5"/>
    <w:rsid w:val="00C15482"/>
    <w:rsid w:val="00C15566"/>
    <w:rsid w:val="00C16FD5"/>
    <w:rsid w:val="00C172AA"/>
    <w:rsid w:val="00C209BA"/>
    <w:rsid w:val="00C21703"/>
    <w:rsid w:val="00C23490"/>
    <w:rsid w:val="00C23661"/>
    <w:rsid w:val="00C23952"/>
    <w:rsid w:val="00C23D82"/>
    <w:rsid w:val="00C248D2"/>
    <w:rsid w:val="00C25406"/>
    <w:rsid w:val="00C25CFD"/>
    <w:rsid w:val="00C27839"/>
    <w:rsid w:val="00C27F7F"/>
    <w:rsid w:val="00C31B7A"/>
    <w:rsid w:val="00C32379"/>
    <w:rsid w:val="00C324BF"/>
    <w:rsid w:val="00C327D6"/>
    <w:rsid w:val="00C32D8C"/>
    <w:rsid w:val="00C33121"/>
    <w:rsid w:val="00C334AF"/>
    <w:rsid w:val="00C339AE"/>
    <w:rsid w:val="00C33B1A"/>
    <w:rsid w:val="00C33E70"/>
    <w:rsid w:val="00C34164"/>
    <w:rsid w:val="00C34442"/>
    <w:rsid w:val="00C34F76"/>
    <w:rsid w:val="00C3582E"/>
    <w:rsid w:val="00C36103"/>
    <w:rsid w:val="00C36742"/>
    <w:rsid w:val="00C36857"/>
    <w:rsid w:val="00C36EF4"/>
    <w:rsid w:val="00C36F4B"/>
    <w:rsid w:val="00C37EDA"/>
    <w:rsid w:val="00C40080"/>
    <w:rsid w:val="00C40CEF"/>
    <w:rsid w:val="00C41313"/>
    <w:rsid w:val="00C433BE"/>
    <w:rsid w:val="00C441AE"/>
    <w:rsid w:val="00C44ADE"/>
    <w:rsid w:val="00C455D1"/>
    <w:rsid w:val="00C46DF8"/>
    <w:rsid w:val="00C50008"/>
    <w:rsid w:val="00C501FD"/>
    <w:rsid w:val="00C51ECF"/>
    <w:rsid w:val="00C535AF"/>
    <w:rsid w:val="00C538AD"/>
    <w:rsid w:val="00C53A22"/>
    <w:rsid w:val="00C53C58"/>
    <w:rsid w:val="00C53F16"/>
    <w:rsid w:val="00C54385"/>
    <w:rsid w:val="00C548B3"/>
    <w:rsid w:val="00C555B6"/>
    <w:rsid w:val="00C55609"/>
    <w:rsid w:val="00C55D37"/>
    <w:rsid w:val="00C56D5B"/>
    <w:rsid w:val="00C56E33"/>
    <w:rsid w:val="00C57F06"/>
    <w:rsid w:val="00C60230"/>
    <w:rsid w:val="00C604D6"/>
    <w:rsid w:val="00C60F76"/>
    <w:rsid w:val="00C6105E"/>
    <w:rsid w:val="00C61863"/>
    <w:rsid w:val="00C61D59"/>
    <w:rsid w:val="00C625B8"/>
    <w:rsid w:val="00C625DA"/>
    <w:rsid w:val="00C6270E"/>
    <w:rsid w:val="00C63601"/>
    <w:rsid w:val="00C63B79"/>
    <w:rsid w:val="00C6440D"/>
    <w:rsid w:val="00C65383"/>
    <w:rsid w:val="00C6547F"/>
    <w:rsid w:val="00C65A6F"/>
    <w:rsid w:val="00C67C98"/>
    <w:rsid w:val="00C72FD2"/>
    <w:rsid w:val="00C73013"/>
    <w:rsid w:val="00C730F3"/>
    <w:rsid w:val="00C7312D"/>
    <w:rsid w:val="00C7314D"/>
    <w:rsid w:val="00C7476A"/>
    <w:rsid w:val="00C753B8"/>
    <w:rsid w:val="00C75B20"/>
    <w:rsid w:val="00C75F2B"/>
    <w:rsid w:val="00C76E00"/>
    <w:rsid w:val="00C778B2"/>
    <w:rsid w:val="00C80230"/>
    <w:rsid w:val="00C80BD1"/>
    <w:rsid w:val="00C80D81"/>
    <w:rsid w:val="00C814C9"/>
    <w:rsid w:val="00C829A3"/>
    <w:rsid w:val="00C83246"/>
    <w:rsid w:val="00C850D6"/>
    <w:rsid w:val="00C852CB"/>
    <w:rsid w:val="00C860E0"/>
    <w:rsid w:val="00C86603"/>
    <w:rsid w:val="00C87F3D"/>
    <w:rsid w:val="00C91A8D"/>
    <w:rsid w:val="00C93608"/>
    <w:rsid w:val="00C93B55"/>
    <w:rsid w:val="00C944CB"/>
    <w:rsid w:val="00C95254"/>
    <w:rsid w:val="00C954C3"/>
    <w:rsid w:val="00C95DEF"/>
    <w:rsid w:val="00C9744A"/>
    <w:rsid w:val="00C97EA6"/>
    <w:rsid w:val="00CA021F"/>
    <w:rsid w:val="00CA0436"/>
    <w:rsid w:val="00CA0B94"/>
    <w:rsid w:val="00CA1859"/>
    <w:rsid w:val="00CA3BAE"/>
    <w:rsid w:val="00CA3E31"/>
    <w:rsid w:val="00CA577F"/>
    <w:rsid w:val="00CA5D8E"/>
    <w:rsid w:val="00CA603A"/>
    <w:rsid w:val="00CA62C6"/>
    <w:rsid w:val="00CA6808"/>
    <w:rsid w:val="00CB068B"/>
    <w:rsid w:val="00CB08C2"/>
    <w:rsid w:val="00CB1499"/>
    <w:rsid w:val="00CB3A24"/>
    <w:rsid w:val="00CB49DE"/>
    <w:rsid w:val="00CB5E81"/>
    <w:rsid w:val="00CB5F0B"/>
    <w:rsid w:val="00CB64C2"/>
    <w:rsid w:val="00CB7E75"/>
    <w:rsid w:val="00CC0050"/>
    <w:rsid w:val="00CC1C8C"/>
    <w:rsid w:val="00CC1D65"/>
    <w:rsid w:val="00CC2C7E"/>
    <w:rsid w:val="00CC3610"/>
    <w:rsid w:val="00CC362D"/>
    <w:rsid w:val="00CC4574"/>
    <w:rsid w:val="00CC4EFF"/>
    <w:rsid w:val="00CC50CF"/>
    <w:rsid w:val="00CC5321"/>
    <w:rsid w:val="00CC6BDA"/>
    <w:rsid w:val="00CC6CCF"/>
    <w:rsid w:val="00CD0A06"/>
    <w:rsid w:val="00CD1603"/>
    <w:rsid w:val="00CD1AFF"/>
    <w:rsid w:val="00CD2A2F"/>
    <w:rsid w:val="00CD3B5E"/>
    <w:rsid w:val="00CD4BAE"/>
    <w:rsid w:val="00CD52A8"/>
    <w:rsid w:val="00CD7035"/>
    <w:rsid w:val="00CD742E"/>
    <w:rsid w:val="00CE0694"/>
    <w:rsid w:val="00CE0EF1"/>
    <w:rsid w:val="00CE11CB"/>
    <w:rsid w:val="00CE1920"/>
    <w:rsid w:val="00CE2B89"/>
    <w:rsid w:val="00CE3458"/>
    <w:rsid w:val="00CE3906"/>
    <w:rsid w:val="00CE51D3"/>
    <w:rsid w:val="00CE5E0D"/>
    <w:rsid w:val="00CE6091"/>
    <w:rsid w:val="00CE70AB"/>
    <w:rsid w:val="00CE7EBC"/>
    <w:rsid w:val="00CF0018"/>
    <w:rsid w:val="00CF04C1"/>
    <w:rsid w:val="00CF0BA6"/>
    <w:rsid w:val="00CF17B5"/>
    <w:rsid w:val="00CF1CEC"/>
    <w:rsid w:val="00CF22C2"/>
    <w:rsid w:val="00CF2980"/>
    <w:rsid w:val="00CF2FE7"/>
    <w:rsid w:val="00CF4255"/>
    <w:rsid w:val="00CF4CF9"/>
    <w:rsid w:val="00CF5886"/>
    <w:rsid w:val="00CF6926"/>
    <w:rsid w:val="00CF6F84"/>
    <w:rsid w:val="00CF7A56"/>
    <w:rsid w:val="00D0052F"/>
    <w:rsid w:val="00D02AAC"/>
    <w:rsid w:val="00D04AD6"/>
    <w:rsid w:val="00D05B3B"/>
    <w:rsid w:val="00D0619E"/>
    <w:rsid w:val="00D0725E"/>
    <w:rsid w:val="00D0735D"/>
    <w:rsid w:val="00D077AA"/>
    <w:rsid w:val="00D10BF0"/>
    <w:rsid w:val="00D1165B"/>
    <w:rsid w:val="00D1167C"/>
    <w:rsid w:val="00D124DB"/>
    <w:rsid w:val="00D1261B"/>
    <w:rsid w:val="00D12855"/>
    <w:rsid w:val="00D128DC"/>
    <w:rsid w:val="00D13253"/>
    <w:rsid w:val="00D13A21"/>
    <w:rsid w:val="00D13E8A"/>
    <w:rsid w:val="00D14484"/>
    <w:rsid w:val="00D14F77"/>
    <w:rsid w:val="00D151BC"/>
    <w:rsid w:val="00D15916"/>
    <w:rsid w:val="00D16843"/>
    <w:rsid w:val="00D16B4E"/>
    <w:rsid w:val="00D175E2"/>
    <w:rsid w:val="00D20188"/>
    <w:rsid w:val="00D21ABD"/>
    <w:rsid w:val="00D2228E"/>
    <w:rsid w:val="00D231DE"/>
    <w:rsid w:val="00D2392B"/>
    <w:rsid w:val="00D23E1D"/>
    <w:rsid w:val="00D24370"/>
    <w:rsid w:val="00D246B7"/>
    <w:rsid w:val="00D258F2"/>
    <w:rsid w:val="00D25A42"/>
    <w:rsid w:val="00D25A5A"/>
    <w:rsid w:val="00D26B43"/>
    <w:rsid w:val="00D2780A"/>
    <w:rsid w:val="00D27C5A"/>
    <w:rsid w:val="00D32543"/>
    <w:rsid w:val="00D3271A"/>
    <w:rsid w:val="00D32AB1"/>
    <w:rsid w:val="00D331C0"/>
    <w:rsid w:val="00D33793"/>
    <w:rsid w:val="00D33F31"/>
    <w:rsid w:val="00D34370"/>
    <w:rsid w:val="00D34E5F"/>
    <w:rsid w:val="00D35124"/>
    <w:rsid w:val="00D35604"/>
    <w:rsid w:val="00D36547"/>
    <w:rsid w:val="00D37576"/>
    <w:rsid w:val="00D37C1A"/>
    <w:rsid w:val="00D41850"/>
    <w:rsid w:val="00D41CE7"/>
    <w:rsid w:val="00D41E1B"/>
    <w:rsid w:val="00D42AFD"/>
    <w:rsid w:val="00D42C22"/>
    <w:rsid w:val="00D43B00"/>
    <w:rsid w:val="00D43F6F"/>
    <w:rsid w:val="00D46064"/>
    <w:rsid w:val="00D46315"/>
    <w:rsid w:val="00D46E31"/>
    <w:rsid w:val="00D47FCD"/>
    <w:rsid w:val="00D51861"/>
    <w:rsid w:val="00D51AA8"/>
    <w:rsid w:val="00D51C1D"/>
    <w:rsid w:val="00D51D84"/>
    <w:rsid w:val="00D52168"/>
    <w:rsid w:val="00D521F9"/>
    <w:rsid w:val="00D52AE8"/>
    <w:rsid w:val="00D534A1"/>
    <w:rsid w:val="00D53E09"/>
    <w:rsid w:val="00D553D5"/>
    <w:rsid w:val="00D55D35"/>
    <w:rsid w:val="00D56512"/>
    <w:rsid w:val="00D610AC"/>
    <w:rsid w:val="00D611D9"/>
    <w:rsid w:val="00D6129C"/>
    <w:rsid w:val="00D64009"/>
    <w:rsid w:val="00D65BE7"/>
    <w:rsid w:val="00D66BEC"/>
    <w:rsid w:val="00D71B4F"/>
    <w:rsid w:val="00D72F6F"/>
    <w:rsid w:val="00D732AB"/>
    <w:rsid w:val="00D7375C"/>
    <w:rsid w:val="00D7381C"/>
    <w:rsid w:val="00D738EF"/>
    <w:rsid w:val="00D73D88"/>
    <w:rsid w:val="00D73E3A"/>
    <w:rsid w:val="00D7425E"/>
    <w:rsid w:val="00D74354"/>
    <w:rsid w:val="00D746DA"/>
    <w:rsid w:val="00D74821"/>
    <w:rsid w:val="00D749ED"/>
    <w:rsid w:val="00D74ED0"/>
    <w:rsid w:val="00D76359"/>
    <w:rsid w:val="00D7675A"/>
    <w:rsid w:val="00D76AB2"/>
    <w:rsid w:val="00D7709C"/>
    <w:rsid w:val="00D774C2"/>
    <w:rsid w:val="00D8072C"/>
    <w:rsid w:val="00D808C9"/>
    <w:rsid w:val="00D80BC0"/>
    <w:rsid w:val="00D81013"/>
    <w:rsid w:val="00D840A2"/>
    <w:rsid w:val="00D848D9"/>
    <w:rsid w:val="00D855E3"/>
    <w:rsid w:val="00D87024"/>
    <w:rsid w:val="00D87486"/>
    <w:rsid w:val="00D876CD"/>
    <w:rsid w:val="00D900E2"/>
    <w:rsid w:val="00D90F51"/>
    <w:rsid w:val="00D91A2E"/>
    <w:rsid w:val="00D92318"/>
    <w:rsid w:val="00D925FA"/>
    <w:rsid w:val="00D92C5B"/>
    <w:rsid w:val="00D92F21"/>
    <w:rsid w:val="00D934D8"/>
    <w:rsid w:val="00D94DD0"/>
    <w:rsid w:val="00D9538C"/>
    <w:rsid w:val="00D956CC"/>
    <w:rsid w:val="00D96608"/>
    <w:rsid w:val="00D973DD"/>
    <w:rsid w:val="00DA12E8"/>
    <w:rsid w:val="00DA1A65"/>
    <w:rsid w:val="00DA1B30"/>
    <w:rsid w:val="00DA2863"/>
    <w:rsid w:val="00DA29F9"/>
    <w:rsid w:val="00DA30BA"/>
    <w:rsid w:val="00DA3A69"/>
    <w:rsid w:val="00DA4634"/>
    <w:rsid w:val="00DA49D1"/>
    <w:rsid w:val="00DA6C6B"/>
    <w:rsid w:val="00DB0B67"/>
    <w:rsid w:val="00DB0E7F"/>
    <w:rsid w:val="00DB233B"/>
    <w:rsid w:val="00DB2F8A"/>
    <w:rsid w:val="00DB400D"/>
    <w:rsid w:val="00DB464D"/>
    <w:rsid w:val="00DB6377"/>
    <w:rsid w:val="00DB7377"/>
    <w:rsid w:val="00DB7853"/>
    <w:rsid w:val="00DB78CE"/>
    <w:rsid w:val="00DC16CF"/>
    <w:rsid w:val="00DC1AAE"/>
    <w:rsid w:val="00DC1B6A"/>
    <w:rsid w:val="00DC2C46"/>
    <w:rsid w:val="00DC35ED"/>
    <w:rsid w:val="00DC4D06"/>
    <w:rsid w:val="00DC511C"/>
    <w:rsid w:val="00DC5EB1"/>
    <w:rsid w:val="00DC6D6C"/>
    <w:rsid w:val="00DC74D4"/>
    <w:rsid w:val="00DC74D7"/>
    <w:rsid w:val="00DD2F32"/>
    <w:rsid w:val="00DD34BE"/>
    <w:rsid w:val="00DD3687"/>
    <w:rsid w:val="00DD45E6"/>
    <w:rsid w:val="00DD49ED"/>
    <w:rsid w:val="00DD4C39"/>
    <w:rsid w:val="00DD523F"/>
    <w:rsid w:val="00DD699D"/>
    <w:rsid w:val="00DD6B76"/>
    <w:rsid w:val="00DD6C9A"/>
    <w:rsid w:val="00DE0436"/>
    <w:rsid w:val="00DE0848"/>
    <w:rsid w:val="00DE0D02"/>
    <w:rsid w:val="00DE1626"/>
    <w:rsid w:val="00DE1E2C"/>
    <w:rsid w:val="00DE2190"/>
    <w:rsid w:val="00DE31BA"/>
    <w:rsid w:val="00DE37AB"/>
    <w:rsid w:val="00DE4488"/>
    <w:rsid w:val="00DE497D"/>
    <w:rsid w:val="00DE62C2"/>
    <w:rsid w:val="00DE6F68"/>
    <w:rsid w:val="00DE7101"/>
    <w:rsid w:val="00DE7452"/>
    <w:rsid w:val="00DF1149"/>
    <w:rsid w:val="00DF2335"/>
    <w:rsid w:val="00DF285C"/>
    <w:rsid w:val="00DF382A"/>
    <w:rsid w:val="00DF3C2B"/>
    <w:rsid w:val="00DF3D4F"/>
    <w:rsid w:val="00DF3F8A"/>
    <w:rsid w:val="00DF43C3"/>
    <w:rsid w:val="00DF6D51"/>
    <w:rsid w:val="00DF6FB7"/>
    <w:rsid w:val="00E00DC8"/>
    <w:rsid w:val="00E00F4A"/>
    <w:rsid w:val="00E0108F"/>
    <w:rsid w:val="00E02A80"/>
    <w:rsid w:val="00E02E99"/>
    <w:rsid w:val="00E02F01"/>
    <w:rsid w:val="00E03E0D"/>
    <w:rsid w:val="00E055C8"/>
    <w:rsid w:val="00E072A0"/>
    <w:rsid w:val="00E07343"/>
    <w:rsid w:val="00E07D9F"/>
    <w:rsid w:val="00E10E50"/>
    <w:rsid w:val="00E10F37"/>
    <w:rsid w:val="00E119A5"/>
    <w:rsid w:val="00E11FAB"/>
    <w:rsid w:val="00E11FE1"/>
    <w:rsid w:val="00E137D4"/>
    <w:rsid w:val="00E155E7"/>
    <w:rsid w:val="00E1764F"/>
    <w:rsid w:val="00E2044A"/>
    <w:rsid w:val="00E207CB"/>
    <w:rsid w:val="00E214E8"/>
    <w:rsid w:val="00E21C51"/>
    <w:rsid w:val="00E22291"/>
    <w:rsid w:val="00E227E1"/>
    <w:rsid w:val="00E22AF2"/>
    <w:rsid w:val="00E232AB"/>
    <w:rsid w:val="00E2389B"/>
    <w:rsid w:val="00E24120"/>
    <w:rsid w:val="00E24AC4"/>
    <w:rsid w:val="00E24D2F"/>
    <w:rsid w:val="00E260F3"/>
    <w:rsid w:val="00E2628A"/>
    <w:rsid w:val="00E26D0E"/>
    <w:rsid w:val="00E26FEA"/>
    <w:rsid w:val="00E273B2"/>
    <w:rsid w:val="00E2793E"/>
    <w:rsid w:val="00E27989"/>
    <w:rsid w:val="00E31194"/>
    <w:rsid w:val="00E31D7D"/>
    <w:rsid w:val="00E32095"/>
    <w:rsid w:val="00E3235E"/>
    <w:rsid w:val="00E342A7"/>
    <w:rsid w:val="00E3445E"/>
    <w:rsid w:val="00E36652"/>
    <w:rsid w:val="00E369B5"/>
    <w:rsid w:val="00E37727"/>
    <w:rsid w:val="00E408B9"/>
    <w:rsid w:val="00E40C10"/>
    <w:rsid w:val="00E41168"/>
    <w:rsid w:val="00E44630"/>
    <w:rsid w:val="00E4511C"/>
    <w:rsid w:val="00E452CD"/>
    <w:rsid w:val="00E45E8C"/>
    <w:rsid w:val="00E46773"/>
    <w:rsid w:val="00E46EF5"/>
    <w:rsid w:val="00E47D4F"/>
    <w:rsid w:val="00E514A7"/>
    <w:rsid w:val="00E51E45"/>
    <w:rsid w:val="00E52145"/>
    <w:rsid w:val="00E52382"/>
    <w:rsid w:val="00E5439B"/>
    <w:rsid w:val="00E55371"/>
    <w:rsid w:val="00E55B23"/>
    <w:rsid w:val="00E55D50"/>
    <w:rsid w:val="00E57126"/>
    <w:rsid w:val="00E57524"/>
    <w:rsid w:val="00E60F36"/>
    <w:rsid w:val="00E61C0A"/>
    <w:rsid w:val="00E62C08"/>
    <w:rsid w:val="00E636F8"/>
    <w:rsid w:val="00E64245"/>
    <w:rsid w:val="00E64629"/>
    <w:rsid w:val="00E6758C"/>
    <w:rsid w:val="00E67DBE"/>
    <w:rsid w:val="00E70212"/>
    <w:rsid w:val="00E7060C"/>
    <w:rsid w:val="00E70A1F"/>
    <w:rsid w:val="00E71C6D"/>
    <w:rsid w:val="00E72B16"/>
    <w:rsid w:val="00E72E54"/>
    <w:rsid w:val="00E74095"/>
    <w:rsid w:val="00E743C9"/>
    <w:rsid w:val="00E74CB3"/>
    <w:rsid w:val="00E755BD"/>
    <w:rsid w:val="00E75676"/>
    <w:rsid w:val="00E75768"/>
    <w:rsid w:val="00E75AA9"/>
    <w:rsid w:val="00E77DD7"/>
    <w:rsid w:val="00E80012"/>
    <w:rsid w:val="00E8328B"/>
    <w:rsid w:val="00E84640"/>
    <w:rsid w:val="00E857A5"/>
    <w:rsid w:val="00E870E2"/>
    <w:rsid w:val="00E90160"/>
    <w:rsid w:val="00E91ED4"/>
    <w:rsid w:val="00E92805"/>
    <w:rsid w:val="00E92D81"/>
    <w:rsid w:val="00E942BD"/>
    <w:rsid w:val="00E95994"/>
    <w:rsid w:val="00E95A14"/>
    <w:rsid w:val="00E96EB5"/>
    <w:rsid w:val="00EA03F4"/>
    <w:rsid w:val="00EA2006"/>
    <w:rsid w:val="00EA2413"/>
    <w:rsid w:val="00EA29BE"/>
    <w:rsid w:val="00EA4C29"/>
    <w:rsid w:val="00EA5ADE"/>
    <w:rsid w:val="00EA66B2"/>
    <w:rsid w:val="00EA6FA2"/>
    <w:rsid w:val="00EA7649"/>
    <w:rsid w:val="00EB096E"/>
    <w:rsid w:val="00EB19F9"/>
    <w:rsid w:val="00EB1DE6"/>
    <w:rsid w:val="00EB2076"/>
    <w:rsid w:val="00EB29D5"/>
    <w:rsid w:val="00EB4907"/>
    <w:rsid w:val="00EB5852"/>
    <w:rsid w:val="00EB5DEF"/>
    <w:rsid w:val="00EB61BF"/>
    <w:rsid w:val="00EB763A"/>
    <w:rsid w:val="00EC0038"/>
    <w:rsid w:val="00EC0BD5"/>
    <w:rsid w:val="00EC129F"/>
    <w:rsid w:val="00EC1371"/>
    <w:rsid w:val="00EC191B"/>
    <w:rsid w:val="00EC1ACA"/>
    <w:rsid w:val="00EC2097"/>
    <w:rsid w:val="00EC2592"/>
    <w:rsid w:val="00EC2987"/>
    <w:rsid w:val="00EC4340"/>
    <w:rsid w:val="00EC4378"/>
    <w:rsid w:val="00EC5315"/>
    <w:rsid w:val="00EC5691"/>
    <w:rsid w:val="00EC5CB2"/>
    <w:rsid w:val="00EC5E06"/>
    <w:rsid w:val="00EC623B"/>
    <w:rsid w:val="00EC6573"/>
    <w:rsid w:val="00EC70FA"/>
    <w:rsid w:val="00EC7CBF"/>
    <w:rsid w:val="00EC7E7E"/>
    <w:rsid w:val="00ED005F"/>
    <w:rsid w:val="00ED007A"/>
    <w:rsid w:val="00ED111D"/>
    <w:rsid w:val="00ED2517"/>
    <w:rsid w:val="00ED33AF"/>
    <w:rsid w:val="00ED4FCB"/>
    <w:rsid w:val="00ED52BB"/>
    <w:rsid w:val="00ED65A9"/>
    <w:rsid w:val="00ED721B"/>
    <w:rsid w:val="00ED7ECA"/>
    <w:rsid w:val="00EE00D5"/>
    <w:rsid w:val="00EE0382"/>
    <w:rsid w:val="00EE055E"/>
    <w:rsid w:val="00EE2562"/>
    <w:rsid w:val="00EE2804"/>
    <w:rsid w:val="00EE4F7C"/>
    <w:rsid w:val="00EE5147"/>
    <w:rsid w:val="00EE57C3"/>
    <w:rsid w:val="00EE5B8C"/>
    <w:rsid w:val="00EE6414"/>
    <w:rsid w:val="00EE695A"/>
    <w:rsid w:val="00EE6DC2"/>
    <w:rsid w:val="00EE730B"/>
    <w:rsid w:val="00EF1A99"/>
    <w:rsid w:val="00EF2231"/>
    <w:rsid w:val="00EF2989"/>
    <w:rsid w:val="00EF3254"/>
    <w:rsid w:val="00EF36AF"/>
    <w:rsid w:val="00EF3C87"/>
    <w:rsid w:val="00EF5003"/>
    <w:rsid w:val="00EF5093"/>
    <w:rsid w:val="00EF5FF0"/>
    <w:rsid w:val="00EF76F3"/>
    <w:rsid w:val="00F00D8C"/>
    <w:rsid w:val="00F0140B"/>
    <w:rsid w:val="00F033A8"/>
    <w:rsid w:val="00F03FBC"/>
    <w:rsid w:val="00F04B13"/>
    <w:rsid w:val="00F05175"/>
    <w:rsid w:val="00F0591C"/>
    <w:rsid w:val="00F05CF2"/>
    <w:rsid w:val="00F06256"/>
    <w:rsid w:val="00F06B03"/>
    <w:rsid w:val="00F079FD"/>
    <w:rsid w:val="00F106BA"/>
    <w:rsid w:val="00F11A2E"/>
    <w:rsid w:val="00F12596"/>
    <w:rsid w:val="00F13233"/>
    <w:rsid w:val="00F144B0"/>
    <w:rsid w:val="00F1465B"/>
    <w:rsid w:val="00F14A05"/>
    <w:rsid w:val="00F14AFC"/>
    <w:rsid w:val="00F16CED"/>
    <w:rsid w:val="00F21964"/>
    <w:rsid w:val="00F22CF5"/>
    <w:rsid w:val="00F22D83"/>
    <w:rsid w:val="00F2375E"/>
    <w:rsid w:val="00F2388B"/>
    <w:rsid w:val="00F23D59"/>
    <w:rsid w:val="00F24614"/>
    <w:rsid w:val="00F25128"/>
    <w:rsid w:val="00F2777A"/>
    <w:rsid w:val="00F30186"/>
    <w:rsid w:val="00F30EB8"/>
    <w:rsid w:val="00F31CD0"/>
    <w:rsid w:val="00F31FD8"/>
    <w:rsid w:val="00F32107"/>
    <w:rsid w:val="00F321A4"/>
    <w:rsid w:val="00F32E5F"/>
    <w:rsid w:val="00F32E9A"/>
    <w:rsid w:val="00F333F4"/>
    <w:rsid w:val="00F337BA"/>
    <w:rsid w:val="00F34885"/>
    <w:rsid w:val="00F34897"/>
    <w:rsid w:val="00F350DB"/>
    <w:rsid w:val="00F35A57"/>
    <w:rsid w:val="00F36194"/>
    <w:rsid w:val="00F36BB8"/>
    <w:rsid w:val="00F36F82"/>
    <w:rsid w:val="00F37E6C"/>
    <w:rsid w:val="00F406F8"/>
    <w:rsid w:val="00F40A52"/>
    <w:rsid w:val="00F4147C"/>
    <w:rsid w:val="00F416F1"/>
    <w:rsid w:val="00F417B2"/>
    <w:rsid w:val="00F419DD"/>
    <w:rsid w:val="00F43B1F"/>
    <w:rsid w:val="00F43CD9"/>
    <w:rsid w:val="00F44822"/>
    <w:rsid w:val="00F4572C"/>
    <w:rsid w:val="00F4607A"/>
    <w:rsid w:val="00F46C77"/>
    <w:rsid w:val="00F47E8D"/>
    <w:rsid w:val="00F51573"/>
    <w:rsid w:val="00F51C91"/>
    <w:rsid w:val="00F52687"/>
    <w:rsid w:val="00F528B6"/>
    <w:rsid w:val="00F52DC9"/>
    <w:rsid w:val="00F53B3A"/>
    <w:rsid w:val="00F55FE6"/>
    <w:rsid w:val="00F563B5"/>
    <w:rsid w:val="00F56C87"/>
    <w:rsid w:val="00F56FCA"/>
    <w:rsid w:val="00F572B9"/>
    <w:rsid w:val="00F60B08"/>
    <w:rsid w:val="00F61F96"/>
    <w:rsid w:val="00F63ECF"/>
    <w:rsid w:val="00F63FB3"/>
    <w:rsid w:val="00F64722"/>
    <w:rsid w:val="00F6655C"/>
    <w:rsid w:val="00F666C8"/>
    <w:rsid w:val="00F66D87"/>
    <w:rsid w:val="00F66DC1"/>
    <w:rsid w:val="00F702EE"/>
    <w:rsid w:val="00F70322"/>
    <w:rsid w:val="00F7200D"/>
    <w:rsid w:val="00F72511"/>
    <w:rsid w:val="00F72674"/>
    <w:rsid w:val="00F72DD2"/>
    <w:rsid w:val="00F731F2"/>
    <w:rsid w:val="00F733D9"/>
    <w:rsid w:val="00F7393C"/>
    <w:rsid w:val="00F73C30"/>
    <w:rsid w:val="00F74207"/>
    <w:rsid w:val="00F7462F"/>
    <w:rsid w:val="00F7500F"/>
    <w:rsid w:val="00F75E81"/>
    <w:rsid w:val="00F77364"/>
    <w:rsid w:val="00F80CFB"/>
    <w:rsid w:val="00F8104E"/>
    <w:rsid w:val="00F815AC"/>
    <w:rsid w:val="00F820DE"/>
    <w:rsid w:val="00F82488"/>
    <w:rsid w:val="00F83271"/>
    <w:rsid w:val="00F8409C"/>
    <w:rsid w:val="00F84857"/>
    <w:rsid w:val="00F8659D"/>
    <w:rsid w:val="00F86DFD"/>
    <w:rsid w:val="00F87A08"/>
    <w:rsid w:val="00F90B20"/>
    <w:rsid w:val="00F90C92"/>
    <w:rsid w:val="00F9224B"/>
    <w:rsid w:val="00F93172"/>
    <w:rsid w:val="00F931C3"/>
    <w:rsid w:val="00F9383A"/>
    <w:rsid w:val="00F93F66"/>
    <w:rsid w:val="00F9408B"/>
    <w:rsid w:val="00F94263"/>
    <w:rsid w:val="00F94AA1"/>
    <w:rsid w:val="00F94B92"/>
    <w:rsid w:val="00F94BB4"/>
    <w:rsid w:val="00F95184"/>
    <w:rsid w:val="00F97716"/>
    <w:rsid w:val="00FA0451"/>
    <w:rsid w:val="00FA0552"/>
    <w:rsid w:val="00FA0850"/>
    <w:rsid w:val="00FA09AF"/>
    <w:rsid w:val="00FA0AA7"/>
    <w:rsid w:val="00FA0CFD"/>
    <w:rsid w:val="00FA1139"/>
    <w:rsid w:val="00FA2648"/>
    <w:rsid w:val="00FA2807"/>
    <w:rsid w:val="00FA2CDF"/>
    <w:rsid w:val="00FA366D"/>
    <w:rsid w:val="00FA5A3C"/>
    <w:rsid w:val="00FA6252"/>
    <w:rsid w:val="00FA6D68"/>
    <w:rsid w:val="00FA7BAE"/>
    <w:rsid w:val="00FA7FB2"/>
    <w:rsid w:val="00FB0397"/>
    <w:rsid w:val="00FB08E5"/>
    <w:rsid w:val="00FB40E9"/>
    <w:rsid w:val="00FB49FD"/>
    <w:rsid w:val="00FB4B87"/>
    <w:rsid w:val="00FB5092"/>
    <w:rsid w:val="00FB556B"/>
    <w:rsid w:val="00FB5DF1"/>
    <w:rsid w:val="00FB69FC"/>
    <w:rsid w:val="00FB6B89"/>
    <w:rsid w:val="00FC0265"/>
    <w:rsid w:val="00FC02BF"/>
    <w:rsid w:val="00FC03CD"/>
    <w:rsid w:val="00FC332B"/>
    <w:rsid w:val="00FC37CD"/>
    <w:rsid w:val="00FC3DE5"/>
    <w:rsid w:val="00FC5A74"/>
    <w:rsid w:val="00FC5F73"/>
    <w:rsid w:val="00FC63A7"/>
    <w:rsid w:val="00FC649E"/>
    <w:rsid w:val="00FC6A46"/>
    <w:rsid w:val="00FC7822"/>
    <w:rsid w:val="00FC7B0D"/>
    <w:rsid w:val="00FD05F7"/>
    <w:rsid w:val="00FD10A5"/>
    <w:rsid w:val="00FD1341"/>
    <w:rsid w:val="00FD1AB6"/>
    <w:rsid w:val="00FD1E36"/>
    <w:rsid w:val="00FD20B7"/>
    <w:rsid w:val="00FD288D"/>
    <w:rsid w:val="00FD3328"/>
    <w:rsid w:val="00FD3A44"/>
    <w:rsid w:val="00FD414A"/>
    <w:rsid w:val="00FD5626"/>
    <w:rsid w:val="00FD671C"/>
    <w:rsid w:val="00FD6E0B"/>
    <w:rsid w:val="00FD7EA0"/>
    <w:rsid w:val="00FE0C64"/>
    <w:rsid w:val="00FE0FED"/>
    <w:rsid w:val="00FE178C"/>
    <w:rsid w:val="00FE4418"/>
    <w:rsid w:val="00FE668B"/>
    <w:rsid w:val="00FE6878"/>
    <w:rsid w:val="00FF025B"/>
    <w:rsid w:val="00FF24AA"/>
    <w:rsid w:val="00FF2E3A"/>
    <w:rsid w:val="00FF4B21"/>
    <w:rsid w:val="00FF62FB"/>
    <w:rsid w:val="00FF7B94"/>
    <w:rsid w:val="010307F3"/>
    <w:rsid w:val="010F3D19"/>
    <w:rsid w:val="011D3624"/>
    <w:rsid w:val="01205304"/>
    <w:rsid w:val="012E5BDD"/>
    <w:rsid w:val="012E7DD1"/>
    <w:rsid w:val="01336359"/>
    <w:rsid w:val="014067DA"/>
    <w:rsid w:val="014632E9"/>
    <w:rsid w:val="015514B2"/>
    <w:rsid w:val="0174550E"/>
    <w:rsid w:val="017B526D"/>
    <w:rsid w:val="017E2295"/>
    <w:rsid w:val="01822573"/>
    <w:rsid w:val="01865638"/>
    <w:rsid w:val="01991975"/>
    <w:rsid w:val="01A50265"/>
    <w:rsid w:val="01C37AC6"/>
    <w:rsid w:val="01C4202A"/>
    <w:rsid w:val="01C77937"/>
    <w:rsid w:val="01DA6E1D"/>
    <w:rsid w:val="01E048BA"/>
    <w:rsid w:val="01EA636A"/>
    <w:rsid w:val="01FC02B4"/>
    <w:rsid w:val="01FD4C91"/>
    <w:rsid w:val="02026E30"/>
    <w:rsid w:val="02067E2E"/>
    <w:rsid w:val="021138F7"/>
    <w:rsid w:val="021C5A78"/>
    <w:rsid w:val="023251F7"/>
    <w:rsid w:val="024D295E"/>
    <w:rsid w:val="024D35C2"/>
    <w:rsid w:val="025033FE"/>
    <w:rsid w:val="02531F0A"/>
    <w:rsid w:val="02537B69"/>
    <w:rsid w:val="02704276"/>
    <w:rsid w:val="02751302"/>
    <w:rsid w:val="02764654"/>
    <w:rsid w:val="028B5457"/>
    <w:rsid w:val="0299651B"/>
    <w:rsid w:val="029D502D"/>
    <w:rsid w:val="029D5B72"/>
    <w:rsid w:val="02B64EDF"/>
    <w:rsid w:val="02C04F04"/>
    <w:rsid w:val="02C26874"/>
    <w:rsid w:val="02C77868"/>
    <w:rsid w:val="02C941D1"/>
    <w:rsid w:val="02CF6ABF"/>
    <w:rsid w:val="02DD00D7"/>
    <w:rsid w:val="02F925EB"/>
    <w:rsid w:val="030A693F"/>
    <w:rsid w:val="030B686A"/>
    <w:rsid w:val="03143042"/>
    <w:rsid w:val="031463AC"/>
    <w:rsid w:val="031E66BE"/>
    <w:rsid w:val="03215DBB"/>
    <w:rsid w:val="03293693"/>
    <w:rsid w:val="03305FFE"/>
    <w:rsid w:val="033C1FAA"/>
    <w:rsid w:val="033F6241"/>
    <w:rsid w:val="034571EB"/>
    <w:rsid w:val="03465822"/>
    <w:rsid w:val="035B575C"/>
    <w:rsid w:val="03661A20"/>
    <w:rsid w:val="03724869"/>
    <w:rsid w:val="03924A15"/>
    <w:rsid w:val="03945DFB"/>
    <w:rsid w:val="03A26EF0"/>
    <w:rsid w:val="03B079AA"/>
    <w:rsid w:val="03CB7FC7"/>
    <w:rsid w:val="03D244AC"/>
    <w:rsid w:val="03E93270"/>
    <w:rsid w:val="03F474F8"/>
    <w:rsid w:val="03F91FDF"/>
    <w:rsid w:val="040D50D0"/>
    <w:rsid w:val="042370A7"/>
    <w:rsid w:val="04252C6D"/>
    <w:rsid w:val="043701DB"/>
    <w:rsid w:val="04387860"/>
    <w:rsid w:val="045469B1"/>
    <w:rsid w:val="0458580D"/>
    <w:rsid w:val="047D5573"/>
    <w:rsid w:val="047F5CF0"/>
    <w:rsid w:val="048E015A"/>
    <w:rsid w:val="0495080F"/>
    <w:rsid w:val="04A66578"/>
    <w:rsid w:val="04DF3A0D"/>
    <w:rsid w:val="04ED064B"/>
    <w:rsid w:val="051E57AF"/>
    <w:rsid w:val="05215120"/>
    <w:rsid w:val="052668C1"/>
    <w:rsid w:val="05334D16"/>
    <w:rsid w:val="054E3F52"/>
    <w:rsid w:val="0563090D"/>
    <w:rsid w:val="056379C6"/>
    <w:rsid w:val="058B75FB"/>
    <w:rsid w:val="058C766B"/>
    <w:rsid w:val="059053A1"/>
    <w:rsid w:val="05946D18"/>
    <w:rsid w:val="05B02ABC"/>
    <w:rsid w:val="05B16E97"/>
    <w:rsid w:val="05B922DB"/>
    <w:rsid w:val="05BD5CEC"/>
    <w:rsid w:val="05C07B0D"/>
    <w:rsid w:val="05DF7EE1"/>
    <w:rsid w:val="05E41A4E"/>
    <w:rsid w:val="06007623"/>
    <w:rsid w:val="062772AE"/>
    <w:rsid w:val="06342239"/>
    <w:rsid w:val="06416FDE"/>
    <w:rsid w:val="06AE2DF9"/>
    <w:rsid w:val="06B43B46"/>
    <w:rsid w:val="06BB0913"/>
    <w:rsid w:val="06C448FC"/>
    <w:rsid w:val="06CE41BC"/>
    <w:rsid w:val="06E52F5E"/>
    <w:rsid w:val="06E73A9E"/>
    <w:rsid w:val="070752C8"/>
    <w:rsid w:val="070F7498"/>
    <w:rsid w:val="071619A6"/>
    <w:rsid w:val="071A22CA"/>
    <w:rsid w:val="071B3043"/>
    <w:rsid w:val="071D312D"/>
    <w:rsid w:val="07335FA1"/>
    <w:rsid w:val="07433DE6"/>
    <w:rsid w:val="07615139"/>
    <w:rsid w:val="0768169C"/>
    <w:rsid w:val="076D6F60"/>
    <w:rsid w:val="07753C24"/>
    <w:rsid w:val="077753B0"/>
    <w:rsid w:val="077D0B41"/>
    <w:rsid w:val="07961D30"/>
    <w:rsid w:val="07A4016F"/>
    <w:rsid w:val="07B46D72"/>
    <w:rsid w:val="07BD1A2B"/>
    <w:rsid w:val="07BF2A5A"/>
    <w:rsid w:val="07C06F59"/>
    <w:rsid w:val="07C8237A"/>
    <w:rsid w:val="07CA42EF"/>
    <w:rsid w:val="07CD3E7A"/>
    <w:rsid w:val="07E72C91"/>
    <w:rsid w:val="07F341CA"/>
    <w:rsid w:val="080041F1"/>
    <w:rsid w:val="0802440D"/>
    <w:rsid w:val="082050E6"/>
    <w:rsid w:val="082F4AD6"/>
    <w:rsid w:val="082F6AAF"/>
    <w:rsid w:val="08354C04"/>
    <w:rsid w:val="08445B15"/>
    <w:rsid w:val="08522BD2"/>
    <w:rsid w:val="08617E09"/>
    <w:rsid w:val="0865674A"/>
    <w:rsid w:val="087276EF"/>
    <w:rsid w:val="089B198E"/>
    <w:rsid w:val="08A07D1C"/>
    <w:rsid w:val="08A92ADB"/>
    <w:rsid w:val="08AD1FA5"/>
    <w:rsid w:val="08B5322E"/>
    <w:rsid w:val="08B96B4A"/>
    <w:rsid w:val="08BC1FC1"/>
    <w:rsid w:val="08BE7056"/>
    <w:rsid w:val="08C83A20"/>
    <w:rsid w:val="08D226FF"/>
    <w:rsid w:val="08DF5AD4"/>
    <w:rsid w:val="08E24980"/>
    <w:rsid w:val="08ED5C60"/>
    <w:rsid w:val="08F30618"/>
    <w:rsid w:val="08FC6D02"/>
    <w:rsid w:val="08FD4BD5"/>
    <w:rsid w:val="09047D11"/>
    <w:rsid w:val="09097997"/>
    <w:rsid w:val="090A607B"/>
    <w:rsid w:val="090E4C07"/>
    <w:rsid w:val="09131429"/>
    <w:rsid w:val="09173EE8"/>
    <w:rsid w:val="092B5711"/>
    <w:rsid w:val="094401F6"/>
    <w:rsid w:val="094649D2"/>
    <w:rsid w:val="095418CB"/>
    <w:rsid w:val="0969226A"/>
    <w:rsid w:val="09891E40"/>
    <w:rsid w:val="09966A8F"/>
    <w:rsid w:val="099B05EB"/>
    <w:rsid w:val="09A94AB1"/>
    <w:rsid w:val="09D37BC5"/>
    <w:rsid w:val="09D914C8"/>
    <w:rsid w:val="09EE30F7"/>
    <w:rsid w:val="09EF44EC"/>
    <w:rsid w:val="09F21F45"/>
    <w:rsid w:val="0A1133A8"/>
    <w:rsid w:val="0A123850"/>
    <w:rsid w:val="0A163FD0"/>
    <w:rsid w:val="0A232419"/>
    <w:rsid w:val="0A2E766B"/>
    <w:rsid w:val="0A3960E0"/>
    <w:rsid w:val="0A4627BB"/>
    <w:rsid w:val="0A4947FA"/>
    <w:rsid w:val="0A511214"/>
    <w:rsid w:val="0A54586A"/>
    <w:rsid w:val="0A617E09"/>
    <w:rsid w:val="0A642803"/>
    <w:rsid w:val="0A695FFC"/>
    <w:rsid w:val="0A7048D2"/>
    <w:rsid w:val="0A723B49"/>
    <w:rsid w:val="0A795621"/>
    <w:rsid w:val="0A866E5C"/>
    <w:rsid w:val="0A870935"/>
    <w:rsid w:val="0A967C03"/>
    <w:rsid w:val="0AA37ECF"/>
    <w:rsid w:val="0AC87203"/>
    <w:rsid w:val="0ACE05D7"/>
    <w:rsid w:val="0AD613F1"/>
    <w:rsid w:val="0AD94996"/>
    <w:rsid w:val="0AE133F1"/>
    <w:rsid w:val="0AEE5B35"/>
    <w:rsid w:val="0AF63852"/>
    <w:rsid w:val="0AF80D11"/>
    <w:rsid w:val="0B07596A"/>
    <w:rsid w:val="0B0860CB"/>
    <w:rsid w:val="0B0D73C6"/>
    <w:rsid w:val="0B1464DD"/>
    <w:rsid w:val="0B161241"/>
    <w:rsid w:val="0B262785"/>
    <w:rsid w:val="0B4334DC"/>
    <w:rsid w:val="0B526459"/>
    <w:rsid w:val="0B535E0E"/>
    <w:rsid w:val="0B5755D3"/>
    <w:rsid w:val="0B5804EA"/>
    <w:rsid w:val="0B7C46E0"/>
    <w:rsid w:val="0B856258"/>
    <w:rsid w:val="0B8C3FEE"/>
    <w:rsid w:val="0BA37CB5"/>
    <w:rsid w:val="0BA63367"/>
    <w:rsid w:val="0BA9061A"/>
    <w:rsid w:val="0BAE41AF"/>
    <w:rsid w:val="0BB6678C"/>
    <w:rsid w:val="0BBA3280"/>
    <w:rsid w:val="0BBE01F4"/>
    <w:rsid w:val="0BBF4F65"/>
    <w:rsid w:val="0BD460C1"/>
    <w:rsid w:val="0BE1472A"/>
    <w:rsid w:val="0BE91EC1"/>
    <w:rsid w:val="0BF16C73"/>
    <w:rsid w:val="0BFD1124"/>
    <w:rsid w:val="0C0F231C"/>
    <w:rsid w:val="0C1A44E1"/>
    <w:rsid w:val="0C1D16F4"/>
    <w:rsid w:val="0C2A0948"/>
    <w:rsid w:val="0C2B014F"/>
    <w:rsid w:val="0C2B4700"/>
    <w:rsid w:val="0C3455B8"/>
    <w:rsid w:val="0C356FA3"/>
    <w:rsid w:val="0C384DED"/>
    <w:rsid w:val="0C5E2F6F"/>
    <w:rsid w:val="0C624800"/>
    <w:rsid w:val="0C693FB6"/>
    <w:rsid w:val="0C807124"/>
    <w:rsid w:val="0C8F1FE8"/>
    <w:rsid w:val="0C9114F3"/>
    <w:rsid w:val="0C97555B"/>
    <w:rsid w:val="0CA36BD7"/>
    <w:rsid w:val="0CB836DE"/>
    <w:rsid w:val="0CBC5652"/>
    <w:rsid w:val="0CBF58C1"/>
    <w:rsid w:val="0CBF5DD4"/>
    <w:rsid w:val="0CC21B08"/>
    <w:rsid w:val="0CD70F51"/>
    <w:rsid w:val="0CEB1914"/>
    <w:rsid w:val="0CF34325"/>
    <w:rsid w:val="0D1B468F"/>
    <w:rsid w:val="0D2A5193"/>
    <w:rsid w:val="0D2C0E9D"/>
    <w:rsid w:val="0D387B7E"/>
    <w:rsid w:val="0D474670"/>
    <w:rsid w:val="0D4872CE"/>
    <w:rsid w:val="0D4A5F0F"/>
    <w:rsid w:val="0D4F2492"/>
    <w:rsid w:val="0D5E3553"/>
    <w:rsid w:val="0D5F0658"/>
    <w:rsid w:val="0D671EE5"/>
    <w:rsid w:val="0D7B7E36"/>
    <w:rsid w:val="0D943085"/>
    <w:rsid w:val="0D9773A6"/>
    <w:rsid w:val="0D9A29CC"/>
    <w:rsid w:val="0DB22BB6"/>
    <w:rsid w:val="0DE845A7"/>
    <w:rsid w:val="0DED4859"/>
    <w:rsid w:val="0DEF66F8"/>
    <w:rsid w:val="0E0C079A"/>
    <w:rsid w:val="0E0C5F1C"/>
    <w:rsid w:val="0E165CDF"/>
    <w:rsid w:val="0E1E3C50"/>
    <w:rsid w:val="0E1E5FDC"/>
    <w:rsid w:val="0E2F6667"/>
    <w:rsid w:val="0E466034"/>
    <w:rsid w:val="0E502351"/>
    <w:rsid w:val="0E614E63"/>
    <w:rsid w:val="0E62693A"/>
    <w:rsid w:val="0E6409B6"/>
    <w:rsid w:val="0E7A4F21"/>
    <w:rsid w:val="0E8027DC"/>
    <w:rsid w:val="0E996B45"/>
    <w:rsid w:val="0EB70696"/>
    <w:rsid w:val="0EB85F2C"/>
    <w:rsid w:val="0EC537EA"/>
    <w:rsid w:val="0ED14DE6"/>
    <w:rsid w:val="0ED17A44"/>
    <w:rsid w:val="0EE44DDF"/>
    <w:rsid w:val="0EED02FA"/>
    <w:rsid w:val="0EF110A8"/>
    <w:rsid w:val="0F0767D0"/>
    <w:rsid w:val="0F22030A"/>
    <w:rsid w:val="0F276E27"/>
    <w:rsid w:val="0F2C71AD"/>
    <w:rsid w:val="0F341D16"/>
    <w:rsid w:val="0F403FDC"/>
    <w:rsid w:val="0F5C08A7"/>
    <w:rsid w:val="0F8F6145"/>
    <w:rsid w:val="0F960D54"/>
    <w:rsid w:val="0F9C4F98"/>
    <w:rsid w:val="0F9D4E20"/>
    <w:rsid w:val="0FA96F42"/>
    <w:rsid w:val="0FE0493D"/>
    <w:rsid w:val="0FE23CB5"/>
    <w:rsid w:val="0FED53BE"/>
    <w:rsid w:val="0FF57F35"/>
    <w:rsid w:val="0FF65CC4"/>
    <w:rsid w:val="0FFB4C3D"/>
    <w:rsid w:val="100A7516"/>
    <w:rsid w:val="10155DF9"/>
    <w:rsid w:val="102313C5"/>
    <w:rsid w:val="10372845"/>
    <w:rsid w:val="10550681"/>
    <w:rsid w:val="107F5C26"/>
    <w:rsid w:val="1080388A"/>
    <w:rsid w:val="10821DA2"/>
    <w:rsid w:val="10A2679F"/>
    <w:rsid w:val="10A342B4"/>
    <w:rsid w:val="10B538FF"/>
    <w:rsid w:val="10B95885"/>
    <w:rsid w:val="10C34238"/>
    <w:rsid w:val="10DC3E75"/>
    <w:rsid w:val="10E21B3A"/>
    <w:rsid w:val="10E51AB2"/>
    <w:rsid w:val="10E9580B"/>
    <w:rsid w:val="10FE773C"/>
    <w:rsid w:val="11027C9D"/>
    <w:rsid w:val="11050ACA"/>
    <w:rsid w:val="110B3C50"/>
    <w:rsid w:val="11136EC1"/>
    <w:rsid w:val="111D5E14"/>
    <w:rsid w:val="11333B88"/>
    <w:rsid w:val="115E08D7"/>
    <w:rsid w:val="11612681"/>
    <w:rsid w:val="11812847"/>
    <w:rsid w:val="1181390D"/>
    <w:rsid w:val="11846D51"/>
    <w:rsid w:val="11866440"/>
    <w:rsid w:val="1189011B"/>
    <w:rsid w:val="11AA45C9"/>
    <w:rsid w:val="11B62393"/>
    <w:rsid w:val="11BA3663"/>
    <w:rsid w:val="11CD617F"/>
    <w:rsid w:val="11D101DA"/>
    <w:rsid w:val="11D62156"/>
    <w:rsid w:val="11E647D9"/>
    <w:rsid w:val="11E73AB9"/>
    <w:rsid w:val="11E87017"/>
    <w:rsid w:val="11EE5A02"/>
    <w:rsid w:val="11F5518F"/>
    <w:rsid w:val="11F554B6"/>
    <w:rsid w:val="11F63571"/>
    <w:rsid w:val="12016952"/>
    <w:rsid w:val="12063EF9"/>
    <w:rsid w:val="120C558C"/>
    <w:rsid w:val="122218E3"/>
    <w:rsid w:val="122E3A09"/>
    <w:rsid w:val="12445B3A"/>
    <w:rsid w:val="124A21A9"/>
    <w:rsid w:val="125750B1"/>
    <w:rsid w:val="12763A3F"/>
    <w:rsid w:val="12773092"/>
    <w:rsid w:val="127D5951"/>
    <w:rsid w:val="128F1629"/>
    <w:rsid w:val="12993BC0"/>
    <w:rsid w:val="12A11B9A"/>
    <w:rsid w:val="12A83E03"/>
    <w:rsid w:val="12AF2FBC"/>
    <w:rsid w:val="12B62DB9"/>
    <w:rsid w:val="12C2010E"/>
    <w:rsid w:val="12CE777F"/>
    <w:rsid w:val="12D34B15"/>
    <w:rsid w:val="12ED7A68"/>
    <w:rsid w:val="12F131AC"/>
    <w:rsid w:val="12F473A6"/>
    <w:rsid w:val="131E12B4"/>
    <w:rsid w:val="131E2581"/>
    <w:rsid w:val="13324823"/>
    <w:rsid w:val="133A0AC3"/>
    <w:rsid w:val="133B4525"/>
    <w:rsid w:val="133D7232"/>
    <w:rsid w:val="13486BAA"/>
    <w:rsid w:val="1360289B"/>
    <w:rsid w:val="136F6921"/>
    <w:rsid w:val="137263C4"/>
    <w:rsid w:val="138E4265"/>
    <w:rsid w:val="13967D02"/>
    <w:rsid w:val="13B011C1"/>
    <w:rsid w:val="13BC1B02"/>
    <w:rsid w:val="13C27143"/>
    <w:rsid w:val="13D2674F"/>
    <w:rsid w:val="13D90D3A"/>
    <w:rsid w:val="13D91ADE"/>
    <w:rsid w:val="13DF126B"/>
    <w:rsid w:val="13EB79F5"/>
    <w:rsid w:val="14021527"/>
    <w:rsid w:val="14081F16"/>
    <w:rsid w:val="140E413A"/>
    <w:rsid w:val="140F0FAD"/>
    <w:rsid w:val="14137380"/>
    <w:rsid w:val="141610A3"/>
    <w:rsid w:val="141B4404"/>
    <w:rsid w:val="1429717C"/>
    <w:rsid w:val="14386063"/>
    <w:rsid w:val="143D5C10"/>
    <w:rsid w:val="14552984"/>
    <w:rsid w:val="14985F19"/>
    <w:rsid w:val="149D3B04"/>
    <w:rsid w:val="14A405FA"/>
    <w:rsid w:val="14A81E98"/>
    <w:rsid w:val="14AA7B06"/>
    <w:rsid w:val="14B77629"/>
    <w:rsid w:val="14BB272A"/>
    <w:rsid w:val="14C00D2F"/>
    <w:rsid w:val="14D61785"/>
    <w:rsid w:val="14DE3B0C"/>
    <w:rsid w:val="14E03DAA"/>
    <w:rsid w:val="14F50128"/>
    <w:rsid w:val="151D4729"/>
    <w:rsid w:val="15211D27"/>
    <w:rsid w:val="153C5EC0"/>
    <w:rsid w:val="15473AD5"/>
    <w:rsid w:val="156523D2"/>
    <w:rsid w:val="157F12C4"/>
    <w:rsid w:val="15866E1F"/>
    <w:rsid w:val="15886CDA"/>
    <w:rsid w:val="159409F3"/>
    <w:rsid w:val="15944468"/>
    <w:rsid w:val="15A20FDE"/>
    <w:rsid w:val="15A5325E"/>
    <w:rsid w:val="15B815FA"/>
    <w:rsid w:val="15B94642"/>
    <w:rsid w:val="15C40412"/>
    <w:rsid w:val="15D17658"/>
    <w:rsid w:val="15E46271"/>
    <w:rsid w:val="15E73EF1"/>
    <w:rsid w:val="15FA1C09"/>
    <w:rsid w:val="16071F9D"/>
    <w:rsid w:val="161B7D4F"/>
    <w:rsid w:val="162B467B"/>
    <w:rsid w:val="164A2C2D"/>
    <w:rsid w:val="16501589"/>
    <w:rsid w:val="1658480F"/>
    <w:rsid w:val="165A1A6D"/>
    <w:rsid w:val="165B5EB2"/>
    <w:rsid w:val="165E2722"/>
    <w:rsid w:val="16610551"/>
    <w:rsid w:val="166D22B8"/>
    <w:rsid w:val="16796C36"/>
    <w:rsid w:val="169F3ACF"/>
    <w:rsid w:val="16A9130C"/>
    <w:rsid w:val="16B54D41"/>
    <w:rsid w:val="16BB254A"/>
    <w:rsid w:val="16C3693A"/>
    <w:rsid w:val="16CE63CC"/>
    <w:rsid w:val="16E04812"/>
    <w:rsid w:val="16ED1317"/>
    <w:rsid w:val="16EE441D"/>
    <w:rsid w:val="16EF7071"/>
    <w:rsid w:val="16F97D1D"/>
    <w:rsid w:val="17073639"/>
    <w:rsid w:val="17146C21"/>
    <w:rsid w:val="171507D5"/>
    <w:rsid w:val="17177706"/>
    <w:rsid w:val="174D1ECD"/>
    <w:rsid w:val="175031F0"/>
    <w:rsid w:val="17654E21"/>
    <w:rsid w:val="17663DC4"/>
    <w:rsid w:val="1769007A"/>
    <w:rsid w:val="177B477E"/>
    <w:rsid w:val="178042D5"/>
    <w:rsid w:val="178E51F7"/>
    <w:rsid w:val="17964357"/>
    <w:rsid w:val="17A3069B"/>
    <w:rsid w:val="17A4294C"/>
    <w:rsid w:val="17A97A83"/>
    <w:rsid w:val="17AD456C"/>
    <w:rsid w:val="17B74A43"/>
    <w:rsid w:val="17D85A62"/>
    <w:rsid w:val="17DF063E"/>
    <w:rsid w:val="17E07DAD"/>
    <w:rsid w:val="17EC4054"/>
    <w:rsid w:val="17F8432A"/>
    <w:rsid w:val="18043880"/>
    <w:rsid w:val="180B3F4E"/>
    <w:rsid w:val="180B5ABD"/>
    <w:rsid w:val="180C5D2B"/>
    <w:rsid w:val="18172976"/>
    <w:rsid w:val="18253800"/>
    <w:rsid w:val="182C24B5"/>
    <w:rsid w:val="18324053"/>
    <w:rsid w:val="18356139"/>
    <w:rsid w:val="184243B2"/>
    <w:rsid w:val="18553EC6"/>
    <w:rsid w:val="187A3B4C"/>
    <w:rsid w:val="18807CCF"/>
    <w:rsid w:val="1884220A"/>
    <w:rsid w:val="18B202ED"/>
    <w:rsid w:val="18C96881"/>
    <w:rsid w:val="18D071C7"/>
    <w:rsid w:val="18D152C9"/>
    <w:rsid w:val="18D433A9"/>
    <w:rsid w:val="18D771F0"/>
    <w:rsid w:val="18E134FB"/>
    <w:rsid w:val="18ED3F2E"/>
    <w:rsid w:val="18EE0096"/>
    <w:rsid w:val="18F9358F"/>
    <w:rsid w:val="19091A7D"/>
    <w:rsid w:val="190C1FC5"/>
    <w:rsid w:val="1912647A"/>
    <w:rsid w:val="19263CD4"/>
    <w:rsid w:val="19273F5F"/>
    <w:rsid w:val="1927534B"/>
    <w:rsid w:val="192B3EF2"/>
    <w:rsid w:val="19384C1B"/>
    <w:rsid w:val="1949619A"/>
    <w:rsid w:val="19500AC7"/>
    <w:rsid w:val="19500BD1"/>
    <w:rsid w:val="19550115"/>
    <w:rsid w:val="1977008B"/>
    <w:rsid w:val="19940768"/>
    <w:rsid w:val="19943440"/>
    <w:rsid w:val="199A5258"/>
    <w:rsid w:val="19A31463"/>
    <w:rsid w:val="19AD0674"/>
    <w:rsid w:val="19BD01F0"/>
    <w:rsid w:val="19D460CB"/>
    <w:rsid w:val="19DB2D10"/>
    <w:rsid w:val="19DC4AC8"/>
    <w:rsid w:val="19E33973"/>
    <w:rsid w:val="19E750D0"/>
    <w:rsid w:val="19F4785D"/>
    <w:rsid w:val="1A0E3B10"/>
    <w:rsid w:val="1A1C2F09"/>
    <w:rsid w:val="1A2159CF"/>
    <w:rsid w:val="1A2878C3"/>
    <w:rsid w:val="1A2A469C"/>
    <w:rsid w:val="1A2F04B8"/>
    <w:rsid w:val="1A432151"/>
    <w:rsid w:val="1A5246F2"/>
    <w:rsid w:val="1A5B5915"/>
    <w:rsid w:val="1A6772E7"/>
    <w:rsid w:val="1A694F73"/>
    <w:rsid w:val="1A7B1AB9"/>
    <w:rsid w:val="1A826DBD"/>
    <w:rsid w:val="1A871DB2"/>
    <w:rsid w:val="1A8B5566"/>
    <w:rsid w:val="1A8C5DB8"/>
    <w:rsid w:val="1A930EF5"/>
    <w:rsid w:val="1AAA7DF8"/>
    <w:rsid w:val="1AB560D7"/>
    <w:rsid w:val="1ABC044C"/>
    <w:rsid w:val="1AD5425D"/>
    <w:rsid w:val="1ADD5B61"/>
    <w:rsid w:val="1AED2863"/>
    <w:rsid w:val="1AEF014E"/>
    <w:rsid w:val="1AF4448C"/>
    <w:rsid w:val="1AFB3F20"/>
    <w:rsid w:val="1B074FDA"/>
    <w:rsid w:val="1B115F6E"/>
    <w:rsid w:val="1B157E99"/>
    <w:rsid w:val="1B1E6602"/>
    <w:rsid w:val="1B26560E"/>
    <w:rsid w:val="1B272899"/>
    <w:rsid w:val="1B2F7268"/>
    <w:rsid w:val="1B3A7392"/>
    <w:rsid w:val="1B3A75C2"/>
    <w:rsid w:val="1B553D75"/>
    <w:rsid w:val="1B7B17D1"/>
    <w:rsid w:val="1B8448B7"/>
    <w:rsid w:val="1B8F5ABD"/>
    <w:rsid w:val="1B915AB2"/>
    <w:rsid w:val="1B933BF8"/>
    <w:rsid w:val="1B9B7C05"/>
    <w:rsid w:val="1B9E47A5"/>
    <w:rsid w:val="1BA61BEF"/>
    <w:rsid w:val="1BC20967"/>
    <w:rsid w:val="1BC32E0B"/>
    <w:rsid w:val="1BC82E20"/>
    <w:rsid w:val="1BD376C4"/>
    <w:rsid w:val="1BD8020C"/>
    <w:rsid w:val="1BEA5591"/>
    <w:rsid w:val="1BEB3C87"/>
    <w:rsid w:val="1C090C95"/>
    <w:rsid w:val="1C0E765E"/>
    <w:rsid w:val="1C327240"/>
    <w:rsid w:val="1C367EC6"/>
    <w:rsid w:val="1C3C0C77"/>
    <w:rsid w:val="1C4448AF"/>
    <w:rsid w:val="1C502276"/>
    <w:rsid w:val="1C574879"/>
    <w:rsid w:val="1C5D7B47"/>
    <w:rsid w:val="1C681408"/>
    <w:rsid w:val="1C6955F7"/>
    <w:rsid w:val="1C7B24E2"/>
    <w:rsid w:val="1C8B717A"/>
    <w:rsid w:val="1C9B5F9A"/>
    <w:rsid w:val="1C9F727F"/>
    <w:rsid w:val="1CAF7473"/>
    <w:rsid w:val="1CCA701D"/>
    <w:rsid w:val="1CCE33C6"/>
    <w:rsid w:val="1CE75528"/>
    <w:rsid w:val="1CED457C"/>
    <w:rsid w:val="1D12416B"/>
    <w:rsid w:val="1D141272"/>
    <w:rsid w:val="1D180615"/>
    <w:rsid w:val="1D260F5B"/>
    <w:rsid w:val="1D290F49"/>
    <w:rsid w:val="1D482187"/>
    <w:rsid w:val="1D48246B"/>
    <w:rsid w:val="1D547061"/>
    <w:rsid w:val="1D550375"/>
    <w:rsid w:val="1D653434"/>
    <w:rsid w:val="1D831634"/>
    <w:rsid w:val="1D8F2669"/>
    <w:rsid w:val="1D905BC0"/>
    <w:rsid w:val="1DAA4DE5"/>
    <w:rsid w:val="1DB57E58"/>
    <w:rsid w:val="1DE84DF2"/>
    <w:rsid w:val="1DEC7A95"/>
    <w:rsid w:val="1DF149CA"/>
    <w:rsid w:val="1E022B0B"/>
    <w:rsid w:val="1E0237F4"/>
    <w:rsid w:val="1E05475B"/>
    <w:rsid w:val="1E14234D"/>
    <w:rsid w:val="1E1B1AA4"/>
    <w:rsid w:val="1E1F0132"/>
    <w:rsid w:val="1E3D568B"/>
    <w:rsid w:val="1E3E3FAE"/>
    <w:rsid w:val="1E5536B5"/>
    <w:rsid w:val="1E6000B4"/>
    <w:rsid w:val="1E6D7CDF"/>
    <w:rsid w:val="1E8150D1"/>
    <w:rsid w:val="1E8A35E1"/>
    <w:rsid w:val="1E8E4FD8"/>
    <w:rsid w:val="1E9B0B0E"/>
    <w:rsid w:val="1E9E10D4"/>
    <w:rsid w:val="1EA846AF"/>
    <w:rsid w:val="1EB75FDC"/>
    <w:rsid w:val="1EBF49AE"/>
    <w:rsid w:val="1EDC0404"/>
    <w:rsid w:val="1EE52FDC"/>
    <w:rsid w:val="1EEA6132"/>
    <w:rsid w:val="1EF61AD2"/>
    <w:rsid w:val="1EFC4C0E"/>
    <w:rsid w:val="1F0754D5"/>
    <w:rsid w:val="1F11736D"/>
    <w:rsid w:val="1F1B08F2"/>
    <w:rsid w:val="1F25589D"/>
    <w:rsid w:val="1F2F50C1"/>
    <w:rsid w:val="1F4C082F"/>
    <w:rsid w:val="1F4E3EAC"/>
    <w:rsid w:val="1F541C4C"/>
    <w:rsid w:val="1F575934"/>
    <w:rsid w:val="1F641135"/>
    <w:rsid w:val="1F685ED0"/>
    <w:rsid w:val="1F7631EB"/>
    <w:rsid w:val="1F7F6EC1"/>
    <w:rsid w:val="1F80692A"/>
    <w:rsid w:val="1F81051A"/>
    <w:rsid w:val="1F82347A"/>
    <w:rsid w:val="1F892FAD"/>
    <w:rsid w:val="1F8C6832"/>
    <w:rsid w:val="1FAB0A8F"/>
    <w:rsid w:val="1FAF595C"/>
    <w:rsid w:val="1FCC07FB"/>
    <w:rsid w:val="1FCF30E9"/>
    <w:rsid w:val="1FED3D7E"/>
    <w:rsid w:val="1FF30DF6"/>
    <w:rsid w:val="1FF46E45"/>
    <w:rsid w:val="1FFD243A"/>
    <w:rsid w:val="20016901"/>
    <w:rsid w:val="20036767"/>
    <w:rsid w:val="20036FFE"/>
    <w:rsid w:val="2006008E"/>
    <w:rsid w:val="200620FC"/>
    <w:rsid w:val="2011123A"/>
    <w:rsid w:val="201B0F50"/>
    <w:rsid w:val="201C373B"/>
    <w:rsid w:val="20275C9A"/>
    <w:rsid w:val="20344F28"/>
    <w:rsid w:val="203E32D9"/>
    <w:rsid w:val="205506FA"/>
    <w:rsid w:val="20664686"/>
    <w:rsid w:val="20781922"/>
    <w:rsid w:val="20895524"/>
    <w:rsid w:val="208F0434"/>
    <w:rsid w:val="20AD6DF8"/>
    <w:rsid w:val="20AE6A88"/>
    <w:rsid w:val="20B873EB"/>
    <w:rsid w:val="20BF54EB"/>
    <w:rsid w:val="20C27542"/>
    <w:rsid w:val="20C73087"/>
    <w:rsid w:val="20C73B62"/>
    <w:rsid w:val="20C911E4"/>
    <w:rsid w:val="20D14525"/>
    <w:rsid w:val="20DC447C"/>
    <w:rsid w:val="20E60813"/>
    <w:rsid w:val="20E71F9A"/>
    <w:rsid w:val="20E87EE1"/>
    <w:rsid w:val="21141AB5"/>
    <w:rsid w:val="211F34E2"/>
    <w:rsid w:val="21255A4D"/>
    <w:rsid w:val="21561DE5"/>
    <w:rsid w:val="215D225D"/>
    <w:rsid w:val="21721078"/>
    <w:rsid w:val="21775608"/>
    <w:rsid w:val="218F6F3C"/>
    <w:rsid w:val="219043E0"/>
    <w:rsid w:val="219A1092"/>
    <w:rsid w:val="21AD2F63"/>
    <w:rsid w:val="21C40F13"/>
    <w:rsid w:val="21D7254D"/>
    <w:rsid w:val="21D92FBA"/>
    <w:rsid w:val="21DB240E"/>
    <w:rsid w:val="21DD3EC8"/>
    <w:rsid w:val="21DF3919"/>
    <w:rsid w:val="21E544FB"/>
    <w:rsid w:val="21EB576C"/>
    <w:rsid w:val="21EC560F"/>
    <w:rsid w:val="21F41307"/>
    <w:rsid w:val="21FE7A8E"/>
    <w:rsid w:val="220B6146"/>
    <w:rsid w:val="22144EBE"/>
    <w:rsid w:val="22367490"/>
    <w:rsid w:val="2245341D"/>
    <w:rsid w:val="22622D2E"/>
    <w:rsid w:val="227B1351"/>
    <w:rsid w:val="22825DBB"/>
    <w:rsid w:val="22847DF8"/>
    <w:rsid w:val="228C4962"/>
    <w:rsid w:val="22934E4F"/>
    <w:rsid w:val="22B75B6A"/>
    <w:rsid w:val="22C36939"/>
    <w:rsid w:val="22D26782"/>
    <w:rsid w:val="22DF18B4"/>
    <w:rsid w:val="22DF73CD"/>
    <w:rsid w:val="22ED71DF"/>
    <w:rsid w:val="23004ECD"/>
    <w:rsid w:val="23204D36"/>
    <w:rsid w:val="232600CB"/>
    <w:rsid w:val="232E75A8"/>
    <w:rsid w:val="233B2C77"/>
    <w:rsid w:val="233E2B43"/>
    <w:rsid w:val="233F7E6C"/>
    <w:rsid w:val="23564262"/>
    <w:rsid w:val="235A678A"/>
    <w:rsid w:val="23635359"/>
    <w:rsid w:val="239C5315"/>
    <w:rsid w:val="23AB222F"/>
    <w:rsid w:val="23BC0C45"/>
    <w:rsid w:val="23C13C0E"/>
    <w:rsid w:val="23C50AFE"/>
    <w:rsid w:val="23C80D05"/>
    <w:rsid w:val="23CA42DA"/>
    <w:rsid w:val="23D031BA"/>
    <w:rsid w:val="23DB5488"/>
    <w:rsid w:val="23DD5F24"/>
    <w:rsid w:val="23DE53DF"/>
    <w:rsid w:val="23DE7E21"/>
    <w:rsid w:val="23E17227"/>
    <w:rsid w:val="23EE05DA"/>
    <w:rsid w:val="23F94978"/>
    <w:rsid w:val="23FA3E7C"/>
    <w:rsid w:val="2418706C"/>
    <w:rsid w:val="241B0F74"/>
    <w:rsid w:val="2444674F"/>
    <w:rsid w:val="244E79BB"/>
    <w:rsid w:val="24571EB9"/>
    <w:rsid w:val="245F1806"/>
    <w:rsid w:val="24642416"/>
    <w:rsid w:val="247332FB"/>
    <w:rsid w:val="24936748"/>
    <w:rsid w:val="24AA7567"/>
    <w:rsid w:val="24AD1A46"/>
    <w:rsid w:val="24B1468C"/>
    <w:rsid w:val="24B61418"/>
    <w:rsid w:val="24B957CA"/>
    <w:rsid w:val="24BA2895"/>
    <w:rsid w:val="24CC1BD3"/>
    <w:rsid w:val="24DB394F"/>
    <w:rsid w:val="251B2E81"/>
    <w:rsid w:val="252037D1"/>
    <w:rsid w:val="252208C5"/>
    <w:rsid w:val="252D29A2"/>
    <w:rsid w:val="252E3785"/>
    <w:rsid w:val="25424108"/>
    <w:rsid w:val="25611C99"/>
    <w:rsid w:val="25703E2C"/>
    <w:rsid w:val="257414C5"/>
    <w:rsid w:val="2578449F"/>
    <w:rsid w:val="258055E3"/>
    <w:rsid w:val="2580651A"/>
    <w:rsid w:val="25AC6556"/>
    <w:rsid w:val="25BC2ADC"/>
    <w:rsid w:val="25BD098A"/>
    <w:rsid w:val="25C2334B"/>
    <w:rsid w:val="25C311F0"/>
    <w:rsid w:val="25C468DD"/>
    <w:rsid w:val="25D92B57"/>
    <w:rsid w:val="25DA74AE"/>
    <w:rsid w:val="25EA1F4D"/>
    <w:rsid w:val="25EB6665"/>
    <w:rsid w:val="25FE611E"/>
    <w:rsid w:val="260E0424"/>
    <w:rsid w:val="26151358"/>
    <w:rsid w:val="262B2807"/>
    <w:rsid w:val="262B2929"/>
    <w:rsid w:val="262E2017"/>
    <w:rsid w:val="263D6290"/>
    <w:rsid w:val="26410554"/>
    <w:rsid w:val="264B57A2"/>
    <w:rsid w:val="264D7C14"/>
    <w:rsid w:val="264F16C0"/>
    <w:rsid w:val="265A2E8E"/>
    <w:rsid w:val="265F1545"/>
    <w:rsid w:val="265F6142"/>
    <w:rsid w:val="266F35DF"/>
    <w:rsid w:val="267C1FA6"/>
    <w:rsid w:val="267F4B7E"/>
    <w:rsid w:val="269D7349"/>
    <w:rsid w:val="26A84703"/>
    <w:rsid w:val="26AA1AA0"/>
    <w:rsid w:val="26AB574B"/>
    <w:rsid w:val="26BC7986"/>
    <w:rsid w:val="26C43D4C"/>
    <w:rsid w:val="26CB23B2"/>
    <w:rsid w:val="26D42A7B"/>
    <w:rsid w:val="26D44D6F"/>
    <w:rsid w:val="26E72CF4"/>
    <w:rsid w:val="26E825C8"/>
    <w:rsid w:val="26ED6C7A"/>
    <w:rsid w:val="270209A4"/>
    <w:rsid w:val="27035654"/>
    <w:rsid w:val="2710609F"/>
    <w:rsid w:val="27110C95"/>
    <w:rsid w:val="27151A01"/>
    <w:rsid w:val="27233601"/>
    <w:rsid w:val="27525BD6"/>
    <w:rsid w:val="275A34C6"/>
    <w:rsid w:val="275F47D6"/>
    <w:rsid w:val="276308DF"/>
    <w:rsid w:val="27630A8A"/>
    <w:rsid w:val="27705F36"/>
    <w:rsid w:val="277F0350"/>
    <w:rsid w:val="27802801"/>
    <w:rsid w:val="27892580"/>
    <w:rsid w:val="27912C60"/>
    <w:rsid w:val="27A36EA9"/>
    <w:rsid w:val="27A46429"/>
    <w:rsid w:val="27BE06A8"/>
    <w:rsid w:val="27CA3284"/>
    <w:rsid w:val="27E965F8"/>
    <w:rsid w:val="27EB29FE"/>
    <w:rsid w:val="28015FA9"/>
    <w:rsid w:val="28072F22"/>
    <w:rsid w:val="280C4527"/>
    <w:rsid w:val="28137270"/>
    <w:rsid w:val="281B5041"/>
    <w:rsid w:val="282F3137"/>
    <w:rsid w:val="28302DCC"/>
    <w:rsid w:val="28386767"/>
    <w:rsid w:val="283B5E64"/>
    <w:rsid w:val="2843270B"/>
    <w:rsid w:val="28676F7A"/>
    <w:rsid w:val="2879797C"/>
    <w:rsid w:val="287C52F1"/>
    <w:rsid w:val="287D5272"/>
    <w:rsid w:val="289E3768"/>
    <w:rsid w:val="28A3076F"/>
    <w:rsid w:val="28A41846"/>
    <w:rsid w:val="28AB3A2F"/>
    <w:rsid w:val="28BF7D25"/>
    <w:rsid w:val="28CF3A40"/>
    <w:rsid w:val="28D57BCA"/>
    <w:rsid w:val="28D605D8"/>
    <w:rsid w:val="28E90E49"/>
    <w:rsid w:val="28E955E1"/>
    <w:rsid w:val="28EC45F2"/>
    <w:rsid w:val="28ED3C93"/>
    <w:rsid w:val="28F1227F"/>
    <w:rsid w:val="28F14874"/>
    <w:rsid w:val="28F1615F"/>
    <w:rsid w:val="28F60448"/>
    <w:rsid w:val="2900009D"/>
    <w:rsid w:val="29006B66"/>
    <w:rsid w:val="29055792"/>
    <w:rsid w:val="290A02A4"/>
    <w:rsid w:val="29210E84"/>
    <w:rsid w:val="292335E5"/>
    <w:rsid w:val="293B0C89"/>
    <w:rsid w:val="294256DC"/>
    <w:rsid w:val="2942749F"/>
    <w:rsid w:val="294855A0"/>
    <w:rsid w:val="294F40E1"/>
    <w:rsid w:val="295170DB"/>
    <w:rsid w:val="296077B8"/>
    <w:rsid w:val="2968280F"/>
    <w:rsid w:val="29693BD0"/>
    <w:rsid w:val="297E393E"/>
    <w:rsid w:val="29886183"/>
    <w:rsid w:val="298C7B83"/>
    <w:rsid w:val="29A33418"/>
    <w:rsid w:val="29AC1491"/>
    <w:rsid w:val="29AF20AF"/>
    <w:rsid w:val="29B1624B"/>
    <w:rsid w:val="29B50660"/>
    <w:rsid w:val="29C52BFE"/>
    <w:rsid w:val="29C77287"/>
    <w:rsid w:val="29C86BFB"/>
    <w:rsid w:val="29CE470D"/>
    <w:rsid w:val="29D23752"/>
    <w:rsid w:val="29D83858"/>
    <w:rsid w:val="29DC67C5"/>
    <w:rsid w:val="29EB4B6C"/>
    <w:rsid w:val="29EC18EA"/>
    <w:rsid w:val="2A057CAF"/>
    <w:rsid w:val="2A1306EF"/>
    <w:rsid w:val="2A1F2907"/>
    <w:rsid w:val="2A2009C5"/>
    <w:rsid w:val="2A231454"/>
    <w:rsid w:val="2A2B12CF"/>
    <w:rsid w:val="2A2E7C1A"/>
    <w:rsid w:val="2A331DAD"/>
    <w:rsid w:val="2A351AE7"/>
    <w:rsid w:val="2A381FB3"/>
    <w:rsid w:val="2A3A7DAD"/>
    <w:rsid w:val="2A4B4FF6"/>
    <w:rsid w:val="2A4D723B"/>
    <w:rsid w:val="2A4F2D85"/>
    <w:rsid w:val="2A4F6F0B"/>
    <w:rsid w:val="2A526445"/>
    <w:rsid w:val="2A567388"/>
    <w:rsid w:val="2A853775"/>
    <w:rsid w:val="2A906871"/>
    <w:rsid w:val="2A9A6E2C"/>
    <w:rsid w:val="2AAA5C90"/>
    <w:rsid w:val="2AAB49D9"/>
    <w:rsid w:val="2AB6233B"/>
    <w:rsid w:val="2AC0044B"/>
    <w:rsid w:val="2AD25FFE"/>
    <w:rsid w:val="2AD321A5"/>
    <w:rsid w:val="2AD66D45"/>
    <w:rsid w:val="2AD7765D"/>
    <w:rsid w:val="2ADB5B9F"/>
    <w:rsid w:val="2AE57BB8"/>
    <w:rsid w:val="2AF459E0"/>
    <w:rsid w:val="2B0D2554"/>
    <w:rsid w:val="2B1E22C0"/>
    <w:rsid w:val="2B4A1AA4"/>
    <w:rsid w:val="2B5852ED"/>
    <w:rsid w:val="2B604E23"/>
    <w:rsid w:val="2B743461"/>
    <w:rsid w:val="2B8B00E1"/>
    <w:rsid w:val="2B9259EE"/>
    <w:rsid w:val="2B973B86"/>
    <w:rsid w:val="2BA43649"/>
    <w:rsid w:val="2BA6227F"/>
    <w:rsid w:val="2BA82B64"/>
    <w:rsid w:val="2BC02215"/>
    <w:rsid w:val="2BC949B7"/>
    <w:rsid w:val="2BD459E1"/>
    <w:rsid w:val="2BF0659B"/>
    <w:rsid w:val="2C042402"/>
    <w:rsid w:val="2C063C80"/>
    <w:rsid w:val="2C167BCD"/>
    <w:rsid w:val="2C1725E3"/>
    <w:rsid w:val="2C214C90"/>
    <w:rsid w:val="2C290B67"/>
    <w:rsid w:val="2C2C4113"/>
    <w:rsid w:val="2C303D5C"/>
    <w:rsid w:val="2C3D7714"/>
    <w:rsid w:val="2C3F165B"/>
    <w:rsid w:val="2C4748F9"/>
    <w:rsid w:val="2C7F45F2"/>
    <w:rsid w:val="2C8156C5"/>
    <w:rsid w:val="2C8A14E3"/>
    <w:rsid w:val="2C8A23E7"/>
    <w:rsid w:val="2C8E59C0"/>
    <w:rsid w:val="2C8F112D"/>
    <w:rsid w:val="2CA02B84"/>
    <w:rsid w:val="2CA637C0"/>
    <w:rsid w:val="2CAC08A7"/>
    <w:rsid w:val="2CAF2821"/>
    <w:rsid w:val="2CB066F4"/>
    <w:rsid w:val="2CBF42DF"/>
    <w:rsid w:val="2CD86C3B"/>
    <w:rsid w:val="2CDD5BA2"/>
    <w:rsid w:val="2CE37ABA"/>
    <w:rsid w:val="2CE649EF"/>
    <w:rsid w:val="2CEC4BE7"/>
    <w:rsid w:val="2D04268C"/>
    <w:rsid w:val="2D052E51"/>
    <w:rsid w:val="2D0A5960"/>
    <w:rsid w:val="2D0C7A15"/>
    <w:rsid w:val="2D12214D"/>
    <w:rsid w:val="2D177FD2"/>
    <w:rsid w:val="2D20261B"/>
    <w:rsid w:val="2D202ACF"/>
    <w:rsid w:val="2D2943F3"/>
    <w:rsid w:val="2D595FCE"/>
    <w:rsid w:val="2D644EDA"/>
    <w:rsid w:val="2D70512C"/>
    <w:rsid w:val="2D7415F8"/>
    <w:rsid w:val="2D8007AC"/>
    <w:rsid w:val="2D931D82"/>
    <w:rsid w:val="2D9645AA"/>
    <w:rsid w:val="2D964B2C"/>
    <w:rsid w:val="2D96552C"/>
    <w:rsid w:val="2DA32098"/>
    <w:rsid w:val="2DA45F1F"/>
    <w:rsid w:val="2DB52F67"/>
    <w:rsid w:val="2DBA00F8"/>
    <w:rsid w:val="2DCD000B"/>
    <w:rsid w:val="2DCF56EE"/>
    <w:rsid w:val="2DCF6290"/>
    <w:rsid w:val="2DD5193A"/>
    <w:rsid w:val="2DD843A1"/>
    <w:rsid w:val="2DDD6BFF"/>
    <w:rsid w:val="2E197A3D"/>
    <w:rsid w:val="2E333209"/>
    <w:rsid w:val="2E350646"/>
    <w:rsid w:val="2E385741"/>
    <w:rsid w:val="2E394281"/>
    <w:rsid w:val="2E3B56D4"/>
    <w:rsid w:val="2E4B6896"/>
    <w:rsid w:val="2E5643AC"/>
    <w:rsid w:val="2E73567F"/>
    <w:rsid w:val="2E7C69AC"/>
    <w:rsid w:val="2E81758A"/>
    <w:rsid w:val="2E8A483E"/>
    <w:rsid w:val="2EAB0483"/>
    <w:rsid w:val="2EAE2349"/>
    <w:rsid w:val="2EAE6B2A"/>
    <w:rsid w:val="2EAF7625"/>
    <w:rsid w:val="2EBC30BB"/>
    <w:rsid w:val="2EBE0501"/>
    <w:rsid w:val="2ECC7C54"/>
    <w:rsid w:val="2ED018DD"/>
    <w:rsid w:val="2ED64009"/>
    <w:rsid w:val="2EEF3AA0"/>
    <w:rsid w:val="2EF20AD5"/>
    <w:rsid w:val="2EF21577"/>
    <w:rsid w:val="2EF94D95"/>
    <w:rsid w:val="2EFA3AD6"/>
    <w:rsid w:val="2F226D3D"/>
    <w:rsid w:val="2F5C329E"/>
    <w:rsid w:val="2F67605F"/>
    <w:rsid w:val="2F6C6278"/>
    <w:rsid w:val="2F762976"/>
    <w:rsid w:val="2F7A3DF6"/>
    <w:rsid w:val="2F8E3EAC"/>
    <w:rsid w:val="2FA33B25"/>
    <w:rsid w:val="2FA55A71"/>
    <w:rsid w:val="2FA774C5"/>
    <w:rsid w:val="2FBE65BC"/>
    <w:rsid w:val="2FCA4F61"/>
    <w:rsid w:val="2FD45C3D"/>
    <w:rsid w:val="2FD57F0D"/>
    <w:rsid w:val="30116A61"/>
    <w:rsid w:val="301607A4"/>
    <w:rsid w:val="301A2340"/>
    <w:rsid w:val="301A3277"/>
    <w:rsid w:val="30224760"/>
    <w:rsid w:val="30286718"/>
    <w:rsid w:val="302B3D82"/>
    <w:rsid w:val="304E3653"/>
    <w:rsid w:val="305753A2"/>
    <w:rsid w:val="305F6AC7"/>
    <w:rsid w:val="306626CA"/>
    <w:rsid w:val="306833A9"/>
    <w:rsid w:val="306A1541"/>
    <w:rsid w:val="30985A8F"/>
    <w:rsid w:val="309B5EB0"/>
    <w:rsid w:val="30BF25EC"/>
    <w:rsid w:val="30C60350"/>
    <w:rsid w:val="30CB187F"/>
    <w:rsid w:val="30D131E5"/>
    <w:rsid w:val="30DD55AC"/>
    <w:rsid w:val="30ED5CF7"/>
    <w:rsid w:val="30F50546"/>
    <w:rsid w:val="30FA7B5B"/>
    <w:rsid w:val="30FE7DB5"/>
    <w:rsid w:val="310605AC"/>
    <w:rsid w:val="310B26AB"/>
    <w:rsid w:val="311415DF"/>
    <w:rsid w:val="3115209B"/>
    <w:rsid w:val="31187080"/>
    <w:rsid w:val="311E52C7"/>
    <w:rsid w:val="31247DCD"/>
    <w:rsid w:val="31261BE1"/>
    <w:rsid w:val="313D63DB"/>
    <w:rsid w:val="313E0D04"/>
    <w:rsid w:val="315076E8"/>
    <w:rsid w:val="31582E17"/>
    <w:rsid w:val="316A70FC"/>
    <w:rsid w:val="316D2048"/>
    <w:rsid w:val="3177295A"/>
    <w:rsid w:val="318B6972"/>
    <w:rsid w:val="318D326C"/>
    <w:rsid w:val="31932985"/>
    <w:rsid w:val="3195152F"/>
    <w:rsid w:val="31AF7D74"/>
    <w:rsid w:val="31B41C1C"/>
    <w:rsid w:val="31B45EC9"/>
    <w:rsid w:val="322A42A7"/>
    <w:rsid w:val="3240150B"/>
    <w:rsid w:val="326939FB"/>
    <w:rsid w:val="326B068E"/>
    <w:rsid w:val="327A2C6E"/>
    <w:rsid w:val="32985D7B"/>
    <w:rsid w:val="32A016E2"/>
    <w:rsid w:val="32A70BF6"/>
    <w:rsid w:val="32AF2646"/>
    <w:rsid w:val="32B231A0"/>
    <w:rsid w:val="32B90D3E"/>
    <w:rsid w:val="32C04E80"/>
    <w:rsid w:val="32CA53FC"/>
    <w:rsid w:val="32DF6F75"/>
    <w:rsid w:val="32F940CB"/>
    <w:rsid w:val="32FB5E3C"/>
    <w:rsid w:val="32FD5DDF"/>
    <w:rsid w:val="33005691"/>
    <w:rsid w:val="33025685"/>
    <w:rsid w:val="33033244"/>
    <w:rsid w:val="33051188"/>
    <w:rsid w:val="33185FE3"/>
    <w:rsid w:val="33246694"/>
    <w:rsid w:val="333878F1"/>
    <w:rsid w:val="33543AF9"/>
    <w:rsid w:val="335D00EB"/>
    <w:rsid w:val="335D4E5A"/>
    <w:rsid w:val="3364747B"/>
    <w:rsid w:val="336559CD"/>
    <w:rsid w:val="3370483D"/>
    <w:rsid w:val="33820D2D"/>
    <w:rsid w:val="33886F6E"/>
    <w:rsid w:val="339406A5"/>
    <w:rsid w:val="339A0697"/>
    <w:rsid w:val="33A40B97"/>
    <w:rsid w:val="33B745C0"/>
    <w:rsid w:val="33BC6BBE"/>
    <w:rsid w:val="33BE531D"/>
    <w:rsid w:val="33C91A99"/>
    <w:rsid w:val="33CA19D4"/>
    <w:rsid w:val="33D94FA4"/>
    <w:rsid w:val="33E67E90"/>
    <w:rsid w:val="33E81E5A"/>
    <w:rsid w:val="33E9583B"/>
    <w:rsid w:val="33FA5088"/>
    <w:rsid w:val="340D25AE"/>
    <w:rsid w:val="341B24AF"/>
    <w:rsid w:val="34243BF5"/>
    <w:rsid w:val="34270BD4"/>
    <w:rsid w:val="34491F87"/>
    <w:rsid w:val="344A48C2"/>
    <w:rsid w:val="34502FCD"/>
    <w:rsid w:val="34621C0C"/>
    <w:rsid w:val="347E456C"/>
    <w:rsid w:val="34835986"/>
    <w:rsid w:val="34873421"/>
    <w:rsid w:val="349F0DCD"/>
    <w:rsid w:val="34A14B78"/>
    <w:rsid w:val="34A33E66"/>
    <w:rsid w:val="34BA37F6"/>
    <w:rsid w:val="34C75F13"/>
    <w:rsid w:val="34CF384E"/>
    <w:rsid w:val="34DE14EC"/>
    <w:rsid w:val="34EE02D1"/>
    <w:rsid w:val="34EE6D34"/>
    <w:rsid w:val="34F712FB"/>
    <w:rsid w:val="34FD4DB8"/>
    <w:rsid w:val="351578D3"/>
    <w:rsid w:val="354C01C6"/>
    <w:rsid w:val="35577ABD"/>
    <w:rsid w:val="35750D0B"/>
    <w:rsid w:val="35776188"/>
    <w:rsid w:val="357F4F5A"/>
    <w:rsid w:val="358076A9"/>
    <w:rsid w:val="358C3D6B"/>
    <w:rsid w:val="359B0FB3"/>
    <w:rsid w:val="35A96F2F"/>
    <w:rsid w:val="35B247C6"/>
    <w:rsid w:val="35B53FBE"/>
    <w:rsid w:val="35CA04DD"/>
    <w:rsid w:val="35D55439"/>
    <w:rsid w:val="35E0375C"/>
    <w:rsid w:val="35E5716E"/>
    <w:rsid w:val="35F46869"/>
    <w:rsid w:val="360F07E9"/>
    <w:rsid w:val="361072B2"/>
    <w:rsid w:val="36187AD6"/>
    <w:rsid w:val="36190A39"/>
    <w:rsid w:val="36272755"/>
    <w:rsid w:val="364A0BAA"/>
    <w:rsid w:val="36556B1F"/>
    <w:rsid w:val="365C4AD4"/>
    <w:rsid w:val="3683504D"/>
    <w:rsid w:val="36864141"/>
    <w:rsid w:val="3692514A"/>
    <w:rsid w:val="36936245"/>
    <w:rsid w:val="369F2B5F"/>
    <w:rsid w:val="36B416D4"/>
    <w:rsid w:val="36C435F7"/>
    <w:rsid w:val="36C86824"/>
    <w:rsid w:val="36CF3B56"/>
    <w:rsid w:val="36D73DAE"/>
    <w:rsid w:val="36E65E63"/>
    <w:rsid w:val="36F42EDC"/>
    <w:rsid w:val="36F47CE2"/>
    <w:rsid w:val="36FC6348"/>
    <w:rsid w:val="37050830"/>
    <w:rsid w:val="3707043B"/>
    <w:rsid w:val="370A45C3"/>
    <w:rsid w:val="371A3B43"/>
    <w:rsid w:val="371A7946"/>
    <w:rsid w:val="371C1384"/>
    <w:rsid w:val="3747014D"/>
    <w:rsid w:val="374B6987"/>
    <w:rsid w:val="375B6C80"/>
    <w:rsid w:val="375C0B95"/>
    <w:rsid w:val="377D24EA"/>
    <w:rsid w:val="3790703A"/>
    <w:rsid w:val="37A74E88"/>
    <w:rsid w:val="37AD1D0E"/>
    <w:rsid w:val="37C171C7"/>
    <w:rsid w:val="37CA4D45"/>
    <w:rsid w:val="37EA6A17"/>
    <w:rsid w:val="37FE6BEC"/>
    <w:rsid w:val="380A5A24"/>
    <w:rsid w:val="382D0783"/>
    <w:rsid w:val="383D019E"/>
    <w:rsid w:val="38451104"/>
    <w:rsid w:val="38652678"/>
    <w:rsid w:val="3884097C"/>
    <w:rsid w:val="3892325A"/>
    <w:rsid w:val="389B654A"/>
    <w:rsid w:val="389F7BF8"/>
    <w:rsid w:val="38A94BA3"/>
    <w:rsid w:val="38BC653E"/>
    <w:rsid w:val="38BD2702"/>
    <w:rsid w:val="38D71A53"/>
    <w:rsid w:val="38EC1A3D"/>
    <w:rsid w:val="38EE7F12"/>
    <w:rsid w:val="38F622BF"/>
    <w:rsid w:val="38F74B63"/>
    <w:rsid w:val="38F84269"/>
    <w:rsid w:val="38FA6401"/>
    <w:rsid w:val="3929719C"/>
    <w:rsid w:val="39506AB6"/>
    <w:rsid w:val="3955258A"/>
    <w:rsid w:val="3958538C"/>
    <w:rsid w:val="395F1632"/>
    <w:rsid w:val="3968693E"/>
    <w:rsid w:val="396B2D22"/>
    <w:rsid w:val="399A59A4"/>
    <w:rsid w:val="399E2974"/>
    <w:rsid w:val="39AD1B7B"/>
    <w:rsid w:val="39B26F3C"/>
    <w:rsid w:val="39B35F0D"/>
    <w:rsid w:val="39B61D4D"/>
    <w:rsid w:val="39BA2930"/>
    <w:rsid w:val="39BA7DF4"/>
    <w:rsid w:val="39C866B8"/>
    <w:rsid w:val="39CF2F72"/>
    <w:rsid w:val="39D94CA2"/>
    <w:rsid w:val="39F63B7A"/>
    <w:rsid w:val="3A0D47D7"/>
    <w:rsid w:val="3A107B48"/>
    <w:rsid w:val="3A1736AC"/>
    <w:rsid w:val="3A3667C1"/>
    <w:rsid w:val="3A42053B"/>
    <w:rsid w:val="3A4A6320"/>
    <w:rsid w:val="3A6414E7"/>
    <w:rsid w:val="3A681706"/>
    <w:rsid w:val="3A6A7EB0"/>
    <w:rsid w:val="3A75030F"/>
    <w:rsid w:val="3A9B5F8A"/>
    <w:rsid w:val="3A9C2BF1"/>
    <w:rsid w:val="3AA77BAC"/>
    <w:rsid w:val="3AAA7C0A"/>
    <w:rsid w:val="3ABD1D00"/>
    <w:rsid w:val="3AC11F2B"/>
    <w:rsid w:val="3ACF473A"/>
    <w:rsid w:val="3AD60CC9"/>
    <w:rsid w:val="3ADA36B6"/>
    <w:rsid w:val="3B103394"/>
    <w:rsid w:val="3B151968"/>
    <w:rsid w:val="3B1A22C1"/>
    <w:rsid w:val="3B231A29"/>
    <w:rsid w:val="3B2321E2"/>
    <w:rsid w:val="3B240DA3"/>
    <w:rsid w:val="3B273268"/>
    <w:rsid w:val="3B334DD7"/>
    <w:rsid w:val="3B3E69D9"/>
    <w:rsid w:val="3B4171C3"/>
    <w:rsid w:val="3B441816"/>
    <w:rsid w:val="3B584A09"/>
    <w:rsid w:val="3B5A363D"/>
    <w:rsid w:val="3B7B1805"/>
    <w:rsid w:val="3B7B2140"/>
    <w:rsid w:val="3B873C2C"/>
    <w:rsid w:val="3B964647"/>
    <w:rsid w:val="3BBC7A16"/>
    <w:rsid w:val="3BC85A52"/>
    <w:rsid w:val="3BDA652C"/>
    <w:rsid w:val="3BEA7629"/>
    <w:rsid w:val="3C0035C8"/>
    <w:rsid w:val="3C0B294D"/>
    <w:rsid w:val="3C0F2FD7"/>
    <w:rsid w:val="3C265D73"/>
    <w:rsid w:val="3C3B0FB9"/>
    <w:rsid w:val="3C526550"/>
    <w:rsid w:val="3C6A7D30"/>
    <w:rsid w:val="3C950F0C"/>
    <w:rsid w:val="3CA279D5"/>
    <w:rsid w:val="3CAD6F11"/>
    <w:rsid w:val="3CB52AF5"/>
    <w:rsid w:val="3CBA6138"/>
    <w:rsid w:val="3CBE5DC0"/>
    <w:rsid w:val="3CCC1A9D"/>
    <w:rsid w:val="3CD048DB"/>
    <w:rsid w:val="3CD25455"/>
    <w:rsid w:val="3CD84372"/>
    <w:rsid w:val="3CDC45A5"/>
    <w:rsid w:val="3CDE204C"/>
    <w:rsid w:val="3CDE55F6"/>
    <w:rsid w:val="3CE57664"/>
    <w:rsid w:val="3CEF07B0"/>
    <w:rsid w:val="3CF547F0"/>
    <w:rsid w:val="3CF7310E"/>
    <w:rsid w:val="3D0A24EF"/>
    <w:rsid w:val="3D0D46DF"/>
    <w:rsid w:val="3D214534"/>
    <w:rsid w:val="3D4225DB"/>
    <w:rsid w:val="3D5E11F2"/>
    <w:rsid w:val="3D690DAE"/>
    <w:rsid w:val="3D707C5B"/>
    <w:rsid w:val="3D7429A3"/>
    <w:rsid w:val="3DB112A3"/>
    <w:rsid w:val="3DB80235"/>
    <w:rsid w:val="3DB92E3F"/>
    <w:rsid w:val="3DD1395F"/>
    <w:rsid w:val="3DFB31A5"/>
    <w:rsid w:val="3DFB45F9"/>
    <w:rsid w:val="3E4F0A67"/>
    <w:rsid w:val="3E4F28BB"/>
    <w:rsid w:val="3E504C3C"/>
    <w:rsid w:val="3E5A585B"/>
    <w:rsid w:val="3E602576"/>
    <w:rsid w:val="3E6D68AC"/>
    <w:rsid w:val="3E7657B7"/>
    <w:rsid w:val="3E7D2D88"/>
    <w:rsid w:val="3E93764E"/>
    <w:rsid w:val="3EA03A5D"/>
    <w:rsid w:val="3EB956A6"/>
    <w:rsid w:val="3EC45F40"/>
    <w:rsid w:val="3ED47538"/>
    <w:rsid w:val="3EEA7442"/>
    <w:rsid w:val="3F107DA9"/>
    <w:rsid w:val="3F121D47"/>
    <w:rsid w:val="3F2006FA"/>
    <w:rsid w:val="3F237AEB"/>
    <w:rsid w:val="3F255EE2"/>
    <w:rsid w:val="3F4723E0"/>
    <w:rsid w:val="3F5440AB"/>
    <w:rsid w:val="3F567940"/>
    <w:rsid w:val="3F65517D"/>
    <w:rsid w:val="3F713917"/>
    <w:rsid w:val="3F773D0F"/>
    <w:rsid w:val="3F823162"/>
    <w:rsid w:val="3F8D25DD"/>
    <w:rsid w:val="3F8D492B"/>
    <w:rsid w:val="3F960BF7"/>
    <w:rsid w:val="3FAA5C4C"/>
    <w:rsid w:val="3FAF1C5C"/>
    <w:rsid w:val="3FE56D10"/>
    <w:rsid w:val="401B4263"/>
    <w:rsid w:val="40216364"/>
    <w:rsid w:val="40310B5C"/>
    <w:rsid w:val="40385E01"/>
    <w:rsid w:val="40493C80"/>
    <w:rsid w:val="405E0026"/>
    <w:rsid w:val="4063401F"/>
    <w:rsid w:val="40642868"/>
    <w:rsid w:val="4069760E"/>
    <w:rsid w:val="406F4803"/>
    <w:rsid w:val="40765BC6"/>
    <w:rsid w:val="407C1666"/>
    <w:rsid w:val="408D2352"/>
    <w:rsid w:val="409E0075"/>
    <w:rsid w:val="40A87C5F"/>
    <w:rsid w:val="40A94E20"/>
    <w:rsid w:val="40A960C5"/>
    <w:rsid w:val="40AA6EAA"/>
    <w:rsid w:val="40AA765C"/>
    <w:rsid w:val="40B416B7"/>
    <w:rsid w:val="40D21111"/>
    <w:rsid w:val="40DA6082"/>
    <w:rsid w:val="40E439A9"/>
    <w:rsid w:val="40E8138A"/>
    <w:rsid w:val="40E92FF7"/>
    <w:rsid w:val="40F01130"/>
    <w:rsid w:val="40F70196"/>
    <w:rsid w:val="410D693D"/>
    <w:rsid w:val="411F732E"/>
    <w:rsid w:val="41211416"/>
    <w:rsid w:val="41322966"/>
    <w:rsid w:val="413978A2"/>
    <w:rsid w:val="413E50B8"/>
    <w:rsid w:val="41474664"/>
    <w:rsid w:val="41506184"/>
    <w:rsid w:val="41627D75"/>
    <w:rsid w:val="41694F2C"/>
    <w:rsid w:val="416D1FB5"/>
    <w:rsid w:val="4170325B"/>
    <w:rsid w:val="41720FB5"/>
    <w:rsid w:val="41730D07"/>
    <w:rsid w:val="4173423A"/>
    <w:rsid w:val="41902B92"/>
    <w:rsid w:val="41C64CB8"/>
    <w:rsid w:val="41D028AB"/>
    <w:rsid w:val="41D63F26"/>
    <w:rsid w:val="41E20178"/>
    <w:rsid w:val="41E2022F"/>
    <w:rsid w:val="41E60D0C"/>
    <w:rsid w:val="41E77BCB"/>
    <w:rsid w:val="41FD05AA"/>
    <w:rsid w:val="4212760B"/>
    <w:rsid w:val="421767B3"/>
    <w:rsid w:val="422229DB"/>
    <w:rsid w:val="422A0A83"/>
    <w:rsid w:val="422C3859"/>
    <w:rsid w:val="423F2FD4"/>
    <w:rsid w:val="42505EE4"/>
    <w:rsid w:val="42730D08"/>
    <w:rsid w:val="427B21C3"/>
    <w:rsid w:val="429119F5"/>
    <w:rsid w:val="42915E41"/>
    <w:rsid w:val="42944722"/>
    <w:rsid w:val="42A10D90"/>
    <w:rsid w:val="42BA0FB3"/>
    <w:rsid w:val="42C11E60"/>
    <w:rsid w:val="42C473F2"/>
    <w:rsid w:val="42D1418B"/>
    <w:rsid w:val="42DC12B4"/>
    <w:rsid w:val="42F87D0B"/>
    <w:rsid w:val="42FA5762"/>
    <w:rsid w:val="42FE2D71"/>
    <w:rsid w:val="430A69DE"/>
    <w:rsid w:val="43134C94"/>
    <w:rsid w:val="43196A08"/>
    <w:rsid w:val="431A68E1"/>
    <w:rsid w:val="431C6BC9"/>
    <w:rsid w:val="43464EC2"/>
    <w:rsid w:val="43490AA8"/>
    <w:rsid w:val="436533AE"/>
    <w:rsid w:val="4368382B"/>
    <w:rsid w:val="437841F8"/>
    <w:rsid w:val="43787781"/>
    <w:rsid w:val="438F0AAE"/>
    <w:rsid w:val="43AF4811"/>
    <w:rsid w:val="43B26A05"/>
    <w:rsid w:val="43BF6DEF"/>
    <w:rsid w:val="43D24C60"/>
    <w:rsid w:val="43EB5A74"/>
    <w:rsid w:val="43F0357B"/>
    <w:rsid w:val="43F321B1"/>
    <w:rsid w:val="43F4091B"/>
    <w:rsid w:val="44001E51"/>
    <w:rsid w:val="44013D6C"/>
    <w:rsid w:val="441328B1"/>
    <w:rsid w:val="44223166"/>
    <w:rsid w:val="442C6925"/>
    <w:rsid w:val="443A2387"/>
    <w:rsid w:val="44415521"/>
    <w:rsid w:val="44461648"/>
    <w:rsid w:val="44597B2E"/>
    <w:rsid w:val="445C6678"/>
    <w:rsid w:val="446C478E"/>
    <w:rsid w:val="44706E6A"/>
    <w:rsid w:val="44882270"/>
    <w:rsid w:val="449D0F82"/>
    <w:rsid w:val="44A61B69"/>
    <w:rsid w:val="44A91D23"/>
    <w:rsid w:val="44C2564E"/>
    <w:rsid w:val="44CA5E59"/>
    <w:rsid w:val="44DE15E5"/>
    <w:rsid w:val="44DF452C"/>
    <w:rsid w:val="44F24F9F"/>
    <w:rsid w:val="44F53FBC"/>
    <w:rsid w:val="44FC7513"/>
    <w:rsid w:val="44FE5CC1"/>
    <w:rsid w:val="45036AF3"/>
    <w:rsid w:val="4508473D"/>
    <w:rsid w:val="45102BCD"/>
    <w:rsid w:val="45164E7F"/>
    <w:rsid w:val="45196317"/>
    <w:rsid w:val="452458BF"/>
    <w:rsid w:val="453859FD"/>
    <w:rsid w:val="455020EC"/>
    <w:rsid w:val="45576901"/>
    <w:rsid w:val="456634AE"/>
    <w:rsid w:val="458620D1"/>
    <w:rsid w:val="45A24A5D"/>
    <w:rsid w:val="45A33BAA"/>
    <w:rsid w:val="45A639E7"/>
    <w:rsid w:val="45A85719"/>
    <w:rsid w:val="45BB117C"/>
    <w:rsid w:val="45D10A9B"/>
    <w:rsid w:val="45E51686"/>
    <w:rsid w:val="45E57A43"/>
    <w:rsid w:val="45F40263"/>
    <w:rsid w:val="45F43796"/>
    <w:rsid w:val="45F76A82"/>
    <w:rsid w:val="460E3B07"/>
    <w:rsid w:val="46111FE3"/>
    <w:rsid w:val="462F12AD"/>
    <w:rsid w:val="46326674"/>
    <w:rsid w:val="463F1D7B"/>
    <w:rsid w:val="46466F79"/>
    <w:rsid w:val="466971B1"/>
    <w:rsid w:val="46727855"/>
    <w:rsid w:val="46A13966"/>
    <w:rsid w:val="46B01975"/>
    <w:rsid w:val="46B15BAC"/>
    <w:rsid w:val="46C90747"/>
    <w:rsid w:val="46E44703"/>
    <w:rsid w:val="46FA2178"/>
    <w:rsid w:val="46FF08E1"/>
    <w:rsid w:val="46FF153C"/>
    <w:rsid w:val="4709009D"/>
    <w:rsid w:val="471850D7"/>
    <w:rsid w:val="471F57C4"/>
    <w:rsid w:val="472167CF"/>
    <w:rsid w:val="47245A31"/>
    <w:rsid w:val="472479E1"/>
    <w:rsid w:val="47285D22"/>
    <w:rsid w:val="472B1A28"/>
    <w:rsid w:val="474F1DD6"/>
    <w:rsid w:val="474F47CF"/>
    <w:rsid w:val="47615DF2"/>
    <w:rsid w:val="478F072E"/>
    <w:rsid w:val="47A64D31"/>
    <w:rsid w:val="47AA1047"/>
    <w:rsid w:val="47AB5220"/>
    <w:rsid w:val="47D047AC"/>
    <w:rsid w:val="47D465D2"/>
    <w:rsid w:val="47F22CA9"/>
    <w:rsid w:val="47F5631F"/>
    <w:rsid w:val="47FA5C10"/>
    <w:rsid w:val="48060444"/>
    <w:rsid w:val="480627C0"/>
    <w:rsid w:val="481417F0"/>
    <w:rsid w:val="48200D08"/>
    <w:rsid w:val="4831001E"/>
    <w:rsid w:val="48375794"/>
    <w:rsid w:val="4847697F"/>
    <w:rsid w:val="48603A96"/>
    <w:rsid w:val="48647524"/>
    <w:rsid w:val="486E66D7"/>
    <w:rsid w:val="486F745F"/>
    <w:rsid w:val="4871442B"/>
    <w:rsid w:val="48807E97"/>
    <w:rsid w:val="48830928"/>
    <w:rsid w:val="488869A5"/>
    <w:rsid w:val="48923E4A"/>
    <w:rsid w:val="48B87BF5"/>
    <w:rsid w:val="48CA7928"/>
    <w:rsid w:val="48D65497"/>
    <w:rsid w:val="48E92A25"/>
    <w:rsid w:val="48F43830"/>
    <w:rsid w:val="49060F7A"/>
    <w:rsid w:val="490A2181"/>
    <w:rsid w:val="491D36A3"/>
    <w:rsid w:val="491F055C"/>
    <w:rsid w:val="492559AC"/>
    <w:rsid w:val="49366D6C"/>
    <w:rsid w:val="4937188E"/>
    <w:rsid w:val="495D1B40"/>
    <w:rsid w:val="49617449"/>
    <w:rsid w:val="496A560A"/>
    <w:rsid w:val="496B3716"/>
    <w:rsid w:val="49867420"/>
    <w:rsid w:val="498C41E6"/>
    <w:rsid w:val="498E4568"/>
    <w:rsid w:val="49971434"/>
    <w:rsid w:val="49A038A4"/>
    <w:rsid w:val="49AE333E"/>
    <w:rsid w:val="49B138A0"/>
    <w:rsid w:val="49B74350"/>
    <w:rsid w:val="49C34191"/>
    <w:rsid w:val="49D32058"/>
    <w:rsid w:val="49D901F6"/>
    <w:rsid w:val="4A03679D"/>
    <w:rsid w:val="4A0F6213"/>
    <w:rsid w:val="4A153EDB"/>
    <w:rsid w:val="4A216ECF"/>
    <w:rsid w:val="4A293051"/>
    <w:rsid w:val="4A2C5F37"/>
    <w:rsid w:val="4A2F1FF2"/>
    <w:rsid w:val="4A545A31"/>
    <w:rsid w:val="4A553112"/>
    <w:rsid w:val="4A6A02B3"/>
    <w:rsid w:val="4A6A76A2"/>
    <w:rsid w:val="4A6E2C61"/>
    <w:rsid w:val="4A6E5E1B"/>
    <w:rsid w:val="4A6F7399"/>
    <w:rsid w:val="4A8D7CE4"/>
    <w:rsid w:val="4A9E1F5E"/>
    <w:rsid w:val="4AA9373A"/>
    <w:rsid w:val="4AAE4780"/>
    <w:rsid w:val="4ABB463C"/>
    <w:rsid w:val="4AC22A7C"/>
    <w:rsid w:val="4AC52797"/>
    <w:rsid w:val="4ADB406F"/>
    <w:rsid w:val="4ADC4A9F"/>
    <w:rsid w:val="4AEA4DAD"/>
    <w:rsid w:val="4AEC658B"/>
    <w:rsid w:val="4AF313B8"/>
    <w:rsid w:val="4B0349FF"/>
    <w:rsid w:val="4B0363CB"/>
    <w:rsid w:val="4B0E7989"/>
    <w:rsid w:val="4B1222F4"/>
    <w:rsid w:val="4B137251"/>
    <w:rsid w:val="4B1E40D8"/>
    <w:rsid w:val="4B271062"/>
    <w:rsid w:val="4B3D72A5"/>
    <w:rsid w:val="4B4660C1"/>
    <w:rsid w:val="4B524B51"/>
    <w:rsid w:val="4B6034DE"/>
    <w:rsid w:val="4B6446F7"/>
    <w:rsid w:val="4B70590C"/>
    <w:rsid w:val="4B8676B9"/>
    <w:rsid w:val="4B873C61"/>
    <w:rsid w:val="4B8E04BA"/>
    <w:rsid w:val="4B9F67C7"/>
    <w:rsid w:val="4BB362B0"/>
    <w:rsid w:val="4BB569FC"/>
    <w:rsid w:val="4BBA3FF0"/>
    <w:rsid w:val="4BC0573E"/>
    <w:rsid w:val="4BCA4138"/>
    <w:rsid w:val="4BD914FD"/>
    <w:rsid w:val="4BD91F1C"/>
    <w:rsid w:val="4BEC5D41"/>
    <w:rsid w:val="4BEF23E7"/>
    <w:rsid w:val="4C092C1C"/>
    <w:rsid w:val="4C1E7B16"/>
    <w:rsid w:val="4C226A74"/>
    <w:rsid w:val="4C312543"/>
    <w:rsid w:val="4C3D7453"/>
    <w:rsid w:val="4C543218"/>
    <w:rsid w:val="4C590D85"/>
    <w:rsid w:val="4C5B6DF7"/>
    <w:rsid w:val="4C5C7FA2"/>
    <w:rsid w:val="4C7D6CC5"/>
    <w:rsid w:val="4C891FD4"/>
    <w:rsid w:val="4C8C70B8"/>
    <w:rsid w:val="4C8E7C81"/>
    <w:rsid w:val="4C9515D9"/>
    <w:rsid w:val="4C951975"/>
    <w:rsid w:val="4C9D10F3"/>
    <w:rsid w:val="4CA010CC"/>
    <w:rsid w:val="4CB70EE4"/>
    <w:rsid w:val="4CB93263"/>
    <w:rsid w:val="4CC7549D"/>
    <w:rsid w:val="4CCC3C6F"/>
    <w:rsid w:val="4CCE5A98"/>
    <w:rsid w:val="4CDC785E"/>
    <w:rsid w:val="4D0B7493"/>
    <w:rsid w:val="4D122A21"/>
    <w:rsid w:val="4D152B85"/>
    <w:rsid w:val="4D1C2CCF"/>
    <w:rsid w:val="4D3D0964"/>
    <w:rsid w:val="4D4153CC"/>
    <w:rsid w:val="4D442323"/>
    <w:rsid w:val="4D4730B6"/>
    <w:rsid w:val="4D730A9A"/>
    <w:rsid w:val="4D77691C"/>
    <w:rsid w:val="4D8858EB"/>
    <w:rsid w:val="4D8968F4"/>
    <w:rsid w:val="4D9C6DA9"/>
    <w:rsid w:val="4DC17497"/>
    <w:rsid w:val="4DCB2C6B"/>
    <w:rsid w:val="4DCC5D65"/>
    <w:rsid w:val="4DD54467"/>
    <w:rsid w:val="4DDC4386"/>
    <w:rsid w:val="4DF01146"/>
    <w:rsid w:val="4E046949"/>
    <w:rsid w:val="4E237B90"/>
    <w:rsid w:val="4E487ED9"/>
    <w:rsid w:val="4E496543"/>
    <w:rsid w:val="4E544995"/>
    <w:rsid w:val="4E552989"/>
    <w:rsid w:val="4E772E0D"/>
    <w:rsid w:val="4E774D8F"/>
    <w:rsid w:val="4E842F59"/>
    <w:rsid w:val="4E9A7376"/>
    <w:rsid w:val="4EA114F8"/>
    <w:rsid w:val="4EA56E6D"/>
    <w:rsid w:val="4EA86B20"/>
    <w:rsid w:val="4EC00A71"/>
    <w:rsid w:val="4EC17E9E"/>
    <w:rsid w:val="4ED43005"/>
    <w:rsid w:val="4EE07D3F"/>
    <w:rsid w:val="4EEE7E32"/>
    <w:rsid w:val="4EEF1E97"/>
    <w:rsid w:val="4EF13ACB"/>
    <w:rsid w:val="4F023DAD"/>
    <w:rsid w:val="4F0C738D"/>
    <w:rsid w:val="4F26040A"/>
    <w:rsid w:val="4F5A7C58"/>
    <w:rsid w:val="4F5E1303"/>
    <w:rsid w:val="4F6051BF"/>
    <w:rsid w:val="4F6603AB"/>
    <w:rsid w:val="4F8776F4"/>
    <w:rsid w:val="4F9A492F"/>
    <w:rsid w:val="4F9C2D79"/>
    <w:rsid w:val="4FAD3D77"/>
    <w:rsid w:val="4FC539CF"/>
    <w:rsid w:val="4FC835DC"/>
    <w:rsid w:val="4FD90B2E"/>
    <w:rsid w:val="4FDA66A3"/>
    <w:rsid w:val="4FDB0887"/>
    <w:rsid w:val="4FEC2D98"/>
    <w:rsid w:val="4FF95BE3"/>
    <w:rsid w:val="50045E59"/>
    <w:rsid w:val="50143102"/>
    <w:rsid w:val="5028191E"/>
    <w:rsid w:val="503029BF"/>
    <w:rsid w:val="50450869"/>
    <w:rsid w:val="50461F8A"/>
    <w:rsid w:val="50482FF8"/>
    <w:rsid w:val="505E3C8D"/>
    <w:rsid w:val="50605398"/>
    <w:rsid w:val="506B0B34"/>
    <w:rsid w:val="50852AB2"/>
    <w:rsid w:val="50916F64"/>
    <w:rsid w:val="509727E6"/>
    <w:rsid w:val="509E5C09"/>
    <w:rsid w:val="50A62D48"/>
    <w:rsid w:val="50A82C45"/>
    <w:rsid w:val="50B361EF"/>
    <w:rsid w:val="50DB006F"/>
    <w:rsid w:val="50E27F2F"/>
    <w:rsid w:val="50EE429B"/>
    <w:rsid w:val="50F3504C"/>
    <w:rsid w:val="50F6575E"/>
    <w:rsid w:val="51027285"/>
    <w:rsid w:val="510D0A84"/>
    <w:rsid w:val="512C07EE"/>
    <w:rsid w:val="51454495"/>
    <w:rsid w:val="515661FD"/>
    <w:rsid w:val="51592EBB"/>
    <w:rsid w:val="51597A9B"/>
    <w:rsid w:val="51735F41"/>
    <w:rsid w:val="517830B0"/>
    <w:rsid w:val="51790C79"/>
    <w:rsid w:val="518E3BE9"/>
    <w:rsid w:val="51A36139"/>
    <w:rsid w:val="51D007B9"/>
    <w:rsid w:val="51E02F27"/>
    <w:rsid w:val="51E04182"/>
    <w:rsid w:val="51F7178E"/>
    <w:rsid w:val="51F93925"/>
    <w:rsid w:val="52073EDA"/>
    <w:rsid w:val="52166259"/>
    <w:rsid w:val="521D44AE"/>
    <w:rsid w:val="524D011C"/>
    <w:rsid w:val="526235EF"/>
    <w:rsid w:val="526801FC"/>
    <w:rsid w:val="52740554"/>
    <w:rsid w:val="527461F8"/>
    <w:rsid w:val="527D2F6B"/>
    <w:rsid w:val="52945240"/>
    <w:rsid w:val="52946FDD"/>
    <w:rsid w:val="52972F91"/>
    <w:rsid w:val="52AB6302"/>
    <w:rsid w:val="52DA325B"/>
    <w:rsid w:val="52DB6AD9"/>
    <w:rsid w:val="52E5101D"/>
    <w:rsid w:val="52E676A2"/>
    <w:rsid w:val="52EA30A1"/>
    <w:rsid w:val="52F8129E"/>
    <w:rsid w:val="52FB177B"/>
    <w:rsid w:val="530B071F"/>
    <w:rsid w:val="5312149B"/>
    <w:rsid w:val="532748A7"/>
    <w:rsid w:val="532C06C0"/>
    <w:rsid w:val="535B73DE"/>
    <w:rsid w:val="53740BBC"/>
    <w:rsid w:val="537901CE"/>
    <w:rsid w:val="538454F7"/>
    <w:rsid w:val="53894163"/>
    <w:rsid w:val="53963229"/>
    <w:rsid w:val="53A07F12"/>
    <w:rsid w:val="53AD546C"/>
    <w:rsid w:val="53B54F6C"/>
    <w:rsid w:val="53B86CFB"/>
    <w:rsid w:val="53E0348D"/>
    <w:rsid w:val="53E5423D"/>
    <w:rsid w:val="53EA19F0"/>
    <w:rsid w:val="53F908B1"/>
    <w:rsid w:val="54056C36"/>
    <w:rsid w:val="54065CB8"/>
    <w:rsid w:val="540B32CF"/>
    <w:rsid w:val="540C7047"/>
    <w:rsid w:val="54200456"/>
    <w:rsid w:val="54221C2B"/>
    <w:rsid w:val="5436341E"/>
    <w:rsid w:val="54492F6D"/>
    <w:rsid w:val="54514734"/>
    <w:rsid w:val="546D5CA2"/>
    <w:rsid w:val="547828B5"/>
    <w:rsid w:val="547938A0"/>
    <w:rsid w:val="54AB1DF4"/>
    <w:rsid w:val="54B13602"/>
    <w:rsid w:val="54B27BEE"/>
    <w:rsid w:val="54B70989"/>
    <w:rsid w:val="54BF1612"/>
    <w:rsid w:val="54D44941"/>
    <w:rsid w:val="54DE6EBF"/>
    <w:rsid w:val="54E16725"/>
    <w:rsid w:val="54F2004E"/>
    <w:rsid w:val="54F7272D"/>
    <w:rsid w:val="54F92AAB"/>
    <w:rsid w:val="552D1A7A"/>
    <w:rsid w:val="55550481"/>
    <w:rsid w:val="55550F5B"/>
    <w:rsid w:val="555D72FC"/>
    <w:rsid w:val="55603E89"/>
    <w:rsid w:val="556174A2"/>
    <w:rsid w:val="55675C14"/>
    <w:rsid w:val="556A1C66"/>
    <w:rsid w:val="556E756B"/>
    <w:rsid w:val="559E0679"/>
    <w:rsid w:val="55AD03B6"/>
    <w:rsid w:val="55B21FE3"/>
    <w:rsid w:val="55C675FB"/>
    <w:rsid w:val="55CA5A69"/>
    <w:rsid w:val="55CE4B64"/>
    <w:rsid w:val="55D048F7"/>
    <w:rsid w:val="55E77713"/>
    <w:rsid w:val="560C1580"/>
    <w:rsid w:val="56175D31"/>
    <w:rsid w:val="5620700A"/>
    <w:rsid w:val="56275C75"/>
    <w:rsid w:val="562B1B57"/>
    <w:rsid w:val="56352D53"/>
    <w:rsid w:val="563E6603"/>
    <w:rsid w:val="565A1CE7"/>
    <w:rsid w:val="56667BCE"/>
    <w:rsid w:val="566969D2"/>
    <w:rsid w:val="568C4C86"/>
    <w:rsid w:val="56960AAB"/>
    <w:rsid w:val="56A812A9"/>
    <w:rsid w:val="56B139A7"/>
    <w:rsid w:val="56C5095D"/>
    <w:rsid w:val="56DD0793"/>
    <w:rsid w:val="56F54F89"/>
    <w:rsid w:val="56F569F9"/>
    <w:rsid w:val="56FC48F7"/>
    <w:rsid w:val="57212E09"/>
    <w:rsid w:val="572920D2"/>
    <w:rsid w:val="572D2FE2"/>
    <w:rsid w:val="57376DDA"/>
    <w:rsid w:val="573C7C43"/>
    <w:rsid w:val="57551807"/>
    <w:rsid w:val="57560D05"/>
    <w:rsid w:val="57871726"/>
    <w:rsid w:val="57910049"/>
    <w:rsid w:val="5791393B"/>
    <w:rsid w:val="57963B85"/>
    <w:rsid w:val="57A314E8"/>
    <w:rsid w:val="57A53A3A"/>
    <w:rsid w:val="57AA14AD"/>
    <w:rsid w:val="57AF0EC6"/>
    <w:rsid w:val="57B10CE9"/>
    <w:rsid w:val="57E23B1A"/>
    <w:rsid w:val="57EF77FA"/>
    <w:rsid w:val="57FD5D21"/>
    <w:rsid w:val="5811641E"/>
    <w:rsid w:val="582854DF"/>
    <w:rsid w:val="582901C7"/>
    <w:rsid w:val="583A72F9"/>
    <w:rsid w:val="58431F89"/>
    <w:rsid w:val="584D6A47"/>
    <w:rsid w:val="584E7C2E"/>
    <w:rsid w:val="58503BD9"/>
    <w:rsid w:val="58524590"/>
    <w:rsid w:val="5870172D"/>
    <w:rsid w:val="587020A4"/>
    <w:rsid w:val="589A2E73"/>
    <w:rsid w:val="58B255B1"/>
    <w:rsid w:val="58BA3515"/>
    <w:rsid w:val="58D0564A"/>
    <w:rsid w:val="58DC68FD"/>
    <w:rsid w:val="58DC7D89"/>
    <w:rsid w:val="58DF1374"/>
    <w:rsid w:val="58E14F46"/>
    <w:rsid w:val="58E47103"/>
    <w:rsid w:val="58F22021"/>
    <w:rsid w:val="58F508BE"/>
    <w:rsid w:val="59006114"/>
    <w:rsid w:val="59061863"/>
    <w:rsid w:val="59115620"/>
    <w:rsid w:val="59146352"/>
    <w:rsid w:val="591C0817"/>
    <w:rsid w:val="5923730C"/>
    <w:rsid w:val="594B0E7C"/>
    <w:rsid w:val="594D25DB"/>
    <w:rsid w:val="59514DAD"/>
    <w:rsid w:val="595C38B0"/>
    <w:rsid w:val="597159AF"/>
    <w:rsid w:val="597F12B6"/>
    <w:rsid w:val="59927801"/>
    <w:rsid w:val="5998730B"/>
    <w:rsid w:val="59A21779"/>
    <w:rsid w:val="59AB21EA"/>
    <w:rsid w:val="59BF71FB"/>
    <w:rsid w:val="59C20139"/>
    <w:rsid w:val="59DA22DC"/>
    <w:rsid w:val="59DB0023"/>
    <w:rsid w:val="59DC278F"/>
    <w:rsid w:val="59E635D1"/>
    <w:rsid w:val="59E72A03"/>
    <w:rsid w:val="59F86C66"/>
    <w:rsid w:val="59F900A2"/>
    <w:rsid w:val="5A02062A"/>
    <w:rsid w:val="5A072C32"/>
    <w:rsid w:val="5A0A778E"/>
    <w:rsid w:val="5A0C7930"/>
    <w:rsid w:val="5A0F4ECA"/>
    <w:rsid w:val="5A137390"/>
    <w:rsid w:val="5A262B98"/>
    <w:rsid w:val="5A2748FD"/>
    <w:rsid w:val="5A427D7C"/>
    <w:rsid w:val="5A457E59"/>
    <w:rsid w:val="5A636653"/>
    <w:rsid w:val="5A644B05"/>
    <w:rsid w:val="5A657AF5"/>
    <w:rsid w:val="5A7003F4"/>
    <w:rsid w:val="5A786548"/>
    <w:rsid w:val="5A843F22"/>
    <w:rsid w:val="5A8B7A02"/>
    <w:rsid w:val="5A961824"/>
    <w:rsid w:val="5A9D2792"/>
    <w:rsid w:val="5A9E4719"/>
    <w:rsid w:val="5AAF1395"/>
    <w:rsid w:val="5AB04D57"/>
    <w:rsid w:val="5AB6201D"/>
    <w:rsid w:val="5AC40647"/>
    <w:rsid w:val="5ADB7FC0"/>
    <w:rsid w:val="5ADC3B08"/>
    <w:rsid w:val="5AE223F3"/>
    <w:rsid w:val="5AF94D35"/>
    <w:rsid w:val="5B0B2349"/>
    <w:rsid w:val="5B2353A2"/>
    <w:rsid w:val="5B3539B0"/>
    <w:rsid w:val="5B383209"/>
    <w:rsid w:val="5B42342D"/>
    <w:rsid w:val="5B423ECD"/>
    <w:rsid w:val="5B446AD6"/>
    <w:rsid w:val="5B476268"/>
    <w:rsid w:val="5B602639"/>
    <w:rsid w:val="5B615ECA"/>
    <w:rsid w:val="5B6D35C8"/>
    <w:rsid w:val="5B7F0145"/>
    <w:rsid w:val="5B9718EC"/>
    <w:rsid w:val="5BA00806"/>
    <w:rsid w:val="5BA37E9E"/>
    <w:rsid w:val="5BB0635C"/>
    <w:rsid w:val="5BE76ED1"/>
    <w:rsid w:val="5BEC71AA"/>
    <w:rsid w:val="5BEF18F6"/>
    <w:rsid w:val="5BF81DF7"/>
    <w:rsid w:val="5C1B251D"/>
    <w:rsid w:val="5C1D5554"/>
    <w:rsid w:val="5C2F4FB1"/>
    <w:rsid w:val="5C401276"/>
    <w:rsid w:val="5C4750C0"/>
    <w:rsid w:val="5C4E755B"/>
    <w:rsid w:val="5C613D58"/>
    <w:rsid w:val="5C695116"/>
    <w:rsid w:val="5C6C6DBD"/>
    <w:rsid w:val="5C704F3D"/>
    <w:rsid w:val="5C7D1D79"/>
    <w:rsid w:val="5C7F5DAA"/>
    <w:rsid w:val="5C9F267F"/>
    <w:rsid w:val="5CC8545E"/>
    <w:rsid w:val="5CC901CB"/>
    <w:rsid w:val="5CCD62E6"/>
    <w:rsid w:val="5CCD7615"/>
    <w:rsid w:val="5CD1207B"/>
    <w:rsid w:val="5CE609DA"/>
    <w:rsid w:val="5CFA2C85"/>
    <w:rsid w:val="5D3A123C"/>
    <w:rsid w:val="5D7A5403"/>
    <w:rsid w:val="5D965A03"/>
    <w:rsid w:val="5DAF357B"/>
    <w:rsid w:val="5DBC4DF8"/>
    <w:rsid w:val="5DBF657E"/>
    <w:rsid w:val="5DC04FC2"/>
    <w:rsid w:val="5DC138DA"/>
    <w:rsid w:val="5DC939B1"/>
    <w:rsid w:val="5DE340A2"/>
    <w:rsid w:val="5DE95B14"/>
    <w:rsid w:val="5DF22D17"/>
    <w:rsid w:val="5DFD77B7"/>
    <w:rsid w:val="5E0912BB"/>
    <w:rsid w:val="5E0A45F7"/>
    <w:rsid w:val="5E0E3977"/>
    <w:rsid w:val="5E2356B9"/>
    <w:rsid w:val="5E303744"/>
    <w:rsid w:val="5E4F4460"/>
    <w:rsid w:val="5E523DA9"/>
    <w:rsid w:val="5E646C96"/>
    <w:rsid w:val="5E75582F"/>
    <w:rsid w:val="5E952A3E"/>
    <w:rsid w:val="5E977DDD"/>
    <w:rsid w:val="5E99006F"/>
    <w:rsid w:val="5E9D402F"/>
    <w:rsid w:val="5EB42F3B"/>
    <w:rsid w:val="5ED16293"/>
    <w:rsid w:val="5ED86BCA"/>
    <w:rsid w:val="5ED94731"/>
    <w:rsid w:val="5EDA5E8A"/>
    <w:rsid w:val="5EE23CFB"/>
    <w:rsid w:val="5EE66DF5"/>
    <w:rsid w:val="5EE72B8A"/>
    <w:rsid w:val="5EEC1A2F"/>
    <w:rsid w:val="5EED73BA"/>
    <w:rsid w:val="5EF57055"/>
    <w:rsid w:val="5F2362F4"/>
    <w:rsid w:val="5F3C6B9F"/>
    <w:rsid w:val="5F5561D5"/>
    <w:rsid w:val="5F5F30DF"/>
    <w:rsid w:val="5F6803A9"/>
    <w:rsid w:val="5F7F1C23"/>
    <w:rsid w:val="5FA4426B"/>
    <w:rsid w:val="5FA83700"/>
    <w:rsid w:val="5FCA6374"/>
    <w:rsid w:val="5FCA6734"/>
    <w:rsid w:val="5FCD1368"/>
    <w:rsid w:val="5FCE502F"/>
    <w:rsid w:val="5FE14455"/>
    <w:rsid w:val="5FF003B5"/>
    <w:rsid w:val="5FF054C7"/>
    <w:rsid w:val="5FFF3C65"/>
    <w:rsid w:val="601B510D"/>
    <w:rsid w:val="603A2CEC"/>
    <w:rsid w:val="603B2BA8"/>
    <w:rsid w:val="60430294"/>
    <w:rsid w:val="60520F0F"/>
    <w:rsid w:val="60572341"/>
    <w:rsid w:val="60594CDA"/>
    <w:rsid w:val="606001E5"/>
    <w:rsid w:val="60630022"/>
    <w:rsid w:val="60AE2B38"/>
    <w:rsid w:val="60CE06CF"/>
    <w:rsid w:val="60D52E50"/>
    <w:rsid w:val="60D61108"/>
    <w:rsid w:val="60E44F8E"/>
    <w:rsid w:val="60E5239E"/>
    <w:rsid w:val="60F6584D"/>
    <w:rsid w:val="60F83273"/>
    <w:rsid w:val="60F943A5"/>
    <w:rsid w:val="610417D1"/>
    <w:rsid w:val="610422CE"/>
    <w:rsid w:val="61176028"/>
    <w:rsid w:val="61254703"/>
    <w:rsid w:val="614D042A"/>
    <w:rsid w:val="6155164E"/>
    <w:rsid w:val="61675870"/>
    <w:rsid w:val="61691D26"/>
    <w:rsid w:val="616C21F1"/>
    <w:rsid w:val="618D6D00"/>
    <w:rsid w:val="61900858"/>
    <w:rsid w:val="619F4124"/>
    <w:rsid w:val="61A11080"/>
    <w:rsid w:val="61B249AE"/>
    <w:rsid w:val="61B74EE7"/>
    <w:rsid w:val="61C97C73"/>
    <w:rsid w:val="61DC3844"/>
    <w:rsid w:val="61E21073"/>
    <w:rsid w:val="62024B80"/>
    <w:rsid w:val="620472B0"/>
    <w:rsid w:val="621E6443"/>
    <w:rsid w:val="62332B9A"/>
    <w:rsid w:val="62385460"/>
    <w:rsid w:val="62406C6A"/>
    <w:rsid w:val="62463300"/>
    <w:rsid w:val="62465E1A"/>
    <w:rsid w:val="624778E4"/>
    <w:rsid w:val="624B3430"/>
    <w:rsid w:val="625978FB"/>
    <w:rsid w:val="625F7D31"/>
    <w:rsid w:val="62635B97"/>
    <w:rsid w:val="628724FB"/>
    <w:rsid w:val="62A07592"/>
    <w:rsid w:val="62D705FF"/>
    <w:rsid w:val="62DB1464"/>
    <w:rsid w:val="62E80565"/>
    <w:rsid w:val="62EC10F2"/>
    <w:rsid w:val="62F15D85"/>
    <w:rsid w:val="62F760B7"/>
    <w:rsid w:val="62FD26CF"/>
    <w:rsid w:val="630B2015"/>
    <w:rsid w:val="631D3B96"/>
    <w:rsid w:val="632320F9"/>
    <w:rsid w:val="632C6336"/>
    <w:rsid w:val="63311929"/>
    <w:rsid w:val="63326863"/>
    <w:rsid w:val="633C4B5A"/>
    <w:rsid w:val="63417E60"/>
    <w:rsid w:val="634651F4"/>
    <w:rsid w:val="634B2A2E"/>
    <w:rsid w:val="634C2528"/>
    <w:rsid w:val="63647A76"/>
    <w:rsid w:val="63687889"/>
    <w:rsid w:val="63691CF9"/>
    <w:rsid w:val="636C365E"/>
    <w:rsid w:val="636C5D59"/>
    <w:rsid w:val="63737669"/>
    <w:rsid w:val="63783597"/>
    <w:rsid w:val="63842EA9"/>
    <w:rsid w:val="63892ADC"/>
    <w:rsid w:val="63896F3B"/>
    <w:rsid w:val="63957059"/>
    <w:rsid w:val="639C6030"/>
    <w:rsid w:val="63A66B70"/>
    <w:rsid w:val="63A85D05"/>
    <w:rsid w:val="63C00AE4"/>
    <w:rsid w:val="63C35974"/>
    <w:rsid w:val="63D37537"/>
    <w:rsid w:val="63E5799A"/>
    <w:rsid w:val="63EB18C6"/>
    <w:rsid w:val="63F92EEA"/>
    <w:rsid w:val="64051A8B"/>
    <w:rsid w:val="640A33E4"/>
    <w:rsid w:val="642C32BB"/>
    <w:rsid w:val="642F4205"/>
    <w:rsid w:val="643072A6"/>
    <w:rsid w:val="643248A8"/>
    <w:rsid w:val="643B01BA"/>
    <w:rsid w:val="64430AFA"/>
    <w:rsid w:val="644E7D61"/>
    <w:rsid w:val="646A07CC"/>
    <w:rsid w:val="647342CE"/>
    <w:rsid w:val="6477329E"/>
    <w:rsid w:val="64780AB8"/>
    <w:rsid w:val="649A0E1F"/>
    <w:rsid w:val="64A357A5"/>
    <w:rsid w:val="64A92A42"/>
    <w:rsid w:val="64C100F4"/>
    <w:rsid w:val="64DE4C40"/>
    <w:rsid w:val="65181CEF"/>
    <w:rsid w:val="65473993"/>
    <w:rsid w:val="655647D2"/>
    <w:rsid w:val="655D4AEF"/>
    <w:rsid w:val="65612551"/>
    <w:rsid w:val="65616EB4"/>
    <w:rsid w:val="656C190B"/>
    <w:rsid w:val="656D0182"/>
    <w:rsid w:val="65840A05"/>
    <w:rsid w:val="65D379C4"/>
    <w:rsid w:val="65DE73FE"/>
    <w:rsid w:val="65F81F70"/>
    <w:rsid w:val="660D3C8A"/>
    <w:rsid w:val="66186914"/>
    <w:rsid w:val="662A5730"/>
    <w:rsid w:val="662B6E9F"/>
    <w:rsid w:val="662C133F"/>
    <w:rsid w:val="66502702"/>
    <w:rsid w:val="66680A54"/>
    <w:rsid w:val="667D7A9C"/>
    <w:rsid w:val="66830175"/>
    <w:rsid w:val="6685639F"/>
    <w:rsid w:val="668E58BD"/>
    <w:rsid w:val="66994753"/>
    <w:rsid w:val="66C873B4"/>
    <w:rsid w:val="66CA5C98"/>
    <w:rsid w:val="66E1288D"/>
    <w:rsid w:val="66F0390D"/>
    <w:rsid w:val="67092186"/>
    <w:rsid w:val="6709548E"/>
    <w:rsid w:val="67096B35"/>
    <w:rsid w:val="67145FE6"/>
    <w:rsid w:val="67171522"/>
    <w:rsid w:val="672576DC"/>
    <w:rsid w:val="673D72AB"/>
    <w:rsid w:val="673F7444"/>
    <w:rsid w:val="674658DA"/>
    <w:rsid w:val="67592F1E"/>
    <w:rsid w:val="675D2D9F"/>
    <w:rsid w:val="67633699"/>
    <w:rsid w:val="678D5E82"/>
    <w:rsid w:val="678F3DBF"/>
    <w:rsid w:val="67AA29A7"/>
    <w:rsid w:val="67BC3AC4"/>
    <w:rsid w:val="67CE6B15"/>
    <w:rsid w:val="67E14386"/>
    <w:rsid w:val="67E80D53"/>
    <w:rsid w:val="67F61157"/>
    <w:rsid w:val="67F66B18"/>
    <w:rsid w:val="68277C67"/>
    <w:rsid w:val="68296CCD"/>
    <w:rsid w:val="683A1F7D"/>
    <w:rsid w:val="68430352"/>
    <w:rsid w:val="68452ADF"/>
    <w:rsid w:val="68482498"/>
    <w:rsid w:val="6856162A"/>
    <w:rsid w:val="68664B20"/>
    <w:rsid w:val="68680898"/>
    <w:rsid w:val="6882549E"/>
    <w:rsid w:val="68984AF9"/>
    <w:rsid w:val="68984EEA"/>
    <w:rsid w:val="689A27E8"/>
    <w:rsid w:val="689D7970"/>
    <w:rsid w:val="68B751F8"/>
    <w:rsid w:val="68BF247F"/>
    <w:rsid w:val="68C14A1B"/>
    <w:rsid w:val="68C33D20"/>
    <w:rsid w:val="68C85165"/>
    <w:rsid w:val="68CD4762"/>
    <w:rsid w:val="68D03DCD"/>
    <w:rsid w:val="68ED7F96"/>
    <w:rsid w:val="69105AF0"/>
    <w:rsid w:val="692B6B00"/>
    <w:rsid w:val="693E3CEF"/>
    <w:rsid w:val="69433C8E"/>
    <w:rsid w:val="6962178B"/>
    <w:rsid w:val="69703190"/>
    <w:rsid w:val="69747710"/>
    <w:rsid w:val="69780874"/>
    <w:rsid w:val="69790883"/>
    <w:rsid w:val="69C85FBC"/>
    <w:rsid w:val="69D75139"/>
    <w:rsid w:val="69E46ABD"/>
    <w:rsid w:val="69E57703"/>
    <w:rsid w:val="69E63F88"/>
    <w:rsid w:val="6A093EE9"/>
    <w:rsid w:val="6A246A40"/>
    <w:rsid w:val="6A252FEE"/>
    <w:rsid w:val="6A2D34C9"/>
    <w:rsid w:val="6A3A2D49"/>
    <w:rsid w:val="6A3E081A"/>
    <w:rsid w:val="6A454083"/>
    <w:rsid w:val="6A484DBA"/>
    <w:rsid w:val="6A4E2969"/>
    <w:rsid w:val="6A63681F"/>
    <w:rsid w:val="6A6D6FE9"/>
    <w:rsid w:val="6A7A173E"/>
    <w:rsid w:val="6A7D6AB5"/>
    <w:rsid w:val="6A824715"/>
    <w:rsid w:val="6A8521B8"/>
    <w:rsid w:val="6A941E18"/>
    <w:rsid w:val="6A9806C4"/>
    <w:rsid w:val="6A9F6D08"/>
    <w:rsid w:val="6AAA634C"/>
    <w:rsid w:val="6AB15F82"/>
    <w:rsid w:val="6AB267E2"/>
    <w:rsid w:val="6ADE4939"/>
    <w:rsid w:val="6AE14931"/>
    <w:rsid w:val="6AEA1C85"/>
    <w:rsid w:val="6AF64904"/>
    <w:rsid w:val="6B0827A0"/>
    <w:rsid w:val="6B0E684E"/>
    <w:rsid w:val="6B132DED"/>
    <w:rsid w:val="6B1B5777"/>
    <w:rsid w:val="6B224A20"/>
    <w:rsid w:val="6B2447A3"/>
    <w:rsid w:val="6B467B41"/>
    <w:rsid w:val="6B4B0C4E"/>
    <w:rsid w:val="6B4D1C1E"/>
    <w:rsid w:val="6B6B71B5"/>
    <w:rsid w:val="6B756ACD"/>
    <w:rsid w:val="6B842DAA"/>
    <w:rsid w:val="6B973BD8"/>
    <w:rsid w:val="6B9C63ED"/>
    <w:rsid w:val="6BAE5E8B"/>
    <w:rsid w:val="6BB25075"/>
    <w:rsid w:val="6BB8537F"/>
    <w:rsid w:val="6BBA41F0"/>
    <w:rsid w:val="6BC3094D"/>
    <w:rsid w:val="6BC3408F"/>
    <w:rsid w:val="6BDF5356"/>
    <w:rsid w:val="6BE668CD"/>
    <w:rsid w:val="6C287098"/>
    <w:rsid w:val="6C3A5EC1"/>
    <w:rsid w:val="6C3C73B7"/>
    <w:rsid w:val="6C716011"/>
    <w:rsid w:val="6C732069"/>
    <w:rsid w:val="6C9B562B"/>
    <w:rsid w:val="6C9F62BC"/>
    <w:rsid w:val="6CA039A8"/>
    <w:rsid w:val="6CA20743"/>
    <w:rsid w:val="6CB61E3A"/>
    <w:rsid w:val="6CB703D1"/>
    <w:rsid w:val="6CB95B66"/>
    <w:rsid w:val="6CBF1591"/>
    <w:rsid w:val="6CC94373"/>
    <w:rsid w:val="6CCA174A"/>
    <w:rsid w:val="6CD767FA"/>
    <w:rsid w:val="6CE246B4"/>
    <w:rsid w:val="6CE32517"/>
    <w:rsid w:val="6CE52D0A"/>
    <w:rsid w:val="6CE87149"/>
    <w:rsid w:val="6CE95B70"/>
    <w:rsid w:val="6CEE0594"/>
    <w:rsid w:val="6CF66305"/>
    <w:rsid w:val="6CFB0AC9"/>
    <w:rsid w:val="6D0D5BC8"/>
    <w:rsid w:val="6D225521"/>
    <w:rsid w:val="6D274150"/>
    <w:rsid w:val="6D2772D4"/>
    <w:rsid w:val="6D2B5ADB"/>
    <w:rsid w:val="6D2C5676"/>
    <w:rsid w:val="6D4573FA"/>
    <w:rsid w:val="6D4C6B28"/>
    <w:rsid w:val="6D4F0753"/>
    <w:rsid w:val="6D5161E4"/>
    <w:rsid w:val="6D625946"/>
    <w:rsid w:val="6D684382"/>
    <w:rsid w:val="6D6C54A1"/>
    <w:rsid w:val="6D714693"/>
    <w:rsid w:val="6D7D3701"/>
    <w:rsid w:val="6D7E278E"/>
    <w:rsid w:val="6D932265"/>
    <w:rsid w:val="6D99642B"/>
    <w:rsid w:val="6DAC7479"/>
    <w:rsid w:val="6DAE5391"/>
    <w:rsid w:val="6DBA09B7"/>
    <w:rsid w:val="6DC17E3E"/>
    <w:rsid w:val="6DC31920"/>
    <w:rsid w:val="6DC33B7F"/>
    <w:rsid w:val="6DD42DF2"/>
    <w:rsid w:val="6DD61A7C"/>
    <w:rsid w:val="6DD8201C"/>
    <w:rsid w:val="6DDA2D50"/>
    <w:rsid w:val="6DE5483F"/>
    <w:rsid w:val="6E3363D6"/>
    <w:rsid w:val="6E3466A6"/>
    <w:rsid w:val="6E3E24A5"/>
    <w:rsid w:val="6E407F6E"/>
    <w:rsid w:val="6E475D56"/>
    <w:rsid w:val="6E475F8B"/>
    <w:rsid w:val="6E6B6B2B"/>
    <w:rsid w:val="6E763327"/>
    <w:rsid w:val="6E914A7C"/>
    <w:rsid w:val="6E951F31"/>
    <w:rsid w:val="6E970D76"/>
    <w:rsid w:val="6E995702"/>
    <w:rsid w:val="6EAC5256"/>
    <w:rsid w:val="6EAD34A8"/>
    <w:rsid w:val="6EBD0248"/>
    <w:rsid w:val="6EC802E2"/>
    <w:rsid w:val="6EDC4042"/>
    <w:rsid w:val="6EEA1F7D"/>
    <w:rsid w:val="6EEE586F"/>
    <w:rsid w:val="6F0B01CF"/>
    <w:rsid w:val="6F124BBE"/>
    <w:rsid w:val="6F387F61"/>
    <w:rsid w:val="6F3F189D"/>
    <w:rsid w:val="6F40125B"/>
    <w:rsid w:val="6F4936D7"/>
    <w:rsid w:val="6F4F3D3E"/>
    <w:rsid w:val="6F52128B"/>
    <w:rsid w:val="6F9208F0"/>
    <w:rsid w:val="6F994256"/>
    <w:rsid w:val="6F9B0E67"/>
    <w:rsid w:val="6F9E32BD"/>
    <w:rsid w:val="6FA21CCE"/>
    <w:rsid w:val="6FC84312"/>
    <w:rsid w:val="6FF326D1"/>
    <w:rsid w:val="6FF801F8"/>
    <w:rsid w:val="70020B77"/>
    <w:rsid w:val="701103B6"/>
    <w:rsid w:val="703025E3"/>
    <w:rsid w:val="703A7547"/>
    <w:rsid w:val="703C127D"/>
    <w:rsid w:val="703F2F31"/>
    <w:rsid w:val="7042722E"/>
    <w:rsid w:val="705102FE"/>
    <w:rsid w:val="70550D0E"/>
    <w:rsid w:val="70585414"/>
    <w:rsid w:val="706511F5"/>
    <w:rsid w:val="707E00D7"/>
    <w:rsid w:val="70906967"/>
    <w:rsid w:val="70AD5668"/>
    <w:rsid w:val="70B52AE8"/>
    <w:rsid w:val="70C05B3C"/>
    <w:rsid w:val="70C3242C"/>
    <w:rsid w:val="70C4060A"/>
    <w:rsid w:val="70C66336"/>
    <w:rsid w:val="70CE7706"/>
    <w:rsid w:val="70D01BCA"/>
    <w:rsid w:val="70DA78D9"/>
    <w:rsid w:val="70E42487"/>
    <w:rsid w:val="70EE760A"/>
    <w:rsid w:val="71021257"/>
    <w:rsid w:val="71073D02"/>
    <w:rsid w:val="710D0A82"/>
    <w:rsid w:val="71104D71"/>
    <w:rsid w:val="71136FA4"/>
    <w:rsid w:val="713F638B"/>
    <w:rsid w:val="71443075"/>
    <w:rsid w:val="714567C6"/>
    <w:rsid w:val="7148063F"/>
    <w:rsid w:val="7149257E"/>
    <w:rsid w:val="716A690C"/>
    <w:rsid w:val="71710CB1"/>
    <w:rsid w:val="71714B6E"/>
    <w:rsid w:val="717F1E5E"/>
    <w:rsid w:val="719D5EF5"/>
    <w:rsid w:val="71A202B9"/>
    <w:rsid w:val="71B0539D"/>
    <w:rsid w:val="71CA1032"/>
    <w:rsid w:val="71F25676"/>
    <w:rsid w:val="71F85A3E"/>
    <w:rsid w:val="720430D3"/>
    <w:rsid w:val="7215435C"/>
    <w:rsid w:val="722F67D0"/>
    <w:rsid w:val="72313584"/>
    <w:rsid w:val="72380E0E"/>
    <w:rsid w:val="724275BD"/>
    <w:rsid w:val="725105EF"/>
    <w:rsid w:val="725A4E06"/>
    <w:rsid w:val="7266517D"/>
    <w:rsid w:val="726C58D8"/>
    <w:rsid w:val="7278176A"/>
    <w:rsid w:val="72791826"/>
    <w:rsid w:val="72792644"/>
    <w:rsid w:val="727C5B55"/>
    <w:rsid w:val="72833994"/>
    <w:rsid w:val="728D6D67"/>
    <w:rsid w:val="729D42E2"/>
    <w:rsid w:val="72AC291D"/>
    <w:rsid w:val="72B34F40"/>
    <w:rsid w:val="72C07522"/>
    <w:rsid w:val="72D51220"/>
    <w:rsid w:val="72D56FD8"/>
    <w:rsid w:val="730B58C3"/>
    <w:rsid w:val="730B7265"/>
    <w:rsid w:val="73114FD2"/>
    <w:rsid w:val="732C286C"/>
    <w:rsid w:val="73316976"/>
    <w:rsid w:val="73336CF8"/>
    <w:rsid w:val="733646C4"/>
    <w:rsid w:val="73532356"/>
    <w:rsid w:val="735479C1"/>
    <w:rsid w:val="73565E42"/>
    <w:rsid w:val="735829BA"/>
    <w:rsid w:val="736B7B78"/>
    <w:rsid w:val="73727918"/>
    <w:rsid w:val="737427E7"/>
    <w:rsid w:val="7375655F"/>
    <w:rsid w:val="738C54DF"/>
    <w:rsid w:val="73916C46"/>
    <w:rsid w:val="739D7782"/>
    <w:rsid w:val="73CA0659"/>
    <w:rsid w:val="73D32D21"/>
    <w:rsid w:val="73E159A2"/>
    <w:rsid w:val="73E364A8"/>
    <w:rsid w:val="73E64F3B"/>
    <w:rsid w:val="73E65A38"/>
    <w:rsid w:val="73EC7CC2"/>
    <w:rsid w:val="73F522F6"/>
    <w:rsid w:val="73F8372D"/>
    <w:rsid w:val="74091FD2"/>
    <w:rsid w:val="740D1AB0"/>
    <w:rsid w:val="74143C2D"/>
    <w:rsid w:val="743263D6"/>
    <w:rsid w:val="74426145"/>
    <w:rsid w:val="744B4D78"/>
    <w:rsid w:val="745247B3"/>
    <w:rsid w:val="74540DF1"/>
    <w:rsid w:val="747B2340"/>
    <w:rsid w:val="748543D2"/>
    <w:rsid w:val="749762E6"/>
    <w:rsid w:val="74985E57"/>
    <w:rsid w:val="74A05A92"/>
    <w:rsid w:val="74B3107C"/>
    <w:rsid w:val="74CC66FD"/>
    <w:rsid w:val="74D0416B"/>
    <w:rsid w:val="74D7368F"/>
    <w:rsid w:val="74FE750B"/>
    <w:rsid w:val="75020BA4"/>
    <w:rsid w:val="750F2D7F"/>
    <w:rsid w:val="751C3400"/>
    <w:rsid w:val="752321D2"/>
    <w:rsid w:val="752452BD"/>
    <w:rsid w:val="75381CFD"/>
    <w:rsid w:val="75387844"/>
    <w:rsid w:val="753D3138"/>
    <w:rsid w:val="75571112"/>
    <w:rsid w:val="75595303"/>
    <w:rsid w:val="756D0068"/>
    <w:rsid w:val="7595310F"/>
    <w:rsid w:val="759F311E"/>
    <w:rsid w:val="75A562EA"/>
    <w:rsid w:val="75C77705"/>
    <w:rsid w:val="75D03DF5"/>
    <w:rsid w:val="75F04A2B"/>
    <w:rsid w:val="75F23E97"/>
    <w:rsid w:val="75FC21F4"/>
    <w:rsid w:val="760771A6"/>
    <w:rsid w:val="761E5A23"/>
    <w:rsid w:val="763D362F"/>
    <w:rsid w:val="763F51EF"/>
    <w:rsid w:val="76452218"/>
    <w:rsid w:val="767D320A"/>
    <w:rsid w:val="767D5CFE"/>
    <w:rsid w:val="7682347B"/>
    <w:rsid w:val="768627CD"/>
    <w:rsid w:val="768F1D79"/>
    <w:rsid w:val="7692280C"/>
    <w:rsid w:val="7699418A"/>
    <w:rsid w:val="76A72B73"/>
    <w:rsid w:val="76A92BE9"/>
    <w:rsid w:val="76CE6D37"/>
    <w:rsid w:val="76E31D4F"/>
    <w:rsid w:val="76F33126"/>
    <w:rsid w:val="76FE0DD6"/>
    <w:rsid w:val="77151CD2"/>
    <w:rsid w:val="771855D3"/>
    <w:rsid w:val="772D5E05"/>
    <w:rsid w:val="772E53A2"/>
    <w:rsid w:val="77360AA6"/>
    <w:rsid w:val="77394800"/>
    <w:rsid w:val="7746478F"/>
    <w:rsid w:val="77597A1C"/>
    <w:rsid w:val="775E1652"/>
    <w:rsid w:val="7771513C"/>
    <w:rsid w:val="77766076"/>
    <w:rsid w:val="777A27FC"/>
    <w:rsid w:val="7786465C"/>
    <w:rsid w:val="779613D0"/>
    <w:rsid w:val="77987691"/>
    <w:rsid w:val="779E4DF6"/>
    <w:rsid w:val="77B41A5F"/>
    <w:rsid w:val="77DE5F73"/>
    <w:rsid w:val="77E109EB"/>
    <w:rsid w:val="77E93077"/>
    <w:rsid w:val="77E95E0A"/>
    <w:rsid w:val="7805620E"/>
    <w:rsid w:val="780A196C"/>
    <w:rsid w:val="780B415B"/>
    <w:rsid w:val="780E0E25"/>
    <w:rsid w:val="7810461F"/>
    <w:rsid w:val="782013CC"/>
    <w:rsid w:val="78266D22"/>
    <w:rsid w:val="78276B74"/>
    <w:rsid w:val="78394C30"/>
    <w:rsid w:val="78414C61"/>
    <w:rsid w:val="784F3822"/>
    <w:rsid w:val="785B0280"/>
    <w:rsid w:val="78634237"/>
    <w:rsid w:val="78872795"/>
    <w:rsid w:val="788A7367"/>
    <w:rsid w:val="788B023B"/>
    <w:rsid w:val="789746E8"/>
    <w:rsid w:val="789D0A06"/>
    <w:rsid w:val="78C76532"/>
    <w:rsid w:val="78C7785D"/>
    <w:rsid w:val="78CC6B79"/>
    <w:rsid w:val="78D22ED9"/>
    <w:rsid w:val="78EB6075"/>
    <w:rsid w:val="79006B69"/>
    <w:rsid w:val="79184CE4"/>
    <w:rsid w:val="791D4EEF"/>
    <w:rsid w:val="792A2BA1"/>
    <w:rsid w:val="792A74CC"/>
    <w:rsid w:val="792B7DEB"/>
    <w:rsid w:val="794402A5"/>
    <w:rsid w:val="794D1059"/>
    <w:rsid w:val="794D5F5D"/>
    <w:rsid w:val="795B5D7A"/>
    <w:rsid w:val="795C7DF9"/>
    <w:rsid w:val="795D55F4"/>
    <w:rsid w:val="798A77A3"/>
    <w:rsid w:val="798D240C"/>
    <w:rsid w:val="798E29BE"/>
    <w:rsid w:val="799524D9"/>
    <w:rsid w:val="79A03AA7"/>
    <w:rsid w:val="79D47614"/>
    <w:rsid w:val="79E34DC6"/>
    <w:rsid w:val="79E7016D"/>
    <w:rsid w:val="79F93A46"/>
    <w:rsid w:val="79FD6043"/>
    <w:rsid w:val="7A052430"/>
    <w:rsid w:val="7A067BF3"/>
    <w:rsid w:val="7A090330"/>
    <w:rsid w:val="7A0D129F"/>
    <w:rsid w:val="7A185A4F"/>
    <w:rsid w:val="7A1E525A"/>
    <w:rsid w:val="7A2F4CCC"/>
    <w:rsid w:val="7A3E33B9"/>
    <w:rsid w:val="7A4C2D4A"/>
    <w:rsid w:val="7A556E34"/>
    <w:rsid w:val="7A5C4A46"/>
    <w:rsid w:val="7A6E13AB"/>
    <w:rsid w:val="7A905FC5"/>
    <w:rsid w:val="7A920F96"/>
    <w:rsid w:val="7A952B97"/>
    <w:rsid w:val="7A992B33"/>
    <w:rsid w:val="7AA65250"/>
    <w:rsid w:val="7AD15C0E"/>
    <w:rsid w:val="7AD46CA0"/>
    <w:rsid w:val="7AD46FF0"/>
    <w:rsid w:val="7AD6644C"/>
    <w:rsid w:val="7AFB04BA"/>
    <w:rsid w:val="7B001B7C"/>
    <w:rsid w:val="7B0E5E71"/>
    <w:rsid w:val="7B1635F5"/>
    <w:rsid w:val="7B1D0E37"/>
    <w:rsid w:val="7B231ADD"/>
    <w:rsid w:val="7B25086A"/>
    <w:rsid w:val="7B2E611E"/>
    <w:rsid w:val="7B310FBD"/>
    <w:rsid w:val="7B364518"/>
    <w:rsid w:val="7B3F47F3"/>
    <w:rsid w:val="7B44687E"/>
    <w:rsid w:val="7B486C1D"/>
    <w:rsid w:val="7B4B20BC"/>
    <w:rsid w:val="7B51165F"/>
    <w:rsid w:val="7B595B0E"/>
    <w:rsid w:val="7B6D59D8"/>
    <w:rsid w:val="7B6E74C5"/>
    <w:rsid w:val="7B733451"/>
    <w:rsid w:val="7B767E7B"/>
    <w:rsid w:val="7B775EE5"/>
    <w:rsid w:val="7B806235"/>
    <w:rsid w:val="7B864625"/>
    <w:rsid w:val="7B9E2353"/>
    <w:rsid w:val="7BA93249"/>
    <w:rsid w:val="7BB611CC"/>
    <w:rsid w:val="7BC04298"/>
    <w:rsid w:val="7BDD08B6"/>
    <w:rsid w:val="7BF00C11"/>
    <w:rsid w:val="7BF8558F"/>
    <w:rsid w:val="7C085BE7"/>
    <w:rsid w:val="7C12401E"/>
    <w:rsid w:val="7C184FB7"/>
    <w:rsid w:val="7C4A0DEC"/>
    <w:rsid w:val="7C71082F"/>
    <w:rsid w:val="7C7E130D"/>
    <w:rsid w:val="7C886ADB"/>
    <w:rsid w:val="7CB0738F"/>
    <w:rsid w:val="7CCB6131"/>
    <w:rsid w:val="7CDF537A"/>
    <w:rsid w:val="7CE56BC6"/>
    <w:rsid w:val="7CEA1BF4"/>
    <w:rsid w:val="7CEB5017"/>
    <w:rsid w:val="7CF25F57"/>
    <w:rsid w:val="7D0010A8"/>
    <w:rsid w:val="7D012C34"/>
    <w:rsid w:val="7D0C5E2F"/>
    <w:rsid w:val="7D1C2C48"/>
    <w:rsid w:val="7D3648D2"/>
    <w:rsid w:val="7D384885"/>
    <w:rsid w:val="7D494CE4"/>
    <w:rsid w:val="7D4F75C8"/>
    <w:rsid w:val="7D580076"/>
    <w:rsid w:val="7D5875B5"/>
    <w:rsid w:val="7D5B3117"/>
    <w:rsid w:val="7D5E08B4"/>
    <w:rsid w:val="7D796FCB"/>
    <w:rsid w:val="7D7E0379"/>
    <w:rsid w:val="7D8C5EB4"/>
    <w:rsid w:val="7D932AEA"/>
    <w:rsid w:val="7D950362"/>
    <w:rsid w:val="7DA73889"/>
    <w:rsid w:val="7DAB2547"/>
    <w:rsid w:val="7DB14637"/>
    <w:rsid w:val="7DB324AE"/>
    <w:rsid w:val="7DB400DC"/>
    <w:rsid w:val="7DB948D0"/>
    <w:rsid w:val="7DDD48E4"/>
    <w:rsid w:val="7DE12030"/>
    <w:rsid w:val="7DF05160"/>
    <w:rsid w:val="7E0A3557"/>
    <w:rsid w:val="7E113917"/>
    <w:rsid w:val="7E220AF2"/>
    <w:rsid w:val="7E244ADA"/>
    <w:rsid w:val="7E300061"/>
    <w:rsid w:val="7E374752"/>
    <w:rsid w:val="7E414079"/>
    <w:rsid w:val="7E461224"/>
    <w:rsid w:val="7E49594E"/>
    <w:rsid w:val="7E524263"/>
    <w:rsid w:val="7E634DDC"/>
    <w:rsid w:val="7E684048"/>
    <w:rsid w:val="7E7223E0"/>
    <w:rsid w:val="7E7A08D1"/>
    <w:rsid w:val="7E8A534F"/>
    <w:rsid w:val="7E962AE7"/>
    <w:rsid w:val="7EB167A5"/>
    <w:rsid w:val="7ED2423A"/>
    <w:rsid w:val="7ED24865"/>
    <w:rsid w:val="7ED75A14"/>
    <w:rsid w:val="7EE301CB"/>
    <w:rsid w:val="7EE4500E"/>
    <w:rsid w:val="7EEA6053"/>
    <w:rsid w:val="7EFE69A4"/>
    <w:rsid w:val="7F08297D"/>
    <w:rsid w:val="7F0E37B9"/>
    <w:rsid w:val="7F13096B"/>
    <w:rsid w:val="7F2B37BF"/>
    <w:rsid w:val="7F37685D"/>
    <w:rsid w:val="7F5454B3"/>
    <w:rsid w:val="7F875650"/>
    <w:rsid w:val="7FA0317D"/>
    <w:rsid w:val="7FA066D7"/>
    <w:rsid w:val="7FA374BA"/>
    <w:rsid w:val="7FB52726"/>
    <w:rsid w:val="7FC33011"/>
    <w:rsid w:val="7FD824A1"/>
    <w:rsid w:val="7FD840FD"/>
    <w:rsid w:val="7FD86466"/>
    <w:rsid w:val="7FD92881"/>
    <w:rsid w:val="7FE72592"/>
    <w:rsid w:val="7FEB7EFA"/>
    <w:rsid w:val="7FF05E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71"/>
    <w:autoRedefine/>
    <w:qFormat/>
    <w:uiPriority w:val="0"/>
    <w:pPr>
      <w:keepNext/>
      <w:keepLines/>
      <w:spacing w:line="360" w:lineRule="auto"/>
      <w:outlineLvl w:val="0"/>
    </w:pPr>
    <w:rPr>
      <w:rFonts w:ascii="Times New Roman"/>
      <w:b/>
      <w:bCs/>
      <w:kern w:val="44"/>
      <w:sz w:val="32"/>
      <w:szCs w:val="44"/>
    </w:rPr>
  </w:style>
  <w:style w:type="paragraph" w:styleId="4">
    <w:name w:val="heading 2"/>
    <w:basedOn w:val="1"/>
    <w:next w:val="1"/>
    <w:link w:val="72"/>
    <w:autoRedefine/>
    <w:qFormat/>
    <w:uiPriority w:val="0"/>
    <w:pPr>
      <w:keepNext/>
      <w:keepLines/>
      <w:spacing w:before="260" w:after="260" w:line="416" w:lineRule="auto"/>
      <w:outlineLvl w:val="1"/>
    </w:pPr>
    <w:rPr>
      <w:rFonts w:ascii="Cambria" w:hAnsi="Cambria"/>
      <w:b/>
      <w:bCs/>
      <w:kern w:val="2"/>
      <w:sz w:val="32"/>
      <w:szCs w:val="32"/>
    </w:rPr>
  </w:style>
  <w:style w:type="paragraph" w:styleId="2">
    <w:name w:val="heading 3"/>
    <w:basedOn w:val="1"/>
    <w:next w:val="1"/>
    <w:link w:val="70"/>
    <w:autoRedefine/>
    <w:qFormat/>
    <w:uiPriority w:val="9"/>
    <w:pPr>
      <w:keepNext/>
      <w:keepLines/>
      <w:spacing w:before="120" w:after="120" w:line="360" w:lineRule="auto"/>
      <w:jc w:val="left"/>
      <w:outlineLvl w:val="2"/>
    </w:pPr>
    <w:rPr>
      <w:rFonts w:ascii="黑体" w:hAnsi="黑体" w:eastAsia="黑体"/>
      <w:bCs/>
      <w:kern w:val="2"/>
      <w:szCs w:val="24"/>
    </w:rPr>
  </w:style>
  <w:style w:type="paragraph" w:styleId="5">
    <w:name w:val="heading 4"/>
    <w:basedOn w:val="1"/>
    <w:next w:val="1"/>
    <w:link w:val="73"/>
    <w:autoRedefine/>
    <w:qFormat/>
    <w:uiPriority w:val="0"/>
    <w:pPr>
      <w:keepNext/>
      <w:keepLines/>
      <w:spacing w:before="120" w:after="120" w:line="360" w:lineRule="auto"/>
      <w:ind w:firstLine="420" w:firstLineChars="200"/>
      <w:outlineLvl w:val="3"/>
    </w:pPr>
    <w:rPr>
      <w:rFonts w:ascii="Arial" w:hAnsi="Arial" w:eastAsia="黑体"/>
      <w:bCs/>
      <w:kern w:val="2"/>
      <w:sz w:val="21"/>
      <w:szCs w:val="28"/>
    </w:rPr>
  </w:style>
  <w:style w:type="paragraph" w:styleId="6">
    <w:name w:val="heading 5"/>
    <w:basedOn w:val="1"/>
    <w:next w:val="1"/>
    <w:link w:val="74"/>
    <w:autoRedefine/>
    <w:qFormat/>
    <w:uiPriority w:val="0"/>
    <w:pPr>
      <w:keepNext/>
      <w:keepLines/>
      <w:spacing w:before="280" w:after="290" w:line="376" w:lineRule="auto"/>
      <w:outlineLvl w:val="4"/>
    </w:pPr>
    <w:rPr>
      <w:rFonts w:ascii="Calibri" w:hAnsi="Calibri"/>
      <w:b/>
      <w:bCs/>
      <w:kern w:val="2"/>
      <w:sz w:val="28"/>
      <w:szCs w:val="28"/>
    </w:rPr>
  </w:style>
  <w:style w:type="paragraph" w:styleId="7">
    <w:name w:val="heading 6"/>
    <w:basedOn w:val="6"/>
    <w:next w:val="1"/>
    <w:link w:val="75"/>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6"/>
    <w:autoRedefine/>
    <w:qFormat/>
    <w:uiPriority w:val="0"/>
    <w:pPr>
      <w:tabs>
        <w:tab w:val="left" w:pos="1800"/>
        <w:tab w:val="clear" w:pos="1440"/>
      </w:tabs>
      <w:ind w:left="1276" w:hanging="1276"/>
      <w:outlineLvl w:val="6"/>
    </w:pPr>
  </w:style>
  <w:style w:type="paragraph" w:styleId="9">
    <w:name w:val="heading 8"/>
    <w:basedOn w:val="1"/>
    <w:link w:val="77"/>
    <w:autoRedefine/>
    <w:qFormat/>
    <w:uiPriority w:val="0"/>
    <w:pPr>
      <w:keepNext/>
      <w:keepLines/>
      <w:spacing w:line="400" w:lineRule="exact"/>
      <w:jc w:val="center"/>
      <w:outlineLvl w:val="7"/>
    </w:pPr>
    <w:rPr>
      <w:rFonts w:hAnsi="宋体" w:eastAsia="黑体"/>
      <w:kern w:val="2"/>
      <w:sz w:val="32"/>
      <w:szCs w:val="32"/>
    </w:rPr>
  </w:style>
  <w:style w:type="paragraph" w:styleId="10">
    <w:name w:val="heading 9"/>
    <w:basedOn w:val="1"/>
    <w:next w:val="1"/>
    <w:link w:val="78"/>
    <w:autoRedefine/>
    <w:qFormat/>
    <w:uiPriority w:val="0"/>
    <w:pPr>
      <w:keepNext/>
      <w:keepLines/>
      <w:spacing w:before="240" w:after="64" w:line="320" w:lineRule="auto"/>
      <w:outlineLvl w:val="8"/>
    </w:pPr>
    <w:rPr>
      <w:rFonts w:ascii="Cambria" w:hAnsi="Cambria"/>
      <w:kern w:val="2"/>
      <w:sz w:val="21"/>
      <w:szCs w:val="21"/>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szCs w:val="22"/>
    </w:rPr>
  </w:style>
  <w:style w:type="paragraph" w:styleId="12">
    <w:name w:val="toc 7"/>
    <w:basedOn w:val="1"/>
    <w:next w:val="1"/>
    <w:autoRedefine/>
    <w:unhideWhenUsed/>
    <w:qFormat/>
    <w:uiPriority w:val="39"/>
    <w:pPr>
      <w:ind w:left="1260"/>
      <w:jc w:val="left"/>
    </w:pPr>
    <w:rPr>
      <w:rFonts w:ascii="Calibri" w:hAnsi="Calibri" w:cs="Calibri"/>
      <w:sz w:val="18"/>
      <w:szCs w:val="18"/>
    </w:rPr>
  </w:style>
  <w:style w:type="paragraph" w:styleId="13">
    <w:name w:val="Normal Indent"/>
    <w:basedOn w:val="1"/>
    <w:autoRedefine/>
    <w:qFormat/>
    <w:uiPriority w:val="0"/>
    <w:pPr>
      <w:ind w:firstLine="420" w:firstLineChars="200"/>
    </w:pPr>
  </w:style>
  <w:style w:type="paragraph" w:styleId="14">
    <w:name w:val="caption"/>
    <w:basedOn w:val="1"/>
    <w:next w:val="1"/>
    <w:autoRedefine/>
    <w:qFormat/>
    <w:uiPriority w:val="0"/>
    <w:pPr>
      <w:spacing w:before="152" w:after="160"/>
    </w:pPr>
    <w:rPr>
      <w:rFonts w:ascii="Arial" w:hAnsi="Arial" w:eastAsia="黑体" w:cs="Arial"/>
      <w:sz w:val="20"/>
    </w:rPr>
  </w:style>
  <w:style w:type="paragraph" w:styleId="15">
    <w:name w:val="Document Map"/>
    <w:basedOn w:val="1"/>
    <w:link w:val="79"/>
    <w:autoRedefine/>
    <w:qFormat/>
    <w:uiPriority w:val="0"/>
    <w:pPr>
      <w:shd w:val="clear" w:color="auto" w:fill="000080"/>
    </w:pPr>
    <w:rPr>
      <w:rFonts w:ascii="Calibri" w:hAnsi="Calibri"/>
      <w:bCs/>
      <w:kern w:val="2"/>
      <w:sz w:val="21"/>
      <w:szCs w:val="32"/>
    </w:rPr>
  </w:style>
  <w:style w:type="paragraph" w:styleId="16">
    <w:name w:val="annotation text"/>
    <w:basedOn w:val="1"/>
    <w:link w:val="80"/>
    <w:autoRedefine/>
    <w:qFormat/>
    <w:uiPriority w:val="0"/>
    <w:pPr>
      <w:adjustRightInd w:val="0"/>
      <w:spacing w:line="360" w:lineRule="atLeast"/>
      <w:jc w:val="left"/>
      <w:textAlignment w:val="baseline"/>
    </w:pPr>
    <w:rPr>
      <w:rFonts w:ascii="Times New Roman"/>
    </w:rPr>
  </w:style>
  <w:style w:type="paragraph" w:styleId="17">
    <w:name w:val="Salutation"/>
    <w:basedOn w:val="1"/>
    <w:next w:val="1"/>
    <w:link w:val="81"/>
    <w:autoRedefine/>
    <w:qFormat/>
    <w:uiPriority w:val="0"/>
    <w:rPr>
      <w:rFonts w:ascii="仿宋_GB2312" w:eastAsia="仿宋_GB2312"/>
      <w:kern w:val="2"/>
      <w:sz w:val="28"/>
    </w:rPr>
  </w:style>
  <w:style w:type="paragraph" w:styleId="18">
    <w:name w:val="Body Text 3"/>
    <w:basedOn w:val="1"/>
    <w:link w:val="82"/>
    <w:autoRedefine/>
    <w:qFormat/>
    <w:uiPriority w:val="0"/>
    <w:pPr>
      <w:adjustRightInd w:val="0"/>
      <w:snapToGrid w:val="0"/>
    </w:pPr>
    <w:rPr>
      <w:rFonts w:ascii="仿宋_GB2312" w:hAnsi="宋体" w:eastAsia="仿宋_GB2312"/>
      <w:bCs/>
      <w:color w:val="000000"/>
      <w:kern w:val="2"/>
      <w:szCs w:val="32"/>
    </w:rPr>
  </w:style>
  <w:style w:type="paragraph" w:styleId="19">
    <w:name w:val="Body Text"/>
    <w:basedOn w:val="1"/>
    <w:next w:val="20"/>
    <w:link w:val="83"/>
    <w:autoRedefine/>
    <w:qFormat/>
    <w:uiPriority w:val="0"/>
    <w:pPr>
      <w:spacing w:after="120"/>
    </w:pPr>
    <w:rPr>
      <w:rFonts w:ascii="Times New Roman"/>
      <w:kern w:val="2"/>
      <w:sz w:val="21"/>
      <w:szCs w:val="24"/>
    </w:rPr>
  </w:style>
  <w:style w:type="paragraph" w:styleId="20">
    <w:name w:val="Date"/>
    <w:basedOn w:val="1"/>
    <w:next w:val="1"/>
    <w:link w:val="86"/>
    <w:autoRedefine/>
    <w:unhideWhenUsed/>
    <w:qFormat/>
    <w:uiPriority w:val="0"/>
    <w:pPr>
      <w:ind w:left="100" w:leftChars="2500"/>
    </w:pPr>
    <w:rPr>
      <w:rFonts w:ascii="Times New Roman"/>
      <w:kern w:val="2"/>
      <w:sz w:val="21"/>
      <w:szCs w:val="24"/>
    </w:rPr>
  </w:style>
  <w:style w:type="paragraph" w:styleId="21">
    <w:name w:val="Body Text Indent"/>
    <w:basedOn w:val="1"/>
    <w:link w:val="84"/>
    <w:autoRedefine/>
    <w:qFormat/>
    <w:uiPriority w:val="0"/>
    <w:pPr>
      <w:ind w:firstLine="560" w:firstLineChars="200"/>
    </w:pPr>
    <w:rPr>
      <w:rFonts w:hAnsi="宋体"/>
      <w:bCs/>
      <w:kern w:val="2"/>
      <w:sz w:val="28"/>
      <w:szCs w:val="32"/>
    </w:rPr>
  </w:style>
  <w:style w:type="paragraph" w:styleId="22">
    <w:name w:val="List 2"/>
    <w:basedOn w:val="1"/>
    <w:autoRedefine/>
    <w:qFormat/>
    <w:uiPriority w:val="0"/>
    <w:pPr>
      <w:ind w:left="100" w:leftChars="200" w:hanging="200" w:hangingChars="200"/>
    </w:pPr>
    <w:rPr>
      <w:rFonts w:ascii="Calibri" w:hAnsi="Calibri"/>
      <w:szCs w:val="22"/>
    </w:rPr>
  </w:style>
  <w:style w:type="paragraph" w:styleId="23">
    <w:name w:val="List Continue"/>
    <w:basedOn w:val="1"/>
    <w:autoRedefine/>
    <w:qFormat/>
    <w:uiPriority w:val="0"/>
    <w:pPr>
      <w:spacing w:after="120"/>
      <w:ind w:left="420" w:leftChars="200"/>
    </w:pPr>
    <w:rPr>
      <w:rFonts w:ascii="Calibri" w:hAnsi="Calibri"/>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sz w:val="72"/>
    </w:rPr>
  </w:style>
  <w:style w:type="paragraph" w:styleId="25">
    <w:name w:val="index 4"/>
    <w:basedOn w:val="1"/>
    <w:next w:val="1"/>
    <w:autoRedefine/>
    <w:qFormat/>
    <w:uiPriority w:val="0"/>
    <w:pPr>
      <w:ind w:left="600" w:leftChars="600"/>
    </w:pPr>
  </w:style>
  <w:style w:type="paragraph" w:styleId="26">
    <w:name w:val="toc 5"/>
    <w:basedOn w:val="1"/>
    <w:next w:val="1"/>
    <w:autoRedefine/>
    <w:unhideWhenUsed/>
    <w:qFormat/>
    <w:uiPriority w:val="39"/>
    <w:pPr>
      <w:ind w:left="840"/>
      <w:jc w:val="left"/>
    </w:pPr>
    <w:rPr>
      <w:rFonts w:ascii="Calibri" w:hAnsi="Calibri" w:cs="Calibri"/>
      <w:sz w:val="18"/>
      <w:szCs w:val="18"/>
    </w:rPr>
  </w:style>
  <w:style w:type="paragraph" w:styleId="27">
    <w:name w:val="toc 3"/>
    <w:basedOn w:val="1"/>
    <w:next w:val="1"/>
    <w:autoRedefine/>
    <w:qFormat/>
    <w:uiPriority w:val="39"/>
    <w:pPr>
      <w:ind w:left="420"/>
      <w:jc w:val="left"/>
    </w:pPr>
    <w:rPr>
      <w:rFonts w:ascii="Calibri" w:hAnsi="Calibri" w:cs="Calibri"/>
      <w:i/>
      <w:iCs/>
      <w:sz w:val="20"/>
    </w:rPr>
  </w:style>
  <w:style w:type="paragraph" w:styleId="28">
    <w:name w:val="Plain Text"/>
    <w:basedOn w:val="1"/>
    <w:link w:val="85"/>
    <w:autoRedefine/>
    <w:qFormat/>
    <w:uiPriority w:val="0"/>
    <w:rPr>
      <w:rFonts w:ascii="Courier New" w:hAnsi="Courier New"/>
      <w:kern w:val="2"/>
      <w:sz w:val="21"/>
    </w:rPr>
  </w:style>
  <w:style w:type="paragraph" w:styleId="29">
    <w:name w:val="toc 8"/>
    <w:basedOn w:val="1"/>
    <w:next w:val="1"/>
    <w:autoRedefine/>
    <w:unhideWhenUsed/>
    <w:qFormat/>
    <w:uiPriority w:val="39"/>
    <w:pPr>
      <w:ind w:left="1470"/>
      <w:jc w:val="left"/>
    </w:pPr>
    <w:rPr>
      <w:rFonts w:ascii="Calibri" w:hAnsi="Calibri" w:cs="Calibri"/>
      <w:sz w:val="18"/>
      <w:szCs w:val="18"/>
    </w:rPr>
  </w:style>
  <w:style w:type="paragraph" w:styleId="30">
    <w:name w:val="Body Text Indent 2"/>
    <w:basedOn w:val="1"/>
    <w:link w:val="87"/>
    <w:autoRedefine/>
    <w:qFormat/>
    <w:uiPriority w:val="0"/>
    <w:pPr>
      <w:widowControl/>
      <w:overflowPunct w:val="0"/>
      <w:autoSpaceDE w:val="0"/>
      <w:autoSpaceDN w:val="0"/>
      <w:adjustRightInd w:val="0"/>
      <w:spacing w:line="360" w:lineRule="auto"/>
      <w:ind w:firstLine="555"/>
      <w:textAlignment w:val="baseline"/>
    </w:pPr>
    <w:rPr>
      <w:rFonts w:hAnsi="MS Sans Serif"/>
      <w:bCs/>
      <w:spacing w:val="12"/>
    </w:rPr>
  </w:style>
  <w:style w:type="paragraph" w:styleId="31">
    <w:name w:val="Balloon Text"/>
    <w:basedOn w:val="1"/>
    <w:link w:val="88"/>
    <w:autoRedefine/>
    <w:qFormat/>
    <w:uiPriority w:val="0"/>
    <w:rPr>
      <w:rFonts w:ascii="Times New Roman"/>
      <w:kern w:val="2"/>
      <w:sz w:val="18"/>
    </w:rPr>
  </w:style>
  <w:style w:type="paragraph" w:styleId="32">
    <w:name w:val="footer"/>
    <w:basedOn w:val="1"/>
    <w:link w:val="89"/>
    <w:autoRedefine/>
    <w:qFormat/>
    <w:uiPriority w:val="99"/>
    <w:pPr>
      <w:tabs>
        <w:tab w:val="center" w:pos="4153"/>
        <w:tab w:val="right" w:pos="8306"/>
      </w:tabs>
      <w:snapToGrid w:val="0"/>
      <w:jc w:val="left"/>
    </w:pPr>
    <w:rPr>
      <w:rFonts w:ascii="Times New Roman"/>
      <w:kern w:val="2"/>
      <w:sz w:val="18"/>
      <w:szCs w:val="18"/>
    </w:rPr>
  </w:style>
  <w:style w:type="paragraph" w:styleId="33">
    <w:name w:val="header"/>
    <w:basedOn w:val="1"/>
    <w:link w:val="90"/>
    <w:autoRedefine/>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34">
    <w:name w:val="toc 1"/>
    <w:basedOn w:val="1"/>
    <w:next w:val="1"/>
    <w:autoRedefine/>
    <w:qFormat/>
    <w:uiPriority w:val="39"/>
    <w:pPr>
      <w:spacing w:before="120" w:after="120"/>
      <w:jc w:val="left"/>
    </w:pPr>
    <w:rPr>
      <w:rFonts w:ascii="Calibri" w:hAnsi="Calibri" w:cs="Calibri"/>
      <w:b/>
      <w:bCs/>
      <w:caps/>
      <w:sz w:val="20"/>
    </w:rPr>
  </w:style>
  <w:style w:type="paragraph" w:styleId="35">
    <w:name w:val="List Continue 4"/>
    <w:basedOn w:val="1"/>
    <w:autoRedefine/>
    <w:qFormat/>
    <w:uiPriority w:val="0"/>
    <w:pPr>
      <w:spacing w:after="120"/>
      <w:ind w:left="1680" w:leftChars="800"/>
    </w:pPr>
    <w:rPr>
      <w:rFonts w:ascii="Calibri" w:hAnsi="Calibri"/>
      <w:szCs w:val="22"/>
    </w:rPr>
  </w:style>
  <w:style w:type="paragraph" w:styleId="36">
    <w:name w:val="toc 4"/>
    <w:basedOn w:val="1"/>
    <w:next w:val="1"/>
    <w:autoRedefine/>
    <w:unhideWhenUsed/>
    <w:qFormat/>
    <w:uiPriority w:val="39"/>
    <w:pPr>
      <w:ind w:left="630"/>
      <w:jc w:val="left"/>
    </w:pPr>
    <w:rPr>
      <w:rFonts w:ascii="Calibri" w:hAnsi="Calibri" w:cs="Calibri"/>
      <w:sz w:val="18"/>
      <w:szCs w:val="18"/>
    </w:rPr>
  </w:style>
  <w:style w:type="paragraph" w:styleId="37">
    <w:name w:val="index heading"/>
    <w:basedOn w:val="1"/>
    <w:next w:val="38"/>
    <w:autoRedefine/>
    <w:semiHidden/>
    <w:qFormat/>
    <w:uiPriority w:val="0"/>
  </w:style>
  <w:style w:type="paragraph" w:styleId="38">
    <w:name w:val="index 1"/>
    <w:basedOn w:val="1"/>
    <w:next w:val="1"/>
    <w:autoRedefine/>
    <w:semiHidden/>
    <w:qFormat/>
    <w:uiPriority w:val="0"/>
  </w:style>
  <w:style w:type="paragraph" w:styleId="39">
    <w:name w:val="Subtitle"/>
    <w:basedOn w:val="1"/>
    <w:link w:val="91"/>
    <w:autoRedefine/>
    <w:qFormat/>
    <w:uiPriority w:val="0"/>
    <w:pPr>
      <w:spacing w:before="240" w:after="60" w:line="312" w:lineRule="auto"/>
      <w:jc w:val="center"/>
      <w:outlineLvl w:val="1"/>
    </w:pPr>
    <w:rPr>
      <w:rFonts w:ascii="Arial" w:hAnsi="Arial"/>
      <w:b/>
      <w:bCs/>
      <w:kern w:val="28"/>
      <w:sz w:val="32"/>
      <w:szCs w:val="32"/>
    </w:rPr>
  </w:style>
  <w:style w:type="paragraph" w:styleId="40">
    <w:name w:val="List"/>
    <w:basedOn w:val="1"/>
    <w:autoRedefine/>
    <w:qFormat/>
    <w:uiPriority w:val="0"/>
    <w:pPr>
      <w:ind w:left="200" w:hanging="200" w:hangingChars="200"/>
    </w:pPr>
    <w:rPr>
      <w:rFonts w:ascii="Calibri" w:hAnsi="Calibri"/>
      <w:szCs w:val="22"/>
    </w:rPr>
  </w:style>
  <w:style w:type="paragraph" w:styleId="41">
    <w:name w:val="footnote text"/>
    <w:basedOn w:val="1"/>
    <w:link w:val="92"/>
    <w:autoRedefine/>
    <w:unhideWhenUsed/>
    <w:qFormat/>
    <w:uiPriority w:val="0"/>
    <w:pPr>
      <w:snapToGrid w:val="0"/>
      <w:jc w:val="left"/>
    </w:pPr>
    <w:rPr>
      <w:rFonts w:ascii="Times New Roman"/>
      <w:kern w:val="2"/>
      <w:sz w:val="18"/>
      <w:szCs w:val="18"/>
    </w:rPr>
  </w:style>
  <w:style w:type="paragraph" w:styleId="42">
    <w:name w:val="toc 6"/>
    <w:basedOn w:val="1"/>
    <w:next w:val="1"/>
    <w:autoRedefine/>
    <w:unhideWhenUsed/>
    <w:qFormat/>
    <w:uiPriority w:val="39"/>
    <w:pPr>
      <w:ind w:left="1050"/>
      <w:jc w:val="left"/>
    </w:pPr>
    <w:rPr>
      <w:rFonts w:ascii="Calibri" w:hAnsi="Calibri" w:cs="Calibri"/>
      <w:sz w:val="18"/>
      <w:szCs w:val="18"/>
    </w:rPr>
  </w:style>
  <w:style w:type="paragraph" w:styleId="43">
    <w:name w:val="Body Text Indent 3"/>
    <w:basedOn w:val="1"/>
    <w:link w:val="93"/>
    <w:autoRedefine/>
    <w:qFormat/>
    <w:uiPriority w:val="0"/>
    <w:pPr>
      <w:widowControl/>
      <w:overflowPunct w:val="0"/>
      <w:autoSpaceDE w:val="0"/>
      <w:autoSpaceDN w:val="0"/>
      <w:adjustRightInd w:val="0"/>
      <w:spacing w:line="360" w:lineRule="auto"/>
      <w:ind w:firstLine="540"/>
      <w:textAlignment w:val="baseline"/>
    </w:pPr>
    <w:rPr>
      <w:rFonts w:hAnsi="MS Sans Serif"/>
      <w:bCs/>
      <w:color w:val="000000"/>
    </w:rPr>
  </w:style>
  <w:style w:type="paragraph" w:styleId="44">
    <w:name w:val="toc 2"/>
    <w:basedOn w:val="1"/>
    <w:next w:val="1"/>
    <w:autoRedefine/>
    <w:qFormat/>
    <w:uiPriority w:val="39"/>
    <w:pPr>
      <w:ind w:left="210"/>
      <w:jc w:val="left"/>
    </w:pPr>
    <w:rPr>
      <w:rFonts w:ascii="Calibri" w:hAnsi="Calibri" w:cs="Calibri"/>
      <w:smallCaps/>
      <w:sz w:val="20"/>
    </w:rPr>
  </w:style>
  <w:style w:type="paragraph" w:styleId="45">
    <w:name w:val="toc 9"/>
    <w:basedOn w:val="1"/>
    <w:next w:val="1"/>
    <w:autoRedefine/>
    <w:unhideWhenUsed/>
    <w:qFormat/>
    <w:uiPriority w:val="39"/>
    <w:pPr>
      <w:ind w:left="1680"/>
      <w:jc w:val="left"/>
    </w:pPr>
    <w:rPr>
      <w:rFonts w:ascii="Calibri" w:hAnsi="Calibri" w:cs="Calibri"/>
      <w:sz w:val="18"/>
      <w:szCs w:val="18"/>
    </w:rPr>
  </w:style>
  <w:style w:type="paragraph" w:styleId="46">
    <w:name w:val="Body Text 2"/>
    <w:basedOn w:val="1"/>
    <w:link w:val="94"/>
    <w:autoRedefine/>
    <w:qFormat/>
    <w:uiPriority w:val="0"/>
    <w:pPr>
      <w:spacing w:line="360" w:lineRule="auto"/>
    </w:pPr>
    <w:rPr>
      <w:spacing w:val="-20"/>
      <w:kern w:val="2"/>
      <w:sz w:val="28"/>
    </w:rPr>
  </w:style>
  <w:style w:type="paragraph" w:styleId="47">
    <w:name w:val="List 4"/>
    <w:basedOn w:val="1"/>
    <w:autoRedefine/>
    <w:qFormat/>
    <w:uiPriority w:val="0"/>
    <w:pPr>
      <w:ind w:left="100" w:leftChars="600" w:hanging="200" w:hangingChars="200"/>
    </w:pPr>
    <w:rPr>
      <w:rFonts w:ascii="Calibri" w:hAnsi="Calibri"/>
      <w:szCs w:val="22"/>
    </w:rPr>
  </w:style>
  <w:style w:type="paragraph" w:styleId="48">
    <w:name w:val="List Continue 2"/>
    <w:basedOn w:val="1"/>
    <w:autoRedefine/>
    <w:qFormat/>
    <w:uiPriority w:val="0"/>
    <w:pPr>
      <w:spacing w:after="120"/>
      <w:ind w:left="840" w:leftChars="400"/>
    </w:pPr>
    <w:rPr>
      <w:rFonts w:ascii="Calibri" w:hAnsi="Calibri"/>
      <w:szCs w:val="22"/>
    </w:rPr>
  </w:style>
  <w:style w:type="paragraph" w:styleId="49">
    <w:name w:val="Normal (Web)"/>
    <w:basedOn w:val="1"/>
    <w:autoRedefine/>
    <w:qFormat/>
    <w:uiPriority w:val="0"/>
    <w:pPr>
      <w:widowControl/>
      <w:spacing w:before="100" w:beforeAutospacing="1" w:after="100" w:afterAutospacing="1"/>
      <w:jc w:val="left"/>
    </w:pPr>
    <w:rPr>
      <w:rFonts w:hAnsi="宋体" w:cs="宋体"/>
      <w:color w:val="0066CC"/>
    </w:rPr>
  </w:style>
  <w:style w:type="paragraph" w:styleId="50">
    <w:name w:val="Title"/>
    <w:basedOn w:val="4"/>
    <w:next w:val="1"/>
    <w:link w:val="95"/>
    <w:autoRedefine/>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6"/>
    <w:next w:val="16"/>
    <w:link w:val="96"/>
    <w:autoRedefine/>
    <w:qFormat/>
    <w:uiPriority w:val="0"/>
    <w:pPr>
      <w:adjustRightInd/>
      <w:spacing w:line="240" w:lineRule="auto"/>
      <w:textAlignment w:val="auto"/>
    </w:pPr>
    <w:rPr>
      <w:b/>
      <w:bCs/>
      <w:kern w:val="2"/>
      <w:sz w:val="21"/>
      <w:szCs w:val="24"/>
    </w:rPr>
  </w:style>
  <w:style w:type="table" w:styleId="53">
    <w:name w:val="Table Grid"/>
    <w:basedOn w:val="5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autoRedefine/>
    <w:qFormat/>
    <w:uiPriority w:val="0"/>
    <w:rPr>
      <w:b/>
      <w:bCs/>
    </w:rPr>
  </w:style>
  <w:style w:type="character" w:styleId="56">
    <w:name w:val="page number"/>
    <w:autoRedefine/>
    <w:qFormat/>
    <w:uiPriority w:val="0"/>
  </w:style>
  <w:style w:type="character" w:styleId="57">
    <w:name w:val="FollowedHyperlink"/>
    <w:autoRedefine/>
    <w:qFormat/>
    <w:uiPriority w:val="99"/>
    <w:rPr>
      <w:color w:val="800080"/>
      <w:u w:val="none"/>
    </w:rPr>
  </w:style>
  <w:style w:type="character" w:styleId="58">
    <w:name w:val="Emphasis"/>
    <w:autoRedefine/>
    <w:qFormat/>
    <w:uiPriority w:val="0"/>
    <w:rPr>
      <w:i/>
      <w:iCs/>
    </w:rPr>
  </w:style>
  <w:style w:type="character" w:styleId="59">
    <w:name w:val="HTML Definition"/>
    <w:autoRedefine/>
    <w:unhideWhenUsed/>
    <w:qFormat/>
    <w:uiPriority w:val="99"/>
  </w:style>
  <w:style w:type="character" w:styleId="60">
    <w:name w:val="HTML Typewriter"/>
    <w:autoRedefine/>
    <w:unhideWhenUsed/>
    <w:qFormat/>
    <w:uiPriority w:val="99"/>
    <w:rPr>
      <w:rFonts w:ascii="monospace" w:hAnsi="monospace" w:eastAsia="monospace" w:cs="monospace"/>
      <w:sz w:val="20"/>
    </w:rPr>
  </w:style>
  <w:style w:type="character" w:styleId="61">
    <w:name w:val="HTML Acronym"/>
    <w:basedOn w:val="54"/>
    <w:autoRedefine/>
    <w:unhideWhenUsed/>
    <w:qFormat/>
    <w:uiPriority w:val="99"/>
  </w:style>
  <w:style w:type="character" w:styleId="62">
    <w:name w:val="HTML Variable"/>
    <w:autoRedefine/>
    <w:unhideWhenUsed/>
    <w:qFormat/>
    <w:uiPriority w:val="99"/>
  </w:style>
  <w:style w:type="character" w:styleId="63">
    <w:name w:val="Hyperlink"/>
    <w:autoRedefine/>
    <w:qFormat/>
    <w:uiPriority w:val="99"/>
    <w:rPr>
      <w:color w:val="0000FF"/>
      <w:u w:val="none"/>
    </w:rPr>
  </w:style>
  <w:style w:type="character" w:styleId="64">
    <w:name w:val="HTML Code"/>
    <w:autoRedefine/>
    <w:unhideWhenUsed/>
    <w:qFormat/>
    <w:uiPriority w:val="99"/>
    <w:rPr>
      <w:rFonts w:hint="default" w:ascii="monospace" w:hAnsi="monospace" w:eastAsia="monospace" w:cs="monospace"/>
      <w:sz w:val="20"/>
    </w:rPr>
  </w:style>
  <w:style w:type="character" w:styleId="65">
    <w:name w:val="annotation reference"/>
    <w:autoRedefine/>
    <w:qFormat/>
    <w:uiPriority w:val="0"/>
    <w:rPr>
      <w:sz w:val="21"/>
    </w:rPr>
  </w:style>
  <w:style w:type="character" w:styleId="66">
    <w:name w:val="HTML Cite"/>
    <w:autoRedefine/>
    <w:unhideWhenUsed/>
    <w:qFormat/>
    <w:uiPriority w:val="99"/>
  </w:style>
  <w:style w:type="character" w:styleId="67">
    <w:name w:val="footnote reference"/>
    <w:autoRedefine/>
    <w:unhideWhenUsed/>
    <w:qFormat/>
    <w:uiPriority w:val="0"/>
    <w:rPr>
      <w:vertAlign w:val="superscript"/>
    </w:rPr>
  </w:style>
  <w:style w:type="character" w:styleId="68">
    <w:name w:val="HTML Keyboard"/>
    <w:autoRedefine/>
    <w:unhideWhenUsed/>
    <w:qFormat/>
    <w:uiPriority w:val="99"/>
    <w:rPr>
      <w:rFonts w:hint="default" w:ascii="monospace" w:hAnsi="monospace" w:eastAsia="monospace" w:cs="monospace"/>
      <w:sz w:val="20"/>
    </w:rPr>
  </w:style>
  <w:style w:type="character" w:styleId="69">
    <w:name w:val="HTML Sample"/>
    <w:autoRedefine/>
    <w:qFormat/>
    <w:uiPriority w:val="0"/>
    <w:rPr>
      <w:rFonts w:hint="default" w:ascii="monospace" w:hAnsi="monospace" w:eastAsia="monospace" w:cs="monospace"/>
      <w:sz w:val="21"/>
      <w:szCs w:val="21"/>
    </w:rPr>
  </w:style>
  <w:style w:type="character" w:customStyle="1" w:styleId="70">
    <w:name w:val="标题 3 Char"/>
    <w:link w:val="2"/>
    <w:autoRedefine/>
    <w:qFormat/>
    <w:uiPriority w:val="9"/>
    <w:rPr>
      <w:rFonts w:ascii="黑体" w:hAnsi="黑体" w:eastAsia="黑体"/>
      <w:bCs/>
      <w:kern w:val="2"/>
      <w:sz w:val="24"/>
      <w:szCs w:val="24"/>
    </w:rPr>
  </w:style>
  <w:style w:type="character" w:customStyle="1" w:styleId="71">
    <w:name w:val="标题 1 Char"/>
    <w:link w:val="3"/>
    <w:autoRedefine/>
    <w:qFormat/>
    <w:uiPriority w:val="0"/>
    <w:rPr>
      <w:b/>
      <w:bCs/>
      <w:kern w:val="44"/>
      <w:sz w:val="32"/>
      <w:szCs w:val="44"/>
    </w:rPr>
  </w:style>
  <w:style w:type="character" w:customStyle="1" w:styleId="72">
    <w:name w:val="标题 2 Char"/>
    <w:link w:val="4"/>
    <w:autoRedefine/>
    <w:qFormat/>
    <w:uiPriority w:val="0"/>
    <w:rPr>
      <w:rFonts w:ascii="Cambria" w:hAnsi="Cambria" w:eastAsia="宋体" w:cs="Times New Roman"/>
      <w:b/>
      <w:bCs/>
      <w:kern w:val="2"/>
      <w:sz w:val="32"/>
      <w:szCs w:val="32"/>
    </w:rPr>
  </w:style>
  <w:style w:type="character" w:customStyle="1" w:styleId="73">
    <w:name w:val="标题 4 Char"/>
    <w:link w:val="5"/>
    <w:autoRedefine/>
    <w:qFormat/>
    <w:uiPriority w:val="0"/>
    <w:rPr>
      <w:rFonts w:ascii="Arial" w:hAnsi="Arial" w:eastAsia="黑体"/>
      <w:bCs/>
      <w:kern w:val="2"/>
      <w:sz w:val="21"/>
      <w:szCs w:val="28"/>
    </w:rPr>
  </w:style>
  <w:style w:type="character" w:customStyle="1" w:styleId="74">
    <w:name w:val="标题 5 Char"/>
    <w:link w:val="6"/>
    <w:autoRedefine/>
    <w:qFormat/>
    <w:uiPriority w:val="0"/>
    <w:rPr>
      <w:rFonts w:ascii="Calibri" w:hAnsi="Calibri"/>
      <w:b/>
      <w:bCs/>
      <w:kern w:val="2"/>
      <w:sz w:val="28"/>
      <w:szCs w:val="28"/>
    </w:rPr>
  </w:style>
  <w:style w:type="character" w:customStyle="1" w:styleId="75">
    <w:name w:val="标题 6 Char"/>
    <w:link w:val="7"/>
    <w:autoRedefine/>
    <w:qFormat/>
    <w:uiPriority w:val="0"/>
    <w:rPr>
      <w:b/>
      <w:bCs/>
      <w:kern w:val="2"/>
      <w:sz w:val="30"/>
      <w:szCs w:val="18"/>
    </w:rPr>
  </w:style>
  <w:style w:type="character" w:customStyle="1" w:styleId="76">
    <w:name w:val="标题 7 Char"/>
    <w:link w:val="8"/>
    <w:autoRedefine/>
    <w:qFormat/>
    <w:uiPriority w:val="0"/>
    <w:rPr>
      <w:b/>
      <w:bCs/>
      <w:kern w:val="2"/>
      <w:sz w:val="30"/>
      <w:szCs w:val="18"/>
    </w:rPr>
  </w:style>
  <w:style w:type="character" w:customStyle="1" w:styleId="77">
    <w:name w:val="标题 8 Char"/>
    <w:link w:val="9"/>
    <w:autoRedefine/>
    <w:qFormat/>
    <w:uiPriority w:val="0"/>
    <w:rPr>
      <w:rFonts w:ascii="宋体" w:hAnsi="宋体" w:eastAsia="黑体"/>
      <w:kern w:val="2"/>
      <w:sz w:val="32"/>
      <w:szCs w:val="32"/>
    </w:rPr>
  </w:style>
  <w:style w:type="character" w:customStyle="1" w:styleId="78">
    <w:name w:val="标题 9 Char"/>
    <w:link w:val="10"/>
    <w:autoRedefine/>
    <w:qFormat/>
    <w:uiPriority w:val="0"/>
    <w:rPr>
      <w:rFonts w:ascii="Cambria" w:hAnsi="Cambria"/>
      <w:kern w:val="2"/>
      <w:sz w:val="21"/>
      <w:szCs w:val="21"/>
    </w:rPr>
  </w:style>
  <w:style w:type="character" w:customStyle="1" w:styleId="79">
    <w:name w:val="文档结构图 Char"/>
    <w:link w:val="15"/>
    <w:autoRedefine/>
    <w:qFormat/>
    <w:uiPriority w:val="0"/>
    <w:rPr>
      <w:rFonts w:ascii="Calibri" w:hAnsi="Calibri"/>
      <w:bCs/>
      <w:kern w:val="2"/>
      <w:sz w:val="21"/>
      <w:szCs w:val="32"/>
      <w:shd w:val="clear" w:color="auto" w:fill="000080"/>
    </w:rPr>
  </w:style>
  <w:style w:type="character" w:customStyle="1" w:styleId="80">
    <w:name w:val="批注文字 Char"/>
    <w:link w:val="16"/>
    <w:autoRedefine/>
    <w:qFormat/>
    <w:uiPriority w:val="0"/>
    <w:rPr>
      <w:sz w:val="24"/>
    </w:rPr>
  </w:style>
  <w:style w:type="character" w:customStyle="1" w:styleId="81">
    <w:name w:val="称呼 Char"/>
    <w:link w:val="17"/>
    <w:autoRedefine/>
    <w:qFormat/>
    <w:uiPriority w:val="0"/>
    <w:rPr>
      <w:rFonts w:ascii="仿宋_GB2312" w:eastAsia="仿宋_GB2312"/>
      <w:kern w:val="2"/>
      <w:sz w:val="28"/>
    </w:rPr>
  </w:style>
  <w:style w:type="character" w:customStyle="1" w:styleId="82">
    <w:name w:val="正文文本 3 Char"/>
    <w:link w:val="18"/>
    <w:autoRedefine/>
    <w:qFormat/>
    <w:uiPriority w:val="0"/>
    <w:rPr>
      <w:rFonts w:ascii="仿宋_GB2312" w:hAnsi="宋体" w:eastAsia="仿宋_GB2312"/>
      <w:bCs/>
      <w:color w:val="000000"/>
      <w:kern w:val="2"/>
      <w:sz w:val="24"/>
      <w:szCs w:val="32"/>
    </w:rPr>
  </w:style>
  <w:style w:type="character" w:customStyle="1" w:styleId="83">
    <w:name w:val="正文文本 Char"/>
    <w:link w:val="19"/>
    <w:autoRedefine/>
    <w:qFormat/>
    <w:uiPriority w:val="0"/>
    <w:rPr>
      <w:kern w:val="2"/>
      <w:sz w:val="21"/>
      <w:szCs w:val="24"/>
    </w:rPr>
  </w:style>
  <w:style w:type="character" w:customStyle="1" w:styleId="84">
    <w:name w:val="正文文本缩进 Char"/>
    <w:link w:val="21"/>
    <w:autoRedefine/>
    <w:qFormat/>
    <w:uiPriority w:val="0"/>
    <w:rPr>
      <w:rFonts w:ascii="宋体" w:hAnsi="宋体"/>
      <w:bCs/>
      <w:kern w:val="2"/>
      <w:sz w:val="28"/>
      <w:szCs w:val="32"/>
    </w:rPr>
  </w:style>
  <w:style w:type="character" w:customStyle="1" w:styleId="85">
    <w:name w:val="纯文本 Char1"/>
    <w:link w:val="28"/>
    <w:autoRedefine/>
    <w:qFormat/>
    <w:uiPriority w:val="0"/>
    <w:rPr>
      <w:rFonts w:ascii="Courier New" w:hAnsi="Courier New"/>
      <w:kern w:val="2"/>
      <w:sz w:val="21"/>
    </w:rPr>
  </w:style>
  <w:style w:type="character" w:customStyle="1" w:styleId="86">
    <w:name w:val="日期 Char"/>
    <w:link w:val="20"/>
    <w:autoRedefine/>
    <w:qFormat/>
    <w:uiPriority w:val="0"/>
    <w:rPr>
      <w:kern w:val="2"/>
      <w:sz w:val="21"/>
      <w:szCs w:val="24"/>
    </w:rPr>
  </w:style>
  <w:style w:type="character" w:customStyle="1" w:styleId="87">
    <w:name w:val="正文文本缩进 2 Char"/>
    <w:link w:val="30"/>
    <w:autoRedefine/>
    <w:qFormat/>
    <w:uiPriority w:val="0"/>
    <w:rPr>
      <w:rFonts w:ascii="宋体" w:hAnsi="MS Sans Serif"/>
      <w:bCs/>
      <w:spacing w:val="12"/>
      <w:sz w:val="24"/>
    </w:rPr>
  </w:style>
  <w:style w:type="character" w:customStyle="1" w:styleId="88">
    <w:name w:val="批注框文本 Char"/>
    <w:link w:val="31"/>
    <w:autoRedefine/>
    <w:qFormat/>
    <w:uiPriority w:val="0"/>
    <w:rPr>
      <w:kern w:val="2"/>
      <w:sz w:val="18"/>
    </w:rPr>
  </w:style>
  <w:style w:type="character" w:customStyle="1" w:styleId="89">
    <w:name w:val="页脚 Char"/>
    <w:link w:val="32"/>
    <w:autoRedefine/>
    <w:qFormat/>
    <w:uiPriority w:val="99"/>
    <w:rPr>
      <w:kern w:val="2"/>
      <w:sz w:val="18"/>
      <w:szCs w:val="18"/>
    </w:rPr>
  </w:style>
  <w:style w:type="character" w:customStyle="1" w:styleId="90">
    <w:name w:val="页眉 Char"/>
    <w:link w:val="33"/>
    <w:autoRedefine/>
    <w:qFormat/>
    <w:uiPriority w:val="0"/>
    <w:rPr>
      <w:kern w:val="2"/>
      <w:sz w:val="18"/>
      <w:szCs w:val="18"/>
    </w:rPr>
  </w:style>
  <w:style w:type="character" w:customStyle="1" w:styleId="91">
    <w:name w:val="副标题 Char"/>
    <w:link w:val="39"/>
    <w:autoRedefine/>
    <w:qFormat/>
    <w:uiPriority w:val="0"/>
    <w:rPr>
      <w:rFonts w:ascii="Arial" w:hAnsi="Arial"/>
      <w:b/>
      <w:bCs/>
      <w:kern w:val="28"/>
      <w:sz w:val="32"/>
      <w:szCs w:val="32"/>
    </w:rPr>
  </w:style>
  <w:style w:type="character" w:customStyle="1" w:styleId="92">
    <w:name w:val="脚注文本 Char"/>
    <w:link w:val="41"/>
    <w:autoRedefine/>
    <w:qFormat/>
    <w:uiPriority w:val="0"/>
    <w:rPr>
      <w:kern w:val="2"/>
      <w:sz w:val="18"/>
      <w:szCs w:val="18"/>
    </w:rPr>
  </w:style>
  <w:style w:type="character" w:customStyle="1" w:styleId="93">
    <w:name w:val="正文文本缩进 3 Char"/>
    <w:link w:val="43"/>
    <w:autoRedefine/>
    <w:qFormat/>
    <w:uiPriority w:val="0"/>
    <w:rPr>
      <w:rFonts w:ascii="宋体" w:hAnsi="MS Sans Serif"/>
      <w:bCs/>
      <w:color w:val="000000"/>
      <w:sz w:val="24"/>
    </w:rPr>
  </w:style>
  <w:style w:type="character" w:customStyle="1" w:styleId="94">
    <w:name w:val="正文文本 2 Char"/>
    <w:link w:val="46"/>
    <w:autoRedefine/>
    <w:qFormat/>
    <w:uiPriority w:val="0"/>
    <w:rPr>
      <w:rFonts w:ascii="宋体"/>
      <w:spacing w:val="-20"/>
      <w:kern w:val="2"/>
      <w:sz w:val="28"/>
    </w:rPr>
  </w:style>
  <w:style w:type="character" w:customStyle="1" w:styleId="95">
    <w:name w:val="标题 Char"/>
    <w:link w:val="50"/>
    <w:autoRedefine/>
    <w:qFormat/>
    <w:uiPriority w:val="0"/>
    <w:rPr>
      <w:rFonts w:ascii="宋体" w:hAnsi="宋体" w:eastAsia="黑体"/>
      <w:b/>
      <w:smallCaps/>
      <w:snapToGrid w:val="0"/>
      <w:kern w:val="2"/>
      <w:sz w:val="44"/>
      <w:szCs w:val="24"/>
    </w:rPr>
  </w:style>
  <w:style w:type="character" w:customStyle="1" w:styleId="96">
    <w:name w:val="批注主题 Char"/>
    <w:link w:val="51"/>
    <w:autoRedefine/>
    <w:qFormat/>
    <w:uiPriority w:val="0"/>
  </w:style>
  <w:style w:type="paragraph" w:styleId="97">
    <w:name w:val="List Paragraph"/>
    <w:basedOn w:val="1"/>
    <w:autoRedefine/>
    <w:qFormat/>
    <w:uiPriority w:val="34"/>
    <w:pPr>
      <w:ind w:firstLine="420" w:firstLineChars="200"/>
    </w:pPr>
    <w:rPr>
      <w:rFonts w:ascii="Calibri" w:hAnsi="Calibri"/>
      <w:szCs w:val="22"/>
    </w:rPr>
  </w:style>
  <w:style w:type="character" w:customStyle="1" w:styleId="98">
    <w:name w:val="纯文本 Char"/>
    <w:autoRedefine/>
    <w:qFormat/>
    <w:uiPriority w:val="0"/>
    <w:rPr>
      <w:rFonts w:ascii="宋体" w:hAnsi="Courier New" w:cs="Courier New"/>
      <w:kern w:val="2"/>
      <w:sz w:val="21"/>
      <w:szCs w:val="21"/>
    </w:rPr>
  </w:style>
  <w:style w:type="character" w:customStyle="1" w:styleId="99">
    <w:name w:val="书籍标题1"/>
    <w:autoRedefine/>
    <w:qFormat/>
    <w:uiPriority w:val="0"/>
    <w:rPr>
      <w:b/>
      <w:bCs/>
      <w:smallCaps/>
      <w:spacing w:val="5"/>
    </w:rPr>
  </w:style>
  <w:style w:type="character" w:customStyle="1" w:styleId="100">
    <w:name w:val="Blockquote Char"/>
    <w:link w:val="101"/>
    <w:autoRedefine/>
    <w:qFormat/>
    <w:uiPriority w:val="0"/>
    <w:rPr>
      <w:sz w:val="24"/>
    </w:rPr>
  </w:style>
  <w:style w:type="paragraph" w:customStyle="1" w:styleId="101">
    <w:name w:val="Blockquote"/>
    <w:basedOn w:val="1"/>
    <w:link w:val="100"/>
    <w:autoRedefine/>
    <w:qFormat/>
    <w:uiPriority w:val="0"/>
    <w:pPr>
      <w:autoSpaceDE w:val="0"/>
      <w:autoSpaceDN w:val="0"/>
      <w:adjustRightInd w:val="0"/>
      <w:spacing w:before="100" w:after="100"/>
      <w:ind w:left="360" w:right="360"/>
      <w:jc w:val="left"/>
    </w:pPr>
    <w:rPr>
      <w:rFonts w:ascii="Times New Roman"/>
    </w:rPr>
  </w:style>
  <w:style w:type="character" w:customStyle="1" w:styleId="102">
    <w:name w:val="正文文本 Char2"/>
    <w:autoRedefine/>
    <w:semiHidden/>
    <w:qFormat/>
    <w:uiPriority w:val="99"/>
    <w:rPr>
      <w:kern w:val="2"/>
      <w:sz w:val="21"/>
      <w:szCs w:val="22"/>
    </w:rPr>
  </w:style>
  <w:style w:type="character" w:customStyle="1" w:styleId="103">
    <w:name w:val="tdrownotice1"/>
    <w:autoRedefine/>
    <w:qFormat/>
    <w:uiPriority w:val="0"/>
    <w:rPr>
      <w:sz w:val="22"/>
    </w:rPr>
  </w:style>
  <w:style w:type="character" w:customStyle="1" w:styleId="104">
    <w:name w:val="正文文本 (2)_"/>
    <w:link w:val="105"/>
    <w:autoRedefine/>
    <w:qFormat/>
    <w:locked/>
    <w:uiPriority w:val="99"/>
    <w:rPr>
      <w:rFonts w:ascii="MingLiU" w:eastAsia="MingLiU" w:cs="MingLiU"/>
      <w:spacing w:val="20"/>
      <w:sz w:val="22"/>
      <w:shd w:val="clear" w:color="auto" w:fill="FFFFFF"/>
    </w:rPr>
  </w:style>
  <w:style w:type="paragraph" w:customStyle="1" w:styleId="105">
    <w:name w:val="正文文本 (2)1"/>
    <w:basedOn w:val="1"/>
    <w:link w:val="104"/>
    <w:autoRedefine/>
    <w:qFormat/>
    <w:uiPriority w:val="99"/>
    <w:pPr>
      <w:shd w:val="clear" w:color="auto" w:fill="FFFFFF"/>
      <w:spacing w:before="300" w:line="439" w:lineRule="exact"/>
      <w:jc w:val="distribute"/>
    </w:pPr>
    <w:rPr>
      <w:rFonts w:ascii="MingLiU" w:eastAsia="MingLiU"/>
      <w:spacing w:val="20"/>
      <w:sz w:val="22"/>
    </w:rPr>
  </w:style>
  <w:style w:type="character" w:customStyle="1" w:styleId="106">
    <w:name w:val="副标题 Char1"/>
    <w:autoRedefine/>
    <w:qFormat/>
    <w:uiPriority w:val="11"/>
    <w:rPr>
      <w:rFonts w:ascii="Cambria" w:hAnsi="Cambria" w:cs="Times New Roman"/>
      <w:b/>
      <w:bCs/>
      <w:kern w:val="28"/>
      <w:sz w:val="32"/>
      <w:szCs w:val="32"/>
    </w:rPr>
  </w:style>
  <w:style w:type="character" w:customStyle="1" w:styleId="107">
    <w:name w:val="日期 Char2"/>
    <w:autoRedefine/>
    <w:semiHidden/>
    <w:qFormat/>
    <w:uiPriority w:val="99"/>
    <w:rPr>
      <w:kern w:val="2"/>
      <w:sz w:val="21"/>
      <w:szCs w:val="22"/>
    </w:rPr>
  </w:style>
  <w:style w:type="character" w:customStyle="1" w:styleId="108">
    <w:name w:val="t_tag"/>
    <w:autoRedefine/>
    <w:qFormat/>
    <w:uiPriority w:val="0"/>
  </w:style>
  <w:style w:type="character" w:customStyle="1" w:styleId="109">
    <w:name w:val="批注框文本 Char1"/>
    <w:autoRedefine/>
    <w:qFormat/>
    <w:uiPriority w:val="0"/>
    <w:rPr>
      <w:kern w:val="2"/>
      <w:sz w:val="18"/>
      <w:szCs w:val="18"/>
    </w:rPr>
  </w:style>
  <w:style w:type="character" w:customStyle="1" w:styleId="110">
    <w:name w:val="标题 Char1"/>
    <w:autoRedefine/>
    <w:qFormat/>
    <w:uiPriority w:val="10"/>
    <w:rPr>
      <w:rFonts w:ascii="Cambria" w:hAnsi="Cambria" w:cs="Times New Roman"/>
      <w:b/>
      <w:bCs/>
      <w:kern w:val="2"/>
      <w:sz w:val="32"/>
      <w:szCs w:val="32"/>
    </w:rPr>
  </w:style>
  <w:style w:type="character" w:customStyle="1" w:styleId="111">
    <w:name w:val="批注文字 Char1"/>
    <w:autoRedefine/>
    <w:qFormat/>
    <w:uiPriority w:val="99"/>
    <w:rPr>
      <w:kern w:val="2"/>
      <w:sz w:val="21"/>
      <w:szCs w:val="24"/>
    </w:rPr>
  </w:style>
  <w:style w:type="character" w:customStyle="1" w:styleId="112">
    <w:name w:val="批注主题 Char2"/>
    <w:autoRedefine/>
    <w:semiHidden/>
    <w:qFormat/>
    <w:uiPriority w:val="99"/>
    <w:rPr>
      <w:b/>
      <w:bCs/>
      <w:kern w:val="2"/>
      <w:sz w:val="21"/>
      <w:szCs w:val="22"/>
    </w:rPr>
  </w:style>
  <w:style w:type="character" w:customStyle="1" w:styleId="113">
    <w:name w:val="批注主题 Char1"/>
    <w:autoRedefine/>
    <w:qFormat/>
    <w:uiPriority w:val="0"/>
    <w:rPr>
      <w:b/>
      <w:bCs/>
      <w:kern w:val="2"/>
      <w:sz w:val="21"/>
      <w:szCs w:val="24"/>
    </w:rPr>
  </w:style>
  <w:style w:type="character" w:customStyle="1" w:styleId="114">
    <w:name w:val="普通文字1 Char"/>
    <w:autoRedefine/>
    <w:qFormat/>
    <w:uiPriority w:val="99"/>
    <w:rPr>
      <w:rFonts w:ascii="宋体" w:hAnsi="Courier New" w:eastAsia="宋体" w:cs="Courier New"/>
      <w:szCs w:val="21"/>
    </w:rPr>
  </w:style>
  <w:style w:type="character" w:customStyle="1" w:styleId="115">
    <w:name w:val="标题 1 Char1"/>
    <w:autoRedefine/>
    <w:qFormat/>
    <w:uiPriority w:val="0"/>
    <w:rPr>
      <w:rFonts w:ascii="Calibri" w:hAnsi="Calibri" w:eastAsia="宋体"/>
      <w:b/>
      <w:kern w:val="44"/>
      <w:sz w:val="44"/>
      <w:szCs w:val="44"/>
    </w:rPr>
  </w:style>
  <w:style w:type="character" w:customStyle="1" w:styleId="116">
    <w:name w:val="标题 3 Char1"/>
    <w:autoRedefine/>
    <w:semiHidden/>
    <w:qFormat/>
    <w:uiPriority w:val="0"/>
    <w:rPr>
      <w:rFonts w:ascii="Calibri" w:hAnsi="Calibri" w:eastAsia="宋体"/>
      <w:b/>
      <w:kern w:val="2"/>
      <w:sz w:val="32"/>
    </w:rPr>
  </w:style>
  <w:style w:type="character" w:customStyle="1" w:styleId="117">
    <w:name w:val="标题 4 Char1"/>
    <w:autoRedefine/>
    <w:semiHidden/>
    <w:qFormat/>
    <w:uiPriority w:val="0"/>
    <w:rPr>
      <w:rFonts w:ascii="Cambria" w:hAnsi="Cambria" w:eastAsia="宋体"/>
      <w:b/>
      <w:kern w:val="2"/>
      <w:sz w:val="28"/>
      <w:szCs w:val="28"/>
    </w:rPr>
  </w:style>
  <w:style w:type="character" w:customStyle="1" w:styleId="118">
    <w:name w:val="标题 5 Char1"/>
    <w:autoRedefine/>
    <w:semiHidden/>
    <w:qFormat/>
    <w:uiPriority w:val="0"/>
    <w:rPr>
      <w:rFonts w:ascii="Calibri" w:hAnsi="Calibri" w:eastAsia="宋体"/>
      <w:b/>
      <w:kern w:val="2"/>
      <w:sz w:val="28"/>
      <w:szCs w:val="28"/>
    </w:rPr>
  </w:style>
  <w:style w:type="character" w:customStyle="1" w:styleId="119">
    <w:name w:val="标题 6 Char1"/>
    <w:autoRedefine/>
    <w:semiHidden/>
    <w:qFormat/>
    <w:uiPriority w:val="0"/>
    <w:rPr>
      <w:rFonts w:ascii="Cambria" w:hAnsi="Cambria" w:eastAsia="宋体"/>
      <w:b/>
      <w:kern w:val="2"/>
      <w:sz w:val="24"/>
      <w:szCs w:val="24"/>
    </w:rPr>
  </w:style>
  <w:style w:type="character" w:customStyle="1" w:styleId="120">
    <w:name w:val="正文文本 (2) + 间距 0 pt5"/>
    <w:autoRedefine/>
    <w:qFormat/>
    <w:uiPriority w:val="99"/>
    <w:rPr>
      <w:rFonts w:ascii="MingLiU" w:eastAsia="MingLiU" w:cs="MingLiU"/>
      <w:spacing w:val="0"/>
      <w:sz w:val="22"/>
      <w:shd w:val="clear" w:color="auto" w:fill="FFFFFF"/>
    </w:rPr>
  </w:style>
  <w:style w:type="character" w:customStyle="1" w:styleId="121">
    <w:name w:val="标题 7 Char1"/>
    <w:autoRedefine/>
    <w:semiHidden/>
    <w:qFormat/>
    <w:uiPriority w:val="0"/>
    <w:rPr>
      <w:rFonts w:ascii="Calibri" w:hAnsi="Calibri" w:eastAsia="宋体"/>
      <w:b/>
      <w:kern w:val="2"/>
      <w:sz w:val="24"/>
      <w:szCs w:val="24"/>
    </w:rPr>
  </w:style>
  <w:style w:type="character" w:customStyle="1" w:styleId="122">
    <w:name w:val="标题 8 Char1"/>
    <w:autoRedefine/>
    <w:semiHidden/>
    <w:qFormat/>
    <w:uiPriority w:val="0"/>
    <w:rPr>
      <w:rFonts w:ascii="Cambria" w:hAnsi="Cambria" w:eastAsia="宋体"/>
      <w:kern w:val="2"/>
      <w:sz w:val="24"/>
      <w:szCs w:val="24"/>
    </w:rPr>
  </w:style>
  <w:style w:type="character" w:customStyle="1" w:styleId="123">
    <w:name w:val="页眉 Char1"/>
    <w:autoRedefine/>
    <w:semiHidden/>
    <w:qFormat/>
    <w:uiPriority w:val="99"/>
    <w:rPr>
      <w:kern w:val="2"/>
      <w:sz w:val="18"/>
      <w:szCs w:val="18"/>
    </w:rPr>
  </w:style>
  <w:style w:type="character" w:customStyle="1" w:styleId="124">
    <w:name w:val="标题 9 Char1"/>
    <w:autoRedefine/>
    <w:semiHidden/>
    <w:qFormat/>
    <w:uiPriority w:val="0"/>
    <w:rPr>
      <w:rFonts w:ascii="Cambria" w:hAnsi="Cambria" w:eastAsia="宋体"/>
      <w:kern w:val="2"/>
      <w:sz w:val="21"/>
      <w:szCs w:val="21"/>
    </w:rPr>
  </w:style>
  <w:style w:type="character" w:customStyle="1" w:styleId="12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126">
    <w:name w:val="标题 2 Char_0"/>
    <w:link w:val="127"/>
    <w:autoRedefine/>
    <w:qFormat/>
    <w:uiPriority w:val="0"/>
    <w:rPr>
      <w:rFonts w:ascii="黑体" w:hAnsi="宋体" w:eastAsia="黑体"/>
      <w:b/>
      <w:smallCaps/>
      <w:snapToGrid w:val="0"/>
      <w:sz w:val="36"/>
      <w:szCs w:val="24"/>
    </w:rPr>
  </w:style>
  <w:style w:type="paragraph" w:customStyle="1" w:styleId="127">
    <w:name w:val="标题 2_0"/>
    <w:basedOn w:val="128"/>
    <w:next w:val="129"/>
    <w:link w:val="126"/>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2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0">
    <w:name w:val="Texte Char1"/>
    <w:link w:val="131"/>
    <w:autoRedefine/>
    <w:qFormat/>
    <w:uiPriority w:val="99"/>
    <w:rPr>
      <w:rFonts w:ascii="宋体" w:hAnsi="Courier New"/>
      <w:kern w:val="2"/>
      <w:sz w:val="21"/>
      <w:szCs w:val="21"/>
      <w:lang w:val="en-US" w:eastAsia="zh-CN"/>
    </w:rPr>
  </w:style>
  <w:style w:type="paragraph" w:customStyle="1" w:styleId="131">
    <w:name w:val="纯文本_0"/>
    <w:basedOn w:val="129"/>
    <w:link w:val="130"/>
    <w:autoRedefine/>
    <w:qFormat/>
    <w:uiPriority w:val="99"/>
    <w:rPr>
      <w:rFonts w:ascii="宋体" w:hAnsi="Courier New"/>
      <w:szCs w:val="21"/>
    </w:rPr>
  </w:style>
  <w:style w:type="character" w:customStyle="1" w:styleId="132">
    <w:name w:val="纯文本 Char1_0"/>
    <w:link w:val="133"/>
    <w:autoRedefine/>
    <w:qFormat/>
    <w:uiPriority w:val="0"/>
    <w:rPr>
      <w:rFonts w:ascii="宋体" w:hAnsi="Courier New"/>
      <w:kern w:val="2"/>
      <w:sz w:val="21"/>
      <w:szCs w:val="21"/>
    </w:rPr>
  </w:style>
  <w:style w:type="paragraph" w:customStyle="1" w:styleId="133">
    <w:name w:val="纯文本_1"/>
    <w:basedOn w:val="134"/>
    <w:link w:val="132"/>
    <w:autoRedefine/>
    <w:qFormat/>
    <w:uiPriority w:val="0"/>
    <w:rPr>
      <w:rFonts w:ascii="宋体" w:hAnsi="Courier New"/>
      <w:szCs w:val="21"/>
    </w:rPr>
  </w:style>
  <w:style w:type="paragraph" w:customStyle="1" w:styleId="13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
    <w:name w:val="文档结构图 Char2"/>
    <w:autoRedefine/>
    <w:semiHidden/>
    <w:qFormat/>
    <w:uiPriority w:val="99"/>
    <w:rPr>
      <w:rFonts w:ascii="宋体"/>
      <w:kern w:val="2"/>
      <w:sz w:val="18"/>
      <w:szCs w:val="18"/>
    </w:rPr>
  </w:style>
  <w:style w:type="character" w:customStyle="1" w:styleId="136">
    <w:name w:val="标题 1 Char_0"/>
    <w:link w:val="137"/>
    <w:autoRedefine/>
    <w:qFormat/>
    <w:uiPriority w:val="0"/>
    <w:rPr>
      <w:rFonts w:ascii="黑体" w:eastAsia="黑体"/>
      <w:sz w:val="52"/>
    </w:rPr>
  </w:style>
  <w:style w:type="paragraph" w:customStyle="1" w:styleId="137">
    <w:name w:val="标题 1_0"/>
    <w:basedOn w:val="138"/>
    <w:next w:val="138"/>
    <w:link w:val="136"/>
    <w:autoRedefine/>
    <w:qFormat/>
    <w:uiPriority w:val="0"/>
    <w:pPr>
      <w:keepNext/>
      <w:widowControl/>
      <w:numPr>
        <w:ilvl w:val="0"/>
        <w:numId w:val="1"/>
      </w:numPr>
      <w:jc w:val="center"/>
      <w:outlineLvl w:val="0"/>
    </w:pPr>
    <w:rPr>
      <w:rFonts w:ascii="黑体" w:eastAsia="黑体"/>
      <w:kern w:val="0"/>
      <w:sz w:val="52"/>
      <w:szCs w:val="20"/>
    </w:rPr>
  </w:style>
  <w:style w:type="paragraph" w:customStyle="1" w:styleId="13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2 Char"/>
    <w:link w:val="140"/>
    <w:autoRedefine/>
    <w:qFormat/>
    <w:uiPriority w:val="0"/>
    <w:rPr>
      <w:rFonts w:ascii="楷体" w:eastAsia="楷体"/>
      <w:b/>
      <w:color w:val="0000FF"/>
      <w:kern w:val="2"/>
      <w:sz w:val="21"/>
      <w:szCs w:val="22"/>
      <w:lang w:val="en-US" w:eastAsia="zh-CN" w:bidi="ar-SA"/>
    </w:rPr>
  </w:style>
  <w:style w:type="paragraph" w:customStyle="1" w:styleId="140">
    <w:name w:val="正文2"/>
    <w:link w:val="139"/>
    <w:autoRedefine/>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41">
    <w:name w:val="标题 6 Char_0"/>
    <w:link w:val="142"/>
    <w:autoRedefine/>
    <w:qFormat/>
    <w:uiPriority w:val="0"/>
    <w:rPr>
      <w:rFonts w:ascii="Arial" w:hAnsi="Arial" w:eastAsia="黑体"/>
      <w:b/>
      <w:bCs/>
      <w:sz w:val="24"/>
      <w:szCs w:val="24"/>
    </w:rPr>
  </w:style>
  <w:style w:type="paragraph" w:customStyle="1" w:styleId="142">
    <w:name w:val="标题 6_0"/>
    <w:basedOn w:val="138"/>
    <w:next w:val="138"/>
    <w:link w:val="14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43">
    <w:name w:val="标题 7 Char_0"/>
    <w:link w:val="144"/>
    <w:autoRedefine/>
    <w:qFormat/>
    <w:uiPriority w:val="0"/>
    <w:rPr>
      <w:b/>
      <w:bCs/>
      <w:sz w:val="24"/>
      <w:szCs w:val="24"/>
    </w:rPr>
  </w:style>
  <w:style w:type="paragraph" w:customStyle="1" w:styleId="144">
    <w:name w:val="标题 7_0"/>
    <w:basedOn w:val="138"/>
    <w:next w:val="138"/>
    <w:link w:val="143"/>
    <w:autoRedefine/>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45">
    <w:name w:val="标题 8 Char_0"/>
    <w:link w:val="146"/>
    <w:autoRedefine/>
    <w:qFormat/>
    <w:uiPriority w:val="0"/>
    <w:rPr>
      <w:rFonts w:ascii="Arial" w:hAnsi="Arial" w:eastAsia="黑体"/>
      <w:sz w:val="24"/>
      <w:szCs w:val="24"/>
    </w:rPr>
  </w:style>
  <w:style w:type="paragraph" w:customStyle="1" w:styleId="146">
    <w:name w:val="标题 8_0"/>
    <w:basedOn w:val="138"/>
    <w:next w:val="138"/>
    <w:link w:val="14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47">
    <w:name w:val="标题 9 Char_0"/>
    <w:link w:val="148"/>
    <w:autoRedefine/>
    <w:qFormat/>
    <w:uiPriority w:val="0"/>
    <w:rPr>
      <w:rFonts w:ascii="Arial" w:hAnsi="Arial" w:eastAsia="黑体"/>
      <w:sz w:val="21"/>
      <w:szCs w:val="21"/>
    </w:rPr>
  </w:style>
  <w:style w:type="paragraph" w:customStyle="1" w:styleId="148">
    <w:name w:val="标题 9_0"/>
    <w:basedOn w:val="138"/>
    <w:next w:val="138"/>
    <w:link w:val="14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49">
    <w:name w:val="标题 3 Char_0"/>
    <w:link w:val="150"/>
    <w:autoRedefine/>
    <w:qFormat/>
    <w:uiPriority w:val="0"/>
    <w:rPr>
      <w:b/>
      <w:sz w:val="32"/>
    </w:rPr>
  </w:style>
  <w:style w:type="paragraph" w:customStyle="1" w:styleId="150">
    <w:name w:val="标题 3_0"/>
    <w:basedOn w:val="138"/>
    <w:next w:val="151"/>
    <w:link w:val="149"/>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51">
    <w:name w:val="正文缩进_0"/>
    <w:basedOn w:val="138"/>
    <w:autoRedefine/>
    <w:unhideWhenUsed/>
    <w:qFormat/>
    <w:uiPriority w:val="0"/>
    <w:pPr>
      <w:ind w:firstLine="420" w:firstLineChars="200"/>
    </w:pPr>
    <w:rPr>
      <w:rFonts w:ascii="Calibri" w:hAnsi="Calibri"/>
      <w:bCs/>
      <w:szCs w:val="32"/>
    </w:rPr>
  </w:style>
  <w:style w:type="character" w:customStyle="1" w:styleId="152">
    <w:name w:val="Blockquote Char_0"/>
    <w:link w:val="153"/>
    <w:autoRedefine/>
    <w:qFormat/>
    <w:locked/>
    <w:uiPriority w:val="0"/>
    <w:rPr>
      <w:sz w:val="24"/>
    </w:rPr>
  </w:style>
  <w:style w:type="paragraph" w:customStyle="1" w:styleId="153">
    <w:name w:val="Blockquote_0"/>
    <w:basedOn w:val="138"/>
    <w:link w:val="152"/>
    <w:autoRedefine/>
    <w:qFormat/>
    <w:uiPriority w:val="0"/>
    <w:pPr>
      <w:autoSpaceDE w:val="0"/>
      <w:autoSpaceDN w:val="0"/>
      <w:adjustRightInd w:val="0"/>
      <w:spacing w:before="100" w:after="100"/>
      <w:ind w:left="360" w:right="360"/>
      <w:jc w:val="left"/>
    </w:pPr>
    <w:rPr>
      <w:kern w:val="0"/>
      <w:sz w:val="24"/>
      <w:szCs w:val="20"/>
    </w:rPr>
  </w:style>
  <w:style w:type="character" w:customStyle="1" w:styleId="154">
    <w:name w:val="标题 4 Char_0"/>
    <w:link w:val="155"/>
    <w:autoRedefine/>
    <w:qFormat/>
    <w:uiPriority w:val="0"/>
    <w:rPr>
      <w:rFonts w:ascii="Arial" w:hAnsi="Arial" w:eastAsia="黑体"/>
      <w:sz w:val="28"/>
    </w:rPr>
  </w:style>
  <w:style w:type="paragraph" w:customStyle="1" w:styleId="155">
    <w:name w:val="标题 4_0"/>
    <w:basedOn w:val="138"/>
    <w:next w:val="138"/>
    <w:link w:val="15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6">
    <w:name w:val="纯文本 Char1_1"/>
    <w:link w:val="157"/>
    <w:autoRedefine/>
    <w:qFormat/>
    <w:uiPriority w:val="0"/>
    <w:rPr>
      <w:rFonts w:ascii="宋体" w:hAnsi="Courier New"/>
      <w:kern w:val="2"/>
      <w:sz w:val="21"/>
      <w:szCs w:val="21"/>
    </w:rPr>
  </w:style>
  <w:style w:type="paragraph" w:customStyle="1" w:styleId="157">
    <w:name w:val="纯文本_2"/>
    <w:basedOn w:val="138"/>
    <w:link w:val="156"/>
    <w:autoRedefine/>
    <w:qFormat/>
    <w:uiPriority w:val="0"/>
    <w:rPr>
      <w:rFonts w:ascii="宋体" w:hAnsi="Courier New"/>
      <w:szCs w:val="21"/>
    </w:rPr>
  </w:style>
  <w:style w:type="character" w:customStyle="1" w:styleId="158">
    <w:name w:val="Blockquote Char_0_1"/>
    <w:link w:val="159"/>
    <w:autoRedefine/>
    <w:qFormat/>
    <w:locked/>
    <w:uiPriority w:val="0"/>
    <w:rPr>
      <w:sz w:val="24"/>
    </w:rPr>
  </w:style>
  <w:style w:type="paragraph" w:customStyle="1" w:styleId="159">
    <w:name w:val="Blockquote_0_1"/>
    <w:basedOn w:val="160"/>
    <w:link w:val="158"/>
    <w:autoRedefine/>
    <w:qFormat/>
    <w:uiPriority w:val="0"/>
    <w:pPr>
      <w:autoSpaceDE w:val="0"/>
      <w:autoSpaceDN w:val="0"/>
      <w:adjustRightInd w:val="0"/>
      <w:spacing w:before="100" w:after="100"/>
      <w:ind w:left="360" w:right="360"/>
      <w:jc w:val="left"/>
    </w:pPr>
    <w:rPr>
      <w:kern w:val="0"/>
      <w:sz w:val="24"/>
      <w:szCs w:val="20"/>
    </w:rPr>
  </w:style>
  <w:style w:type="paragraph" w:customStyle="1" w:styleId="16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正文文本 Char_0"/>
    <w:link w:val="162"/>
    <w:autoRedefine/>
    <w:qFormat/>
    <w:uiPriority w:val="0"/>
    <w:rPr>
      <w:kern w:val="2"/>
      <w:sz w:val="21"/>
      <w:szCs w:val="24"/>
    </w:rPr>
  </w:style>
  <w:style w:type="paragraph" w:customStyle="1" w:styleId="162">
    <w:name w:val="正文文本_0"/>
    <w:basedOn w:val="138"/>
    <w:link w:val="161"/>
    <w:autoRedefine/>
    <w:qFormat/>
    <w:uiPriority w:val="0"/>
    <w:pPr>
      <w:spacing w:after="120"/>
    </w:pPr>
  </w:style>
  <w:style w:type="character" w:customStyle="1" w:styleId="163">
    <w:name w:val="脚注文本 Char_0"/>
    <w:link w:val="164"/>
    <w:autoRedefine/>
    <w:semiHidden/>
    <w:qFormat/>
    <w:uiPriority w:val="0"/>
    <w:rPr>
      <w:sz w:val="18"/>
    </w:rPr>
  </w:style>
  <w:style w:type="paragraph" w:customStyle="1" w:styleId="164">
    <w:name w:val="脚注文本_0"/>
    <w:basedOn w:val="165"/>
    <w:link w:val="163"/>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6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6">
    <w:name w:val="Char Char"/>
    <w:autoRedefine/>
    <w:qFormat/>
    <w:uiPriority w:val="0"/>
    <w:rPr>
      <w:rFonts w:ascii="宋体" w:hAnsi="Courier New" w:eastAsia="宋体" w:cs="Courier New"/>
      <w:kern w:val="2"/>
      <w:sz w:val="21"/>
      <w:szCs w:val="21"/>
      <w:lang w:val="en-US" w:eastAsia="zh-CN" w:bidi="ar-SA"/>
    </w:rPr>
  </w:style>
  <w:style w:type="character" w:customStyle="1" w:styleId="167">
    <w:name w:val="标题4 Char Char"/>
    <w:link w:val="168"/>
    <w:autoRedefine/>
    <w:qFormat/>
    <w:uiPriority w:val="0"/>
    <w:rPr>
      <w:rFonts w:ascii="Arial" w:hAnsi="Arial"/>
      <w:b/>
      <w:bCs/>
      <w:sz w:val="24"/>
      <w:szCs w:val="32"/>
    </w:rPr>
  </w:style>
  <w:style w:type="paragraph" w:customStyle="1" w:styleId="168">
    <w:name w:val="标题4"/>
    <w:basedOn w:val="4"/>
    <w:next w:val="25"/>
    <w:link w:val="167"/>
    <w:autoRedefine/>
    <w:qFormat/>
    <w:uiPriority w:val="0"/>
    <w:pPr>
      <w:spacing w:before="0" w:after="0" w:line="413" w:lineRule="auto"/>
    </w:pPr>
    <w:rPr>
      <w:rFonts w:ascii="Arial" w:hAnsi="Arial"/>
      <w:kern w:val="0"/>
      <w:sz w:val="24"/>
    </w:rPr>
  </w:style>
  <w:style w:type="character" w:customStyle="1" w:styleId="169">
    <w:name w:val="明显引用 Char"/>
    <w:link w:val="170"/>
    <w:autoRedefine/>
    <w:qFormat/>
    <w:uiPriority w:val="0"/>
    <w:rPr>
      <w:b/>
      <w:bCs/>
      <w:i/>
      <w:iCs/>
      <w:color w:val="4F81BD"/>
      <w:kern w:val="2"/>
      <w:sz w:val="21"/>
      <w:szCs w:val="22"/>
    </w:rPr>
  </w:style>
  <w:style w:type="paragraph" w:styleId="170">
    <w:name w:val="Intense Quote"/>
    <w:basedOn w:val="1"/>
    <w:next w:val="1"/>
    <w:link w:val="169"/>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71">
    <w:name w:val="明显引用 Char1"/>
    <w:autoRedefine/>
    <w:qFormat/>
    <w:uiPriority w:val="30"/>
    <w:rPr>
      <w:b/>
      <w:bCs/>
      <w:i/>
      <w:iCs/>
      <w:color w:val="4F81BD"/>
      <w:kern w:val="2"/>
      <w:sz w:val="21"/>
      <w:szCs w:val="24"/>
    </w:rPr>
  </w:style>
  <w:style w:type="character" w:customStyle="1" w:styleId="172">
    <w:name w:val="标题5 Char Char"/>
    <w:link w:val="173"/>
    <w:autoRedefine/>
    <w:qFormat/>
    <w:uiPriority w:val="0"/>
    <w:rPr>
      <w:rFonts w:ascii="Arial" w:hAnsi="Arial"/>
      <w:b/>
      <w:bCs/>
      <w:sz w:val="24"/>
      <w:szCs w:val="32"/>
    </w:rPr>
  </w:style>
  <w:style w:type="paragraph" w:customStyle="1" w:styleId="173">
    <w:name w:val="标题5"/>
    <w:basedOn w:val="2"/>
    <w:link w:val="172"/>
    <w:autoRedefine/>
    <w:qFormat/>
    <w:uiPriority w:val="0"/>
    <w:pPr>
      <w:spacing w:before="260" w:after="260" w:line="413" w:lineRule="auto"/>
    </w:pPr>
    <w:rPr>
      <w:rFonts w:ascii="Arial" w:hAnsi="Arial" w:eastAsia="宋体"/>
      <w:b/>
      <w:kern w:val="0"/>
      <w:szCs w:val="32"/>
    </w:rPr>
  </w:style>
  <w:style w:type="character" w:customStyle="1" w:styleId="174">
    <w:name w:val="引用 Char"/>
    <w:link w:val="175"/>
    <w:autoRedefine/>
    <w:qFormat/>
    <w:uiPriority w:val="0"/>
    <w:rPr>
      <w:i/>
      <w:iCs/>
      <w:color w:val="000000"/>
      <w:kern w:val="2"/>
      <w:sz w:val="21"/>
      <w:szCs w:val="22"/>
    </w:rPr>
  </w:style>
  <w:style w:type="paragraph" w:styleId="175">
    <w:name w:val="Quote"/>
    <w:basedOn w:val="1"/>
    <w:next w:val="1"/>
    <w:link w:val="174"/>
    <w:autoRedefine/>
    <w:qFormat/>
    <w:uiPriority w:val="0"/>
    <w:rPr>
      <w:rFonts w:ascii="Times New Roman"/>
      <w:i/>
      <w:iCs/>
      <w:color w:val="000000"/>
      <w:kern w:val="2"/>
      <w:sz w:val="21"/>
      <w:szCs w:val="22"/>
    </w:rPr>
  </w:style>
  <w:style w:type="character" w:customStyle="1" w:styleId="176">
    <w:name w:val="引用 Char1"/>
    <w:autoRedefine/>
    <w:qFormat/>
    <w:uiPriority w:val="29"/>
    <w:rPr>
      <w:i/>
      <w:iCs/>
      <w:color w:val="000000"/>
      <w:kern w:val="2"/>
      <w:sz w:val="21"/>
      <w:szCs w:val="24"/>
    </w:rPr>
  </w:style>
  <w:style w:type="character" w:customStyle="1" w:styleId="177">
    <w:name w:val="ask-title2"/>
    <w:autoRedefine/>
    <w:qFormat/>
    <w:uiPriority w:val="0"/>
  </w:style>
  <w:style w:type="character" w:customStyle="1" w:styleId="178">
    <w:name w:val="正文文本 Char1"/>
    <w:autoRedefine/>
    <w:qFormat/>
    <w:uiPriority w:val="0"/>
    <w:rPr>
      <w:kern w:val="2"/>
      <w:sz w:val="21"/>
      <w:szCs w:val="22"/>
    </w:rPr>
  </w:style>
  <w:style w:type="character" w:customStyle="1" w:styleId="179">
    <w:name w:val="不明显强调1"/>
    <w:autoRedefine/>
    <w:qFormat/>
    <w:uiPriority w:val="0"/>
    <w:rPr>
      <w:i/>
      <w:iCs/>
      <w:color w:val="808080"/>
    </w:rPr>
  </w:style>
  <w:style w:type="character" w:customStyle="1" w:styleId="180">
    <w:name w:val="明显参考1"/>
    <w:autoRedefine/>
    <w:qFormat/>
    <w:uiPriority w:val="0"/>
    <w:rPr>
      <w:b/>
      <w:bCs/>
      <w:smallCaps/>
      <w:color w:val="C0504D"/>
      <w:spacing w:val="5"/>
      <w:u w:val="single"/>
    </w:rPr>
  </w:style>
  <w:style w:type="character" w:customStyle="1" w:styleId="181">
    <w:name w:val="日期 Char1"/>
    <w:autoRedefine/>
    <w:qFormat/>
    <w:uiPriority w:val="0"/>
    <w:rPr>
      <w:kern w:val="2"/>
      <w:sz w:val="21"/>
      <w:szCs w:val="22"/>
    </w:rPr>
  </w:style>
  <w:style w:type="character" w:customStyle="1" w:styleId="182">
    <w:name w:val="明显强调1"/>
    <w:autoRedefine/>
    <w:qFormat/>
    <w:uiPriority w:val="0"/>
    <w:rPr>
      <w:b/>
      <w:bCs/>
      <w:i/>
      <w:iCs/>
      <w:color w:val="4F81BD"/>
    </w:rPr>
  </w:style>
  <w:style w:type="character" w:customStyle="1" w:styleId="183">
    <w:name w:val="textcontents"/>
    <w:autoRedefine/>
    <w:qFormat/>
    <w:uiPriority w:val="0"/>
    <w:rPr>
      <w:rFonts w:cs="Times New Roman"/>
    </w:rPr>
  </w:style>
  <w:style w:type="character" w:customStyle="1" w:styleId="184">
    <w:name w:val="不明显参考1"/>
    <w:autoRedefine/>
    <w:qFormat/>
    <w:uiPriority w:val="0"/>
    <w:rPr>
      <w:smallCaps/>
      <w:color w:val="C0504D"/>
      <w:u w:val="single"/>
    </w:rPr>
  </w:style>
  <w:style w:type="character" w:customStyle="1" w:styleId="185">
    <w:name w:val="批注文字 Char Char"/>
    <w:autoRedefine/>
    <w:qFormat/>
    <w:uiPriority w:val="0"/>
    <w:rPr>
      <w:rFonts w:ascii="宋体" w:hAnsi="Times New Roman" w:eastAsia="宋体" w:cs="Times New Roman"/>
      <w:sz w:val="28"/>
      <w:szCs w:val="20"/>
    </w:rPr>
  </w:style>
  <w:style w:type="character" w:customStyle="1" w:styleId="186">
    <w:name w:val="文档结构图 Char1"/>
    <w:autoRedefine/>
    <w:qFormat/>
    <w:uiPriority w:val="0"/>
    <w:rPr>
      <w:rFonts w:ascii="宋体"/>
      <w:kern w:val="2"/>
      <w:sz w:val="18"/>
      <w:szCs w:val="18"/>
    </w:rPr>
  </w:style>
  <w:style w:type="character" w:customStyle="1" w:styleId="187">
    <w:name w:val="页脚 Char1"/>
    <w:autoRedefine/>
    <w:semiHidden/>
    <w:qFormat/>
    <w:uiPriority w:val="99"/>
    <w:rPr>
      <w:kern w:val="2"/>
      <w:sz w:val="18"/>
      <w:szCs w:val="18"/>
    </w:rPr>
  </w:style>
  <w:style w:type="character" w:customStyle="1" w:styleId="188">
    <w:name w:val="批注框文本 Char2"/>
    <w:autoRedefine/>
    <w:semiHidden/>
    <w:qFormat/>
    <w:uiPriority w:val="99"/>
    <w:rPr>
      <w:kern w:val="2"/>
      <w:sz w:val="18"/>
      <w:szCs w:val="18"/>
    </w:rPr>
  </w:style>
  <w:style w:type="paragraph" w:customStyle="1" w:styleId="18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rPr>
  </w:style>
  <w:style w:type="paragraph" w:customStyle="1" w:styleId="19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193">
    <w:name w:val="Char Char Char Char"/>
    <w:basedOn w:val="1"/>
    <w:autoRedefine/>
    <w:qFormat/>
    <w:uiPriority w:val="0"/>
    <w:pPr>
      <w:snapToGrid w:val="0"/>
      <w:spacing w:line="360" w:lineRule="auto"/>
      <w:ind w:firstLine="200" w:firstLineChars="200"/>
    </w:pPr>
    <w:rPr>
      <w:rFonts w:ascii="Calibri" w:hAnsi="Calibri" w:eastAsia="仿宋_GB2312"/>
      <w:szCs w:val="22"/>
    </w:rPr>
  </w:style>
  <w:style w:type="paragraph" w:customStyle="1" w:styleId="194">
    <w:name w:val="样式 标题 3 + (中文) 黑体 小四 非加粗 段前: 7.8 磅 段后: 0 磅 行距: 固定值 20 磅"/>
    <w:basedOn w:val="2"/>
    <w:autoRedefine/>
    <w:qFormat/>
    <w:uiPriority w:val="0"/>
    <w:pPr>
      <w:spacing w:line="400" w:lineRule="exact"/>
    </w:pPr>
    <w:rPr>
      <w:rFonts w:cs="宋体"/>
      <w:b/>
      <w:bCs w:val="0"/>
      <w:szCs w:val="20"/>
    </w:rPr>
  </w:style>
  <w:style w:type="paragraph" w:customStyle="1" w:styleId="19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rPr>
  </w:style>
  <w:style w:type="paragraph" w:customStyle="1" w:styleId="196">
    <w:name w:val="Char Char Char Char Char Char"/>
    <w:basedOn w:val="1"/>
    <w:autoRedefine/>
    <w:qFormat/>
    <w:uiPriority w:val="0"/>
    <w:rPr>
      <w:rFonts w:ascii="Tahoma" w:hAnsi="Tahoma"/>
    </w:rPr>
  </w:style>
  <w:style w:type="paragraph" w:customStyle="1" w:styleId="197">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9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rPr>
  </w:style>
  <w:style w:type="paragraph" w:customStyle="1" w:styleId="199">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rPr>
  </w:style>
  <w:style w:type="paragraph" w:customStyle="1" w:styleId="20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01">
    <w:name w:val="样式 标题 2 + Times New Roman 四号 非加粗 段前: 5 磅 段后: 0 磅 行距: 固定值 20..."/>
    <w:basedOn w:val="4"/>
    <w:next w:val="1"/>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202">
    <w:name w:val="普通 (Web)"/>
    <w:basedOn w:val="1"/>
    <w:autoRedefine/>
    <w:qFormat/>
    <w:uiPriority w:val="0"/>
    <w:pPr>
      <w:widowControl/>
      <w:spacing w:before="100" w:beforeAutospacing="1" w:after="100" w:afterAutospacing="1"/>
      <w:jc w:val="left"/>
    </w:pPr>
    <w:rPr>
      <w:rFonts w:hAnsi="宋体"/>
    </w:rPr>
  </w:style>
  <w:style w:type="paragraph" w:styleId="203">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style>
  <w:style w:type="paragraph" w:customStyle="1" w:styleId="206">
    <w:name w:val="Normal_0"/>
    <w:autoRedefine/>
    <w:qFormat/>
    <w:uiPriority w:val="0"/>
    <w:rPr>
      <w:rFonts w:ascii="Times New Roman" w:hAnsi="Times New Roman" w:eastAsia="宋体" w:cs="Times New Roman"/>
      <w:sz w:val="24"/>
      <w:szCs w:val="24"/>
      <w:lang w:val="en-US" w:eastAsia="zh-CN" w:bidi="ar-SA"/>
    </w:rPr>
  </w:style>
  <w:style w:type="paragraph" w:customStyle="1" w:styleId="20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rPr>
  </w:style>
  <w:style w:type="paragraph" w:customStyle="1" w:styleId="20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12">
    <w:name w:val="Char"/>
    <w:basedOn w:val="1"/>
    <w:autoRedefine/>
    <w:qFormat/>
    <w:uiPriority w:val="0"/>
    <w:rPr>
      <w:rFonts w:ascii="Calibri" w:hAnsi="Calibri"/>
      <w:szCs w:val="22"/>
    </w:rPr>
  </w:style>
  <w:style w:type="paragraph" w:customStyle="1" w:styleId="213">
    <w:name w:val="Char Char Char Char Char Char1"/>
    <w:basedOn w:val="1"/>
    <w:autoRedefine/>
    <w:qFormat/>
    <w:uiPriority w:val="0"/>
    <w:rPr>
      <w:rFonts w:ascii="Tahoma" w:hAnsi="Tahoma"/>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1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16">
    <w:name w:val="样式1"/>
    <w:basedOn w:val="1"/>
    <w:next w:val="5"/>
    <w:autoRedefine/>
    <w:qFormat/>
    <w:uiPriority w:val="0"/>
    <w:pPr>
      <w:spacing w:line="360" w:lineRule="auto"/>
      <w:ind w:firstLine="420" w:firstLineChars="200"/>
    </w:pPr>
    <w:rPr>
      <w:rFonts w:hAnsi="宋体"/>
      <w:szCs w:val="21"/>
    </w:rPr>
  </w:style>
  <w:style w:type="paragraph" w:customStyle="1" w:styleId="217">
    <w:name w:val="段落2"/>
    <w:basedOn w:val="1"/>
    <w:autoRedefine/>
    <w:qFormat/>
    <w:uiPriority w:val="0"/>
    <w:pPr>
      <w:spacing w:line="360" w:lineRule="auto"/>
      <w:ind w:firstLine="480" w:firstLineChars="200"/>
    </w:pPr>
    <w:rPr>
      <w:rFonts w:ascii="Calibri" w:hAnsi="Calibri" w:cs="Courier New"/>
      <w:szCs w:val="21"/>
    </w:rPr>
  </w:style>
  <w:style w:type="paragraph" w:customStyle="1" w:styleId="218">
    <w:name w:val="目录"/>
    <w:basedOn w:val="1"/>
    <w:autoRedefine/>
    <w:qFormat/>
    <w:uiPriority w:val="0"/>
    <w:pPr>
      <w:widowControl/>
      <w:jc w:val="center"/>
    </w:pPr>
    <w:rPr>
      <w:rFonts w:hAnsi="Calibri"/>
      <w:b/>
      <w:sz w:val="36"/>
    </w:rPr>
  </w:style>
  <w:style w:type="paragraph" w:customStyle="1" w:styleId="219">
    <w:name w:val="目录文字"/>
    <w:basedOn w:val="1"/>
    <w:autoRedefine/>
    <w:qFormat/>
    <w:uiPriority w:val="0"/>
    <w:pPr>
      <w:widowControl/>
      <w:spacing w:line="480" w:lineRule="auto"/>
      <w:jc w:val="left"/>
    </w:pPr>
    <w:rPr>
      <w:rFonts w:hAnsi="宋体"/>
    </w:rPr>
  </w:style>
  <w:style w:type="paragraph" w:customStyle="1" w:styleId="220">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2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2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paragraph" w:customStyle="1" w:styleId="223">
    <w:name w:val="段落1 Char"/>
    <w:basedOn w:val="28"/>
    <w:autoRedefine/>
    <w:qFormat/>
    <w:uiPriority w:val="0"/>
    <w:pPr>
      <w:spacing w:line="360" w:lineRule="auto"/>
    </w:pPr>
    <w:rPr>
      <w:rFonts w:ascii="Times New Roman" w:hAnsi="Times New Roman"/>
      <w:sz w:val="24"/>
      <w:szCs w:val="21"/>
    </w:rPr>
  </w:style>
  <w:style w:type="paragraph" w:customStyle="1" w:styleId="224">
    <w:name w:val="样式3"/>
    <w:basedOn w:val="1"/>
    <w:autoRedefine/>
    <w:qFormat/>
    <w:uiPriority w:val="0"/>
    <w:pPr>
      <w:tabs>
        <w:tab w:val="left" w:pos="560"/>
        <w:tab w:val="left" w:pos="1120"/>
      </w:tabs>
      <w:spacing w:line="480" w:lineRule="atLeast"/>
    </w:pPr>
    <w:rPr>
      <w:rFonts w:ascii="Calibri" w:hAnsi="Calibri" w:eastAsia="创艺简黑体"/>
      <w:b/>
      <w:sz w:val="28"/>
    </w:rPr>
  </w:style>
  <w:style w:type="paragraph" w:customStyle="1" w:styleId="225">
    <w:name w:val="简单回函地址"/>
    <w:basedOn w:val="1"/>
    <w:autoRedefine/>
    <w:qFormat/>
    <w:uiPriority w:val="0"/>
    <w:rPr>
      <w:rFonts w:ascii="Calibri" w:hAnsi="Calibri"/>
      <w:szCs w:val="22"/>
    </w:rPr>
  </w:style>
  <w:style w:type="paragraph" w:customStyle="1" w:styleId="226">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2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rPr>
  </w:style>
  <w:style w:type="paragraph" w:customStyle="1" w:styleId="228">
    <w:name w:val="Default Paragraph Char Char Char Char"/>
    <w:basedOn w:val="1"/>
    <w:next w:val="1"/>
    <w:autoRedefine/>
    <w:qFormat/>
    <w:uiPriority w:val="0"/>
    <w:pPr>
      <w:widowControl/>
      <w:spacing w:line="360" w:lineRule="auto"/>
      <w:jc w:val="left"/>
    </w:pPr>
    <w:rPr>
      <w:rFonts w:ascii="Calibri" w:hAnsi="Calibri"/>
      <w:lang w:eastAsia="en-US"/>
    </w:rPr>
  </w:style>
  <w:style w:type="paragraph" w:customStyle="1" w:styleId="229">
    <w:name w:val="普通(网站)_0"/>
    <w:basedOn w:val="138"/>
    <w:autoRedefine/>
    <w:qFormat/>
    <w:uiPriority w:val="0"/>
    <w:pPr>
      <w:widowControl/>
      <w:spacing w:before="100" w:beforeAutospacing="1" w:after="100" w:afterAutospacing="1"/>
      <w:jc w:val="left"/>
    </w:pPr>
    <w:rPr>
      <w:rFonts w:ascii="宋体" w:hAnsi="宋体"/>
      <w:kern w:val="0"/>
      <w:sz w:val="24"/>
    </w:rPr>
  </w:style>
  <w:style w:type="paragraph" w:customStyle="1" w:styleId="230">
    <w:name w:val="Char1"/>
    <w:basedOn w:val="1"/>
    <w:next w:val="1"/>
    <w:autoRedefine/>
    <w:qFormat/>
    <w:uiPriority w:val="0"/>
    <w:pPr>
      <w:widowControl/>
      <w:spacing w:line="360" w:lineRule="auto"/>
      <w:jc w:val="left"/>
    </w:pPr>
    <w:rPr>
      <w:rFonts w:ascii="Calibri" w:hAnsi="Calibri"/>
      <w:lang w:eastAsia="en-US"/>
    </w:rPr>
  </w:style>
  <w:style w:type="paragraph" w:customStyle="1" w:styleId="231">
    <w:name w:val="Char10 Char Char Char Char Char Char Char Char Char"/>
    <w:basedOn w:val="1"/>
    <w:next w:val="1"/>
    <w:autoRedefine/>
    <w:qFormat/>
    <w:uiPriority w:val="0"/>
    <w:rPr>
      <w:rFonts w:ascii="Calibri" w:hAnsi="Calibri"/>
      <w:szCs w:val="22"/>
    </w:rPr>
  </w:style>
  <w:style w:type="paragraph" w:customStyle="1" w:styleId="232">
    <w:name w:val="TOC 标题1"/>
    <w:basedOn w:val="3"/>
    <w:next w:val="1"/>
    <w:autoRedefine/>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33">
    <w:name w:val="Char Char Char Char1"/>
    <w:basedOn w:val="1"/>
    <w:autoRedefine/>
    <w:qFormat/>
    <w:uiPriority w:val="0"/>
    <w:pPr>
      <w:snapToGrid w:val="0"/>
      <w:spacing w:line="360" w:lineRule="auto"/>
      <w:ind w:firstLine="200" w:firstLineChars="200"/>
    </w:pPr>
    <w:rPr>
      <w:rFonts w:ascii="Calibri" w:hAnsi="Calibri" w:eastAsia="仿宋_GB2312"/>
      <w:szCs w:val="22"/>
    </w:rPr>
  </w:style>
  <w:style w:type="paragraph" w:customStyle="1" w:styleId="234">
    <w:name w:val="Char10 Char Char Char Char Char Char Char Char Char1"/>
    <w:basedOn w:val="1"/>
    <w:next w:val="1"/>
    <w:autoRedefine/>
    <w:qFormat/>
    <w:uiPriority w:val="0"/>
    <w:rPr>
      <w:rFonts w:ascii="Calibri" w:hAnsi="Calibri"/>
      <w:szCs w:val="22"/>
    </w:rPr>
  </w:style>
  <w:style w:type="paragraph" w:customStyle="1" w:styleId="235">
    <w:name w:val="xl45"/>
    <w:basedOn w:val="1"/>
    <w:autoRedefine/>
    <w:qFormat/>
    <w:uiPriority w:val="0"/>
    <w:pPr>
      <w:widowControl/>
      <w:spacing w:before="100" w:beforeAutospacing="1" w:after="100" w:afterAutospacing="1"/>
      <w:jc w:val="left"/>
      <w:textAlignment w:val="top"/>
    </w:pPr>
    <w:rPr>
      <w:rFonts w:hAnsi="宋体"/>
    </w:rPr>
  </w:style>
  <w:style w:type="paragraph" w:customStyle="1" w:styleId="236">
    <w:name w:val="MsoNormal"/>
    <w:basedOn w:val="206"/>
    <w:autoRedefine/>
    <w:qFormat/>
    <w:uiPriority w:val="0"/>
    <w:rPr>
      <w:rFonts w:ascii="Calibri" w:hAnsi="Calibri" w:eastAsia="Calibri"/>
      <w:sz w:val="21"/>
    </w:rPr>
  </w:style>
  <w:style w:type="paragraph" w:customStyle="1" w:styleId="237">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rPr>
  </w:style>
  <w:style w:type="paragraph" w:customStyle="1" w:styleId="23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rPr>
  </w:style>
  <w:style w:type="paragraph" w:customStyle="1" w:styleId="24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41">
    <w:name w:val="flNote"/>
    <w:basedOn w:val="1"/>
    <w:autoRedefine/>
    <w:qFormat/>
    <w:uiPriority w:val="0"/>
    <w:pPr>
      <w:adjustRightInd w:val="0"/>
      <w:spacing w:before="320" w:after="160" w:line="360" w:lineRule="atLeast"/>
      <w:jc w:val="center"/>
      <w:textAlignment w:val="baseline"/>
    </w:pPr>
    <w:rPr>
      <w:rFonts w:ascii="Arial" w:eastAsia="黑体"/>
      <w:sz w:val="30"/>
    </w:rPr>
  </w:style>
  <w:style w:type="paragraph" w:customStyle="1" w:styleId="2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范本目录"/>
    <w:basedOn w:val="1"/>
    <w:autoRedefine/>
    <w:qFormat/>
    <w:uiPriority w:val="0"/>
    <w:pPr>
      <w:adjustRightInd w:val="0"/>
      <w:snapToGrid w:val="0"/>
      <w:spacing w:beforeLines="20" w:afterLines="20" w:line="540" w:lineRule="exact"/>
      <w:jc w:val="center"/>
    </w:pPr>
    <w:rPr>
      <w:rFonts w:hAnsi="宋体"/>
      <w:b/>
      <w:bCs/>
      <w:sz w:val="36"/>
    </w:rPr>
  </w:style>
  <w:style w:type="paragraph" w:customStyle="1" w:styleId="2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4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24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rPr>
  </w:style>
  <w:style w:type="paragraph" w:customStyle="1" w:styleId="24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49">
    <w:name w:val="xl43"/>
    <w:basedOn w:val="1"/>
    <w:autoRedefine/>
    <w:qFormat/>
    <w:uiPriority w:val="0"/>
    <w:pPr>
      <w:widowControl/>
      <w:spacing w:before="100" w:beforeAutospacing="1" w:after="100" w:afterAutospacing="1"/>
      <w:jc w:val="left"/>
      <w:textAlignment w:val="top"/>
    </w:pPr>
    <w:rPr>
      <w:rFonts w:hAnsi="宋体"/>
    </w:rPr>
  </w:style>
  <w:style w:type="paragraph" w:customStyle="1" w:styleId="250">
    <w:name w:val="font6"/>
    <w:basedOn w:val="1"/>
    <w:autoRedefine/>
    <w:qFormat/>
    <w:uiPriority w:val="0"/>
    <w:pPr>
      <w:widowControl/>
      <w:spacing w:before="100" w:beforeAutospacing="1" w:after="100" w:afterAutospacing="1"/>
      <w:jc w:val="left"/>
    </w:pPr>
    <w:rPr>
      <w:sz w:val="18"/>
      <w:szCs w:val="18"/>
    </w:rPr>
  </w:style>
  <w:style w:type="paragraph" w:customStyle="1" w:styleId="251">
    <w:name w:val="Char Char Char Char Char"/>
    <w:basedOn w:val="1"/>
    <w:autoRedefine/>
    <w:qFormat/>
    <w:uiPriority w:val="0"/>
    <w:rPr>
      <w:rFonts w:ascii="Tahoma" w:hAnsi="Tahoma"/>
    </w:rPr>
  </w:style>
  <w:style w:type="paragraph" w:customStyle="1" w:styleId="252">
    <w:name w:val="空半行"/>
    <w:basedOn w:val="1"/>
    <w:autoRedefine/>
    <w:qFormat/>
    <w:uiPriority w:val="0"/>
    <w:pPr>
      <w:adjustRightInd w:val="0"/>
      <w:spacing w:line="120" w:lineRule="exact"/>
      <w:textAlignment w:val="baseline"/>
    </w:pPr>
    <w:rPr>
      <w:rFonts w:eastAsia="仿宋_GB2312"/>
      <w:color w:val="FFFFFF"/>
      <w:sz w:val="30"/>
    </w:rPr>
  </w:style>
  <w:style w:type="paragraph" w:customStyle="1" w:styleId="253">
    <w:name w:val="p0"/>
    <w:basedOn w:val="1"/>
    <w:autoRedefine/>
    <w:qFormat/>
    <w:uiPriority w:val="0"/>
    <w:pPr>
      <w:widowControl/>
      <w:spacing w:before="100" w:beforeAutospacing="1" w:after="100" w:afterAutospacing="1"/>
      <w:jc w:val="left"/>
    </w:pPr>
    <w:rPr>
      <w:rFonts w:hAnsi="宋体" w:cs="宋体"/>
    </w:rPr>
  </w:style>
  <w:style w:type="character" w:customStyle="1" w:styleId="254">
    <w:name w:val="fontstyle01"/>
    <w:autoRedefine/>
    <w:qFormat/>
    <w:uiPriority w:val="0"/>
    <w:rPr>
      <w:rFonts w:hint="eastAsia" w:ascii="宋体" w:hAnsi="宋体" w:eastAsia="宋体"/>
      <w:color w:val="000000"/>
      <w:sz w:val="22"/>
      <w:szCs w:val="22"/>
    </w:rPr>
  </w:style>
  <w:style w:type="character" w:customStyle="1" w:styleId="255">
    <w:name w:val="datetime"/>
    <w:autoRedefine/>
    <w:qFormat/>
    <w:uiPriority w:val="0"/>
    <w:rPr>
      <w:rFonts w:ascii="Arial" w:hAnsi="Arial" w:cs="Arial"/>
      <w:color w:val="999999"/>
      <w:sz w:val="21"/>
      <w:szCs w:val="21"/>
    </w:rPr>
  </w:style>
  <w:style w:type="character" w:customStyle="1" w:styleId="256">
    <w:name w:val="c2"/>
    <w:autoRedefine/>
    <w:qFormat/>
    <w:uiPriority w:val="0"/>
  </w:style>
  <w:style w:type="character" w:customStyle="1" w:styleId="257">
    <w:name w:val="msg-box10"/>
    <w:autoRedefine/>
    <w:qFormat/>
    <w:uiPriority w:val="0"/>
  </w:style>
  <w:style w:type="character" w:customStyle="1" w:styleId="258">
    <w:name w:val="c1"/>
    <w:autoRedefine/>
    <w:qFormat/>
    <w:uiPriority w:val="0"/>
  </w:style>
  <w:style w:type="character" w:customStyle="1" w:styleId="259">
    <w:name w:val="tit2"/>
    <w:autoRedefine/>
    <w:qFormat/>
    <w:uiPriority w:val="0"/>
    <w:rPr>
      <w:b/>
      <w:bCs/>
      <w:color w:val="333333"/>
      <w:sz w:val="24"/>
      <w:szCs w:val="24"/>
    </w:rPr>
  </w:style>
  <w:style w:type="character" w:customStyle="1" w:styleId="260">
    <w:name w:val="c3"/>
    <w:autoRedefine/>
    <w:qFormat/>
    <w:uiPriority w:val="0"/>
  </w:style>
  <w:style w:type="character" w:customStyle="1" w:styleId="261">
    <w:name w:val="buvis"/>
    <w:autoRedefine/>
    <w:qFormat/>
    <w:uiPriority w:val="0"/>
    <w:rPr>
      <w:color w:val="999999"/>
    </w:rPr>
  </w:style>
  <w:style w:type="character" w:customStyle="1" w:styleId="262">
    <w:name w:val="buvis1"/>
    <w:autoRedefine/>
    <w:qFormat/>
    <w:uiPriority w:val="0"/>
    <w:rPr>
      <w:color w:val="CC0000"/>
    </w:rPr>
  </w:style>
  <w:style w:type="character" w:customStyle="1" w:styleId="263">
    <w:name w:val="left2"/>
    <w:autoRedefine/>
    <w:qFormat/>
    <w:uiPriority w:val="0"/>
  </w:style>
  <w:style w:type="paragraph" w:customStyle="1" w:styleId="264">
    <w:name w:val="列表段落111"/>
    <w:basedOn w:val="1"/>
    <w:autoRedefine/>
    <w:qFormat/>
    <w:uiPriority w:val="34"/>
    <w:pPr>
      <w:ind w:firstLine="420" w:firstLineChars="200"/>
    </w:pPr>
  </w:style>
  <w:style w:type="paragraph" w:customStyle="1" w:styleId="265">
    <w:name w:val="列表段落11"/>
    <w:basedOn w:val="1"/>
    <w:autoRedefine/>
    <w:qFormat/>
    <w:uiPriority w:val="34"/>
    <w:pPr>
      <w:ind w:firstLine="420" w:firstLineChars="200"/>
    </w:pPr>
  </w:style>
  <w:style w:type="paragraph" w:customStyle="1" w:styleId="266">
    <w:name w:val="_Style 58"/>
    <w:basedOn w:val="3"/>
    <w:next w:val="1"/>
    <w:autoRedefine/>
    <w:qFormat/>
    <w:uiPriority w:val="39"/>
    <w:pPr>
      <w:widowControl/>
      <w:spacing w:before="240" w:line="259" w:lineRule="auto"/>
      <w:jc w:val="left"/>
      <w:outlineLvl w:val="9"/>
    </w:pPr>
    <w:rPr>
      <w:rFonts w:ascii="Calibri Light" w:hAnsi="Calibri Light"/>
      <w:b w:val="0"/>
      <w:bCs w:val="0"/>
      <w:color w:val="2E74B5"/>
      <w:kern w:val="0"/>
      <w:szCs w:val="32"/>
    </w:rPr>
  </w:style>
  <w:style w:type="paragraph" w:customStyle="1" w:styleId="267">
    <w:name w:val="Table Paragraph"/>
    <w:basedOn w:val="1"/>
    <w:autoRedefine/>
    <w:qFormat/>
    <w:uiPriority w:val="1"/>
    <w:pPr>
      <w:autoSpaceDE w:val="0"/>
      <w:autoSpaceDN w:val="0"/>
      <w:jc w:val="left"/>
    </w:pPr>
    <w:rPr>
      <w:rFonts w:hAnsi="宋体" w:cs="宋体"/>
      <w:sz w:val="22"/>
      <w:szCs w:val="22"/>
      <w:lang w:val="zh-CN" w:bidi="zh-CN"/>
    </w:rPr>
  </w:style>
  <w:style w:type="character" w:customStyle="1" w:styleId="268">
    <w:name w:val="font01"/>
    <w:autoRedefine/>
    <w:qFormat/>
    <w:uiPriority w:val="0"/>
    <w:rPr>
      <w:rFonts w:hint="eastAsia" w:ascii="宋体" w:hAnsi="宋体" w:eastAsia="宋体" w:cs="宋体"/>
      <w:color w:val="000000"/>
      <w:sz w:val="20"/>
      <w:szCs w:val="20"/>
      <w:u w:val="none"/>
    </w:rPr>
  </w:style>
  <w:style w:type="paragraph" w:customStyle="1" w:styleId="269">
    <w:name w:val="msonormal"/>
    <w:basedOn w:val="1"/>
    <w:autoRedefine/>
    <w:qFormat/>
    <w:uiPriority w:val="0"/>
    <w:pPr>
      <w:widowControl/>
      <w:spacing w:before="100" w:beforeAutospacing="1" w:after="100" w:afterAutospacing="1"/>
      <w:jc w:val="left"/>
    </w:pPr>
    <w:rPr>
      <w:rFonts w:hAnsi="宋体" w:cs="宋体"/>
      <w:szCs w:val="24"/>
    </w:rPr>
  </w:style>
  <w:style w:type="paragraph" w:customStyle="1" w:styleId="270">
    <w:name w:val="font7"/>
    <w:basedOn w:val="1"/>
    <w:autoRedefine/>
    <w:qFormat/>
    <w:uiPriority w:val="0"/>
    <w:pPr>
      <w:widowControl/>
      <w:spacing w:before="100" w:beforeAutospacing="1" w:after="100" w:afterAutospacing="1"/>
      <w:jc w:val="left"/>
    </w:pPr>
    <w:rPr>
      <w:rFonts w:hAnsi="宋体" w:cs="宋体"/>
      <w:color w:val="000000"/>
      <w:sz w:val="22"/>
      <w:szCs w:val="22"/>
    </w:rPr>
  </w:style>
  <w:style w:type="paragraph" w:customStyle="1" w:styleId="271">
    <w:name w:val="font8"/>
    <w:basedOn w:val="1"/>
    <w:autoRedefine/>
    <w:qFormat/>
    <w:uiPriority w:val="0"/>
    <w:pPr>
      <w:widowControl/>
      <w:spacing w:before="100" w:beforeAutospacing="1" w:after="100" w:afterAutospacing="1"/>
      <w:jc w:val="left"/>
    </w:pPr>
    <w:rPr>
      <w:rFonts w:hAnsi="宋体" w:cs="宋体"/>
      <w:b/>
      <w:bCs/>
      <w:color w:val="000000"/>
      <w:sz w:val="22"/>
      <w:szCs w:val="22"/>
    </w:rPr>
  </w:style>
  <w:style w:type="paragraph" w:customStyle="1" w:styleId="272">
    <w:name w:val="font9"/>
    <w:basedOn w:val="1"/>
    <w:autoRedefine/>
    <w:qFormat/>
    <w:uiPriority w:val="0"/>
    <w:pPr>
      <w:widowControl/>
      <w:spacing w:before="100" w:beforeAutospacing="1" w:after="100" w:afterAutospacing="1"/>
      <w:jc w:val="left"/>
    </w:pPr>
    <w:rPr>
      <w:rFonts w:ascii="Microsoft YaHei UI" w:hAnsi="Microsoft YaHei UI" w:eastAsia="Microsoft YaHei UI" w:cs="宋体"/>
      <w:sz w:val="22"/>
      <w:szCs w:val="22"/>
    </w:rPr>
  </w:style>
  <w:style w:type="paragraph" w:customStyle="1" w:styleId="273">
    <w:name w:val="font10"/>
    <w:basedOn w:val="1"/>
    <w:autoRedefine/>
    <w:qFormat/>
    <w:uiPriority w:val="0"/>
    <w:pPr>
      <w:widowControl/>
      <w:spacing w:before="100" w:beforeAutospacing="1" w:after="100" w:afterAutospacing="1"/>
      <w:jc w:val="left"/>
    </w:pPr>
    <w:rPr>
      <w:rFonts w:hAnsi="宋体" w:cs="宋体"/>
      <w:color w:val="FF0000"/>
      <w:sz w:val="22"/>
      <w:szCs w:val="22"/>
    </w:rPr>
  </w:style>
  <w:style w:type="paragraph" w:customStyle="1" w:styleId="274">
    <w:name w:val="font11"/>
    <w:basedOn w:val="1"/>
    <w:autoRedefine/>
    <w:qFormat/>
    <w:uiPriority w:val="0"/>
    <w:pPr>
      <w:widowControl/>
      <w:spacing w:before="100" w:beforeAutospacing="1" w:after="100" w:afterAutospacing="1"/>
      <w:jc w:val="left"/>
    </w:pPr>
    <w:rPr>
      <w:rFonts w:hAnsi="宋体" w:cs="宋体"/>
      <w:sz w:val="18"/>
      <w:szCs w:val="18"/>
    </w:rPr>
  </w:style>
  <w:style w:type="paragraph" w:customStyle="1" w:styleId="275">
    <w:name w:val="font12"/>
    <w:basedOn w:val="1"/>
    <w:autoRedefine/>
    <w:qFormat/>
    <w:uiPriority w:val="0"/>
    <w:pPr>
      <w:widowControl/>
      <w:spacing w:before="100" w:beforeAutospacing="1" w:after="100" w:afterAutospacing="1"/>
      <w:jc w:val="left"/>
    </w:pPr>
    <w:rPr>
      <w:rFonts w:ascii="Calibri" w:hAnsi="Calibri" w:cs="Calibri"/>
      <w:sz w:val="22"/>
      <w:szCs w:val="22"/>
    </w:rPr>
  </w:style>
  <w:style w:type="paragraph" w:customStyle="1" w:styleId="276">
    <w:name w:val="xl80"/>
    <w:basedOn w:val="1"/>
    <w:autoRedefine/>
    <w:qFormat/>
    <w:uiPriority w:val="0"/>
    <w:pPr>
      <w:widowControl/>
      <w:spacing w:before="100" w:beforeAutospacing="1" w:after="100" w:afterAutospacing="1"/>
      <w:jc w:val="left"/>
      <w:textAlignment w:val="center"/>
    </w:pPr>
    <w:rPr>
      <w:rFonts w:hAnsi="宋体" w:cs="宋体"/>
      <w:szCs w:val="24"/>
    </w:rPr>
  </w:style>
  <w:style w:type="paragraph" w:customStyle="1" w:styleId="277">
    <w:name w:val="xl81"/>
    <w:basedOn w:val="1"/>
    <w:autoRedefine/>
    <w:qFormat/>
    <w:uiPriority w:val="0"/>
    <w:pPr>
      <w:widowControl/>
      <w:spacing w:before="100" w:beforeAutospacing="1" w:after="100" w:afterAutospacing="1"/>
      <w:jc w:val="left"/>
    </w:pPr>
    <w:rPr>
      <w:rFonts w:hAnsi="宋体" w:cs="宋体"/>
      <w:szCs w:val="24"/>
    </w:rPr>
  </w:style>
  <w:style w:type="paragraph" w:customStyle="1" w:styleId="278">
    <w:name w:val="xl82"/>
    <w:basedOn w:val="1"/>
    <w:autoRedefine/>
    <w:qFormat/>
    <w:uiPriority w:val="0"/>
    <w:pPr>
      <w:widowControl/>
      <w:spacing w:before="100" w:beforeAutospacing="1" w:after="100" w:afterAutospacing="1"/>
      <w:jc w:val="center"/>
    </w:pPr>
    <w:rPr>
      <w:rFonts w:hAnsi="宋体" w:cs="宋体"/>
      <w:szCs w:val="24"/>
    </w:rPr>
  </w:style>
  <w:style w:type="paragraph" w:customStyle="1" w:styleId="279">
    <w:name w:val="xl83"/>
    <w:basedOn w:val="1"/>
    <w:autoRedefine/>
    <w:qFormat/>
    <w:uiPriority w:val="0"/>
    <w:pPr>
      <w:widowControl/>
      <w:spacing w:before="100" w:beforeAutospacing="1" w:after="100" w:afterAutospacing="1"/>
      <w:jc w:val="left"/>
    </w:pPr>
    <w:rPr>
      <w:rFonts w:hAnsi="宋体" w:cs="宋体"/>
      <w:szCs w:val="24"/>
    </w:rPr>
  </w:style>
  <w:style w:type="paragraph" w:customStyle="1" w:styleId="280">
    <w:name w:val="xl84"/>
    <w:basedOn w:val="1"/>
    <w:autoRedefine/>
    <w:qFormat/>
    <w:uiPriority w:val="0"/>
    <w:pPr>
      <w:widowControl/>
      <w:spacing w:before="100" w:beforeAutospacing="1" w:after="100" w:afterAutospacing="1"/>
      <w:jc w:val="center"/>
      <w:textAlignment w:val="center"/>
    </w:pPr>
    <w:rPr>
      <w:rFonts w:hAnsi="宋体" w:cs="宋体"/>
      <w:szCs w:val="24"/>
    </w:rPr>
  </w:style>
  <w:style w:type="paragraph" w:customStyle="1" w:styleId="281">
    <w:name w:val="xl8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282">
    <w:name w:val="xl8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283">
    <w:name w:val="xl8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284">
    <w:name w:val="xl8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285">
    <w:name w:val="xl8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286">
    <w:name w:val="xl9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b/>
      <w:bCs/>
      <w:szCs w:val="24"/>
    </w:rPr>
  </w:style>
  <w:style w:type="paragraph" w:customStyle="1" w:styleId="287">
    <w:name w:val="xl9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288">
    <w:name w:val="xl92"/>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289">
    <w:name w:val="xl9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290">
    <w:name w:val="xl94"/>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291">
    <w:name w:val="xl9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292">
    <w:name w:val="xl9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293">
    <w:name w:val="xl9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294">
    <w:name w:val="xl9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b/>
      <w:bCs/>
      <w:szCs w:val="24"/>
    </w:rPr>
  </w:style>
  <w:style w:type="paragraph" w:customStyle="1" w:styleId="295">
    <w:name w:val="xl9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296">
    <w:name w:val="xl10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297">
    <w:name w:val="xl10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298">
    <w:name w:val="xl102"/>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299">
    <w:name w:val="xl10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00">
    <w:name w:val="xl104"/>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01">
    <w:name w:val="xl10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hAnsi="宋体" w:cs="宋体"/>
      <w:szCs w:val="24"/>
    </w:rPr>
  </w:style>
  <w:style w:type="paragraph" w:customStyle="1" w:styleId="302">
    <w:name w:val="xl10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03">
    <w:name w:val="xl10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04">
    <w:name w:val="xl10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05">
    <w:name w:val="xl10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06">
    <w:name w:val="xl11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hAnsi="宋体" w:cs="宋体"/>
      <w:szCs w:val="24"/>
    </w:rPr>
  </w:style>
  <w:style w:type="paragraph" w:customStyle="1" w:styleId="307">
    <w:name w:val="xl111"/>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color w:val="000000"/>
      <w:szCs w:val="24"/>
    </w:rPr>
  </w:style>
  <w:style w:type="paragraph" w:customStyle="1" w:styleId="308">
    <w:name w:val="xl112"/>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309">
    <w:name w:val="xl11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10">
    <w:name w:val="xl114"/>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11">
    <w:name w:val="xl11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12">
    <w:name w:val="xl116"/>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313">
    <w:name w:val="xl11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14">
    <w:name w:val="xl118"/>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315">
    <w:name w:val="xl119"/>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hAnsi="宋体" w:cs="宋体"/>
      <w:szCs w:val="24"/>
    </w:rPr>
  </w:style>
  <w:style w:type="paragraph" w:customStyle="1" w:styleId="316">
    <w:name w:val="xl120"/>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top"/>
    </w:pPr>
    <w:rPr>
      <w:rFonts w:hAnsi="宋体" w:cs="宋体"/>
      <w:b/>
      <w:bCs/>
      <w:szCs w:val="24"/>
    </w:rPr>
  </w:style>
  <w:style w:type="paragraph" w:customStyle="1" w:styleId="317">
    <w:name w:val="xl121"/>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hAnsi="宋体" w:cs="宋体"/>
      <w:b/>
      <w:bCs/>
      <w:szCs w:val="24"/>
    </w:rPr>
  </w:style>
  <w:style w:type="paragraph" w:customStyle="1" w:styleId="318">
    <w:name w:val="xl12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19">
    <w:name w:val="xl123"/>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paragraph" w:customStyle="1" w:styleId="320">
    <w:name w:val="xl124"/>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21">
    <w:name w:val="xl12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hAnsi="宋体" w:cs="宋体"/>
      <w:szCs w:val="24"/>
    </w:rPr>
  </w:style>
  <w:style w:type="paragraph" w:customStyle="1" w:styleId="322">
    <w:name w:val="xl126"/>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hAnsi="宋体" w:cs="宋体"/>
      <w:b/>
      <w:bCs/>
      <w:szCs w:val="24"/>
    </w:rPr>
  </w:style>
  <w:style w:type="paragraph" w:customStyle="1" w:styleId="323">
    <w:name w:val="xl127"/>
    <w:basedOn w:val="1"/>
    <w:autoRedefine/>
    <w:qFormat/>
    <w:uiPriority w:val="0"/>
    <w:pPr>
      <w:widowControl/>
      <w:pBdr>
        <w:top w:val="single" w:color="auto" w:sz="8" w:space="0"/>
        <w:bottom w:val="single" w:color="auto" w:sz="8" w:space="0"/>
      </w:pBdr>
      <w:spacing w:before="100" w:beforeAutospacing="1" w:after="100" w:afterAutospacing="1"/>
      <w:jc w:val="left"/>
      <w:textAlignment w:val="center"/>
    </w:pPr>
    <w:rPr>
      <w:rFonts w:hAnsi="宋体" w:cs="宋体"/>
      <w:b/>
      <w:bCs/>
      <w:szCs w:val="24"/>
    </w:rPr>
  </w:style>
  <w:style w:type="paragraph" w:customStyle="1" w:styleId="324">
    <w:name w:val="xl128"/>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hAnsi="宋体" w:cs="宋体"/>
      <w:b/>
      <w:bCs/>
      <w:szCs w:val="24"/>
    </w:rPr>
  </w:style>
  <w:style w:type="paragraph" w:customStyle="1" w:styleId="325">
    <w:name w:val="xl129"/>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hAnsi="宋体" w:cs="宋体"/>
      <w:b/>
      <w:bCs/>
      <w:szCs w:val="24"/>
    </w:rPr>
  </w:style>
  <w:style w:type="paragraph" w:customStyle="1" w:styleId="326">
    <w:name w:val="xl130"/>
    <w:basedOn w:val="1"/>
    <w:autoRedefine/>
    <w:qFormat/>
    <w:uiPriority w:val="0"/>
    <w:pPr>
      <w:widowControl/>
      <w:pBdr>
        <w:top w:val="single" w:color="auto" w:sz="8" w:space="0"/>
        <w:bottom w:val="single" w:color="auto" w:sz="8" w:space="0"/>
      </w:pBdr>
      <w:spacing w:before="100" w:beforeAutospacing="1" w:after="100" w:afterAutospacing="1"/>
      <w:jc w:val="left"/>
      <w:textAlignment w:val="center"/>
    </w:pPr>
    <w:rPr>
      <w:rFonts w:hAnsi="宋体" w:cs="宋体"/>
      <w:b/>
      <w:bCs/>
      <w:szCs w:val="24"/>
    </w:rPr>
  </w:style>
  <w:style w:type="paragraph" w:customStyle="1" w:styleId="327">
    <w:name w:val="xl13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hAnsi="宋体" w:cs="宋体"/>
      <w:b/>
      <w:bCs/>
      <w:szCs w:val="24"/>
    </w:rPr>
  </w:style>
  <w:style w:type="paragraph" w:customStyle="1" w:styleId="328">
    <w:name w:val="xl132"/>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hAnsi="宋体" w:cs="宋体"/>
      <w:b/>
      <w:bCs/>
      <w:szCs w:val="24"/>
    </w:rPr>
  </w:style>
  <w:style w:type="paragraph" w:customStyle="1" w:styleId="329">
    <w:name w:val="xl133"/>
    <w:basedOn w:val="1"/>
    <w:autoRedefine/>
    <w:qFormat/>
    <w:uiPriority w:val="0"/>
    <w:pPr>
      <w:widowControl/>
      <w:pBdr>
        <w:top w:val="single" w:color="auto" w:sz="8" w:space="0"/>
        <w:bottom w:val="single" w:color="auto" w:sz="8" w:space="0"/>
      </w:pBdr>
      <w:spacing w:before="100" w:beforeAutospacing="1" w:after="100" w:afterAutospacing="1"/>
      <w:jc w:val="left"/>
      <w:textAlignment w:val="center"/>
    </w:pPr>
    <w:rPr>
      <w:rFonts w:hAnsi="宋体" w:cs="宋体"/>
      <w:b/>
      <w:bCs/>
      <w:szCs w:val="24"/>
    </w:rPr>
  </w:style>
  <w:style w:type="paragraph" w:customStyle="1" w:styleId="330">
    <w:name w:val="xl134"/>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hAnsi="宋体" w:cs="宋体"/>
      <w:b/>
      <w:bCs/>
      <w:szCs w:val="24"/>
    </w:rPr>
  </w:style>
  <w:style w:type="paragraph" w:customStyle="1" w:styleId="331">
    <w:name w:val="xl135"/>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hAnsi="宋体" w:cs="宋体"/>
      <w:szCs w:val="24"/>
    </w:rPr>
  </w:style>
  <w:style w:type="paragraph" w:customStyle="1" w:styleId="332">
    <w:name w:val="xl136"/>
    <w:basedOn w:val="1"/>
    <w:autoRedefine/>
    <w:qFormat/>
    <w:uiPriority w:val="0"/>
    <w:pPr>
      <w:widowControl/>
      <w:pBdr>
        <w:top w:val="single" w:color="auto" w:sz="8" w:space="0"/>
        <w:bottom w:val="single" w:color="auto" w:sz="8" w:space="0"/>
      </w:pBdr>
      <w:spacing w:before="100" w:beforeAutospacing="1" w:after="100" w:afterAutospacing="1"/>
      <w:jc w:val="left"/>
      <w:textAlignment w:val="center"/>
    </w:pPr>
    <w:rPr>
      <w:rFonts w:hAnsi="宋体" w:cs="宋体"/>
      <w:szCs w:val="24"/>
    </w:rPr>
  </w:style>
  <w:style w:type="paragraph" w:customStyle="1" w:styleId="333">
    <w:name w:val="xl137"/>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hAnsi="宋体" w:cs="宋体"/>
      <w:szCs w:val="24"/>
    </w:rPr>
  </w:style>
  <w:style w:type="table" w:customStyle="1" w:styleId="334">
    <w:name w:val="TableGrid"/>
    <w:autoRedefine/>
    <w:qFormat/>
    <w:uiPriority w:val="0"/>
    <w:tblPr>
      <w:tblCellMar>
        <w:top w:w="0" w:type="dxa"/>
        <w:left w:w="0" w:type="dxa"/>
        <w:bottom w:w="0" w:type="dxa"/>
        <w:right w:w="0" w:type="dxa"/>
      </w:tblCellMar>
    </w:tblPr>
  </w:style>
  <w:style w:type="character" w:customStyle="1" w:styleId="335">
    <w:name w:val="font21"/>
    <w:basedOn w:val="54"/>
    <w:qFormat/>
    <w:uiPriority w:val="0"/>
    <w:rPr>
      <w:rFonts w:hint="eastAsia" w:ascii="宋体" w:hAnsi="宋体" w:eastAsia="宋体" w:cs="宋体"/>
      <w:color w:val="000000"/>
      <w:sz w:val="20"/>
      <w:szCs w:val="20"/>
      <w:u w:val="none"/>
    </w:rPr>
  </w:style>
  <w:style w:type="character" w:customStyle="1" w:styleId="336">
    <w:name w:val="font61"/>
    <w:basedOn w:val="54"/>
    <w:qFormat/>
    <w:uiPriority w:val="0"/>
    <w:rPr>
      <w:rFonts w:ascii="Symbol" w:hAnsi="Symbol" w:cs="Symbo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02F8A-4F22-4D3F-9F95-F2A76DC9F3C6}">
  <ds:schemaRefs/>
</ds:datastoreItem>
</file>

<file path=docProps/app.xml><?xml version="1.0" encoding="utf-8"?>
<Properties xmlns="http://schemas.openxmlformats.org/officeDocument/2006/extended-properties" xmlns:vt="http://schemas.openxmlformats.org/officeDocument/2006/docPropsVTypes">
  <Template>Normal.dotm</Template>
  <Pages>212</Pages>
  <Words>2572</Words>
  <Characters>3085</Characters>
  <Lines>1021</Lines>
  <Paragraphs>287</Paragraphs>
  <TotalTime>0</TotalTime>
  <ScaleCrop>false</ScaleCrop>
  <LinksUpToDate>false</LinksUpToDate>
  <CharactersWithSpaces>3206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2023-10-19T02:35:00Z</dcterms:created>
  <dc:creator>User</dc:creator>
  <cp:lastModifiedBy>NTKO</cp:lastModifiedBy>
  <cp:lastPrinted>2023-10-19T06:39:00Z</cp:lastPrinted>
  <dcterms:modified xsi:type="dcterms:W3CDTF">2025-11-26T03:15:52Z</dcterms:modified>
  <dc:title>第二章  投标人须知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BE0477497E16458A966799345498EA43_13</vt:lpwstr>
  </property>
  <property fmtid="{D5CDD505-2E9C-101B-9397-08002B2CF9AE}" pid="4" name="KSOTemplateDocerSaveRecord">
    <vt:lpwstr>eyJoZGlkIjoiM2VhMTIyMzUzMzNmN2Y4Y2MwYzMxMmM2YmViYmZkYmEiLCJ1c2VySWQiOiIxNTczNjMyMTA5In0=</vt:lpwstr>
  </property>
</Properties>
</file>