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beforeLines="200" w:after="0" w:line="360" w:lineRule="auto"/>
        <w:jc w:val="center"/>
        <w:rPr>
          <w:rFonts w:hAnsi="宋体" w:cs="宋体"/>
          <w:bCs/>
          <w:sz w:val="44"/>
          <w:szCs w:val="44"/>
          <w:highlight w:val="none"/>
          <w:u w:val="single"/>
        </w:rPr>
      </w:pPr>
      <w:r>
        <w:rPr>
          <w:rFonts w:hint="eastAsia" w:hAnsi="宋体" w:cs="宋体"/>
          <w:bCs/>
          <w:sz w:val="44"/>
          <w:szCs w:val="44"/>
          <w:highlight w:val="none"/>
          <w:u w:val="single"/>
          <w:lang w:eastAsia="zh-CN"/>
        </w:rPr>
        <w:t>肥东县长临河镇卫生院迁址智能化项目</w:t>
      </w:r>
      <w:r>
        <w:rPr>
          <w:rFonts w:hint="eastAsia" w:hAnsi="宋体" w:cs="宋体"/>
          <w:bCs/>
          <w:sz w:val="44"/>
          <w:szCs w:val="44"/>
          <w:highlight w:val="none"/>
        </w:rPr>
        <w:t>招标</w:t>
      </w:r>
    </w:p>
    <w:p>
      <w:pPr>
        <w:spacing w:beforeLines="200" w:line="360" w:lineRule="auto"/>
        <w:jc w:val="center"/>
        <w:rPr>
          <w:rFonts w:hAnsi="宋体" w:cs="宋体"/>
          <w:bCs/>
          <w:kern w:val="2"/>
          <w:sz w:val="36"/>
          <w:szCs w:val="36"/>
          <w:highlight w:val="none"/>
          <w:u w:val="single"/>
        </w:rPr>
      </w:pPr>
      <w:r>
        <w:rPr>
          <w:rFonts w:hint="eastAsia" w:hAnsi="宋体" w:cs="宋体"/>
          <w:bCs/>
          <w:kern w:val="2"/>
          <w:sz w:val="36"/>
          <w:szCs w:val="36"/>
          <w:highlight w:val="none"/>
        </w:rPr>
        <w:t>（招标项目编号：</w:t>
      </w:r>
      <w:r>
        <w:rPr>
          <w:rFonts w:hAnsi="宋体" w:cs="宋体"/>
          <w:bCs/>
          <w:kern w:val="2"/>
          <w:sz w:val="36"/>
          <w:szCs w:val="36"/>
          <w:highlight w:val="none"/>
          <w:u w:val="single"/>
        </w:rPr>
        <w:t>XXXX</w:t>
      </w:r>
      <w:r>
        <w:rPr>
          <w:rFonts w:hint="eastAsia" w:hAnsi="宋体" w:cs="宋体"/>
          <w:bCs/>
          <w:kern w:val="2"/>
          <w:sz w:val="36"/>
          <w:szCs w:val="36"/>
          <w:highlight w:val="none"/>
        </w:rPr>
        <w:t>）</w:t>
      </w:r>
    </w:p>
    <w:p>
      <w:pPr>
        <w:spacing w:beforeLines="200" w:line="360" w:lineRule="auto"/>
        <w:jc w:val="center"/>
        <w:rPr>
          <w:rFonts w:ascii="Times New Roman" w:eastAsia="黑体"/>
          <w:kern w:val="2"/>
          <w:sz w:val="72"/>
          <w:szCs w:val="72"/>
          <w:highlight w:val="none"/>
        </w:rPr>
      </w:pPr>
      <w:r>
        <w:rPr>
          <w:rFonts w:hint="eastAsia" w:ascii="Times New Roman" w:eastAsia="黑体"/>
          <w:kern w:val="2"/>
          <w:sz w:val="72"/>
          <w:szCs w:val="72"/>
          <w:highlight w:val="none"/>
        </w:rPr>
        <w:t>招 标 文 件</w:t>
      </w: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kern w:val="2"/>
          <w:sz w:val="32"/>
          <w:szCs w:val="32"/>
          <w:highlight w:val="none"/>
        </w:rPr>
      </w:pPr>
      <w:r>
        <w:rPr>
          <w:rFonts w:hint="eastAsia" w:ascii="Times New Roman" w:eastAsia="黑体"/>
          <w:kern w:val="2"/>
          <w:sz w:val="32"/>
          <w:szCs w:val="32"/>
          <w:highlight w:val="none"/>
        </w:rPr>
        <w:t>招   标   人：</w:t>
      </w:r>
      <w:r>
        <w:rPr>
          <w:rFonts w:hint="eastAsia" w:ascii="Times New Roman" w:eastAsia="黑体"/>
          <w:kern w:val="2"/>
          <w:sz w:val="32"/>
          <w:szCs w:val="32"/>
          <w:highlight w:val="none"/>
          <w:u w:val="single"/>
          <w:lang w:eastAsia="zh-CN"/>
        </w:rPr>
        <w:t>肥东县长临河镇卫生院</w:t>
      </w:r>
      <w:r>
        <w:rPr>
          <w:rFonts w:hint="eastAsia" w:ascii="Times New Roman"/>
          <w:kern w:val="2"/>
          <w:sz w:val="32"/>
          <w:szCs w:val="32"/>
          <w:highlight w:val="none"/>
        </w:rPr>
        <w:t>（盖单位章）</w:t>
      </w:r>
    </w:p>
    <w:p>
      <w:pPr>
        <w:spacing w:beforeLines="100" w:line="360" w:lineRule="auto"/>
        <w:ind w:firstLine="437"/>
        <w:jc w:val="center"/>
        <w:rPr>
          <w:rFonts w:ascii="Times New Roman"/>
          <w:kern w:val="2"/>
          <w:sz w:val="32"/>
          <w:szCs w:val="32"/>
          <w:highlight w:val="none"/>
        </w:rPr>
      </w:pPr>
      <w:r>
        <w:rPr>
          <w:rFonts w:hint="eastAsia" w:ascii="Times New Roman" w:eastAsia="黑体"/>
          <w:kern w:val="2"/>
          <w:sz w:val="32"/>
          <w:szCs w:val="32"/>
          <w:highlight w:val="none"/>
        </w:rPr>
        <w:t>招标代理机构：</w:t>
      </w:r>
      <w:r>
        <w:rPr>
          <w:rFonts w:hint="eastAsia" w:ascii="Times New Roman" w:eastAsia="黑体"/>
          <w:kern w:val="2"/>
          <w:sz w:val="32"/>
          <w:szCs w:val="32"/>
          <w:highlight w:val="none"/>
          <w:u w:val="single"/>
        </w:rPr>
        <w:t>肥东县公共资源交易有限公司</w:t>
      </w:r>
      <w:r>
        <w:rPr>
          <w:rFonts w:hint="eastAsia" w:ascii="Times New Roman"/>
          <w:kern w:val="2"/>
          <w:sz w:val="32"/>
          <w:szCs w:val="32"/>
          <w:highlight w:val="none"/>
        </w:rPr>
        <w:t>（盖单位章）</w:t>
      </w:r>
    </w:p>
    <w:p>
      <w:pPr>
        <w:spacing w:beforeLines="100" w:line="360" w:lineRule="auto"/>
        <w:ind w:firstLine="437"/>
        <w:jc w:val="center"/>
        <w:rPr>
          <w:rFonts w:ascii="Times New Roman"/>
          <w:kern w:val="2"/>
          <w:sz w:val="32"/>
          <w:szCs w:val="32"/>
          <w:highlight w:val="none"/>
        </w:rPr>
      </w:pPr>
      <w:r>
        <w:rPr>
          <w:rFonts w:hint="eastAsia" w:ascii="Times New Roman" w:eastAsia="黑体"/>
          <w:kern w:val="2"/>
          <w:sz w:val="32"/>
          <w:szCs w:val="32"/>
          <w:highlight w:val="none"/>
        </w:rPr>
        <w:t>日    期</w:t>
      </w:r>
      <w:r>
        <w:rPr>
          <w:rFonts w:hint="eastAsia" w:ascii="Times New Roman"/>
          <w:kern w:val="2"/>
          <w:sz w:val="32"/>
          <w:szCs w:val="32"/>
          <w:highlight w:val="none"/>
        </w:rPr>
        <w:t>：</w:t>
      </w:r>
      <w:r>
        <w:rPr>
          <w:rFonts w:hint="eastAsia" w:ascii="Times New Roman" w:eastAsia="黑体"/>
          <w:kern w:val="2"/>
          <w:sz w:val="32"/>
          <w:szCs w:val="32"/>
          <w:highlight w:val="none"/>
          <w:u w:val="single"/>
        </w:rPr>
        <w:t>202</w:t>
      </w:r>
      <w:r>
        <w:rPr>
          <w:rFonts w:hint="eastAsia" w:ascii="Times New Roman" w:eastAsia="黑体"/>
          <w:kern w:val="2"/>
          <w:sz w:val="32"/>
          <w:szCs w:val="32"/>
          <w:highlight w:val="none"/>
          <w:u w:val="single"/>
          <w:lang w:val="en-US" w:eastAsia="zh-CN"/>
        </w:rPr>
        <w:t>4</w:t>
      </w:r>
      <w:r>
        <w:rPr>
          <w:rFonts w:hint="eastAsia" w:ascii="Times New Roman"/>
          <w:kern w:val="2"/>
          <w:sz w:val="32"/>
          <w:szCs w:val="32"/>
          <w:highlight w:val="none"/>
        </w:rPr>
        <w:t>年</w:t>
      </w:r>
      <w:r>
        <w:rPr>
          <w:rFonts w:hint="eastAsia" w:ascii="Times New Roman" w:eastAsia="黑体"/>
          <w:kern w:val="2"/>
          <w:sz w:val="32"/>
          <w:szCs w:val="32"/>
          <w:highlight w:val="none"/>
          <w:u w:val="single"/>
          <w:lang w:val="en-US" w:eastAsia="zh-CN"/>
        </w:rPr>
        <w:t>04</w:t>
      </w:r>
      <w:r>
        <w:rPr>
          <w:rFonts w:hint="eastAsia" w:ascii="Times New Roman"/>
          <w:kern w:val="2"/>
          <w:sz w:val="32"/>
          <w:szCs w:val="32"/>
          <w:highlight w:val="none"/>
        </w:rPr>
        <w:t>月</w:t>
      </w:r>
      <w:r>
        <w:rPr>
          <w:rFonts w:hint="eastAsia" w:ascii="Times New Roman" w:eastAsia="黑体"/>
          <w:kern w:val="2"/>
          <w:sz w:val="32"/>
          <w:szCs w:val="32"/>
          <w:highlight w:val="none"/>
          <w:u w:val="single"/>
          <w:lang w:val="en-US" w:eastAsia="zh-CN"/>
        </w:rPr>
        <w:t xml:space="preserve">  </w:t>
      </w:r>
      <w:r>
        <w:rPr>
          <w:rFonts w:hint="eastAsia" w:ascii="Times New Roman"/>
          <w:kern w:val="2"/>
          <w:sz w:val="32"/>
          <w:szCs w:val="32"/>
          <w:highlight w:val="none"/>
        </w:rPr>
        <w:t>日</w:t>
      </w:r>
    </w:p>
    <w:p>
      <w:pPr>
        <w:pStyle w:val="49"/>
        <w:snapToGrid w:val="0"/>
        <w:spacing w:before="150" w:beforeAutospacing="0" w:after="150" w:afterAutospacing="0" w:line="560" w:lineRule="atLeast"/>
        <w:jc w:val="center"/>
        <w:rPr>
          <w:rFonts w:ascii="Times New Roman" w:hAnsi="Times New Roman" w:cs="Times New Roman"/>
          <w:bCs/>
          <w:color w:val="auto"/>
          <w:kern w:val="44"/>
          <w:sz w:val="32"/>
          <w:szCs w:val="32"/>
          <w:highlight w:val="none"/>
        </w:rPr>
      </w:pPr>
      <w:r>
        <w:rPr>
          <w:rFonts w:hint="eastAsia" w:ascii="Times New Roman" w:hAnsi="Times New Roman"/>
          <w:color w:val="auto"/>
          <w:sz w:val="52"/>
          <w:szCs w:val="52"/>
          <w:highlight w:val="none"/>
        </w:rPr>
        <w:br w:type="page"/>
      </w:r>
      <w:r>
        <w:rPr>
          <w:rFonts w:hint="eastAsia" w:ascii="Times New Roman" w:hAnsi="Times New Roman" w:cs="Times New Roman"/>
          <w:bCs/>
          <w:color w:val="auto"/>
          <w:kern w:val="44"/>
          <w:sz w:val="32"/>
          <w:szCs w:val="32"/>
          <w:highlight w:val="none"/>
        </w:rPr>
        <w:t>目  录</w:t>
      </w:r>
    </w:p>
    <w:p>
      <w:pPr>
        <w:pStyle w:val="34"/>
        <w:tabs>
          <w:tab w:val="right" w:leader="dot" w:pos="8290"/>
        </w:tabs>
        <w:rPr>
          <w:rFonts w:hint="eastAsia" w:asciiTheme="minorEastAsia" w:hAnsiTheme="minorEastAsia" w:eastAsiaTheme="minorEastAsia" w:cstheme="minorEastAsia"/>
          <w:b w:val="0"/>
          <w:bCs/>
          <w:caps w:val="0"/>
          <w:kern w:val="2"/>
          <w:sz w:val="21"/>
          <w:szCs w:val="22"/>
          <w:highlight w:val="none"/>
        </w:rPr>
      </w:pPr>
      <w:r>
        <w:rPr>
          <w:rFonts w:hint="eastAsia" w:ascii="宋体" w:hAnsi="宋体" w:cs="宋体"/>
          <w:b w:val="0"/>
          <w:caps w:val="0"/>
          <w:highlight w:val="none"/>
        </w:rPr>
        <w:fldChar w:fldCharType="begin"/>
      </w:r>
      <w:r>
        <w:rPr>
          <w:rFonts w:hint="eastAsia" w:ascii="宋体" w:hAnsi="宋体" w:cs="宋体"/>
          <w:b w:val="0"/>
          <w:caps w:val="0"/>
          <w:highlight w:val="none"/>
        </w:rPr>
        <w:instrText xml:space="preserve"> TOC \o "1-2" \h \z \u </w:instrText>
      </w:r>
      <w:r>
        <w:rPr>
          <w:rFonts w:hint="eastAsia" w:ascii="宋体" w:hAnsi="宋体" w:cs="宋体"/>
          <w:b w:val="0"/>
          <w:caps w:val="0"/>
          <w:highlight w:val="none"/>
        </w:rPr>
        <w:fldChar w:fldCharType="separate"/>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"_Toc140069380"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第一章招标公告</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_Toc140069380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4</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"_Toc140069382"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1.招标条件</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_Toc140069382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4</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"_Toc140069383"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2.项目概况与招标范围</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_Toc140069383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4</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"_Toc140069384"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3.投标人资格要求</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_Toc140069384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5</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"_Toc140069385"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4.招标文件的获取</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_Toc140069385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6</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"_Toc140069386"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5.投标文件的递交</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_Toc140069386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6</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"_Toc140069387"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6.资格审查方式</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_Toc140069387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6</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"_Toc140069388"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7.评标办法</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_Toc140069388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6</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"_Toc140069389"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8.开标时间及地点</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_Toc140069389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7</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"_Toc140069390"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9.招标文件的异议、投诉</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_Toc140069390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7</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"_Toc140069391"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10.发布公告的媒介</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_Toc140069391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7</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"_Toc140069393"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11.联系方式</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_Toc140069393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7</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"_Toc140069394"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12.其他事项说明</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_Toc140069394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8</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"_Toc140069395"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13.投标保证金账户（如采用银行转账或银行电汇形式递交的，请选择以下任何一家银行递交即可）：</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_Toc140069395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8</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34"/>
        <w:tabs>
          <w:tab w:val="right" w:leader="dot" w:pos="8290"/>
        </w:tabs>
        <w:rPr>
          <w:rFonts w:hint="eastAsia" w:asciiTheme="minorEastAsia" w:hAnsiTheme="minorEastAsia" w:eastAsiaTheme="minorEastAsia" w:cstheme="minorEastAsia"/>
          <w:b w:val="0"/>
          <w:bCs/>
          <w: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"_Toc140069397"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第二章投标人须知</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_Toc140069397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10</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"_Toc140069398"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投标人须知前附表</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_Toc140069398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10</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"_Toc140069399"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附录1  资格审查条件（资质最低条件）</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_Toc140069399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24</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"_Toc140069400"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附录2  资格审查条件（财务最低要求）</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_Toc140069400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25</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"_Toc140069401"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附录3  资格审查条件（业绩最低要求）</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_Toc140069401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26</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"_Toc140069402"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附录4  资格审查条件（信誉最低要求）</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_Toc140069402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27</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"_Toc140069403"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附录5  资格审查条件（项目负责人最低要求）</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_Toc140069403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28</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"_Toc140069404"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附录6  资格审查条件（其他要求）</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_Toc140069404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29</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"_Toc140069405"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投标人须知正文修改一览表</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_Toc140069405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30</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"_Toc140069406"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1. 总则</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_Toc140069406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31</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"_Toc140069407"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2. 招标文件</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_Toc140069407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35</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"_Toc140069408"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3. 投标文件</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_Toc140069408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36</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"_Toc140069409"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4. 投标</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_Toc140069409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40</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"_Toc140069410"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5. 开标</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_Toc140069410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41</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"_Toc140069411"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6. 评标</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_Toc140069411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42</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"_Toc140069412"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7. 定标</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_Toc140069412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43</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"_Toc140069413"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8. 合同授予</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_Toc140069413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44</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"_Toc140069414"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9. 纪律和监督</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_Toc140069414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45</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"_Toc140069415"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10. 需要补充的其他内容</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_Toc140069415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46</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"_Toc140069416"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附件：合肥市公共资源交易电子招标投标操作规程</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_Toc140069416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47</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34"/>
        <w:tabs>
          <w:tab w:val="right" w:leader="dot" w:pos="8290"/>
        </w:tabs>
        <w:rPr>
          <w:rFonts w:hint="eastAsia" w:asciiTheme="minorEastAsia" w:hAnsiTheme="minorEastAsia" w:eastAsiaTheme="minorEastAsia" w:cstheme="minorEastAsia"/>
          <w:b w:val="0"/>
          <w:bCs/>
          <w: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"_Toc140069417"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第三章评标办法</w:t>
      </w:r>
      <w:r>
        <w:rPr>
          <w:rStyle w:val="63"/>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"_Toc140069418"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综合评估法（一次平均）</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_Toc140069418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51</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"_Toc140069419"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评标办法前附表</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_Toc140069419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51</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"_Toc140069420"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商务及技术文件初步评审标准</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_Toc140069420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53</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"_Toc140069421"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商务、技术及报价文件详细评审标准</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_Toc140069421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57</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"_Toc140069428"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1.评标方法</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_Toc140069428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73</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"_Toc140069429"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2.评审标准</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_Toc140069429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73</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"_Toc140069430"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3.评标程序</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_Toc140069430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74</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34"/>
        <w:tabs>
          <w:tab w:val="right" w:leader="dot" w:pos="8290"/>
        </w:tabs>
        <w:rPr>
          <w:rFonts w:hint="eastAsia" w:asciiTheme="minorEastAsia" w:hAnsiTheme="minorEastAsia" w:eastAsiaTheme="minorEastAsia" w:cstheme="minorEastAsia"/>
          <w:b w:val="0"/>
          <w:bCs/>
          <w: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"_Toc140069431"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第四章合同条款及格式</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_Toc140069431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77</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"_Toc140069432"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第一节通用合同条款</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_Toc140069432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77</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"_Toc140069433"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第二节专用合同条款</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_Toc140069433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94</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"_Toc140069434"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第三节合同附件格式</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_Toc140069434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101</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34"/>
        <w:tabs>
          <w:tab w:val="right" w:leader="dot" w:pos="8290"/>
        </w:tabs>
        <w:rPr>
          <w:rFonts w:hint="eastAsia" w:asciiTheme="minorEastAsia" w:hAnsiTheme="minorEastAsia" w:eastAsiaTheme="minorEastAsia" w:cstheme="minorEastAsia"/>
          <w:b w:val="0"/>
          <w:bCs/>
          <w: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"_Toc140069443"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第五章供</w:t>
      </w:r>
      <w:bookmarkStart w:id="0" w:name="_Hlt142318458"/>
      <w:r>
        <w:rPr>
          <w:rStyle w:val="63"/>
          <w:rFonts w:hint="eastAsia" w:asciiTheme="minorEastAsia" w:hAnsiTheme="minorEastAsia" w:eastAsiaTheme="minorEastAsia" w:cstheme="minorEastAsia"/>
          <w:b w:val="0"/>
          <w:bCs/>
          <w:color w:val="auto"/>
          <w:highlight w:val="none"/>
        </w:rPr>
        <w:t>货</w:t>
      </w:r>
      <w:bookmarkEnd w:id="0"/>
      <w:r>
        <w:rPr>
          <w:rStyle w:val="63"/>
          <w:rFonts w:hint="eastAsia" w:asciiTheme="minorEastAsia" w:hAnsiTheme="minorEastAsia" w:eastAsiaTheme="minorEastAsia" w:cstheme="minorEastAsia"/>
          <w:b w:val="0"/>
          <w:bCs/>
          <w:color w:val="auto"/>
          <w:highlight w:val="none"/>
        </w:rPr>
        <w:t>要求</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_Toc140069443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109</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"_Toc140069444"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一、项目概况</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_Toc140069444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109</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"_Toc140069445"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二、货物需求一览表</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_Toc140069445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109</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"_Toc140069446"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三、技术性能指标</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_Toc140069446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216</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"_Toc140069447"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四、工程技术和施工现场要求</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_Toc140069447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217</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"_Toc140069448"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五、检验考核要求</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_Toc140069448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221</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"_Toc140069449"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六、投标货物及技术服务和质保期服务要求</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_Toc140069449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223</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34"/>
        <w:tabs>
          <w:tab w:val="right" w:leader="dot" w:pos="8290"/>
        </w:tabs>
        <w:rPr>
          <w:rFonts w:hint="eastAsia" w:asciiTheme="minorEastAsia" w:hAnsiTheme="minorEastAsia" w:eastAsiaTheme="minorEastAsia" w:cstheme="minorEastAsia"/>
          <w:b w:val="0"/>
          <w:bCs/>
          <w: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"_Toc140069450"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第六章投标文件格式</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_Toc140069450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230</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"_Toc140069452"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投标文件</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_Toc140069452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231</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"_Toc140069453"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（商务文件）</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_Toc140069453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231</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"_Toc140069462"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投标文件</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_Toc140069462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261</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"_Toc140069463"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（技术文件）</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_Toc140069463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261</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"_Toc140069465"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投标文件</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_Toc140069465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270</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cs="Times New Roman"/>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"_Toc140069466"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（报价文件）</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_Toc140069466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270</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2"/>
        <w:spacing w:beforeLines="100" w:afterLines="100" w:line="240" w:lineRule="auto"/>
        <w:jc w:val="center"/>
        <w:rPr>
          <w:rFonts w:eastAsia="黑体"/>
          <w:b w:val="0"/>
          <w:highlight w:val="none"/>
        </w:rPr>
      </w:pPr>
      <w:r>
        <w:rPr>
          <w:rFonts w:hint="eastAsia" w:hAnsi="宋体" w:cs="宋体"/>
          <w:b w:val="0"/>
          <w:sz w:val="20"/>
          <w:szCs w:val="20"/>
          <w:highlight w:val="none"/>
        </w:rPr>
        <w:fldChar w:fldCharType="end"/>
      </w:r>
      <w:r>
        <w:rPr>
          <w:rFonts w:hint="eastAsia" w:eastAsia="黑体"/>
          <w:b w:val="0"/>
          <w:highlight w:val="none"/>
        </w:rPr>
        <w:br w:type="page"/>
      </w:r>
      <w:bookmarkStart w:id="1" w:name="_Toc140069380"/>
      <w:r>
        <w:rPr>
          <w:rFonts w:hint="eastAsia"/>
          <w:b w:val="0"/>
          <w:highlight w:val="none"/>
        </w:rPr>
        <w:t>第一章  招标公告</w:t>
      </w:r>
      <w:bookmarkEnd w:id="1"/>
    </w:p>
    <w:p>
      <w:pPr>
        <w:pStyle w:val="19"/>
        <w:spacing w:beforeLines="100" w:afterLines="100"/>
        <w:jc w:val="center"/>
        <w:outlineLvl w:val="1"/>
        <w:rPr>
          <w:rFonts w:ascii="宋体" w:hAnsi="宋体" w:cs="黑体"/>
          <w:sz w:val="44"/>
          <w:szCs w:val="44"/>
          <w:highlight w:val="none"/>
        </w:rPr>
      </w:pPr>
      <w:bookmarkStart w:id="2" w:name="_Toc29561"/>
      <w:bookmarkStart w:id="3" w:name="_Toc140069381"/>
      <w:bookmarkStart w:id="4" w:name="_Toc21186"/>
      <w:bookmarkStart w:id="5" w:name="OLE_LINK1"/>
      <w:r>
        <w:rPr>
          <w:rFonts w:hint="eastAsia" w:ascii="宋体" w:hAnsi="宋体" w:cs="黑体"/>
          <w:sz w:val="44"/>
          <w:szCs w:val="44"/>
          <w:highlight w:val="none"/>
          <w:lang w:eastAsia="zh-CN"/>
        </w:rPr>
        <w:t>肥东县长临河镇卫生院迁址智能化项目</w:t>
      </w:r>
      <w:r>
        <w:rPr>
          <w:rFonts w:hint="eastAsia" w:ascii="宋体" w:hAnsi="宋体" w:cs="黑体"/>
          <w:sz w:val="44"/>
          <w:szCs w:val="44"/>
          <w:highlight w:val="none"/>
        </w:rPr>
        <w:t>招标公告</w:t>
      </w:r>
      <w:bookmarkEnd w:id="2"/>
      <w:bookmarkEnd w:id="3"/>
      <w:bookmarkEnd w:id="4"/>
    </w:p>
    <w:p>
      <w:pPr>
        <w:spacing w:line="560" w:lineRule="exact"/>
        <w:outlineLvl w:val="1"/>
        <w:rPr>
          <w:rFonts w:ascii="黑体" w:hAnsi="黑体" w:eastAsia="黑体"/>
          <w:sz w:val="28"/>
          <w:szCs w:val="28"/>
          <w:highlight w:val="none"/>
        </w:rPr>
      </w:pPr>
      <w:bookmarkStart w:id="6" w:name="_Toc140069382"/>
      <w:bookmarkStart w:id="7" w:name="_Toc13283"/>
      <w:bookmarkStart w:id="8" w:name="_Toc10622"/>
      <w:bookmarkStart w:id="9" w:name="_Toc26472"/>
      <w:bookmarkStart w:id="10" w:name="_Toc19312"/>
      <w:r>
        <w:rPr>
          <w:rFonts w:hint="eastAsia" w:ascii="黑体" w:hAnsi="黑体" w:eastAsia="黑体"/>
          <w:sz w:val="28"/>
          <w:szCs w:val="28"/>
          <w:highlight w:val="none"/>
        </w:rPr>
        <w:t>1.招标条件</w:t>
      </w:r>
      <w:bookmarkEnd w:id="6"/>
      <w:bookmarkEnd w:id="7"/>
      <w:bookmarkEnd w:id="8"/>
      <w:bookmarkEnd w:id="9"/>
      <w:bookmarkEnd w:id="10"/>
    </w:p>
    <w:p>
      <w:pPr>
        <w:spacing w:line="560" w:lineRule="exact"/>
        <w:ind w:firstLine="437"/>
        <w:rPr>
          <w:rFonts w:hint="eastAsia" w:ascii="仿宋" w:hAnsi="仿宋" w:eastAsia="仿宋" w:cs="宋体"/>
          <w:sz w:val="28"/>
          <w:szCs w:val="28"/>
          <w:highlight w:val="none"/>
          <w:lang w:eastAsia="zh-CN"/>
        </w:rPr>
      </w:pPr>
      <w:bookmarkStart w:id="11" w:name="_Toc2037"/>
      <w:bookmarkStart w:id="12" w:name="_Toc28404"/>
      <w:bookmarkStart w:id="13" w:name="_Toc21848"/>
      <w:bookmarkStart w:id="14" w:name="_Toc12572"/>
      <w:bookmarkStart w:id="15" w:name="_Toc89721488"/>
      <w:r>
        <w:rPr>
          <w:rFonts w:hint="eastAsia" w:ascii="仿宋" w:hAnsi="仿宋" w:eastAsia="仿宋" w:cs="宋体"/>
          <w:bCs/>
          <w:snapToGrid w:val="0"/>
          <w:sz w:val="28"/>
          <w:szCs w:val="28"/>
          <w:highlight w:val="none"/>
        </w:rPr>
        <w:t>1.1 项目名称：</w:t>
      </w:r>
      <w:r>
        <w:rPr>
          <w:rFonts w:hint="eastAsia" w:ascii="仿宋" w:hAnsi="仿宋" w:eastAsia="仿宋" w:cs="宋体"/>
          <w:sz w:val="28"/>
          <w:szCs w:val="28"/>
          <w:highlight w:val="none"/>
          <w:lang w:eastAsia="zh-CN"/>
        </w:rPr>
        <w:t>肥东县长临河镇卫生院迁址智能化项目</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1.2 项目审批、核准或备案机关名称：</w:t>
      </w:r>
      <w:r>
        <w:rPr>
          <w:rFonts w:hint="eastAsia" w:ascii="仿宋" w:hAnsi="仿宋" w:eastAsia="仿宋" w:cs="宋体"/>
          <w:sz w:val="28"/>
          <w:szCs w:val="28"/>
          <w:highlight w:val="none"/>
        </w:rPr>
        <w:t>肥东县发展和改革委员会</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1.3 批文名称及编号：</w:t>
      </w:r>
      <w:r>
        <w:rPr>
          <w:rFonts w:hint="eastAsia" w:ascii="仿宋" w:hAnsi="仿宋" w:eastAsia="仿宋" w:cs="Calibri"/>
          <w:kern w:val="2"/>
          <w:sz w:val="28"/>
          <w:szCs w:val="28"/>
          <w:highlight w:val="none"/>
        </w:rPr>
        <w:t>关于</w:t>
      </w:r>
      <w:r>
        <w:rPr>
          <w:rFonts w:hint="eastAsia" w:ascii="仿宋" w:hAnsi="仿宋" w:eastAsia="仿宋" w:cs="Calibri"/>
          <w:kern w:val="2"/>
          <w:sz w:val="28"/>
          <w:szCs w:val="28"/>
          <w:highlight w:val="none"/>
          <w:lang w:val="en-US" w:eastAsia="zh-CN"/>
        </w:rPr>
        <w:t>同意长临河镇卫生院迁址新建项目立项调整的通知</w:t>
      </w:r>
      <w:r>
        <w:rPr>
          <w:rFonts w:hint="eastAsia" w:ascii="仿宋" w:hAnsi="仿宋" w:eastAsia="仿宋" w:cs="Calibri"/>
          <w:kern w:val="2"/>
          <w:sz w:val="28"/>
          <w:szCs w:val="28"/>
          <w:highlight w:val="none"/>
        </w:rPr>
        <w:t>，发改投［202</w:t>
      </w:r>
      <w:r>
        <w:rPr>
          <w:rFonts w:hint="eastAsia" w:ascii="仿宋" w:hAnsi="仿宋" w:eastAsia="仿宋" w:cs="Calibri"/>
          <w:kern w:val="2"/>
          <w:sz w:val="28"/>
          <w:szCs w:val="28"/>
          <w:highlight w:val="none"/>
          <w:lang w:val="en-US" w:eastAsia="zh-CN"/>
        </w:rPr>
        <w:t>2</w:t>
      </w:r>
      <w:r>
        <w:rPr>
          <w:rFonts w:hint="eastAsia" w:ascii="仿宋" w:hAnsi="仿宋" w:eastAsia="仿宋" w:cs="Calibri"/>
          <w:kern w:val="2"/>
          <w:sz w:val="28"/>
          <w:szCs w:val="28"/>
          <w:highlight w:val="none"/>
        </w:rPr>
        <w:t>］</w:t>
      </w:r>
      <w:r>
        <w:rPr>
          <w:rFonts w:hint="eastAsia" w:ascii="仿宋" w:hAnsi="仿宋" w:eastAsia="仿宋" w:cs="Calibri"/>
          <w:kern w:val="2"/>
          <w:sz w:val="28"/>
          <w:szCs w:val="28"/>
          <w:highlight w:val="none"/>
          <w:lang w:val="en-US" w:eastAsia="zh-CN"/>
        </w:rPr>
        <w:t>221</w:t>
      </w:r>
      <w:r>
        <w:rPr>
          <w:rFonts w:hint="eastAsia" w:ascii="仿宋" w:hAnsi="仿宋" w:eastAsia="仿宋" w:cs="Calibri"/>
          <w:kern w:val="2"/>
          <w:sz w:val="28"/>
          <w:szCs w:val="28"/>
          <w:highlight w:val="none"/>
        </w:rPr>
        <w:t>号</w:t>
      </w:r>
    </w:p>
    <w:p>
      <w:pPr>
        <w:spacing w:line="560" w:lineRule="exact"/>
        <w:ind w:firstLine="437"/>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1.4 招标人：</w:t>
      </w:r>
      <w:r>
        <w:rPr>
          <w:rFonts w:hint="eastAsia" w:ascii="仿宋" w:hAnsi="仿宋" w:eastAsia="仿宋" w:cs="宋体"/>
          <w:sz w:val="28"/>
          <w:szCs w:val="28"/>
          <w:highlight w:val="none"/>
          <w:lang w:eastAsia="zh-CN"/>
        </w:rPr>
        <w:t>肥东县长临河镇卫生院</w:t>
      </w:r>
    </w:p>
    <w:p>
      <w:pPr>
        <w:spacing w:line="560" w:lineRule="exact"/>
        <w:ind w:firstLine="437"/>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1.5 项目业主：</w:t>
      </w:r>
      <w:r>
        <w:rPr>
          <w:rFonts w:hint="eastAsia" w:ascii="仿宋" w:hAnsi="仿宋" w:eastAsia="仿宋" w:cs="宋体"/>
          <w:sz w:val="28"/>
          <w:szCs w:val="28"/>
          <w:highlight w:val="none"/>
          <w:lang w:eastAsia="zh-CN"/>
        </w:rPr>
        <w:t>肥东县长临河镇卫生院</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1.6 资金来源：</w:t>
      </w:r>
      <w:r>
        <w:rPr>
          <w:rFonts w:hint="eastAsia" w:ascii="仿宋" w:hAnsi="仿宋" w:eastAsia="仿宋" w:cs="宋体"/>
          <w:sz w:val="28"/>
          <w:szCs w:val="28"/>
          <w:highlight w:val="none"/>
        </w:rPr>
        <w:t>政府投资</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1.7 项目出资比例：</w:t>
      </w:r>
      <w:r>
        <w:rPr>
          <w:rFonts w:hint="eastAsia" w:ascii="仿宋" w:hAnsi="仿宋" w:eastAsia="仿宋" w:cs="宋体"/>
          <w:sz w:val="28"/>
          <w:szCs w:val="28"/>
          <w:highlight w:val="none"/>
        </w:rPr>
        <w:t>100%</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1.8 资金落实情况：</w:t>
      </w:r>
      <w:r>
        <w:rPr>
          <w:rFonts w:hint="eastAsia" w:ascii="仿宋" w:hAnsi="仿宋" w:eastAsia="仿宋" w:cs="宋体"/>
          <w:sz w:val="28"/>
          <w:szCs w:val="28"/>
          <w:highlight w:val="none"/>
        </w:rPr>
        <w:t>已落实</w:t>
      </w:r>
    </w:p>
    <w:p>
      <w:pPr>
        <w:spacing w:line="560" w:lineRule="exact"/>
        <w:outlineLvl w:val="1"/>
        <w:rPr>
          <w:rFonts w:ascii="黑体" w:hAnsi="黑体" w:eastAsia="黑体"/>
          <w:sz w:val="28"/>
          <w:szCs w:val="28"/>
          <w:highlight w:val="none"/>
        </w:rPr>
      </w:pPr>
      <w:bookmarkStart w:id="16" w:name="_Toc140069383"/>
      <w:r>
        <w:rPr>
          <w:rFonts w:hint="eastAsia" w:ascii="黑体" w:hAnsi="黑体" w:eastAsia="黑体"/>
          <w:sz w:val="28"/>
          <w:szCs w:val="28"/>
          <w:highlight w:val="none"/>
        </w:rPr>
        <w:t>2.项目概况与招标范围</w:t>
      </w:r>
      <w:bookmarkEnd w:id="11"/>
      <w:bookmarkEnd w:id="12"/>
      <w:bookmarkEnd w:id="13"/>
      <w:bookmarkEnd w:id="14"/>
      <w:bookmarkEnd w:id="16"/>
    </w:p>
    <w:p>
      <w:pPr>
        <w:spacing w:line="560" w:lineRule="exact"/>
        <w:ind w:firstLine="437"/>
        <w:rPr>
          <w:rFonts w:hint="eastAsia" w:ascii="仿宋" w:hAnsi="仿宋" w:eastAsia="仿宋" w:cs="宋体"/>
          <w:sz w:val="28"/>
          <w:szCs w:val="28"/>
          <w:highlight w:val="none"/>
          <w:lang w:eastAsia="zh-CN"/>
        </w:rPr>
      </w:pPr>
      <w:bookmarkStart w:id="17" w:name="_Toc7451"/>
      <w:bookmarkStart w:id="18" w:name="_Toc13105"/>
      <w:bookmarkStart w:id="19" w:name="_Toc19143"/>
      <w:bookmarkStart w:id="20" w:name="_Toc29404"/>
      <w:r>
        <w:rPr>
          <w:rFonts w:hint="eastAsia" w:ascii="仿宋" w:hAnsi="仿宋" w:eastAsia="仿宋" w:cs="宋体"/>
          <w:bCs/>
          <w:snapToGrid w:val="0"/>
          <w:sz w:val="28"/>
          <w:szCs w:val="28"/>
          <w:highlight w:val="none"/>
        </w:rPr>
        <w:t>2.1 招标项目名称：</w:t>
      </w:r>
      <w:r>
        <w:rPr>
          <w:rFonts w:hint="eastAsia" w:ascii="仿宋" w:hAnsi="仿宋" w:eastAsia="仿宋" w:cs="宋体"/>
          <w:sz w:val="28"/>
          <w:szCs w:val="28"/>
          <w:highlight w:val="none"/>
          <w:lang w:eastAsia="zh-CN"/>
        </w:rPr>
        <w:t>肥东县长临河镇卫生院迁址智能化项目</w:t>
      </w:r>
    </w:p>
    <w:p>
      <w:pPr>
        <w:spacing w:line="560" w:lineRule="exact"/>
        <w:ind w:firstLine="437"/>
        <w:rPr>
          <w:rFonts w:ascii="仿宋" w:hAnsi="仿宋" w:eastAsia="仿宋" w:cs="宋体"/>
          <w:bCs/>
          <w:snapToGrid w:val="0"/>
          <w:sz w:val="28"/>
          <w:szCs w:val="28"/>
          <w:highlight w:val="none"/>
        </w:rPr>
      </w:pPr>
      <w:r>
        <w:rPr>
          <w:rFonts w:hint="eastAsia" w:ascii="仿宋" w:hAnsi="仿宋" w:eastAsia="仿宋" w:cs="宋体"/>
          <w:bCs/>
          <w:snapToGrid w:val="0"/>
          <w:sz w:val="28"/>
          <w:szCs w:val="28"/>
          <w:highlight w:val="none"/>
        </w:rPr>
        <w:t>2.2 招标项目编号：</w:t>
      </w:r>
      <w:r>
        <w:rPr>
          <w:rFonts w:ascii="仿宋" w:hAnsi="仿宋" w:eastAsia="仿宋" w:cs="宋体"/>
          <w:sz w:val="28"/>
          <w:szCs w:val="28"/>
          <w:highlight w:val="none"/>
        </w:rPr>
        <w:t>XXXX</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2.3 标段划分：</w:t>
      </w:r>
      <w:r>
        <w:rPr>
          <w:rFonts w:hint="eastAsia" w:ascii="仿宋" w:hAnsi="仿宋" w:eastAsia="仿宋"/>
          <w:color w:val="333333"/>
          <w:sz w:val="28"/>
          <w:szCs w:val="28"/>
          <w:highlight w:val="none"/>
        </w:rPr>
        <w:t>本</w:t>
      </w:r>
      <w:r>
        <w:rPr>
          <w:rFonts w:hint="eastAsia" w:ascii="仿宋" w:hAnsi="仿宋" w:eastAsia="仿宋"/>
          <w:color w:val="333333"/>
          <w:sz w:val="28"/>
          <w:szCs w:val="28"/>
          <w:highlight w:val="none"/>
          <w:lang w:val="en-US" w:eastAsia="zh-CN"/>
        </w:rPr>
        <w:t>招标</w:t>
      </w:r>
      <w:r>
        <w:rPr>
          <w:rFonts w:hint="eastAsia" w:ascii="仿宋" w:hAnsi="仿宋" w:eastAsia="仿宋"/>
          <w:color w:val="333333"/>
          <w:sz w:val="28"/>
          <w:szCs w:val="28"/>
          <w:highlight w:val="none"/>
        </w:rPr>
        <w:t>项目共</w:t>
      </w:r>
      <w:r>
        <w:rPr>
          <w:rFonts w:hint="eastAsia" w:ascii="仿宋" w:hAnsi="仿宋" w:eastAsia="仿宋"/>
          <w:color w:val="333333"/>
          <w:sz w:val="28"/>
          <w:szCs w:val="28"/>
          <w:highlight w:val="none"/>
          <w:lang w:val="en-US" w:eastAsia="zh-CN"/>
        </w:rPr>
        <w:t>划分</w:t>
      </w:r>
      <w:r>
        <w:rPr>
          <w:rFonts w:hint="eastAsia" w:ascii="仿宋" w:hAnsi="仿宋" w:eastAsia="仿宋"/>
          <w:color w:val="333333"/>
          <w:sz w:val="28"/>
          <w:szCs w:val="28"/>
          <w:highlight w:val="none"/>
        </w:rPr>
        <w:t>1个标段</w:t>
      </w:r>
      <w:r>
        <w:rPr>
          <w:rFonts w:hint="eastAsia" w:ascii="仿宋" w:hAnsi="仿宋" w:eastAsia="仿宋"/>
          <w:color w:val="333333"/>
          <w:sz w:val="28"/>
          <w:szCs w:val="28"/>
          <w:highlight w:val="none"/>
          <w:lang w:eastAsia="zh-CN"/>
        </w:rPr>
        <w:t>。</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2.4 招标项目标段编号：</w:t>
      </w:r>
      <w:r>
        <w:rPr>
          <w:rFonts w:ascii="仿宋" w:hAnsi="仿宋" w:eastAsia="仿宋" w:cs="宋体"/>
          <w:sz w:val="28"/>
          <w:szCs w:val="28"/>
          <w:highlight w:val="none"/>
        </w:rPr>
        <w:t>XXXX</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2.5 建设地点：</w:t>
      </w:r>
      <w:r>
        <w:rPr>
          <w:rFonts w:hint="eastAsia" w:ascii="仿宋" w:hAnsi="仿宋" w:eastAsia="仿宋" w:cs="宋体"/>
          <w:bCs/>
          <w:snapToGrid w:val="0"/>
          <w:sz w:val="28"/>
          <w:szCs w:val="28"/>
          <w:highlight w:val="none"/>
          <w:lang w:val="en-US" w:eastAsia="zh-CN"/>
        </w:rPr>
        <w:t>安徽省</w:t>
      </w:r>
      <w:r>
        <w:rPr>
          <w:rFonts w:hint="eastAsia" w:ascii="仿宋" w:hAnsi="仿宋" w:eastAsia="仿宋" w:cs="宋体"/>
          <w:sz w:val="28"/>
          <w:szCs w:val="28"/>
          <w:highlight w:val="none"/>
        </w:rPr>
        <w:t>合肥市肥东县长临河镇卫生院</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2.6 建设规模：</w:t>
      </w:r>
      <w:r>
        <w:rPr>
          <w:rFonts w:hint="eastAsia" w:ascii="仿宋" w:hAnsi="仿宋" w:eastAsia="仿宋"/>
          <w:color w:val="000000"/>
          <w:sz w:val="28"/>
          <w:szCs w:val="28"/>
          <w:highlight w:val="none"/>
          <w:lang w:val="en-US" w:eastAsia="zh-CN"/>
        </w:rPr>
        <w:t>项目位于肥东县长临河镇星光东路与官塘路交口，总建筑面积约为11900平方米，其中地上11563平方米，地下337平方米。</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2.7 合同估算价：</w:t>
      </w:r>
      <w:r>
        <w:rPr>
          <w:rFonts w:hint="eastAsia" w:ascii="仿宋" w:hAnsi="仿宋" w:eastAsia="仿宋" w:cs="宋体"/>
          <w:sz w:val="28"/>
          <w:szCs w:val="28"/>
          <w:highlight w:val="none"/>
          <w:lang w:val="en-US" w:eastAsia="zh-CN"/>
        </w:rPr>
        <w:t>310</w:t>
      </w:r>
      <w:r>
        <w:rPr>
          <w:rFonts w:hint="eastAsia" w:ascii="仿宋" w:hAnsi="仿宋" w:eastAsia="仿宋" w:cs="宋体"/>
          <w:sz w:val="28"/>
          <w:szCs w:val="28"/>
          <w:highlight w:val="none"/>
        </w:rPr>
        <w:t>万元</w:t>
      </w:r>
    </w:p>
    <w:p>
      <w:pPr>
        <w:spacing w:line="560" w:lineRule="exact"/>
        <w:ind w:firstLine="437"/>
        <w:rPr>
          <w:rFonts w:ascii="仿宋" w:hAnsi="仿宋" w:eastAsia="仿宋" w:cs="宋体"/>
          <w:bCs/>
          <w:snapToGrid w:val="0"/>
          <w:sz w:val="28"/>
          <w:szCs w:val="28"/>
          <w:highlight w:val="none"/>
        </w:rPr>
      </w:pPr>
      <w:r>
        <w:rPr>
          <w:rFonts w:hint="eastAsia" w:ascii="仿宋" w:hAnsi="仿宋" w:eastAsia="仿宋" w:cs="宋体"/>
          <w:bCs/>
          <w:snapToGrid w:val="0"/>
          <w:sz w:val="28"/>
          <w:szCs w:val="28"/>
          <w:highlight w:val="none"/>
        </w:rPr>
        <w:t>2.8交货及安装周期：</w:t>
      </w:r>
      <w:r>
        <w:rPr>
          <w:rFonts w:hint="eastAsia" w:ascii="仿宋" w:hAnsi="仿宋" w:eastAsia="仿宋" w:cs="宋体"/>
          <w:sz w:val="28"/>
          <w:szCs w:val="28"/>
          <w:highlight w:val="none"/>
          <w:lang w:val="en-US" w:eastAsia="zh-CN"/>
        </w:rPr>
        <w:t>180</w:t>
      </w:r>
      <w:r>
        <w:rPr>
          <w:rFonts w:hint="eastAsia" w:ascii="仿宋" w:hAnsi="仿宋" w:eastAsia="仿宋" w:cs="宋体"/>
          <w:sz w:val="28"/>
          <w:szCs w:val="28"/>
          <w:highlight w:val="none"/>
        </w:rPr>
        <w:t>日历天</w:t>
      </w:r>
    </w:p>
    <w:p>
      <w:pPr>
        <w:spacing w:line="560" w:lineRule="exact"/>
        <w:ind w:firstLine="437"/>
        <w:rPr>
          <w:rFonts w:ascii="仿宋" w:hAnsi="仿宋" w:eastAsia="仿宋" w:cs="宋体"/>
          <w:bCs/>
          <w:snapToGrid w:val="0"/>
          <w:sz w:val="28"/>
          <w:szCs w:val="28"/>
          <w:highlight w:val="none"/>
        </w:rPr>
      </w:pPr>
      <w:r>
        <w:rPr>
          <w:rFonts w:hint="eastAsia" w:ascii="仿宋" w:hAnsi="仿宋" w:eastAsia="仿宋" w:cs="宋体"/>
          <w:bCs/>
          <w:snapToGrid w:val="0"/>
          <w:sz w:val="28"/>
          <w:szCs w:val="28"/>
          <w:highlight w:val="none"/>
        </w:rPr>
        <w:t>2.9交货及安装地点：</w:t>
      </w:r>
      <w:r>
        <w:rPr>
          <w:rFonts w:hint="eastAsia" w:ascii="仿宋" w:hAnsi="仿宋" w:eastAsia="仿宋" w:cs="Calibri"/>
          <w:kern w:val="2"/>
          <w:sz w:val="28"/>
          <w:szCs w:val="28"/>
          <w:highlight w:val="none"/>
        </w:rPr>
        <w:t>合肥市肥东县</w:t>
      </w:r>
      <w:r>
        <w:rPr>
          <w:rFonts w:hint="eastAsia" w:ascii="仿宋" w:hAnsi="仿宋" w:eastAsia="仿宋" w:cs="Calibri"/>
          <w:kern w:val="2"/>
          <w:sz w:val="28"/>
          <w:szCs w:val="28"/>
          <w:highlight w:val="none"/>
          <w:lang w:eastAsia="zh-CN"/>
        </w:rPr>
        <w:t>长临河镇卫生院</w:t>
      </w:r>
    </w:p>
    <w:p>
      <w:pPr>
        <w:spacing w:line="560" w:lineRule="exact"/>
        <w:ind w:firstLine="437"/>
        <w:rPr>
          <w:rFonts w:ascii="仿宋" w:hAnsi="仿宋" w:eastAsia="仿宋" w:cs="宋体"/>
          <w:bCs/>
          <w:snapToGrid w:val="0"/>
          <w:sz w:val="28"/>
          <w:szCs w:val="28"/>
          <w:highlight w:val="none"/>
        </w:rPr>
      </w:pPr>
      <w:r>
        <w:rPr>
          <w:rFonts w:hint="eastAsia" w:ascii="仿宋" w:hAnsi="仿宋" w:eastAsia="仿宋" w:cs="宋体"/>
          <w:bCs/>
          <w:snapToGrid w:val="0"/>
          <w:sz w:val="28"/>
          <w:szCs w:val="28"/>
          <w:highlight w:val="none"/>
        </w:rPr>
        <w:t>2.10招标范围：包括信息基础设施（综合布线系统、综合管路系统、计算机网络系统、机房工程）、综合安保设施（视频监控系统、门禁管理系统、停车场管理系统）、医技配套设施（护理呼叫系统、排队叫号系统）、信息发布与显示设施（信息发布系统、公共广播系统、多媒体会议系统）设内容。</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2.11项目类别：</w:t>
      </w:r>
      <w:r>
        <w:rPr>
          <w:rFonts w:hint="eastAsia" w:ascii="仿宋" w:hAnsi="仿宋" w:eastAsia="仿宋" w:cs="宋体"/>
          <w:sz w:val="28"/>
          <w:szCs w:val="28"/>
          <w:highlight w:val="none"/>
        </w:rPr>
        <w:t>工程货物</w:t>
      </w:r>
    </w:p>
    <w:p>
      <w:pPr>
        <w:spacing w:line="560" w:lineRule="exact"/>
        <w:ind w:firstLine="437"/>
        <w:rPr>
          <w:rFonts w:ascii="仿宋" w:hAnsi="仿宋" w:eastAsia="仿宋" w:cs="宋体"/>
          <w:bCs/>
          <w:snapToGrid w:val="0"/>
          <w:sz w:val="28"/>
          <w:szCs w:val="28"/>
          <w:highlight w:val="none"/>
        </w:rPr>
      </w:pPr>
      <w:r>
        <w:rPr>
          <w:rFonts w:hint="eastAsia" w:ascii="仿宋" w:hAnsi="仿宋" w:eastAsia="仿宋" w:cs="宋体"/>
          <w:bCs/>
          <w:snapToGrid w:val="0"/>
          <w:sz w:val="28"/>
          <w:szCs w:val="28"/>
          <w:highlight w:val="none"/>
        </w:rPr>
        <w:t>2.12其他：</w:t>
      </w:r>
      <w:r>
        <w:rPr>
          <w:rFonts w:hint="eastAsia" w:ascii="仿宋" w:hAnsi="仿宋" w:eastAsia="仿宋" w:cs="宋体"/>
          <w:sz w:val="28"/>
          <w:szCs w:val="28"/>
          <w:highlight w:val="none"/>
        </w:rPr>
        <w:t>无</w:t>
      </w:r>
    </w:p>
    <w:p>
      <w:pPr>
        <w:spacing w:line="560" w:lineRule="exact"/>
        <w:outlineLvl w:val="1"/>
        <w:rPr>
          <w:rFonts w:ascii="黑体" w:hAnsi="黑体" w:eastAsia="黑体"/>
          <w:sz w:val="28"/>
          <w:szCs w:val="28"/>
          <w:highlight w:val="none"/>
        </w:rPr>
      </w:pPr>
      <w:bookmarkStart w:id="21" w:name="_Toc140069384"/>
      <w:r>
        <w:rPr>
          <w:rFonts w:hint="eastAsia" w:ascii="黑体" w:hAnsi="黑体" w:eastAsia="黑体"/>
          <w:sz w:val="28"/>
          <w:szCs w:val="28"/>
          <w:highlight w:val="none"/>
        </w:rPr>
        <w:t>3.投标人资格要求</w:t>
      </w:r>
      <w:bookmarkEnd w:id="17"/>
      <w:bookmarkEnd w:id="18"/>
      <w:bookmarkEnd w:id="19"/>
      <w:bookmarkEnd w:id="20"/>
      <w:bookmarkEnd w:id="21"/>
    </w:p>
    <w:bookmarkEnd w:id="15"/>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3.1 投标人应依法设立并具备承担本招标项目的如下条件：</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3.1.1 投标人资质要求：</w:t>
      </w:r>
      <w:r>
        <w:rPr>
          <w:rFonts w:hint="eastAsia" w:ascii="仿宋" w:hAnsi="仿宋" w:eastAsia="仿宋" w:cs="Calibri"/>
          <w:kern w:val="2"/>
          <w:sz w:val="28"/>
          <w:szCs w:val="28"/>
          <w:highlight w:val="none"/>
        </w:rPr>
        <w:t>具有电子与智能化工程专业承包贰级及以上资质，以及有效的安全生产许可证。</w:t>
      </w:r>
    </w:p>
    <w:p>
      <w:pPr>
        <w:spacing w:line="560" w:lineRule="exact"/>
        <w:ind w:firstLine="437"/>
        <w:jc w:val="left"/>
        <w:rPr>
          <w:rFonts w:ascii="仿宋" w:hAnsi="仿宋" w:eastAsia="仿宋" w:cs="宋体"/>
          <w:bCs/>
          <w:snapToGrid w:val="0"/>
          <w:sz w:val="28"/>
          <w:szCs w:val="28"/>
          <w:highlight w:val="none"/>
        </w:rPr>
      </w:pPr>
      <w:r>
        <w:rPr>
          <w:rFonts w:hint="eastAsia" w:ascii="仿宋" w:hAnsi="仿宋" w:eastAsia="仿宋" w:cs="宋体"/>
          <w:sz w:val="28"/>
          <w:szCs w:val="28"/>
          <w:highlight w:val="none"/>
        </w:rPr>
        <w:t>3.1.2 项目负责人资格要求</w:t>
      </w:r>
      <w:r>
        <w:rPr>
          <w:rFonts w:hint="eastAsia" w:ascii="仿宋" w:hAnsi="仿宋" w:eastAsia="仿宋" w:cs="宋体"/>
          <w:bCs/>
          <w:snapToGrid w:val="0"/>
          <w:sz w:val="28"/>
          <w:szCs w:val="28"/>
          <w:highlight w:val="none"/>
        </w:rPr>
        <w:t>：拟委任的项目负责人具有机电工程专业二级及以上注册建造师资格，具备住房和城乡建设行政主管部门颁发的安全生产考核合格证书（B证），目前未在其他项目上任职或虽在其他项目上任职但本项目中标后能够从该项目撤离。</w:t>
      </w:r>
    </w:p>
    <w:p>
      <w:pPr>
        <w:spacing w:line="560" w:lineRule="exact"/>
        <w:ind w:firstLine="437"/>
        <w:rPr>
          <w:rFonts w:ascii="仿宋" w:hAnsi="仿宋" w:eastAsia="仿宋" w:cs="宋体"/>
          <w:bCs/>
          <w:snapToGrid w:val="0"/>
          <w:sz w:val="28"/>
          <w:szCs w:val="28"/>
          <w:highlight w:val="none"/>
        </w:rPr>
      </w:pPr>
      <w:r>
        <w:rPr>
          <w:rFonts w:hint="eastAsia" w:ascii="仿宋" w:hAnsi="仿宋" w:eastAsia="仿宋" w:cs="宋体"/>
          <w:sz w:val="28"/>
          <w:szCs w:val="28"/>
          <w:highlight w:val="none"/>
        </w:rPr>
        <w:t xml:space="preserve">3.1.3 </w:t>
      </w:r>
      <w:r>
        <w:rPr>
          <w:rFonts w:hint="eastAsia" w:ascii="仿宋" w:hAnsi="仿宋" w:eastAsia="仿宋" w:cs="宋体"/>
          <w:bCs/>
          <w:snapToGrid w:val="0"/>
          <w:sz w:val="28"/>
          <w:szCs w:val="28"/>
          <w:highlight w:val="none"/>
        </w:rPr>
        <w:t>投标人业绩要求：无</w:t>
      </w:r>
      <w:r>
        <w:rPr>
          <w:rFonts w:hint="eastAsia" w:ascii="仿宋" w:hAnsi="仿宋" w:eastAsia="仿宋" w:cs="宋体"/>
          <w:sz w:val="28"/>
          <w:szCs w:val="28"/>
          <w:highlight w:val="none"/>
        </w:rPr>
        <w:t>。</w:t>
      </w:r>
    </w:p>
    <w:p>
      <w:pPr>
        <w:spacing w:line="560" w:lineRule="exact"/>
        <w:ind w:firstLine="437"/>
        <w:jc w:val="left"/>
        <w:rPr>
          <w:rFonts w:ascii="仿宋" w:hAnsi="仿宋" w:eastAsia="仿宋" w:cs="宋体"/>
          <w:sz w:val="28"/>
          <w:szCs w:val="28"/>
          <w:highlight w:val="none"/>
        </w:rPr>
      </w:pPr>
      <w:r>
        <w:rPr>
          <w:rFonts w:hint="eastAsia" w:ascii="仿宋" w:hAnsi="仿宋" w:eastAsia="仿宋" w:cs="宋体"/>
          <w:sz w:val="28"/>
          <w:szCs w:val="28"/>
          <w:highlight w:val="none"/>
        </w:rPr>
        <w:t xml:space="preserve">3.1.4 </w:t>
      </w:r>
      <w:r>
        <w:rPr>
          <w:rFonts w:hint="eastAsia" w:ascii="仿宋" w:hAnsi="仿宋" w:eastAsia="仿宋" w:cs="宋体"/>
          <w:bCs/>
          <w:snapToGrid w:val="0"/>
          <w:sz w:val="28"/>
          <w:szCs w:val="28"/>
          <w:highlight w:val="none"/>
        </w:rPr>
        <w:t>项目负责人业绩要求：无</w:t>
      </w:r>
      <w:r>
        <w:rPr>
          <w:rFonts w:hint="eastAsia" w:ascii="仿宋" w:hAnsi="仿宋" w:eastAsia="仿宋" w:cs="宋体"/>
          <w:sz w:val="28"/>
          <w:szCs w:val="28"/>
          <w:highlight w:val="none"/>
        </w:rPr>
        <w:t>。</w:t>
      </w:r>
    </w:p>
    <w:p>
      <w:pPr>
        <w:spacing w:line="560" w:lineRule="exact"/>
        <w:ind w:firstLine="437"/>
        <w:jc w:val="left"/>
        <w:rPr>
          <w:rFonts w:ascii="仿宋" w:hAnsi="仿宋" w:eastAsia="仿宋" w:cs="宋体"/>
          <w:sz w:val="28"/>
          <w:szCs w:val="28"/>
          <w:highlight w:val="none"/>
        </w:rPr>
      </w:pPr>
      <w:r>
        <w:rPr>
          <w:rFonts w:hint="eastAsia" w:ascii="仿宋" w:hAnsi="仿宋" w:eastAsia="仿宋" w:cs="宋体"/>
          <w:sz w:val="28"/>
          <w:szCs w:val="28"/>
          <w:highlight w:val="none"/>
        </w:rPr>
        <w:t>3.1.5 财务要求：无。</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3.1.6 信誉要求：投标人未被合肥市及其所辖县（市）、区（开发区）公共资源交易监督管理部门记不良行为记录的；或被记不良行为记录（以公布日期为准），但同时符合下列情形的：</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（1）开标日前（含当日）6个月内记分累计未满10分的；</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（2）开标日前（含当日）12个月内记分累计未满15分的；</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（3）开标日前（含当日）18个月内记分累计未满20分的；</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（4）开标日前（含当日）24个月内记分累计未满25分的。</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3.1.7本招标项目不接受联合体投标。</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 xml:space="preserve">3.2 </w:t>
      </w:r>
      <w:r>
        <w:rPr>
          <w:rFonts w:hint="eastAsia" w:ascii="仿宋" w:hAnsi="仿宋" w:eastAsia="仿宋" w:cs="宋体"/>
          <w:bCs/>
          <w:snapToGrid w:val="0"/>
          <w:sz w:val="28"/>
          <w:szCs w:val="28"/>
          <w:highlight w:val="none"/>
        </w:rPr>
        <w:t>一个制造商对同一品牌同一型号的货物，仅能委托一个代理商参加投标。（本项目不采用）</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3.3 投标人不得存在招标文件第二章投标人须知第1.4.3项、第1.4.4项规定的情形。</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3.4 其他要求：无。</w:t>
      </w:r>
    </w:p>
    <w:p>
      <w:pPr>
        <w:spacing w:line="560" w:lineRule="exact"/>
        <w:outlineLvl w:val="1"/>
        <w:rPr>
          <w:rFonts w:ascii="黑体" w:hAnsi="黑体" w:eastAsia="黑体"/>
          <w:sz w:val="28"/>
          <w:szCs w:val="28"/>
          <w:highlight w:val="none"/>
        </w:rPr>
      </w:pPr>
      <w:bookmarkStart w:id="22" w:name="_Toc30498"/>
      <w:bookmarkStart w:id="23" w:name="_Toc140069385"/>
      <w:bookmarkStart w:id="24" w:name="_Toc6851"/>
      <w:bookmarkStart w:id="25" w:name="_Toc25429"/>
      <w:bookmarkStart w:id="26" w:name="_Toc14271"/>
      <w:r>
        <w:rPr>
          <w:rFonts w:hint="eastAsia" w:ascii="黑体" w:hAnsi="黑体" w:eastAsia="黑体"/>
          <w:sz w:val="28"/>
          <w:szCs w:val="28"/>
          <w:highlight w:val="none"/>
        </w:rPr>
        <w:t>4.招标文件的获取</w:t>
      </w:r>
      <w:bookmarkEnd w:id="22"/>
      <w:bookmarkEnd w:id="23"/>
      <w:bookmarkEnd w:id="24"/>
      <w:bookmarkEnd w:id="25"/>
      <w:bookmarkEnd w:id="26"/>
    </w:p>
    <w:p>
      <w:pPr>
        <w:spacing w:line="560" w:lineRule="exact"/>
        <w:ind w:firstLine="437"/>
        <w:outlineLvl w:val="2"/>
        <w:rPr>
          <w:rFonts w:ascii="仿宋" w:hAnsi="仿宋" w:eastAsia="仿宋" w:cs="宋体"/>
          <w:bCs/>
          <w:snapToGrid w:val="0"/>
          <w:sz w:val="28"/>
          <w:szCs w:val="28"/>
          <w:highlight w:val="none"/>
        </w:rPr>
      </w:pPr>
      <w:bookmarkStart w:id="27" w:name="_Toc9512"/>
      <w:bookmarkStart w:id="28" w:name="_Toc14443"/>
      <w:bookmarkStart w:id="29" w:name="_Toc27382"/>
      <w:bookmarkStart w:id="30" w:name="_Toc2764"/>
      <w:r>
        <w:rPr>
          <w:rFonts w:hint="eastAsia" w:ascii="仿宋" w:hAnsi="仿宋" w:eastAsia="仿宋" w:cs="宋体"/>
          <w:bCs/>
          <w:snapToGrid w:val="0"/>
          <w:sz w:val="28"/>
          <w:szCs w:val="28"/>
          <w:highlight w:val="none"/>
        </w:rPr>
        <w:t>4.1 获取时间：</w:t>
      </w:r>
      <w:r>
        <w:rPr>
          <w:rFonts w:hint="eastAsia" w:ascii="仿宋" w:hAnsi="仿宋" w:eastAsia="仿宋" w:cs="宋体"/>
          <w:sz w:val="28"/>
          <w:szCs w:val="28"/>
          <w:highlight w:val="none"/>
        </w:rPr>
        <w:t>202</w:t>
      </w:r>
      <w:r>
        <w:rPr>
          <w:rFonts w:hint="eastAsia" w:ascii="仿宋" w:hAnsi="仿宋" w:eastAsia="仿宋" w:cs="宋体"/>
          <w:sz w:val="28"/>
          <w:szCs w:val="28"/>
          <w:highlight w:val="none"/>
          <w:lang w:val="en-US" w:eastAsia="zh-CN"/>
        </w:rPr>
        <w:t>4</w:t>
      </w:r>
      <w:r>
        <w:rPr>
          <w:rFonts w:hint="eastAsia" w:ascii="仿宋" w:hAnsi="仿宋" w:eastAsia="仿宋" w:cs="宋体"/>
          <w:bCs/>
          <w:snapToGrid w:val="0"/>
          <w:sz w:val="28"/>
          <w:szCs w:val="28"/>
          <w:highlight w:val="none"/>
        </w:rPr>
        <w:t>年</w:t>
      </w:r>
      <w:r>
        <w:rPr>
          <w:rFonts w:hint="eastAsia" w:ascii="仿宋" w:hAnsi="仿宋" w:eastAsia="仿宋" w:cs="宋体"/>
          <w:sz w:val="28"/>
          <w:szCs w:val="28"/>
          <w:highlight w:val="none"/>
          <w:lang w:val="en-US" w:eastAsia="zh-CN"/>
        </w:rPr>
        <w:t>4</w:t>
      </w:r>
      <w:r>
        <w:rPr>
          <w:rFonts w:hint="eastAsia" w:ascii="仿宋" w:hAnsi="仿宋" w:eastAsia="仿宋" w:cs="宋体"/>
          <w:bCs/>
          <w:snapToGrid w:val="0"/>
          <w:sz w:val="28"/>
          <w:szCs w:val="28"/>
          <w:highlight w:val="none"/>
        </w:rPr>
        <w:t>月日至202</w:t>
      </w:r>
      <w:r>
        <w:rPr>
          <w:rFonts w:hint="eastAsia" w:ascii="仿宋" w:hAnsi="仿宋" w:eastAsia="仿宋" w:cs="宋体"/>
          <w:bCs/>
          <w:snapToGrid w:val="0"/>
          <w:sz w:val="28"/>
          <w:szCs w:val="28"/>
          <w:highlight w:val="none"/>
          <w:lang w:val="en-US" w:eastAsia="zh-CN"/>
        </w:rPr>
        <w:t>4</w:t>
      </w:r>
      <w:r>
        <w:rPr>
          <w:rFonts w:hint="eastAsia" w:ascii="仿宋" w:hAnsi="仿宋" w:eastAsia="仿宋" w:cs="宋体"/>
          <w:bCs/>
          <w:snapToGrid w:val="0"/>
          <w:sz w:val="28"/>
          <w:szCs w:val="28"/>
          <w:highlight w:val="none"/>
        </w:rPr>
        <w:t>年</w:t>
      </w:r>
      <w:r>
        <w:rPr>
          <w:rFonts w:hint="eastAsia" w:ascii="仿宋" w:hAnsi="仿宋" w:eastAsia="仿宋" w:cs="宋体"/>
          <w:bCs/>
          <w:snapToGrid w:val="0"/>
          <w:sz w:val="28"/>
          <w:szCs w:val="28"/>
          <w:highlight w:val="none"/>
          <w:lang w:val="en-US" w:eastAsia="zh-CN"/>
        </w:rPr>
        <w:t>4</w:t>
      </w:r>
      <w:r>
        <w:rPr>
          <w:rFonts w:hint="eastAsia" w:ascii="仿宋" w:hAnsi="仿宋" w:eastAsia="仿宋" w:cs="宋体"/>
          <w:bCs/>
          <w:snapToGrid w:val="0"/>
          <w:sz w:val="28"/>
          <w:szCs w:val="28"/>
          <w:highlight w:val="none"/>
        </w:rPr>
        <w:t>月  日</w:t>
      </w:r>
      <w:r>
        <w:rPr>
          <w:rFonts w:hint="eastAsia" w:ascii="仿宋" w:hAnsi="仿宋" w:eastAsia="仿宋" w:cs="宋体"/>
          <w:bCs/>
          <w:snapToGrid w:val="0"/>
          <w:sz w:val="28"/>
          <w:szCs w:val="28"/>
          <w:highlight w:val="none"/>
          <w:lang w:val="en-US" w:eastAsia="zh-CN"/>
        </w:rPr>
        <w:t>09</w:t>
      </w:r>
      <w:r>
        <w:rPr>
          <w:rFonts w:hint="eastAsia" w:ascii="仿宋" w:hAnsi="仿宋" w:eastAsia="仿宋" w:cs="宋体"/>
          <w:bCs/>
          <w:snapToGrid w:val="0"/>
          <w:sz w:val="28"/>
          <w:szCs w:val="28"/>
          <w:highlight w:val="none"/>
        </w:rPr>
        <w:t>:00。</w:t>
      </w:r>
    </w:p>
    <w:p>
      <w:pPr>
        <w:spacing w:line="560" w:lineRule="exact"/>
        <w:ind w:firstLine="437"/>
        <w:outlineLvl w:val="2"/>
        <w:rPr>
          <w:rFonts w:ascii="仿宋" w:hAnsi="仿宋" w:eastAsia="仿宋" w:cs="宋体"/>
          <w:bCs/>
          <w:snapToGrid w:val="0"/>
          <w:sz w:val="28"/>
          <w:szCs w:val="28"/>
          <w:highlight w:val="none"/>
        </w:rPr>
      </w:pPr>
      <w:r>
        <w:rPr>
          <w:rFonts w:hint="eastAsia" w:ascii="仿宋" w:hAnsi="仿宋" w:eastAsia="仿宋" w:cs="宋体"/>
          <w:bCs/>
          <w:snapToGrid w:val="0"/>
          <w:sz w:val="28"/>
          <w:szCs w:val="28"/>
          <w:highlight w:val="none"/>
        </w:rPr>
        <w:t>4.2 获取方式：</w:t>
      </w:r>
    </w:p>
    <w:p>
      <w:pPr>
        <w:pStyle w:val="97"/>
        <w:spacing w:line="560" w:lineRule="exact"/>
        <w:ind w:firstLine="560"/>
        <w:jc w:val="left"/>
        <w:rPr>
          <w:rFonts w:ascii="仿宋" w:hAnsi="仿宋" w:eastAsia="仿宋" w:cs="宋体"/>
          <w:sz w:val="28"/>
          <w:szCs w:val="28"/>
          <w:highlight w:val="none"/>
        </w:rPr>
      </w:pPr>
      <w:r>
        <w:rPr>
          <w:rFonts w:hint="eastAsia" w:ascii="仿宋" w:hAnsi="仿宋" w:eastAsia="仿宋" w:cs="宋体"/>
          <w:sz w:val="28"/>
          <w:szCs w:val="28"/>
          <w:highlight w:val="none"/>
        </w:rPr>
        <w:t>（1）本招标项目实行全流程电子化交易。</w:t>
      </w:r>
    </w:p>
    <w:p>
      <w:pPr>
        <w:pStyle w:val="97"/>
        <w:spacing w:line="560" w:lineRule="exact"/>
        <w:ind w:firstLine="560"/>
        <w:jc w:val="left"/>
        <w:rPr>
          <w:rFonts w:ascii="仿宋" w:hAnsi="仿宋" w:eastAsia="仿宋" w:cs="宋体"/>
          <w:sz w:val="28"/>
          <w:szCs w:val="28"/>
          <w:highlight w:val="none"/>
        </w:rPr>
      </w:pPr>
      <w:r>
        <w:rPr>
          <w:rFonts w:hint="eastAsia" w:ascii="仿宋" w:hAnsi="仿宋" w:eastAsia="仿宋" w:cs="宋体"/>
          <w:sz w:val="28"/>
          <w:szCs w:val="28"/>
          <w:highlight w:val="none"/>
        </w:rPr>
        <w:t>（2）潜在投标人可登录</w:t>
      </w:r>
      <w:r>
        <w:rPr>
          <w:rFonts w:ascii="仿宋" w:hAnsi="仿宋" w:eastAsia="仿宋" w:cs="宋体"/>
          <w:sz w:val="28"/>
          <w:szCs w:val="28"/>
          <w:highlight w:val="none"/>
        </w:rPr>
        <w:t>安徽合肥公共资源交易中心电子服务系统</w:t>
      </w:r>
      <w:r>
        <w:rPr>
          <w:rFonts w:hint="eastAsia" w:ascii="仿宋" w:hAnsi="仿宋" w:eastAsia="仿宋" w:cs="宋体"/>
          <w:sz w:val="28"/>
          <w:szCs w:val="28"/>
          <w:highlight w:val="none"/>
        </w:rPr>
        <w:t>（以下简称“电子服务系统”）查阅招标文件，如参与投标，则须在本条第4.1款规定的招标文件获取时间内通过安徽公共资源交易</w:t>
      </w:r>
      <w:r>
        <w:rPr>
          <w:rFonts w:hint="eastAsia" w:ascii="仿宋" w:hAnsi="仿宋" w:eastAsia="仿宋" w:cs="宋体"/>
          <w:sz w:val="28"/>
          <w:szCs w:val="28"/>
          <w:highlight w:val="none"/>
          <w:lang w:val="en-US" w:eastAsia="zh-CN"/>
        </w:rPr>
        <w:t>中心</w:t>
      </w:r>
      <w:r>
        <w:rPr>
          <w:rFonts w:hint="eastAsia" w:ascii="仿宋" w:hAnsi="仿宋" w:eastAsia="仿宋" w:cs="宋体"/>
          <w:sz w:val="28"/>
          <w:szCs w:val="28"/>
          <w:highlight w:val="none"/>
        </w:rPr>
        <w:t>电子交易系统</w:t>
      </w:r>
      <w:r>
        <w:rPr>
          <w:rFonts w:hint="eastAsia" w:ascii="仿宋" w:hAnsi="仿宋" w:eastAsia="仿宋" w:cs="楷体"/>
          <w:bCs/>
          <w:snapToGrid w:val="0"/>
          <w:sz w:val="28"/>
          <w:szCs w:val="28"/>
          <w:highlight w:val="none"/>
        </w:rPr>
        <w:t>获取招标文件</w:t>
      </w:r>
      <w:r>
        <w:rPr>
          <w:rFonts w:hint="eastAsia" w:ascii="仿宋" w:hAnsi="仿宋" w:eastAsia="仿宋" w:cs="宋体"/>
          <w:sz w:val="28"/>
          <w:szCs w:val="28"/>
          <w:highlight w:val="none"/>
        </w:rPr>
        <w:t>。</w:t>
      </w:r>
    </w:p>
    <w:p>
      <w:pPr>
        <w:spacing w:line="56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（3）招标文件获取过程中有任何疑问，请在工作时间（9:00-17:30，节假日休息）拨打技术支持热线（非项目咨询）：</w:t>
      </w:r>
      <w:r>
        <w:rPr>
          <w:rFonts w:ascii="仿宋" w:hAnsi="仿宋" w:eastAsia="仿宋" w:cs="宋体"/>
          <w:sz w:val="28"/>
          <w:szCs w:val="28"/>
          <w:highlight w:val="none"/>
        </w:rPr>
        <w:t>4009980000</w:t>
      </w:r>
      <w:r>
        <w:rPr>
          <w:rFonts w:hint="eastAsia" w:ascii="仿宋" w:hAnsi="仿宋" w:eastAsia="仿宋" w:cs="宋体"/>
          <w:sz w:val="28"/>
          <w:szCs w:val="28"/>
          <w:highlight w:val="none"/>
        </w:rPr>
        <w:t>。项目咨询请拨打电话：0551-67758793。</w:t>
      </w:r>
    </w:p>
    <w:p>
      <w:pPr>
        <w:spacing w:line="560" w:lineRule="exact"/>
        <w:ind w:firstLine="560" w:firstLineChars="200"/>
        <w:outlineLvl w:val="2"/>
        <w:rPr>
          <w:rFonts w:ascii="仿宋" w:hAnsi="仿宋" w:eastAsia="仿宋" w:cs="宋体"/>
          <w:bCs/>
          <w:snapToGrid w:val="0"/>
          <w:sz w:val="28"/>
          <w:szCs w:val="28"/>
          <w:highlight w:val="none"/>
        </w:rPr>
      </w:pPr>
      <w:r>
        <w:rPr>
          <w:rFonts w:hint="eastAsia" w:ascii="仿宋" w:hAnsi="仿宋" w:eastAsia="仿宋" w:cs="宋体"/>
          <w:bCs/>
          <w:snapToGrid w:val="0"/>
          <w:sz w:val="28"/>
          <w:szCs w:val="28"/>
          <w:highlight w:val="none"/>
        </w:rPr>
        <w:t>4.3 招标文件价格：每套人民币0元。</w:t>
      </w:r>
    </w:p>
    <w:p>
      <w:pPr>
        <w:spacing w:line="560" w:lineRule="exact"/>
        <w:outlineLvl w:val="1"/>
        <w:rPr>
          <w:rFonts w:ascii="黑体" w:hAnsi="黑体" w:eastAsia="黑体"/>
          <w:sz w:val="28"/>
          <w:szCs w:val="28"/>
          <w:highlight w:val="none"/>
        </w:rPr>
      </w:pPr>
      <w:bookmarkStart w:id="31" w:name="_Toc140069386"/>
      <w:r>
        <w:rPr>
          <w:rFonts w:hint="eastAsia" w:ascii="黑体" w:hAnsi="黑体" w:eastAsia="黑体"/>
          <w:sz w:val="28"/>
          <w:szCs w:val="28"/>
          <w:highlight w:val="none"/>
        </w:rPr>
        <w:t>5.投标文件的递交</w:t>
      </w:r>
      <w:bookmarkEnd w:id="27"/>
      <w:bookmarkEnd w:id="28"/>
      <w:bookmarkEnd w:id="29"/>
      <w:bookmarkEnd w:id="30"/>
      <w:bookmarkEnd w:id="31"/>
    </w:p>
    <w:p>
      <w:pPr>
        <w:pStyle w:val="49"/>
        <w:spacing w:before="0" w:beforeAutospacing="0" w:after="0" w:afterAutospacing="0" w:line="560" w:lineRule="exact"/>
        <w:ind w:firstLine="560" w:firstLineChars="200"/>
        <w:rPr>
          <w:rFonts w:ascii="仿宋" w:hAnsi="仿宋" w:eastAsia="仿宋" w:cs="楷体"/>
          <w:bCs/>
          <w:snapToGrid w:val="0"/>
          <w:color w:val="auto"/>
          <w:sz w:val="28"/>
          <w:szCs w:val="28"/>
          <w:highlight w:val="none"/>
        </w:rPr>
      </w:pPr>
      <w:r>
        <w:rPr>
          <w:rFonts w:hint="eastAsia" w:ascii="仿宋" w:hAnsi="仿宋" w:eastAsia="仿宋" w:cs="楷体"/>
          <w:bCs/>
          <w:snapToGrid w:val="0"/>
          <w:color w:val="auto"/>
          <w:sz w:val="28"/>
          <w:szCs w:val="28"/>
          <w:highlight w:val="none"/>
        </w:rPr>
        <w:t>投标文件递交的截止时间(投标截止时间，下同）为 2024年 月日09时00分，投标人应在投标截止时间前通过安徽合肥公共资源交易中心电子交易系统递交电子投标文件。</w:t>
      </w:r>
    </w:p>
    <w:p>
      <w:pPr>
        <w:spacing w:line="560" w:lineRule="exact"/>
        <w:outlineLvl w:val="1"/>
        <w:rPr>
          <w:rFonts w:ascii="黑体" w:hAnsi="黑体" w:eastAsia="黑体"/>
          <w:sz w:val="28"/>
          <w:szCs w:val="28"/>
          <w:highlight w:val="none"/>
        </w:rPr>
      </w:pPr>
      <w:bookmarkStart w:id="32" w:name="_Toc29133"/>
      <w:bookmarkStart w:id="33" w:name="_Toc25669"/>
      <w:bookmarkStart w:id="34" w:name="_Toc12441"/>
      <w:bookmarkStart w:id="35" w:name="_Toc28141"/>
      <w:bookmarkStart w:id="36" w:name="_Toc140069387"/>
      <w:r>
        <w:rPr>
          <w:rFonts w:hint="eastAsia" w:ascii="黑体" w:hAnsi="黑体" w:eastAsia="黑体"/>
          <w:sz w:val="28"/>
          <w:szCs w:val="28"/>
          <w:highlight w:val="none"/>
        </w:rPr>
        <w:t>6.资格审查方式</w:t>
      </w:r>
      <w:bookmarkEnd w:id="32"/>
      <w:bookmarkEnd w:id="33"/>
      <w:bookmarkEnd w:id="34"/>
      <w:bookmarkEnd w:id="35"/>
      <w:bookmarkEnd w:id="36"/>
    </w:p>
    <w:p>
      <w:pPr>
        <w:spacing w:line="560" w:lineRule="exact"/>
        <w:ind w:firstLine="420" w:firstLineChars="150"/>
        <w:outlineLvl w:val="1"/>
        <w:rPr>
          <w:rFonts w:hint="eastAsia" w:ascii="仿宋" w:hAnsi="仿宋" w:eastAsia="仿宋" w:cs="Calibri"/>
          <w:kern w:val="2"/>
          <w:sz w:val="28"/>
          <w:szCs w:val="28"/>
          <w:highlight w:val="none"/>
        </w:rPr>
      </w:pPr>
      <w:bookmarkStart w:id="37" w:name="_Toc32394"/>
      <w:bookmarkStart w:id="38" w:name="_Toc18375"/>
      <w:bookmarkStart w:id="39" w:name="_Toc8268"/>
      <w:bookmarkStart w:id="40" w:name="_Toc140069388"/>
      <w:bookmarkStart w:id="41" w:name="_Toc11112"/>
      <w:bookmarkStart w:id="42" w:name="_Toc25618"/>
      <w:r>
        <w:rPr>
          <w:rFonts w:hint="eastAsia" w:ascii="仿宋" w:hAnsi="仿宋" w:eastAsia="仿宋" w:cs="Calibri"/>
          <w:kern w:val="2"/>
          <w:sz w:val="28"/>
          <w:szCs w:val="28"/>
          <w:highlight w:val="none"/>
        </w:rPr>
        <w:t>本项目采用资格后审方式进行资格审查。</w:t>
      </w:r>
      <w:bookmarkEnd w:id="37"/>
    </w:p>
    <w:p>
      <w:pPr>
        <w:spacing w:line="560" w:lineRule="exact"/>
        <w:outlineLvl w:val="1"/>
        <w:rPr>
          <w:rFonts w:ascii="黑体" w:hAnsi="黑体" w:eastAsia="黑体"/>
          <w:sz w:val="28"/>
          <w:szCs w:val="28"/>
          <w:highlight w:val="none"/>
        </w:rPr>
      </w:pPr>
      <w:r>
        <w:rPr>
          <w:rFonts w:hint="eastAsia" w:ascii="黑体" w:hAnsi="黑体" w:eastAsia="黑体"/>
          <w:sz w:val="28"/>
          <w:szCs w:val="28"/>
          <w:highlight w:val="none"/>
        </w:rPr>
        <w:t>7.评标办法</w:t>
      </w:r>
      <w:bookmarkEnd w:id="38"/>
      <w:bookmarkEnd w:id="39"/>
      <w:bookmarkEnd w:id="40"/>
      <w:bookmarkEnd w:id="41"/>
      <w:bookmarkEnd w:id="42"/>
    </w:p>
    <w:p>
      <w:pPr>
        <w:pStyle w:val="49"/>
        <w:spacing w:before="0" w:beforeAutospacing="0" w:after="0" w:afterAutospacing="0" w:line="560" w:lineRule="exact"/>
        <w:ind w:firstLine="560" w:firstLineChars="200"/>
        <w:rPr>
          <w:rFonts w:ascii="仿宋" w:hAnsi="仿宋" w:eastAsia="仿宋" w:cs="楷体"/>
          <w:bCs/>
          <w:snapToGrid w:val="0"/>
          <w:color w:val="auto"/>
          <w:sz w:val="28"/>
          <w:szCs w:val="28"/>
          <w:highlight w:val="none"/>
        </w:rPr>
      </w:pPr>
      <w:r>
        <w:rPr>
          <w:rFonts w:hint="eastAsia" w:ascii="仿宋" w:hAnsi="仿宋" w:eastAsia="仿宋"/>
          <w:bCs/>
          <w:snapToGrid w:val="0"/>
          <w:color w:val="auto"/>
          <w:sz w:val="28"/>
          <w:szCs w:val="28"/>
          <w:highlight w:val="none"/>
        </w:rPr>
        <w:t>本招标项目评标办法采用</w:t>
      </w:r>
      <w:bookmarkStart w:id="43" w:name="_Hlk110266409"/>
      <w:r>
        <w:rPr>
          <w:rFonts w:hint="eastAsia" w:ascii="仿宋" w:hAnsi="仿宋" w:eastAsia="仿宋"/>
          <w:color w:val="auto"/>
          <w:sz w:val="28"/>
          <w:szCs w:val="28"/>
          <w:highlight w:val="none"/>
        </w:rPr>
        <w:t>综合评估法（一次平均）</w:t>
      </w:r>
      <w:r>
        <w:rPr>
          <w:rFonts w:hint="eastAsia" w:ascii="仿宋" w:hAnsi="仿宋" w:eastAsia="仿宋"/>
          <w:bCs/>
          <w:snapToGrid w:val="0"/>
          <w:color w:val="auto"/>
          <w:sz w:val="28"/>
          <w:szCs w:val="28"/>
          <w:highlight w:val="none"/>
        </w:rPr>
        <w:t>。（见招标文件第三章“评标办法”</w:t>
      </w:r>
      <w:bookmarkEnd w:id="43"/>
      <w:r>
        <w:rPr>
          <w:rFonts w:hint="eastAsia" w:ascii="仿宋" w:hAnsi="仿宋" w:eastAsia="仿宋" w:cs="楷体"/>
          <w:bCs/>
          <w:snapToGrid w:val="0"/>
          <w:color w:val="auto"/>
          <w:sz w:val="28"/>
          <w:szCs w:val="28"/>
          <w:highlight w:val="none"/>
        </w:rPr>
        <w:t>）</w:t>
      </w:r>
    </w:p>
    <w:p>
      <w:pPr>
        <w:spacing w:line="560" w:lineRule="exact"/>
        <w:outlineLvl w:val="1"/>
        <w:rPr>
          <w:rFonts w:ascii="黑体" w:hAnsi="黑体" w:eastAsia="黑体"/>
          <w:sz w:val="28"/>
          <w:szCs w:val="28"/>
          <w:highlight w:val="none"/>
        </w:rPr>
      </w:pPr>
      <w:bookmarkStart w:id="44" w:name="_Toc140069389"/>
      <w:bookmarkStart w:id="45" w:name="_Toc30763"/>
      <w:bookmarkStart w:id="46" w:name="_Toc2185"/>
      <w:bookmarkStart w:id="47" w:name="_Toc9230"/>
      <w:bookmarkStart w:id="48" w:name="_Toc4043"/>
      <w:r>
        <w:rPr>
          <w:rFonts w:hint="eastAsia" w:ascii="黑体" w:hAnsi="黑体" w:eastAsia="黑体"/>
          <w:sz w:val="28"/>
          <w:szCs w:val="28"/>
          <w:highlight w:val="none"/>
        </w:rPr>
        <w:t>8.开标时间及地点</w:t>
      </w:r>
      <w:bookmarkEnd w:id="44"/>
      <w:bookmarkEnd w:id="45"/>
      <w:bookmarkEnd w:id="46"/>
      <w:bookmarkEnd w:id="47"/>
      <w:bookmarkEnd w:id="48"/>
    </w:p>
    <w:p>
      <w:pPr>
        <w:spacing w:line="560" w:lineRule="exact"/>
        <w:ind w:firstLine="437"/>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8.1 开标时间：202</w:t>
      </w:r>
      <w:r>
        <w:rPr>
          <w:rFonts w:hint="eastAsia" w:ascii="仿宋" w:hAnsi="仿宋" w:eastAsia="仿宋" w:cs="Calibri"/>
          <w:kern w:val="2"/>
          <w:sz w:val="28"/>
          <w:szCs w:val="28"/>
          <w:highlight w:val="none"/>
          <w:lang w:val="en-US" w:eastAsia="zh-CN"/>
        </w:rPr>
        <w:t>4</w:t>
      </w:r>
      <w:r>
        <w:rPr>
          <w:rFonts w:hint="eastAsia" w:ascii="仿宋" w:hAnsi="仿宋" w:eastAsia="仿宋" w:cs="Calibri"/>
          <w:kern w:val="2"/>
          <w:sz w:val="28"/>
          <w:szCs w:val="28"/>
          <w:highlight w:val="none"/>
        </w:rPr>
        <w:t>年  月  日</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 xml:space="preserve">时00分 </w:t>
      </w:r>
    </w:p>
    <w:p>
      <w:pPr>
        <w:spacing w:line="560" w:lineRule="exact"/>
        <w:ind w:firstLine="437"/>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8.2 开标地点：</w:t>
      </w:r>
    </w:p>
    <w:p>
      <w:pPr>
        <w:spacing w:line="560" w:lineRule="exact"/>
        <w:ind w:firstLine="437"/>
        <w:rPr>
          <w:rFonts w:hint="eastAsia" w:ascii="仿宋" w:hAnsi="仿宋" w:eastAsia="仿宋" w:cs="Calibri"/>
          <w:kern w:val="2"/>
          <w:sz w:val="28"/>
          <w:szCs w:val="28"/>
          <w:highlight w:val="none"/>
        </w:rPr>
      </w:pPr>
      <w:r>
        <w:rPr>
          <w:rFonts w:hint="eastAsia" w:ascii="MS Mincho" w:hAnsi="MS Mincho" w:eastAsia="MS Mincho" w:cs="MS Mincho"/>
          <w:kern w:val="2"/>
          <w:sz w:val="28"/>
          <w:szCs w:val="28"/>
          <w:highlight w:val="none"/>
        </w:rPr>
        <w:t>☑</w:t>
      </w:r>
      <w:r>
        <w:rPr>
          <w:rFonts w:ascii="仿宋" w:hAnsi="仿宋" w:eastAsia="仿宋" w:cs="Calibri"/>
          <w:kern w:val="2"/>
          <w:sz w:val="28"/>
          <w:szCs w:val="28"/>
          <w:highlight w:val="none"/>
        </w:rPr>
        <w:t xml:space="preserve"> </w:t>
      </w:r>
      <w:r>
        <w:rPr>
          <w:rFonts w:hint="eastAsia" w:ascii="仿宋" w:hAnsi="仿宋" w:eastAsia="仿宋" w:cs="Calibri"/>
          <w:kern w:val="2"/>
          <w:sz w:val="28"/>
          <w:szCs w:val="28"/>
          <w:highlight w:val="none"/>
        </w:rPr>
        <w:t>合肥市肥东县店埠镇深秀路</w:t>
      </w:r>
      <w:r>
        <w:rPr>
          <w:rFonts w:ascii="仿宋" w:hAnsi="仿宋" w:eastAsia="仿宋" w:cs="Calibri"/>
          <w:kern w:val="2"/>
          <w:sz w:val="28"/>
          <w:szCs w:val="28"/>
          <w:highlight w:val="none"/>
        </w:rPr>
        <w:t>2</w:t>
      </w:r>
      <w:r>
        <w:rPr>
          <w:rFonts w:hint="eastAsia" w:ascii="仿宋" w:hAnsi="仿宋" w:eastAsia="仿宋" w:cs="Calibri"/>
          <w:kern w:val="2"/>
          <w:sz w:val="28"/>
          <w:szCs w:val="28"/>
          <w:highlight w:val="none"/>
        </w:rPr>
        <w:t>号肥东政务服务中心四楼</w:t>
      </w:r>
      <w:r>
        <w:rPr>
          <w:rFonts w:ascii="仿宋" w:hAnsi="仿宋" w:eastAsia="仿宋" w:cs="Calibri"/>
          <w:kern w:val="2"/>
          <w:sz w:val="28"/>
          <w:szCs w:val="28"/>
          <w:highlight w:val="none"/>
        </w:rPr>
        <w:t>C</w:t>
      </w:r>
      <w:r>
        <w:rPr>
          <w:rFonts w:hint="eastAsia" w:ascii="仿宋" w:hAnsi="仿宋" w:eastAsia="仿宋" w:cs="Calibri"/>
          <w:kern w:val="2"/>
          <w:sz w:val="28"/>
          <w:szCs w:val="28"/>
          <w:highlight w:val="none"/>
        </w:rPr>
        <w:t>区</w:t>
      </w:r>
      <w:r>
        <w:rPr>
          <w:rFonts w:ascii="仿宋" w:hAnsi="仿宋" w:eastAsia="仿宋" w:cs="Calibri"/>
          <w:kern w:val="2"/>
          <w:sz w:val="28"/>
          <w:szCs w:val="28"/>
          <w:highlight w:val="none"/>
        </w:rPr>
        <w:t>4</w:t>
      </w:r>
      <w:r>
        <w:rPr>
          <w:rFonts w:hint="eastAsia" w:ascii="仿宋" w:hAnsi="仿宋" w:eastAsia="仿宋" w:cs="Calibri"/>
          <w:kern w:val="2"/>
          <w:sz w:val="28"/>
          <w:szCs w:val="28"/>
          <w:highlight w:val="none"/>
        </w:rPr>
        <w:t>楼</w:t>
      </w:r>
      <w:r>
        <w:rPr>
          <w:rFonts w:ascii="仿宋" w:hAnsi="仿宋" w:eastAsia="仿宋" w:cs="Calibri"/>
          <w:kern w:val="2"/>
          <w:sz w:val="28"/>
          <w:szCs w:val="28"/>
          <w:highlight w:val="none"/>
        </w:rPr>
        <w:t>1</w:t>
      </w:r>
      <w:r>
        <w:rPr>
          <w:rFonts w:hint="eastAsia" w:ascii="仿宋" w:hAnsi="仿宋" w:eastAsia="仿宋" w:cs="Calibri"/>
          <w:kern w:val="2"/>
          <w:sz w:val="28"/>
          <w:szCs w:val="28"/>
          <w:highlight w:val="none"/>
        </w:rPr>
        <w:t>号开标室</w:t>
      </w:r>
    </w:p>
    <w:p>
      <w:pPr>
        <w:spacing w:line="560" w:lineRule="exact"/>
        <w:ind w:firstLine="560" w:firstLineChars="200"/>
        <w:rPr>
          <w:rFonts w:ascii="仿宋" w:hAnsi="仿宋" w:eastAsia="仿宋" w:cs="宋体"/>
          <w:bCs/>
          <w:snapToGrid w:val="0"/>
          <w:sz w:val="28"/>
          <w:szCs w:val="28"/>
          <w:highlight w:val="none"/>
        </w:rPr>
      </w:pPr>
      <w:r>
        <w:rPr>
          <w:rFonts w:hint="eastAsia" w:ascii="MS Mincho" w:hAnsi="MS Mincho" w:eastAsia="MS Mincho" w:cs="MS Mincho"/>
          <w:kern w:val="2"/>
          <w:sz w:val="28"/>
          <w:szCs w:val="28"/>
          <w:highlight w:val="none"/>
        </w:rPr>
        <w:t>☑</w:t>
      </w:r>
      <w:r>
        <w:rPr>
          <w:rFonts w:ascii="仿宋" w:hAnsi="仿宋" w:eastAsia="仿宋" w:cs="Calibri"/>
          <w:kern w:val="2"/>
          <w:sz w:val="28"/>
          <w:szCs w:val="28"/>
          <w:highlight w:val="none"/>
        </w:rPr>
        <w:t xml:space="preserve"> </w:t>
      </w:r>
      <w:r>
        <w:rPr>
          <w:rFonts w:hint="eastAsia" w:ascii="仿宋" w:hAnsi="仿宋" w:eastAsia="仿宋" w:cs="Calibri"/>
          <w:kern w:val="2"/>
          <w:sz w:val="28"/>
          <w:szCs w:val="28"/>
          <w:highlight w:val="none"/>
        </w:rPr>
        <w:t>本招标项目采用“云上开标大厅”方式开标</w:t>
      </w:r>
    </w:p>
    <w:p>
      <w:pPr>
        <w:spacing w:line="560" w:lineRule="exact"/>
        <w:outlineLvl w:val="1"/>
        <w:rPr>
          <w:rFonts w:ascii="黑体" w:hAnsi="黑体" w:eastAsia="黑体"/>
          <w:sz w:val="28"/>
          <w:szCs w:val="28"/>
          <w:highlight w:val="none"/>
        </w:rPr>
      </w:pPr>
      <w:bookmarkStart w:id="49" w:name="_Toc15010"/>
      <w:bookmarkStart w:id="50" w:name="_Toc28548"/>
      <w:bookmarkStart w:id="51" w:name="_Toc13767"/>
      <w:bookmarkStart w:id="52" w:name="_Toc5604"/>
      <w:bookmarkStart w:id="53" w:name="_Toc140069390"/>
      <w:r>
        <w:rPr>
          <w:rFonts w:hint="eastAsia" w:ascii="黑体" w:hAnsi="黑体" w:eastAsia="黑体"/>
          <w:sz w:val="28"/>
          <w:szCs w:val="28"/>
          <w:highlight w:val="none"/>
        </w:rPr>
        <w:t>9.招标文件的异议</w:t>
      </w:r>
      <w:bookmarkEnd w:id="49"/>
      <w:bookmarkEnd w:id="50"/>
      <w:bookmarkEnd w:id="51"/>
      <w:bookmarkEnd w:id="52"/>
      <w:r>
        <w:rPr>
          <w:rFonts w:hint="eastAsia" w:ascii="黑体" w:hAnsi="黑体" w:eastAsia="黑体"/>
          <w:sz w:val="28"/>
          <w:szCs w:val="28"/>
          <w:highlight w:val="none"/>
        </w:rPr>
        <w:t>、投诉</w:t>
      </w:r>
      <w:bookmarkEnd w:id="53"/>
    </w:p>
    <w:p>
      <w:pPr>
        <w:spacing w:line="560" w:lineRule="exact"/>
        <w:ind w:firstLine="560" w:firstLineChars="200"/>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9.1投标人或者其他利害关系人对招标文件有异议的，应当在规定时间通过电子交易系统在线提出或以其他书面形式提出。</w:t>
      </w:r>
    </w:p>
    <w:p>
      <w:pPr>
        <w:spacing w:line="560" w:lineRule="exact"/>
        <w:ind w:firstLine="560" w:firstLineChars="200"/>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9.2投标人或者其他利害关系人对招标人、招标代理机构的答复不满意，或者招标人、招标代理机构未在规定时间内作出答复的，可以在规定时间内通过网上投诉系统或以其他书面形式向监管部门提出投诉。</w:t>
      </w:r>
    </w:p>
    <w:p>
      <w:pPr>
        <w:spacing w:line="560" w:lineRule="exact"/>
        <w:ind w:firstLine="560" w:firstLineChars="200"/>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9.3受理异议的联系人和联系方式见招标公告11.1和11.2。</w:t>
      </w:r>
    </w:p>
    <w:p>
      <w:pPr>
        <w:spacing w:line="560" w:lineRule="exact"/>
        <w:outlineLvl w:val="1"/>
        <w:rPr>
          <w:rFonts w:ascii="黑体" w:hAnsi="黑体" w:eastAsia="黑体"/>
          <w:sz w:val="28"/>
          <w:szCs w:val="28"/>
          <w:highlight w:val="none"/>
        </w:rPr>
      </w:pPr>
      <w:bookmarkStart w:id="54" w:name="_Toc8395"/>
      <w:bookmarkStart w:id="55" w:name="_Toc6145"/>
      <w:bookmarkStart w:id="56" w:name="_Toc10280"/>
      <w:bookmarkStart w:id="57" w:name="_Toc1330"/>
      <w:bookmarkStart w:id="58" w:name="_Toc140069391"/>
      <w:r>
        <w:rPr>
          <w:rFonts w:hint="eastAsia" w:ascii="黑体" w:hAnsi="黑体" w:eastAsia="黑体"/>
          <w:sz w:val="28"/>
          <w:szCs w:val="28"/>
          <w:highlight w:val="none"/>
        </w:rPr>
        <w:t>10.发布公告的媒介</w:t>
      </w:r>
      <w:bookmarkEnd w:id="54"/>
      <w:bookmarkEnd w:id="55"/>
      <w:bookmarkEnd w:id="56"/>
      <w:bookmarkEnd w:id="57"/>
      <w:bookmarkEnd w:id="58"/>
    </w:p>
    <w:p>
      <w:pPr>
        <w:spacing w:line="560" w:lineRule="exact"/>
        <w:ind w:firstLine="560" w:firstLineChars="200"/>
        <w:outlineLvl w:val="1"/>
        <w:rPr>
          <w:rFonts w:ascii="仿宋" w:hAnsi="仿宋" w:eastAsia="仿宋"/>
          <w:sz w:val="28"/>
          <w:szCs w:val="28"/>
          <w:highlight w:val="none"/>
        </w:rPr>
      </w:pPr>
      <w:bookmarkStart w:id="59" w:name="_Toc140069392"/>
      <w:bookmarkStart w:id="60" w:name="_Toc16920"/>
      <w:bookmarkStart w:id="61" w:name="_Toc1444"/>
      <w:bookmarkStart w:id="62" w:name="_Toc29323"/>
      <w:bookmarkStart w:id="63" w:name="_Toc3970"/>
      <w:r>
        <w:rPr>
          <w:rFonts w:hint="eastAsia" w:ascii="仿宋" w:hAnsi="仿宋" w:eastAsia="仿宋"/>
          <w:sz w:val="28"/>
          <w:szCs w:val="28"/>
          <w:highlight w:val="none"/>
        </w:rPr>
        <w:t>本次招标公告在安徽合肥公共资源交易中心网站、安徽省公共资源交易监管网、全国公共资源交易平台上发布。</w:t>
      </w:r>
      <w:bookmarkEnd w:id="59"/>
    </w:p>
    <w:bookmarkEnd w:id="60"/>
    <w:bookmarkEnd w:id="61"/>
    <w:bookmarkEnd w:id="62"/>
    <w:bookmarkEnd w:id="63"/>
    <w:p>
      <w:pPr>
        <w:spacing w:line="560" w:lineRule="exact"/>
        <w:outlineLvl w:val="1"/>
        <w:rPr>
          <w:rFonts w:hint="eastAsia" w:ascii="黑体" w:hAnsi="黑体" w:eastAsia="黑体"/>
          <w:sz w:val="28"/>
          <w:szCs w:val="28"/>
          <w:highlight w:val="none"/>
        </w:rPr>
      </w:pPr>
      <w:bookmarkStart w:id="64" w:name="_Toc13588"/>
      <w:r>
        <w:rPr>
          <w:rFonts w:hint="eastAsia" w:ascii="黑体" w:hAnsi="黑体" w:eastAsia="黑体"/>
          <w:sz w:val="28"/>
          <w:szCs w:val="28"/>
          <w:highlight w:val="none"/>
        </w:rPr>
        <w:t>11.联系方式</w:t>
      </w:r>
      <w:bookmarkEnd w:id="64"/>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11.1 招标人</w:t>
      </w:r>
    </w:p>
    <w:p>
      <w:pPr>
        <w:spacing w:line="560" w:lineRule="exact"/>
        <w:ind w:firstLine="437"/>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招 标 人：</w:t>
      </w:r>
      <w:r>
        <w:rPr>
          <w:rFonts w:hint="eastAsia" w:ascii="仿宋" w:hAnsi="仿宋" w:eastAsia="仿宋" w:cs="Calibri"/>
          <w:kern w:val="2"/>
          <w:sz w:val="28"/>
          <w:szCs w:val="28"/>
          <w:highlight w:val="none"/>
          <w:lang w:eastAsia="zh-CN"/>
        </w:rPr>
        <w:t>肥东县长临河镇卫生院</w:t>
      </w:r>
    </w:p>
    <w:p>
      <w:pPr>
        <w:spacing w:line="560" w:lineRule="exact"/>
        <w:ind w:firstLine="437"/>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地    址：</w:t>
      </w:r>
      <w:r>
        <w:rPr>
          <w:rFonts w:hint="eastAsia" w:ascii="仿宋" w:hAnsi="仿宋" w:eastAsia="仿宋" w:cs="Calibri"/>
          <w:kern w:val="2"/>
          <w:sz w:val="28"/>
          <w:szCs w:val="28"/>
          <w:highlight w:val="none"/>
          <w:lang w:val="en-US" w:eastAsia="zh-CN"/>
        </w:rPr>
        <w:t>安徽省</w:t>
      </w:r>
      <w:r>
        <w:rPr>
          <w:rFonts w:hint="eastAsia" w:ascii="仿宋" w:hAnsi="仿宋" w:eastAsia="仿宋" w:cs="Calibri"/>
          <w:kern w:val="2"/>
          <w:sz w:val="28"/>
          <w:szCs w:val="28"/>
          <w:highlight w:val="none"/>
        </w:rPr>
        <w:t>合肥市肥东县</w:t>
      </w:r>
      <w:r>
        <w:rPr>
          <w:rFonts w:hint="eastAsia" w:ascii="仿宋" w:hAnsi="仿宋" w:eastAsia="仿宋" w:cs="Calibri"/>
          <w:kern w:val="2"/>
          <w:sz w:val="28"/>
          <w:szCs w:val="28"/>
          <w:highlight w:val="none"/>
          <w:lang w:val="en-US" w:eastAsia="zh-CN"/>
        </w:rPr>
        <w:t>长临河镇新大街44号</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邮    编：231600</w:t>
      </w:r>
    </w:p>
    <w:p>
      <w:pPr>
        <w:spacing w:line="560" w:lineRule="exact"/>
        <w:ind w:firstLine="437"/>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联 系 人：</w:t>
      </w:r>
      <w:bookmarkStart w:id="1099" w:name="_GoBack"/>
      <w:r>
        <w:rPr>
          <w:rFonts w:hint="eastAsia" w:ascii="仿宋" w:hAnsi="仿宋" w:eastAsia="仿宋" w:cs="Calibri"/>
          <w:kern w:val="2"/>
          <w:sz w:val="28"/>
          <w:szCs w:val="28"/>
          <w:highlight w:val="none"/>
          <w:lang w:val="en-US" w:eastAsia="zh-CN"/>
        </w:rPr>
        <w:t>王文哲</w:t>
      </w:r>
      <w:bookmarkEnd w:id="1099"/>
    </w:p>
    <w:p>
      <w:pPr>
        <w:spacing w:line="560" w:lineRule="exact"/>
        <w:ind w:firstLine="437"/>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电    话：0551-</w:t>
      </w:r>
      <w:r>
        <w:rPr>
          <w:rFonts w:hint="eastAsia" w:ascii="仿宋" w:hAnsi="仿宋" w:eastAsia="仿宋" w:cs="Calibri"/>
          <w:kern w:val="2"/>
          <w:sz w:val="28"/>
          <w:szCs w:val="28"/>
          <w:highlight w:val="none"/>
          <w:lang w:val="en-US" w:eastAsia="zh-CN"/>
        </w:rPr>
        <w:t>67396019</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11.2 招标代理机构</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招标代理机构：肥东县公共资源交易有限公司</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地    址：合肥市肥东县店埠镇深秀路2号肥东县政务服务中心四楼B区</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邮    编：231600</w:t>
      </w:r>
    </w:p>
    <w:p>
      <w:pPr>
        <w:spacing w:line="560" w:lineRule="exact"/>
        <w:ind w:firstLine="437"/>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联 系 人：</w:t>
      </w:r>
      <w:r>
        <w:rPr>
          <w:rFonts w:hint="eastAsia" w:ascii="仿宋" w:hAnsi="仿宋" w:eastAsia="仿宋" w:cs="Calibri"/>
          <w:kern w:val="2"/>
          <w:sz w:val="28"/>
          <w:szCs w:val="28"/>
          <w:highlight w:val="none"/>
          <w:lang w:val="en-US" w:eastAsia="zh-CN"/>
        </w:rPr>
        <w:t>孙运龙</w:t>
      </w:r>
    </w:p>
    <w:p>
      <w:pPr>
        <w:spacing w:line="560" w:lineRule="exact"/>
        <w:ind w:firstLine="437"/>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电    话：0551-677587</w:t>
      </w:r>
      <w:r>
        <w:rPr>
          <w:rFonts w:hint="eastAsia" w:ascii="仿宋" w:hAnsi="仿宋" w:eastAsia="仿宋" w:cs="Calibri"/>
          <w:kern w:val="2"/>
          <w:sz w:val="28"/>
          <w:szCs w:val="28"/>
          <w:highlight w:val="none"/>
          <w:lang w:val="en-US" w:eastAsia="zh-CN"/>
        </w:rPr>
        <w:t>93</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11.3 电子交易系统</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电子交易系统名称：安徽合肥公共资源交易中心电子交易系统</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电子交易系统电话：</w:t>
      </w:r>
      <w:r>
        <w:rPr>
          <w:rFonts w:ascii="仿宋" w:hAnsi="仿宋" w:eastAsia="仿宋" w:cs="Calibri"/>
          <w:kern w:val="2"/>
          <w:sz w:val="28"/>
          <w:szCs w:val="28"/>
          <w:highlight w:val="none"/>
        </w:rPr>
        <w:t>4009980000</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11.4 电子服务系统</w:t>
      </w:r>
    </w:p>
    <w:p>
      <w:pPr>
        <w:spacing w:line="560" w:lineRule="exact"/>
        <w:ind w:firstLine="437"/>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电子服务系统名称：安徽合肥公共资源交易中心电子服务系统</w:t>
      </w:r>
    </w:p>
    <w:p>
      <w:pPr>
        <w:spacing w:line="560" w:lineRule="exact"/>
        <w:ind w:firstLine="437"/>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电子服务系统电话：</w:t>
      </w:r>
      <w:r>
        <w:rPr>
          <w:rFonts w:ascii="仿宋" w:hAnsi="仿宋" w:eastAsia="仿宋" w:cs="Calibri"/>
          <w:kern w:val="2"/>
          <w:sz w:val="28"/>
          <w:szCs w:val="28"/>
          <w:highlight w:val="none"/>
        </w:rPr>
        <w:t>0551-12345</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11.5 公共资源交易监督管理部门</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公共资源交易监督管理部门：肥东县发展和改革委员会</w:t>
      </w:r>
    </w:p>
    <w:p>
      <w:pPr>
        <w:spacing w:line="560" w:lineRule="exact"/>
        <w:ind w:firstLine="437"/>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地    址：合肥市肥东县店埠镇龙泉路8号</w:t>
      </w:r>
    </w:p>
    <w:p>
      <w:pPr>
        <w:spacing w:line="560" w:lineRule="exact"/>
        <w:ind w:firstLine="560" w:firstLineChars="200"/>
        <w:rPr>
          <w:rFonts w:ascii="仿宋" w:hAnsi="仿宋" w:eastAsia="仿宋" w:cs="楷体"/>
          <w:bCs/>
          <w:snapToGrid w:val="0"/>
          <w:sz w:val="28"/>
          <w:szCs w:val="28"/>
          <w:highlight w:val="none"/>
        </w:rPr>
      </w:pPr>
      <w:r>
        <w:rPr>
          <w:rFonts w:hint="eastAsia" w:ascii="仿宋" w:hAnsi="仿宋" w:eastAsia="仿宋" w:cs="Calibri"/>
          <w:kern w:val="2"/>
          <w:sz w:val="28"/>
          <w:szCs w:val="28"/>
          <w:highlight w:val="none"/>
        </w:rPr>
        <w:t>电    话：</w:t>
      </w:r>
      <w:r>
        <w:rPr>
          <w:rFonts w:ascii="仿宋" w:hAnsi="仿宋" w:eastAsia="仿宋" w:cs="Calibri"/>
          <w:kern w:val="2"/>
          <w:sz w:val="28"/>
          <w:szCs w:val="28"/>
          <w:highlight w:val="none"/>
        </w:rPr>
        <w:t>0551-67711296</w:t>
      </w:r>
    </w:p>
    <w:p>
      <w:pPr>
        <w:spacing w:line="560" w:lineRule="exact"/>
        <w:outlineLvl w:val="1"/>
        <w:rPr>
          <w:rFonts w:ascii="黑体" w:hAnsi="黑体" w:eastAsia="黑体"/>
          <w:sz w:val="28"/>
          <w:szCs w:val="28"/>
          <w:highlight w:val="none"/>
        </w:rPr>
      </w:pPr>
      <w:bookmarkStart w:id="65" w:name="_Toc14370"/>
      <w:bookmarkStart w:id="66" w:name="_Toc7062"/>
      <w:bookmarkStart w:id="67" w:name="_Toc140069394"/>
      <w:bookmarkStart w:id="68" w:name="_Toc4638"/>
      <w:bookmarkStart w:id="69" w:name="_Toc10284"/>
      <w:r>
        <w:rPr>
          <w:rFonts w:hint="eastAsia" w:ascii="黑体" w:hAnsi="黑体" w:eastAsia="黑体"/>
          <w:sz w:val="28"/>
          <w:szCs w:val="28"/>
          <w:highlight w:val="none"/>
        </w:rPr>
        <w:t>12.其他事项说明</w:t>
      </w:r>
      <w:bookmarkEnd w:id="65"/>
      <w:bookmarkEnd w:id="66"/>
      <w:bookmarkEnd w:id="67"/>
      <w:bookmarkEnd w:id="68"/>
      <w:bookmarkEnd w:id="69"/>
    </w:p>
    <w:p>
      <w:pPr>
        <w:spacing w:line="560" w:lineRule="exact"/>
        <w:ind w:firstLine="560" w:firstLineChars="200"/>
        <w:rPr>
          <w:rFonts w:ascii="仿宋" w:hAnsi="仿宋" w:eastAsia="仿宋"/>
          <w:kern w:val="2"/>
          <w:sz w:val="28"/>
          <w:szCs w:val="28"/>
          <w:highlight w:val="none"/>
        </w:rPr>
      </w:pPr>
      <w:bookmarkStart w:id="70" w:name="_Toc8187"/>
      <w:bookmarkStart w:id="71" w:name="_Toc30094"/>
      <w:bookmarkStart w:id="72" w:name="_Toc10307"/>
      <w:bookmarkStart w:id="73" w:name="_Toc3874"/>
      <w:r>
        <w:rPr>
          <w:rFonts w:hint="eastAsia" w:ascii="仿宋" w:hAnsi="仿宋" w:eastAsia="仿宋"/>
          <w:kern w:val="2"/>
          <w:sz w:val="28"/>
          <w:szCs w:val="28"/>
          <w:highlight w:val="none"/>
        </w:rPr>
        <w:t>投标人应合理安排招标文件获取时间，特别是网络速度慢的地区防止在系统关闭前网络拥堵无法操作。如果因计算机及网络故障造成无法完成招标文件获取，责任自负。</w:t>
      </w:r>
    </w:p>
    <w:p>
      <w:pPr>
        <w:numPr>
          <w:ilvl w:val="0"/>
          <w:numId w:val="0"/>
        </w:numPr>
        <w:spacing w:line="560" w:lineRule="exact"/>
        <w:outlineLvl w:val="1"/>
        <w:rPr>
          <w:rFonts w:hint="eastAsia" w:ascii="黑体" w:hAnsi="黑体" w:eastAsia="黑体"/>
          <w:sz w:val="28"/>
          <w:szCs w:val="28"/>
          <w:highlight w:val="none"/>
        </w:rPr>
      </w:pPr>
      <w:bookmarkStart w:id="74" w:name="_Toc140069395"/>
      <w:r>
        <w:rPr>
          <w:rFonts w:hint="eastAsia" w:ascii="黑体" w:hAnsi="黑体" w:eastAsia="黑体" w:cs="Times New Roman"/>
          <w:sz w:val="28"/>
          <w:szCs w:val="28"/>
          <w:highlight w:val="none"/>
          <w:lang w:val="en-US" w:eastAsia="zh-CN" w:bidi="ar-SA"/>
        </w:rPr>
        <w:t>13.</w:t>
      </w:r>
      <w:r>
        <w:rPr>
          <w:rFonts w:hint="eastAsia" w:ascii="黑体" w:hAnsi="黑体" w:eastAsia="黑体"/>
          <w:sz w:val="28"/>
          <w:szCs w:val="28"/>
          <w:highlight w:val="none"/>
        </w:rPr>
        <w:t>投标保证金账户</w:t>
      </w:r>
      <w:bookmarkEnd w:id="70"/>
      <w:bookmarkEnd w:id="71"/>
      <w:bookmarkEnd w:id="72"/>
      <w:bookmarkEnd w:id="73"/>
      <w:r>
        <w:rPr>
          <w:rFonts w:hint="eastAsia" w:ascii="黑体" w:hAnsi="黑体" w:eastAsia="黑体"/>
          <w:sz w:val="28"/>
          <w:szCs w:val="28"/>
          <w:highlight w:val="none"/>
        </w:rPr>
        <w:t>：</w:t>
      </w:r>
      <w:bookmarkEnd w:id="74"/>
    </w:p>
    <w:p>
      <w:pPr>
        <w:numPr>
          <w:ilvl w:val="0"/>
          <w:numId w:val="0"/>
        </w:numPr>
        <w:spacing w:line="560" w:lineRule="exact"/>
        <w:ind w:firstLine="560" w:firstLineChars="200"/>
        <w:outlineLvl w:val="1"/>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标段简称:1标段</w:t>
      </w:r>
    </w:p>
    <w:p>
      <w:pPr>
        <w:numPr>
          <w:ilvl w:val="0"/>
          <w:numId w:val="0"/>
        </w:numPr>
        <w:spacing w:line="560" w:lineRule="exact"/>
        <w:ind w:firstLine="560" w:firstLineChars="200"/>
        <w:outlineLvl w:val="1"/>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民生银行</w:t>
      </w:r>
    </w:p>
    <w:p>
      <w:pPr>
        <w:numPr>
          <w:ilvl w:val="0"/>
          <w:numId w:val="0"/>
        </w:numPr>
        <w:spacing w:line="560" w:lineRule="exact"/>
        <w:ind w:firstLine="560" w:firstLineChars="200"/>
        <w:outlineLvl w:val="1"/>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户名：肥东县公共资源交易中心</w:t>
      </w:r>
    </w:p>
    <w:p>
      <w:pPr>
        <w:numPr>
          <w:ilvl w:val="0"/>
          <w:numId w:val="0"/>
        </w:numPr>
        <w:spacing w:line="560" w:lineRule="exact"/>
        <w:ind w:firstLine="560" w:firstLineChars="200"/>
        <w:outlineLvl w:val="1"/>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账号：</w:t>
      </w:r>
    </w:p>
    <w:p>
      <w:pPr>
        <w:numPr>
          <w:ilvl w:val="0"/>
          <w:numId w:val="0"/>
        </w:numPr>
        <w:spacing w:line="560" w:lineRule="exact"/>
        <w:ind w:firstLine="560" w:firstLineChars="200"/>
        <w:outlineLvl w:val="1"/>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开户银行：中国民生银行股份有限公司肥东支行</w:t>
      </w:r>
    </w:p>
    <w:p>
      <w:pPr>
        <w:numPr>
          <w:ilvl w:val="0"/>
          <w:numId w:val="0"/>
        </w:numPr>
        <w:spacing w:line="560" w:lineRule="exact"/>
        <w:ind w:firstLine="560" w:firstLineChars="200"/>
        <w:outlineLvl w:val="1"/>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中国银行</w:t>
      </w:r>
    </w:p>
    <w:p>
      <w:pPr>
        <w:numPr>
          <w:ilvl w:val="0"/>
          <w:numId w:val="0"/>
        </w:numPr>
        <w:spacing w:line="560" w:lineRule="exact"/>
        <w:ind w:firstLine="560" w:firstLineChars="200"/>
        <w:outlineLvl w:val="1"/>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户名：肥东县公共资源交易中心</w:t>
      </w:r>
    </w:p>
    <w:p>
      <w:pPr>
        <w:numPr>
          <w:ilvl w:val="0"/>
          <w:numId w:val="0"/>
        </w:numPr>
        <w:spacing w:line="560" w:lineRule="exact"/>
        <w:ind w:firstLine="560" w:firstLineChars="200"/>
        <w:outlineLvl w:val="1"/>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账号：</w:t>
      </w:r>
    </w:p>
    <w:p>
      <w:pPr>
        <w:numPr>
          <w:ilvl w:val="0"/>
          <w:numId w:val="0"/>
        </w:numPr>
        <w:spacing w:line="560" w:lineRule="exact"/>
        <w:ind w:firstLine="560" w:firstLineChars="200"/>
        <w:outlineLvl w:val="1"/>
        <w:rPr>
          <w:rFonts w:ascii="仿宋" w:hAnsi="仿宋" w:eastAsia="仿宋"/>
          <w:kern w:val="2"/>
          <w:sz w:val="28"/>
          <w:szCs w:val="28"/>
          <w:highlight w:val="none"/>
        </w:rPr>
      </w:pPr>
      <w:r>
        <w:rPr>
          <w:rFonts w:hint="eastAsia" w:ascii="仿宋" w:hAnsi="仿宋" w:eastAsia="仿宋" w:cs="Calibri"/>
          <w:kern w:val="2"/>
          <w:sz w:val="28"/>
          <w:szCs w:val="28"/>
          <w:highlight w:val="none"/>
        </w:rPr>
        <w:t>开户银行：中国银行肥东支行</w:t>
      </w:r>
    </w:p>
    <w:bookmarkEnd w:id="5"/>
    <w:p>
      <w:pPr>
        <w:pStyle w:val="2"/>
        <w:spacing w:beforeLines="100" w:afterLines="100" w:line="240" w:lineRule="auto"/>
        <w:jc w:val="center"/>
        <w:rPr>
          <w:rFonts w:ascii="黑体" w:hAnsi="黑体" w:eastAsia="黑体" w:cs="黑体"/>
          <w:b w:val="0"/>
          <w:bCs w:val="0"/>
          <w:highlight w:val="none"/>
        </w:rPr>
      </w:pPr>
      <w:bookmarkStart w:id="75" w:name="_Toc26865"/>
      <w:bookmarkStart w:id="76" w:name="_Toc152042305"/>
      <w:bookmarkStart w:id="77" w:name="_Toc38879324"/>
      <w:bookmarkStart w:id="78" w:name="_Toc144974497"/>
      <w:bookmarkStart w:id="79" w:name="_Toc152045529"/>
      <w:bookmarkStart w:id="80" w:name="_Toc179632546"/>
      <w:r>
        <w:rPr>
          <w:rFonts w:hint="eastAsia"/>
          <w:b w:val="0"/>
          <w:highlight w:val="none"/>
        </w:rPr>
        <w:br w:type="page"/>
      </w:r>
      <w:bookmarkStart w:id="81" w:name="_Toc140069397"/>
      <w:r>
        <w:rPr>
          <w:rFonts w:hint="eastAsia" w:ascii="黑体" w:hAnsi="黑体" w:eastAsia="黑体" w:cs="黑体"/>
          <w:b w:val="0"/>
          <w:bCs w:val="0"/>
          <w:highlight w:val="none"/>
        </w:rPr>
        <w:t>第二章  投标人须知</w:t>
      </w:r>
      <w:bookmarkEnd w:id="81"/>
    </w:p>
    <w:p>
      <w:pPr>
        <w:pStyle w:val="3"/>
        <w:spacing w:beforeLines="100" w:afterLines="100" w:line="240" w:lineRule="auto"/>
        <w:jc w:val="center"/>
        <w:rPr>
          <w:rFonts w:ascii="Times New Roman" w:hAnsi="Times New Roman"/>
          <w:b w:val="0"/>
          <w:highlight w:val="none"/>
        </w:rPr>
      </w:pPr>
      <w:bookmarkStart w:id="82" w:name="_Toc25475"/>
      <w:bookmarkStart w:id="83" w:name="_Toc38879315"/>
      <w:bookmarkStart w:id="84" w:name="_Toc140069398"/>
      <w:r>
        <w:rPr>
          <w:rFonts w:hint="eastAsia" w:ascii="黑体" w:hAnsi="黑体" w:eastAsia="黑体" w:cs="黑体"/>
          <w:b w:val="0"/>
          <w:bCs w:val="0"/>
          <w:highlight w:val="none"/>
        </w:rPr>
        <w:t>投标人须知前附表</w:t>
      </w:r>
      <w:bookmarkEnd w:id="82"/>
      <w:bookmarkEnd w:id="83"/>
      <w:bookmarkEnd w:id="84"/>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776"/>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条款号</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条款名称</w:t>
            </w:r>
          </w:p>
        </w:tc>
        <w:tc>
          <w:tcPr>
            <w:tcW w:w="5684" w:type="dxa"/>
            <w:vAlign w:val="center"/>
          </w:tcPr>
          <w:p>
            <w:pPr>
              <w:snapToGrid w:val="0"/>
              <w:spacing w:line="360" w:lineRule="auto"/>
              <w:jc w:val="center"/>
              <w:rPr>
                <w:rFonts w:hAnsi="宋体" w:cs="宋体"/>
                <w:highlight w:val="none"/>
              </w:rPr>
            </w:pPr>
            <w:r>
              <w:rPr>
                <w:rFonts w:hint="eastAsia" w:hAnsi="宋体" w:cs="宋体"/>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1.3.4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技术性能指标</w:t>
            </w:r>
          </w:p>
        </w:tc>
        <w:tc>
          <w:tcPr>
            <w:tcW w:w="5684" w:type="dxa"/>
            <w:vAlign w:val="center"/>
          </w:tcPr>
          <w:p>
            <w:pPr>
              <w:snapToGrid w:val="0"/>
              <w:spacing w:line="360" w:lineRule="auto"/>
              <w:rPr>
                <w:rFonts w:hAnsi="宋体" w:cs="宋体"/>
                <w:highlight w:val="none"/>
              </w:rPr>
            </w:pPr>
            <w:r>
              <w:rPr>
                <w:rFonts w:hint="eastAsia" w:hAnsi="宋体" w:cs="宋体"/>
                <w:highlight w:val="none"/>
              </w:rPr>
              <w:t>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投标人资质条件、能力和信誉</w:t>
            </w:r>
          </w:p>
        </w:tc>
        <w:tc>
          <w:tcPr>
            <w:tcW w:w="5684" w:type="dxa"/>
            <w:vAlign w:val="center"/>
          </w:tcPr>
          <w:p>
            <w:pPr>
              <w:snapToGrid w:val="0"/>
              <w:spacing w:line="360" w:lineRule="auto"/>
              <w:rPr>
                <w:rFonts w:hAnsi="宋体" w:cs="宋体"/>
                <w:highlight w:val="none"/>
              </w:rPr>
            </w:pPr>
            <w:r>
              <w:rPr>
                <w:rFonts w:hint="eastAsia" w:hAnsi="宋体" w:cs="宋体"/>
                <w:highlight w:val="none"/>
              </w:rPr>
              <w:t>（1）资质条件：见附录1</w:t>
            </w:r>
          </w:p>
          <w:p>
            <w:pPr>
              <w:snapToGrid w:val="0"/>
              <w:spacing w:line="360" w:lineRule="auto"/>
              <w:rPr>
                <w:rFonts w:hAnsi="宋体" w:cs="宋体"/>
                <w:highlight w:val="none"/>
              </w:rPr>
            </w:pPr>
            <w:r>
              <w:rPr>
                <w:rFonts w:hint="eastAsia" w:hAnsi="宋体" w:cs="宋体"/>
                <w:highlight w:val="none"/>
              </w:rPr>
              <w:t>（2）财务要求：见附录2</w:t>
            </w:r>
          </w:p>
          <w:p>
            <w:pPr>
              <w:snapToGrid w:val="0"/>
              <w:spacing w:line="360" w:lineRule="auto"/>
              <w:rPr>
                <w:rFonts w:hAnsi="宋体" w:cs="宋体"/>
                <w:highlight w:val="none"/>
              </w:rPr>
            </w:pPr>
            <w:r>
              <w:rPr>
                <w:rFonts w:hint="eastAsia" w:hAnsi="宋体" w:cs="宋体"/>
                <w:highlight w:val="none"/>
              </w:rPr>
              <w:t>（3）业绩要求：见附录3</w:t>
            </w:r>
          </w:p>
          <w:p>
            <w:pPr>
              <w:snapToGrid w:val="0"/>
              <w:spacing w:line="360" w:lineRule="auto"/>
              <w:rPr>
                <w:rFonts w:hAnsi="宋体" w:cs="宋体"/>
                <w:highlight w:val="none"/>
              </w:rPr>
            </w:pPr>
            <w:r>
              <w:rPr>
                <w:rFonts w:hint="eastAsia" w:hAnsi="宋体" w:cs="宋体"/>
                <w:highlight w:val="none"/>
              </w:rPr>
              <w:t>（4）信誉要求：见附录4</w:t>
            </w:r>
          </w:p>
          <w:p>
            <w:pPr>
              <w:snapToGrid w:val="0"/>
              <w:spacing w:line="360" w:lineRule="auto"/>
              <w:rPr>
                <w:rFonts w:hAnsi="宋体" w:cs="宋体"/>
                <w:highlight w:val="none"/>
              </w:rPr>
            </w:pPr>
            <w:r>
              <w:rPr>
                <w:rFonts w:hint="eastAsia" w:hAnsi="宋体" w:cs="宋体"/>
                <w:highlight w:val="none"/>
              </w:rPr>
              <w:t>（5）项目负责人要求：见附录5</w:t>
            </w:r>
          </w:p>
          <w:p>
            <w:pPr>
              <w:snapToGrid w:val="0"/>
              <w:spacing w:line="360" w:lineRule="auto"/>
              <w:rPr>
                <w:rFonts w:hAnsi="宋体" w:cs="宋体"/>
                <w:highlight w:val="none"/>
              </w:rPr>
            </w:pPr>
            <w:r>
              <w:rPr>
                <w:rFonts w:hint="eastAsia" w:hAnsi="宋体" w:cs="宋体"/>
                <w:highlight w:val="none"/>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是否接受联合体投标</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不接受</w:t>
            </w:r>
          </w:p>
          <w:p>
            <w:pPr>
              <w:snapToGrid w:val="0"/>
              <w:spacing w:line="360" w:lineRule="auto"/>
              <w:rPr>
                <w:rFonts w:hAnsi="宋体" w:cs="宋体"/>
                <w:highlight w:val="none"/>
              </w:rPr>
            </w:pPr>
            <w:r>
              <w:rPr>
                <w:rFonts w:hint="eastAsia" w:hAnsi="宋体" w:cs="宋体"/>
                <w:highlight w:val="none"/>
              </w:rPr>
              <w:t>□接受，应满足下列要求：</w:t>
            </w: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1.4.3（17）</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投标人不得存在的其他情形</w:t>
            </w:r>
          </w:p>
        </w:tc>
        <w:tc>
          <w:tcPr>
            <w:tcW w:w="5684" w:type="dxa"/>
            <w:vAlign w:val="center"/>
          </w:tcPr>
          <w:p>
            <w:pPr>
              <w:snapToGrid w:val="0"/>
              <w:spacing w:line="360" w:lineRule="auto"/>
              <w:rPr>
                <w:rFonts w:hAnsi="宋体" w:cs="宋体"/>
                <w:highlight w:val="none"/>
              </w:rPr>
            </w:pPr>
            <w:r>
              <w:rPr>
                <w:rFonts w:hint="eastAsia" w:hAnsi="宋体" w:cs="宋体"/>
                <w:highlight w:val="none"/>
              </w:rPr>
              <w:t xml:space="preserve">□与本标段的其他投标人代理同一个制造商同一品牌同一型号的货物投标；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1.4.4（4）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投标人不得存在的其他不良状况或不良信用记录</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1）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p>
            <w:pPr>
              <w:snapToGrid w:val="0"/>
              <w:spacing w:line="360" w:lineRule="auto"/>
              <w:rPr>
                <w:rFonts w:hAnsi="宋体" w:cs="宋体"/>
                <w:highlight w:val="none"/>
              </w:rPr>
            </w:pPr>
            <w:r>
              <w:rPr>
                <w:rFonts w:hint="eastAsia" w:hAnsi="宋体" w:cs="宋体"/>
                <w:bCs/>
                <w:snapToGrid w:val="0"/>
                <w:highlight w:val="none"/>
              </w:rPr>
              <w:t>（2）查询要求：评标委员会仅通过“电子服务系统”查询拟推荐中标候选人是否存在上述情形，并将查询截图及查询结果在评标报告中予以记录。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1.9.1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踏勘现场</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不组织，投标人自行踏勘</w:t>
            </w:r>
          </w:p>
          <w:p>
            <w:pPr>
              <w:snapToGrid w:val="0"/>
              <w:spacing w:line="360" w:lineRule="auto"/>
              <w:rPr>
                <w:rFonts w:hAnsi="宋体" w:cs="宋体"/>
                <w:highlight w:val="none"/>
              </w:rPr>
            </w:pPr>
            <w:r>
              <w:rPr>
                <w:rFonts w:hint="eastAsia" w:hAnsi="宋体" w:cs="宋体"/>
                <w:highlight w:val="none"/>
              </w:rPr>
              <w:t>□组织，踏勘时间：</w:t>
            </w:r>
          </w:p>
          <w:p>
            <w:pPr>
              <w:snapToGrid w:val="0"/>
              <w:spacing w:line="360" w:lineRule="auto"/>
              <w:rPr>
                <w:rFonts w:hAnsi="宋体" w:cs="宋体"/>
                <w:highlight w:val="none"/>
              </w:rPr>
            </w:pPr>
            <w:r>
              <w:rPr>
                <w:rFonts w:hint="eastAsia" w:hAnsi="宋体" w:cs="宋体"/>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1.10.1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投标预备会</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不召开</w:t>
            </w:r>
          </w:p>
          <w:p>
            <w:pPr>
              <w:snapToGrid w:val="0"/>
              <w:spacing w:line="360" w:lineRule="auto"/>
              <w:rPr>
                <w:rFonts w:hAnsi="宋体" w:cs="宋体"/>
                <w:highlight w:val="none"/>
              </w:rPr>
            </w:pPr>
            <w:r>
              <w:rPr>
                <w:rFonts w:hint="eastAsia" w:hAnsi="宋体" w:cs="宋体"/>
                <w:highlight w:val="none"/>
              </w:rPr>
              <w:t>□召开，召开时间：</w:t>
            </w:r>
          </w:p>
          <w:p>
            <w:pPr>
              <w:snapToGrid w:val="0"/>
              <w:spacing w:line="360" w:lineRule="auto"/>
              <w:rPr>
                <w:rFonts w:hAnsi="宋体" w:cs="宋体"/>
                <w:highlight w:val="none"/>
              </w:rPr>
            </w:pPr>
            <w:r>
              <w:rPr>
                <w:rFonts w:hint="eastAsia" w:hAnsi="宋体" w:cs="宋体"/>
                <w:highlight w:val="none"/>
              </w:rPr>
              <w:t xml:space="preserve">        召开形式：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1.10.2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投标人在投标预备会前提出问题</w:t>
            </w:r>
          </w:p>
        </w:tc>
        <w:tc>
          <w:tcPr>
            <w:tcW w:w="5684" w:type="dxa"/>
            <w:vAlign w:val="center"/>
          </w:tcPr>
          <w:p>
            <w:pPr>
              <w:snapToGrid w:val="0"/>
              <w:spacing w:line="360" w:lineRule="auto"/>
              <w:rPr>
                <w:rFonts w:hAnsi="宋体" w:cs="宋体"/>
                <w:highlight w:val="none"/>
              </w:rPr>
            </w:pPr>
            <w:r>
              <w:rPr>
                <w:rFonts w:hint="eastAsia" w:hAnsi="宋体" w:cs="宋体"/>
                <w:highlight w:val="none"/>
              </w:rPr>
              <w:t>时间：</w:t>
            </w:r>
            <w:r>
              <w:rPr>
                <w:rFonts w:hint="eastAsia" w:hAnsi="宋体" w:cs="宋体"/>
                <w:bCs/>
                <w:snapToGrid w:val="0"/>
                <w:highlight w:val="none"/>
                <w:u w:val="single"/>
              </w:rPr>
              <w:t xml:space="preserve">   /   </w:t>
            </w:r>
          </w:p>
          <w:p>
            <w:pPr>
              <w:snapToGrid w:val="0"/>
              <w:spacing w:line="360" w:lineRule="auto"/>
              <w:rPr>
                <w:rFonts w:hAnsi="宋体" w:cs="宋体"/>
                <w:highlight w:val="none"/>
              </w:rPr>
            </w:pPr>
            <w:r>
              <w:rPr>
                <w:rFonts w:hint="eastAsia" w:hAnsi="宋体" w:cs="宋体"/>
                <w:highlight w:val="none"/>
              </w:rPr>
              <w:t>形式：</w:t>
            </w: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1.11.1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分包</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snapToGrid w:val="0"/>
              <w:spacing w:line="360" w:lineRule="auto"/>
              <w:rPr>
                <w:rFonts w:hAnsi="宋体" w:cs="宋体"/>
                <w:highlight w:val="none"/>
              </w:rPr>
            </w:pPr>
            <w:r>
              <w:rPr>
                <w:rFonts w:hint="eastAsia" w:hAnsi="宋体" w:cs="宋体"/>
                <w:highlight w:val="none"/>
              </w:rPr>
              <w:t>□允许，分包内容要求：</w:t>
            </w:r>
          </w:p>
          <w:p>
            <w:pPr>
              <w:snapToGrid w:val="0"/>
              <w:spacing w:line="360" w:lineRule="auto"/>
              <w:rPr>
                <w:rFonts w:hAnsi="宋体" w:cs="宋体"/>
                <w:highlight w:val="none"/>
              </w:rPr>
            </w:pPr>
            <w:r>
              <w:rPr>
                <w:rFonts w:hint="eastAsia" w:hAnsi="宋体" w:cs="宋体"/>
                <w:highlight w:val="none"/>
              </w:rPr>
              <w:t xml:space="preserve">        分包金额要求：</w:t>
            </w:r>
          </w:p>
          <w:p>
            <w:pPr>
              <w:snapToGrid w:val="0"/>
              <w:spacing w:line="360" w:lineRule="auto"/>
              <w:rPr>
                <w:rFonts w:hAnsi="宋体" w:cs="宋体"/>
                <w:highlight w:val="none"/>
              </w:rPr>
            </w:pPr>
            <w:r>
              <w:rPr>
                <w:rFonts w:hint="eastAsia" w:hAnsi="宋体" w:cs="宋体"/>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实质性要求和条件</w:t>
            </w:r>
          </w:p>
        </w:tc>
        <w:tc>
          <w:tcPr>
            <w:tcW w:w="5684" w:type="dxa"/>
            <w:vAlign w:val="center"/>
          </w:tcPr>
          <w:p>
            <w:pPr>
              <w:snapToGrid w:val="0"/>
              <w:spacing w:line="360" w:lineRule="auto"/>
              <w:rPr>
                <w:rFonts w:hAnsi="宋体" w:cs="宋体"/>
                <w:highlight w:val="none"/>
              </w:rPr>
            </w:pP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1.12.3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其他可以被接受的技术支持资料</w:t>
            </w:r>
          </w:p>
        </w:tc>
        <w:tc>
          <w:tcPr>
            <w:tcW w:w="5684" w:type="dxa"/>
            <w:vAlign w:val="center"/>
          </w:tcPr>
          <w:p>
            <w:pPr>
              <w:pStyle w:val="18"/>
              <w:topLinePunct/>
              <w:spacing w:line="360" w:lineRule="auto"/>
              <w:rPr>
                <w:rFonts w:ascii="宋体" w:eastAsia="宋体" w:cs="宋体"/>
                <w:bCs w:val="0"/>
                <w:color w:val="auto"/>
                <w:kern w:val="0"/>
                <w:szCs w:val="24"/>
                <w:highlight w:val="none"/>
              </w:rPr>
            </w:pPr>
            <w:r>
              <w:rPr>
                <w:rFonts w:hint="eastAsia" w:ascii="宋体" w:eastAsia="宋体" w:cs="宋体"/>
                <w:bCs w:val="0"/>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1.12.4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偏差</w:t>
            </w:r>
          </w:p>
        </w:tc>
        <w:tc>
          <w:tcPr>
            <w:tcW w:w="5684" w:type="dxa"/>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snapToGrid w:val="0"/>
              <w:spacing w:line="360" w:lineRule="auto"/>
              <w:rPr>
                <w:rFonts w:hAnsi="宋体" w:cs="宋体"/>
                <w:highlight w:val="none"/>
              </w:rPr>
            </w:pPr>
            <w:r>
              <w:rPr>
                <w:rFonts w:hint="eastAsia" w:hAnsi="宋体" w:cs="宋体"/>
                <w:highlight w:val="none"/>
              </w:rPr>
              <w:t>□允许，偏差范围：见招标文件第五章“供货要求”</w:t>
            </w:r>
          </w:p>
          <w:p>
            <w:pPr>
              <w:snapToGrid w:val="0"/>
              <w:spacing w:line="360" w:lineRule="auto"/>
              <w:ind w:firstLine="960" w:firstLineChars="400"/>
              <w:rPr>
                <w:rFonts w:hAnsi="宋体" w:cs="宋体"/>
                <w:highlight w:val="none"/>
              </w:rPr>
            </w:pPr>
            <w:r>
              <w:rPr>
                <w:rFonts w:hint="eastAsia" w:hAnsi="宋体" w:cs="宋体"/>
                <w:highlight w:val="none"/>
              </w:rPr>
              <w:t>最高项数：见招标文件第五章“供货要求”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2.1（7）</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构成招标文件的其他材料</w:t>
            </w:r>
          </w:p>
        </w:tc>
        <w:tc>
          <w:tcPr>
            <w:tcW w:w="5684" w:type="dxa"/>
            <w:vAlign w:val="center"/>
          </w:tcPr>
          <w:p>
            <w:pPr>
              <w:snapToGrid w:val="0"/>
              <w:spacing w:line="360" w:lineRule="auto"/>
              <w:rPr>
                <w:rFonts w:hAnsi="宋体" w:cs="宋体"/>
                <w:highlight w:val="none"/>
              </w:rPr>
            </w:pPr>
            <w:r>
              <w:rPr>
                <w:rFonts w:hint="eastAsia" w:hAnsi="宋体" w:cs="宋体"/>
                <w:bCs/>
                <w:snapToGrid w:val="0"/>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投标人要求澄清招标文件</w:t>
            </w:r>
          </w:p>
        </w:tc>
        <w:tc>
          <w:tcPr>
            <w:tcW w:w="5684" w:type="dxa"/>
            <w:vAlign w:val="center"/>
          </w:tcPr>
          <w:p>
            <w:pPr>
              <w:snapToGrid w:val="0"/>
              <w:spacing w:line="360" w:lineRule="auto"/>
              <w:rPr>
                <w:rFonts w:hAnsi="宋体" w:cs="宋体"/>
                <w:highlight w:val="none"/>
              </w:rPr>
            </w:pPr>
            <w:r>
              <w:rPr>
                <w:rFonts w:hint="eastAsia" w:hAnsi="宋体" w:cs="宋体"/>
                <w:highlight w:val="none"/>
              </w:rPr>
              <w:t>时间：</w:t>
            </w:r>
            <w:r>
              <w:rPr>
                <w:rFonts w:hint="eastAsia" w:hAnsi="宋体" w:cs="宋体"/>
                <w:bCs/>
                <w:snapToGrid w:val="0"/>
                <w:highlight w:val="none"/>
                <w:u w:val="single"/>
              </w:rPr>
              <w:t>202</w:t>
            </w:r>
            <w:r>
              <w:rPr>
                <w:rFonts w:hint="eastAsia" w:hAnsi="宋体" w:cs="宋体"/>
                <w:bCs/>
                <w:snapToGrid w:val="0"/>
                <w:highlight w:val="none"/>
                <w:u w:val="single"/>
                <w:lang w:val="en-US" w:eastAsia="zh-CN"/>
              </w:rPr>
              <w:t>4</w:t>
            </w:r>
            <w:r>
              <w:rPr>
                <w:rFonts w:hint="eastAsia" w:hAnsi="宋体" w:cs="宋体"/>
                <w:bCs/>
                <w:snapToGrid w:val="0"/>
                <w:highlight w:val="none"/>
              </w:rPr>
              <w:t>年</w:t>
            </w:r>
            <w:r>
              <w:rPr>
                <w:rFonts w:hint="eastAsia" w:hAnsi="宋体" w:cs="宋体"/>
                <w:bCs/>
                <w:snapToGrid w:val="0"/>
                <w:highlight w:val="none"/>
                <w:u w:val="single"/>
                <w:lang w:val="en-US" w:eastAsia="zh-CN"/>
              </w:rPr>
              <w:t xml:space="preserve">  </w:t>
            </w:r>
            <w:r>
              <w:rPr>
                <w:rFonts w:hint="eastAsia" w:hAnsi="宋体" w:cs="宋体"/>
                <w:bCs/>
                <w:snapToGrid w:val="0"/>
                <w:highlight w:val="none"/>
              </w:rPr>
              <w:t>月</w:t>
            </w:r>
            <w:r>
              <w:rPr>
                <w:rFonts w:hint="eastAsia" w:hAnsi="宋体" w:cs="宋体"/>
                <w:bCs/>
                <w:snapToGrid w:val="0"/>
                <w:highlight w:val="none"/>
                <w:lang w:val="en-US" w:eastAsia="zh-CN"/>
              </w:rPr>
              <w:t xml:space="preserve">  </w:t>
            </w:r>
            <w:r>
              <w:rPr>
                <w:rFonts w:hint="eastAsia" w:hAnsi="宋体" w:cs="宋体"/>
                <w:bCs/>
                <w:snapToGrid w:val="0"/>
                <w:highlight w:val="none"/>
              </w:rPr>
              <w:t>日</w:t>
            </w:r>
            <w:r>
              <w:rPr>
                <w:rFonts w:hint="eastAsia" w:hAnsi="宋体" w:cs="宋体"/>
                <w:bCs/>
                <w:snapToGrid w:val="0"/>
                <w:highlight w:val="none"/>
                <w:u w:val="single"/>
              </w:rPr>
              <w:t>17</w:t>
            </w:r>
            <w:r>
              <w:rPr>
                <w:rFonts w:hint="eastAsia" w:hAnsi="宋体" w:cs="宋体"/>
                <w:bCs/>
                <w:snapToGrid w:val="0"/>
                <w:highlight w:val="none"/>
              </w:rPr>
              <w:t>时</w:t>
            </w:r>
            <w:r>
              <w:rPr>
                <w:rFonts w:hint="eastAsia" w:hAnsi="宋体" w:cs="宋体"/>
                <w:bCs/>
                <w:snapToGrid w:val="0"/>
                <w:highlight w:val="none"/>
                <w:u w:val="single"/>
              </w:rPr>
              <w:t>30</w:t>
            </w:r>
            <w:r>
              <w:rPr>
                <w:rFonts w:hint="eastAsia" w:hAnsi="宋体" w:cs="宋体"/>
                <w:bCs/>
                <w:snapToGrid w:val="0"/>
                <w:highlight w:val="none"/>
              </w:rPr>
              <w:t>分前。</w:t>
            </w:r>
          </w:p>
          <w:p>
            <w:pPr>
              <w:snapToGrid w:val="0"/>
              <w:spacing w:line="360" w:lineRule="auto"/>
              <w:rPr>
                <w:rFonts w:hAnsi="宋体" w:cs="宋体"/>
                <w:highlight w:val="none"/>
              </w:rPr>
            </w:pPr>
            <w:r>
              <w:rPr>
                <w:rFonts w:hint="eastAsia" w:hAnsi="宋体" w:cs="宋体"/>
                <w:bCs/>
                <w:snapToGrid w:val="0"/>
                <w:highlight w:val="none"/>
              </w:rPr>
              <w:t>形式：通过电子交易系统在线提出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2.2.2</w:t>
            </w:r>
          </w:p>
        </w:tc>
        <w:tc>
          <w:tcPr>
            <w:tcW w:w="1776" w:type="dxa"/>
            <w:vAlign w:val="center"/>
          </w:tcPr>
          <w:p>
            <w:pPr>
              <w:snapToGrid w:val="0"/>
              <w:spacing w:line="360" w:lineRule="auto"/>
              <w:jc w:val="center"/>
              <w:rPr>
                <w:rFonts w:hAnsi="宋体" w:cs="宋体"/>
                <w:highlight w:val="none"/>
              </w:rPr>
            </w:pPr>
            <w:r>
              <w:rPr>
                <w:rFonts w:hint="eastAsia" w:hAnsi="宋体" w:cs="宋体"/>
                <w:snapToGrid w:val="0"/>
                <w:highlight w:val="none"/>
              </w:rPr>
              <w:t>招标文件澄清发出的形式</w:t>
            </w:r>
          </w:p>
        </w:tc>
        <w:tc>
          <w:tcPr>
            <w:tcW w:w="5684" w:type="dxa"/>
            <w:vAlign w:val="center"/>
          </w:tcPr>
          <w:p>
            <w:pPr>
              <w:snapToGrid w:val="0"/>
              <w:spacing w:line="360" w:lineRule="auto"/>
              <w:rPr>
                <w:rFonts w:hAnsi="宋体" w:cs="宋体"/>
                <w:highlight w:val="none"/>
              </w:rPr>
            </w:pPr>
            <w:r>
              <w:rPr>
                <w:rFonts w:hint="eastAsia" w:hAnsi="宋体" w:cs="宋体"/>
                <w:snapToGrid w:val="0"/>
                <w:highlight w:val="none"/>
              </w:rPr>
              <w:t>通过</w:t>
            </w:r>
            <w:r>
              <w:rPr>
                <w:rFonts w:hint="eastAsia" w:hAnsi="宋体" w:cs="宋体"/>
                <w:bCs/>
                <w:snapToGrid w:val="0"/>
                <w:highlight w:val="none"/>
              </w:rPr>
              <w:t>电子服务系统</w:t>
            </w:r>
            <w:r>
              <w:rPr>
                <w:rFonts w:hint="eastAsia" w:hAnsi="宋体" w:cs="宋体"/>
                <w:snapToGrid w:val="0"/>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ind w:left="120" w:leftChars="50" w:right="120" w:rightChars="50"/>
              <w:jc w:val="center"/>
              <w:rPr>
                <w:rFonts w:hAnsi="宋体" w:cs="宋体"/>
                <w:snapToGrid w:val="0"/>
                <w:highlight w:val="none"/>
              </w:rPr>
            </w:pPr>
            <w:r>
              <w:rPr>
                <w:rFonts w:hint="eastAsia" w:hAnsi="宋体" w:cs="宋体"/>
                <w:snapToGrid w:val="0"/>
                <w:highlight w:val="none"/>
              </w:rPr>
              <w:t>2.3.1</w:t>
            </w:r>
          </w:p>
        </w:tc>
        <w:tc>
          <w:tcPr>
            <w:tcW w:w="1776" w:type="dxa"/>
            <w:vAlign w:val="center"/>
          </w:tcPr>
          <w:p>
            <w:pPr>
              <w:kinsoku w:val="0"/>
              <w:overflowPunct w:val="0"/>
              <w:autoSpaceDE w:val="0"/>
              <w:autoSpaceDN w:val="0"/>
              <w:adjustRightInd w:val="0"/>
              <w:snapToGrid w:val="0"/>
              <w:spacing w:line="360" w:lineRule="auto"/>
              <w:ind w:right="-120" w:rightChars="-50"/>
              <w:jc w:val="center"/>
              <w:rPr>
                <w:rFonts w:hAnsi="宋体" w:cs="宋体"/>
                <w:snapToGrid w:val="0"/>
                <w:highlight w:val="none"/>
              </w:rPr>
            </w:pPr>
            <w:r>
              <w:rPr>
                <w:rFonts w:hint="eastAsia" w:hAnsi="宋体" w:cs="宋体"/>
                <w:snapToGrid w:val="0"/>
                <w:highlight w:val="none"/>
              </w:rPr>
              <w:t>招标文件修改发出的形式</w:t>
            </w:r>
          </w:p>
        </w:tc>
        <w:tc>
          <w:tcPr>
            <w:tcW w:w="5684" w:type="dxa"/>
            <w:vAlign w:val="center"/>
          </w:tcPr>
          <w:p>
            <w:pPr>
              <w:autoSpaceDE w:val="0"/>
              <w:autoSpaceDN w:val="0"/>
              <w:adjustRightInd w:val="0"/>
              <w:snapToGrid w:val="0"/>
              <w:spacing w:line="360" w:lineRule="auto"/>
              <w:ind w:right="120" w:rightChars="50"/>
              <w:jc w:val="left"/>
              <w:rPr>
                <w:rFonts w:hAnsi="宋体" w:cs="宋体"/>
                <w:snapToGrid w:val="0"/>
                <w:highlight w:val="none"/>
              </w:rPr>
            </w:pPr>
            <w:r>
              <w:rPr>
                <w:rFonts w:hint="eastAsia" w:hAnsi="宋体" w:cs="宋体"/>
                <w:snapToGrid w:val="0"/>
                <w:highlight w:val="none"/>
              </w:rPr>
              <w:t>通过</w:t>
            </w:r>
            <w:r>
              <w:rPr>
                <w:rFonts w:hint="eastAsia" w:hAnsi="宋体" w:cs="宋体"/>
                <w:bCs/>
                <w:snapToGrid w:val="0"/>
                <w:highlight w:val="none"/>
              </w:rPr>
              <w:t>电子服务系统</w:t>
            </w:r>
            <w:r>
              <w:rPr>
                <w:rFonts w:hint="eastAsia" w:hAnsi="宋体" w:cs="宋体"/>
                <w:snapToGrid w:val="0"/>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增值税税金相关要求</w:t>
            </w:r>
          </w:p>
        </w:tc>
        <w:tc>
          <w:tcPr>
            <w:tcW w:w="5684" w:type="dxa"/>
            <w:vAlign w:val="center"/>
          </w:tcPr>
          <w:p>
            <w:pPr>
              <w:snapToGrid w:val="0"/>
              <w:spacing w:line="360" w:lineRule="auto"/>
              <w:rPr>
                <w:rFonts w:hAnsi="宋体" w:cs="宋体"/>
                <w:bCs/>
                <w:snapToGrid w:val="0"/>
                <w:highlight w:val="none"/>
              </w:rPr>
            </w:pPr>
            <w:r>
              <w:rPr>
                <w:rFonts w:hint="eastAsia" w:ascii="Times New Roman" w:cs="宋体"/>
                <w:bCs/>
                <w:snapToGrid w:val="0"/>
                <w:szCs w:val="24"/>
                <w:highlight w:val="none"/>
              </w:rPr>
              <w:t>（1）</w:t>
            </w:r>
            <w:r>
              <w:rPr>
                <w:rFonts w:hint="eastAsia" w:hAnsi="宋体" w:cs="宋体"/>
                <w:bCs/>
                <w:snapToGrid w:val="0"/>
                <w:highlight w:val="none"/>
              </w:rPr>
              <w:t>计税方法：</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一般计税方法</w:t>
            </w:r>
          </w:p>
          <w:p>
            <w:pPr>
              <w:snapToGrid w:val="0"/>
              <w:spacing w:line="360" w:lineRule="auto"/>
              <w:rPr>
                <w:rFonts w:hAnsi="宋体" w:cs="宋体"/>
                <w:bCs/>
                <w:snapToGrid w:val="0"/>
                <w:highlight w:val="none"/>
              </w:rPr>
            </w:pPr>
            <w:r>
              <w:rPr>
                <w:rFonts w:hint="eastAsia" w:hAnsi="宋体" w:cs="宋体"/>
                <w:bCs/>
                <w:snapToGrid w:val="0"/>
                <w:highlight w:val="none"/>
              </w:rPr>
              <w:t xml:space="preserve">□简易计算方法 </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（2）</w:t>
            </w:r>
            <w:r>
              <w:rPr>
                <w:rFonts w:hint="eastAsia" w:hAnsi="宋体" w:cs="宋体"/>
                <w:bCs/>
                <w:snapToGrid w:val="0"/>
                <w:highlight w:val="none"/>
              </w:rPr>
              <w:t>发票类型：</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增值税专用发票</w:t>
            </w:r>
          </w:p>
          <w:p>
            <w:pPr>
              <w:snapToGrid w:val="0"/>
              <w:spacing w:line="360" w:lineRule="auto"/>
              <w:rPr>
                <w:rFonts w:hAnsi="宋体" w:cs="宋体"/>
                <w:bCs/>
                <w:snapToGrid w:val="0"/>
                <w:highlight w:val="none"/>
              </w:rPr>
            </w:pPr>
            <w:r>
              <w:rPr>
                <w:rFonts w:hint="eastAsia" w:hAnsi="宋体" w:cs="宋体"/>
                <w:bCs/>
                <w:snapToGrid w:val="0"/>
                <w:highlight w:val="none"/>
              </w:rPr>
              <w:t>□增值税普通发票</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（3）</w:t>
            </w:r>
            <w:r>
              <w:rPr>
                <w:rFonts w:hint="eastAsia" w:hAnsi="宋体" w:cs="宋体"/>
                <w:bCs/>
                <w:snapToGrid w:val="0"/>
                <w:highlight w:val="none"/>
              </w:rPr>
              <w:t>增值税税率按照国家有关规定执行。</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（4）</w:t>
            </w:r>
            <w:r>
              <w:rPr>
                <w:rFonts w:hint="eastAsia" w:hAnsi="宋体" w:cs="宋体"/>
                <w:bCs/>
                <w:snapToGrid w:val="0"/>
                <w:highlight w:val="none"/>
              </w:rPr>
              <w:t>注册地不在合肥市行政区域范围（含四县一市）的中标人，应按照国家税务总局规定，在建筑服务发生地及时足额预缴增值税。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最高投标限价</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□无</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有，最高投标限价：</w:t>
            </w:r>
            <w:r>
              <w:rPr>
                <w:rFonts w:hint="eastAsia" w:hAnsi="宋体" w:cs="宋体"/>
                <w:bCs/>
                <w:snapToGrid w:val="0"/>
                <w:highlight w:val="none"/>
                <w:u w:val="single"/>
                <w:lang w:val="en-US" w:eastAsia="zh-CN"/>
              </w:rPr>
              <w:t>310</w:t>
            </w:r>
            <w:r>
              <w:rPr>
                <w:rFonts w:hint="eastAsia" w:hAnsi="宋体" w:cs="宋体"/>
                <w:bCs/>
                <w:snapToGrid w:val="0"/>
                <w:highlight w:val="none"/>
                <w:u w:val="singl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3.2.5</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投标报价的其他要求</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3.3.1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投标有效期</w:t>
            </w:r>
          </w:p>
        </w:tc>
        <w:tc>
          <w:tcPr>
            <w:tcW w:w="5684" w:type="dxa"/>
            <w:vAlign w:val="center"/>
          </w:tcPr>
          <w:p>
            <w:pPr>
              <w:snapToGrid w:val="0"/>
              <w:spacing w:line="360" w:lineRule="auto"/>
              <w:rPr>
                <w:rFonts w:hAnsi="宋体" w:cs="宋体"/>
                <w:snapToGrid w:val="0"/>
                <w:highlight w:val="none"/>
              </w:rPr>
            </w:pPr>
            <w:r>
              <w:rPr>
                <w:rFonts w:hint="eastAsia" w:hAnsi="宋体" w:cs="宋体"/>
                <w:snapToGrid w:val="0"/>
                <w:highlight w:val="none"/>
              </w:rPr>
              <w:t>自投标人递交投标文件截止之日起计算</w:t>
            </w:r>
            <w:r>
              <w:rPr>
                <w:rFonts w:hint="eastAsia" w:hAnsi="宋体" w:cs="宋体"/>
                <w:bCs/>
                <w:snapToGrid w:val="0"/>
                <w:highlight w:val="none"/>
                <w:u w:val="single"/>
              </w:rPr>
              <w:t xml:space="preserve"> 120 </w:t>
            </w:r>
            <w:r>
              <w:rPr>
                <w:rFonts w:hint="eastAsia" w:hAnsi="宋体" w:cs="宋体"/>
                <w:snapToGrid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3.4.1</w:t>
            </w:r>
          </w:p>
        </w:tc>
        <w:tc>
          <w:tcPr>
            <w:tcW w:w="1776" w:type="dxa"/>
            <w:vAlign w:val="center"/>
          </w:tcPr>
          <w:p>
            <w:pPr>
              <w:snapToGrid w:val="0"/>
              <w:spacing w:line="360" w:lineRule="auto"/>
              <w:jc w:val="center"/>
              <w:rPr>
                <w:rFonts w:hAnsi="宋体" w:cs="宋体"/>
                <w:highlight w:val="none"/>
              </w:rPr>
            </w:pPr>
            <w:r>
              <w:rPr>
                <w:rFonts w:hint="eastAsia" w:hAnsi="宋体" w:cs="宋体"/>
                <w:bCs/>
                <w:szCs w:val="24"/>
                <w:highlight w:val="none"/>
              </w:rPr>
              <w:t>投标保证金</w:t>
            </w:r>
          </w:p>
        </w:tc>
        <w:tc>
          <w:tcPr>
            <w:tcW w:w="5684" w:type="dxa"/>
            <w:vAlign w:val="center"/>
          </w:tcPr>
          <w:p>
            <w:pPr>
              <w:snapToGrid w:val="0"/>
              <w:spacing w:line="360" w:lineRule="auto"/>
              <w:rPr>
                <w:rFonts w:hAnsi="宋体" w:cs="宋体"/>
                <w:bCs/>
                <w:szCs w:val="24"/>
                <w:highlight w:val="none"/>
              </w:rPr>
            </w:pPr>
            <w:r>
              <w:rPr>
                <w:rFonts w:hint="eastAsia" w:hAnsi="宋体" w:cs="宋体"/>
                <w:bCs/>
                <w:szCs w:val="24"/>
                <w:highlight w:val="none"/>
              </w:rPr>
              <w:t>是否要求投标人提交投标保证金：</w:t>
            </w:r>
          </w:p>
          <w:p>
            <w:pPr>
              <w:snapToGrid w:val="0"/>
              <w:spacing w:line="360" w:lineRule="auto"/>
              <w:rPr>
                <w:rFonts w:hAnsi="宋体" w:cs="宋体"/>
                <w:bCs/>
                <w:szCs w:val="24"/>
                <w:highlight w:val="none"/>
              </w:rPr>
            </w:pPr>
            <w:r>
              <w:rPr>
                <w:rFonts w:hint="eastAsia" w:hAnsi="宋体" w:cs="宋体"/>
                <w:bCs/>
                <w:szCs w:val="24"/>
                <w:highlight w:val="none"/>
              </w:rPr>
              <w:sym w:font="Wingdings 2" w:char="00A3"/>
            </w:r>
            <w:r>
              <w:rPr>
                <w:rFonts w:hint="eastAsia" w:hAnsi="宋体" w:cs="宋体"/>
                <w:bCs/>
                <w:szCs w:val="24"/>
                <w:highlight w:val="none"/>
              </w:rPr>
              <w:t>不要求</w:t>
            </w:r>
          </w:p>
          <w:p>
            <w:pPr>
              <w:snapToGrid w:val="0"/>
              <w:spacing w:line="360" w:lineRule="auto"/>
              <w:rPr>
                <w:rFonts w:hAnsi="宋体" w:cs="宋体"/>
                <w:bCs/>
                <w:szCs w:val="24"/>
                <w:highlight w:val="none"/>
              </w:rPr>
            </w:pPr>
            <w:r>
              <w:rPr>
                <w:rFonts w:hint="eastAsia" w:ascii="MS Mincho" w:hAnsi="MS Mincho" w:eastAsia="MS Mincho" w:cs="MS Mincho"/>
                <w:highlight w:val="none"/>
              </w:rPr>
              <w:t>☑</w:t>
            </w:r>
            <w:r>
              <w:rPr>
                <w:rFonts w:hint="eastAsia" w:hAnsi="宋体" w:cs="宋体"/>
                <w:bCs/>
                <w:szCs w:val="24"/>
                <w:highlight w:val="none"/>
              </w:rPr>
              <w:t>要求，具体如下：</w:t>
            </w:r>
          </w:p>
          <w:p>
            <w:pPr>
              <w:snapToGrid w:val="0"/>
              <w:spacing w:line="360" w:lineRule="auto"/>
              <w:rPr>
                <w:rFonts w:hAnsi="宋体" w:cs="宋体"/>
                <w:bCs/>
                <w:szCs w:val="24"/>
                <w:highlight w:val="none"/>
              </w:rPr>
            </w:pPr>
            <w:r>
              <w:rPr>
                <w:rFonts w:hint="eastAsia" w:hAnsi="宋体" w:cs="宋体"/>
                <w:bCs/>
                <w:szCs w:val="24"/>
                <w:highlight w:val="none"/>
              </w:rPr>
              <w:t>（1）投标保证金的金额：</w:t>
            </w:r>
            <w:r>
              <w:rPr>
                <w:rFonts w:hint="eastAsia" w:hAnsi="宋体" w:cs="宋体"/>
                <w:bCs/>
                <w:szCs w:val="24"/>
                <w:highlight w:val="none"/>
                <w:u w:val="single"/>
              </w:rPr>
              <w:t xml:space="preserve">  </w:t>
            </w:r>
            <w:r>
              <w:rPr>
                <w:rFonts w:hint="eastAsia" w:hAnsi="宋体" w:cs="宋体"/>
                <w:bCs/>
                <w:szCs w:val="24"/>
                <w:highlight w:val="none"/>
                <w:u w:val="single"/>
                <w:lang w:val="en-US" w:eastAsia="zh-CN"/>
              </w:rPr>
              <w:t>6</w:t>
            </w:r>
            <w:r>
              <w:rPr>
                <w:rFonts w:hint="eastAsia" w:hAnsi="宋体" w:cs="宋体"/>
                <w:bCs/>
                <w:szCs w:val="24"/>
                <w:highlight w:val="none"/>
                <w:u w:val="single"/>
              </w:rPr>
              <w:t xml:space="preserve">万元  </w:t>
            </w:r>
          </w:p>
          <w:p>
            <w:pPr>
              <w:snapToGrid w:val="0"/>
              <w:spacing w:line="360" w:lineRule="auto"/>
              <w:rPr>
                <w:rFonts w:hAnsi="宋体" w:cs="宋体"/>
                <w:bCs/>
                <w:szCs w:val="24"/>
                <w:highlight w:val="none"/>
              </w:rPr>
            </w:pPr>
            <w:r>
              <w:rPr>
                <w:rFonts w:hint="eastAsia" w:hAnsi="宋体" w:cs="宋体"/>
                <w:bCs/>
                <w:szCs w:val="24"/>
                <w:highlight w:val="none"/>
              </w:rPr>
              <w:t>（2）投标保证金的形式：</w:t>
            </w:r>
          </w:p>
          <w:p>
            <w:pPr>
              <w:snapToGrid w:val="0"/>
              <w:spacing w:line="360" w:lineRule="auto"/>
              <w:rPr>
                <w:rFonts w:hAnsi="宋体" w:cs="宋体"/>
                <w:bCs/>
                <w:szCs w:val="24"/>
                <w:highlight w:val="none"/>
              </w:rPr>
            </w:pPr>
            <w:r>
              <w:rPr>
                <w:rFonts w:hint="eastAsia" w:hAnsi="宋体" w:cs="宋体"/>
                <w:bCs/>
                <w:szCs w:val="24"/>
                <w:highlight w:val="none"/>
              </w:rPr>
              <w:sym w:font="Wingdings 2" w:char="0052"/>
            </w:r>
            <w:r>
              <w:rPr>
                <w:rFonts w:hint="eastAsia" w:hAnsi="宋体" w:cs="宋体"/>
                <w:bCs/>
                <w:szCs w:val="24"/>
                <w:highlight w:val="none"/>
              </w:rPr>
              <w:t>现金（银行转账、银行电汇）</w:t>
            </w:r>
          </w:p>
          <w:p>
            <w:pPr>
              <w:snapToGrid w:val="0"/>
              <w:spacing w:line="360" w:lineRule="auto"/>
              <w:rPr>
                <w:rFonts w:hAnsi="宋体" w:cs="宋体"/>
                <w:bCs/>
                <w:szCs w:val="24"/>
                <w:highlight w:val="none"/>
              </w:rPr>
            </w:pPr>
            <w:r>
              <w:rPr>
                <w:rFonts w:hint="eastAsia" w:hAnsi="宋体" w:cs="宋体"/>
                <w:bCs/>
                <w:szCs w:val="24"/>
                <w:highlight w:val="none"/>
              </w:rPr>
              <w:sym w:font="Wingdings 2" w:char="0052"/>
            </w:r>
            <w:r>
              <w:rPr>
                <w:rFonts w:hint="eastAsia" w:hAnsi="宋体" w:cs="宋体"/>
                <w:bCs/>
                <w:szCs w:val="24"/>
                <w:highlight w:val="none"/>
              </w:rPr>
              <w:t>银行保函</w:t>
            </w:r>
          </w:p>
          <w:p>
            <w:pPr>
              <w:snapToGrid w:val="0"/>
              <w:spacing w:line="360" w:lineRule="auto"/>
              <w:rPr>
                <w:rFonts w:hAnsi="宋体" w:cs="宋体"/>
                <w:bCs/>
                <w:szCs w:val="24"/>
                <w:highlight w:val="none"/>
              </w:rPr>
            </w:pPr>
            <w:r>
              <w:rPr>
                <w:rFonts w:hint="eastAsia" w:hAnsi="宋体" w:cs="宋体"/>
                <w:bCs/>
                <w:szCs w:val="24"/>
                <w:highlight w:val="none"/>
              </w:rPr>
              <w:sym w:font="Wingdings 2" w:char="0052"/>
            </w:r>
            <w:r>
              <w:rPr>
                <w:rFonts w:hint="eastAsia" w:hAnsi="宋体" w:cs="宋体"/>
                <w:bCs/>
                <w:szCs w:val="24"/>
                <w:highlight w:val="none"/>
              </w:rPr>
              <w:t>担保机构担保</w:t>
            </w:r>
          </w:p>
          <w:p>
            <w:pPr>
              <w:snapToGrid w:val="0"/>
              <w:spacing w:line="360" w:lineRule="auto"/>
              <w:rPr>
                <w:rFonts w:hAnsi="宋体" w:cs="宋体"/>
                <w:bCs/>
                <w:szCs w:val="24"/>
                <w:highlight w:val="none"/>
              </w:rPr>
            </w:pPr>
            <w:r>
              <w:rPr>
                <w:rFonts w:hint="eastAsia" w:hAnsi="宋体" w:cs="宋体"/>
                <w:bCs/>
                <w:szCs w:val="24"/>
                <w:highlight w:val="none"/>
              </w:rPr>
              <w:sym w:font="Wingdings 2" w:char="0052"/>
            </w:r>
            <w:r>
              <w:rPr>
                <w:rFonts w:hint="eastAsia" w:hAnsi="宋体" w:cs="宋体"/>
                <w:bCs/>
                <w:szCs w:val="24"/>
                <w:highlight w:val="none"/>
              </w:rPr>
              <w:t>保证保险</w:t>
            </w:r>
          </w:p>
          <w:p>
            <w:pPr>
              <w:snapToGrid w:val="0"/>
              <w:spacing w:line="360" w:lineRule="auto"/>
              <w:rPr>
                <w:rFonts w:hAnsi="宋体" w:cs="宋体"/>
                <w:bCs/>
                <w:szCs w:val="24"/>
                <w:highlight w:val="none"/>
              </w:rPr>
            </w:pPr>
            <w:r>
              <w:rPr>
                <w:rFonts w:hint="eastAsia" w:hAnsi="宋体" w:cs="宋体"/>
                <w:bCs/>
                <w:szCs w:val="24"/>
                <w:highlight w:val="none"/>
              </w:rPr>
              <w:sym w:font="Wingdings 2" w:char="0052"/>
            </w:r>
            <w:r>
              <w:rPr>
                <w:rFonts w:hint="eastAsia" w:hAnsi="宋体" w:cs="宋体"/>
                <w:bCs/>
                <w:szCs w:val="24"/>
                <w:highlight w:val="none"/>
              </w:rPr>
              <w:t>电子保函</w:t>
            </w:r>
          </w:p>
          <w:p>
            <w:pPr>
              <w:snapToGrid w:val="0"/>
              <w:spacing w:line="360" w:lineRule="auto"/>
              <w:rPr>
                <w:rFonts w:hAnsi="宋体" w:cs="宋体"/>
                <w:bCs/>
                <w:szCs w:val="24"/>
                <w:highlight w:val="none"/>
              </w:rPr>
            </w:pPr>
            <w:r>
              <w:rPr>
                <w:rFonts w:hint="eastAsia" w:hAnsi="宋体" w:cs="宋体"/>
                <w:bCs/>
                <w:szCs w:val="24"/>
                <w:highlight w:val="none"/>
              </w:rPr>
              <w:t>（3）具体要求：</w:t>
            </w:r>
          </w:p>
          <w:p>
            <w:pPr>
              <w:snapToGrid w:val="0"/>
              <w:spacing w:line="360" w:lineRule="auto"/>
              <w:rPr>
                <w:rFonts w:hAnsi="宋体" w:cs="宋体"/>
                <w:bCs/>
                <w:szCs w:val="24"/>
                <w:highlight w:val="none"/>
              </w:rPr>
            </w:pPr>
            <w:r>
              <w:rPr>
                <w:rFonts w:hint="eastAsia" w:hAnsi="宋体" w:cs="宋体"/>
                <w:bCs/>
                <w:szCs w:val="24"/>
                <w:highlight w:val="none"/>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pPr>
              <w:snapToGrid w:val="0"/>
              <w:spacing w:line="360" w:lineRule="auto"/>
              <w:rPr>
                <w:rFonts w:hAnsi="宋体" w:cs="宋体"/>
                <w:bCs/>
                <w:szCs w:val="24"/>
                <w:highlight w:val="none"/>
              </w:rPr>
            </w:pPr>
            <w:r>
              <w:rPr>
                <w:rFonts w:hint="eastAsia" w:hAnsi="宋体" w:cs="宋体"/>
                <w:bCs/>
                <w:szCs w:val="24"/>
                <w:highlight w:val="none"/>
              </w:rPr>
              <w:t>②采用银行保函的，应为投标人基本存款账户开户行出具的不可撤销、不可转让的见索即付独立保函。</w:t>
            </w:r>
          </w:p>
          <w:p>
            <w:pPr>
              <w:snapToGrid w:val="0"/>
              <w:spacing w:line="360" w:lineRule="auto"/>
              <w:rPr>
                <w:rFonts w:hAnsi="宋体" w:cs="宋体"/>
                <w:bCs/>
                <w:szCs w:val="24"/>
                <w:highlight w:val="none"/>
              </w:rPr>
            </w:pPr>
            <w:r>
              <w:rPr>
                <w:rFonts w:hint="eastAsia" w:hAnsi="宋体" w:cs="宋体"/>
                <w:bCs/>
                <w:szCs w:val="24"/>
                <w:highlight w:val="none"/>
              </w:rPr>
              <w:t>③采用担保机构担保的，应为经安徽省地方金融监督管理局审查批准，依法取得融资担保业务经营许可证的融资担保机构出具的不可撤销、不可转让的见索即付独立保函。</w:t>
            </w:r>
          </w:p>
          <w:p>
            <w:pPr>
              <w:snapToGrid w:val="0"/>
              <w:spacing w:line="360" w:lineRule="auto"/>
              <w:rPr>
                <w:rFonts w:hAnsi="宋体" w:cs="宋体"/>
                <w:bCs/>
                <w:szCs w:val="24"/>
                <w:highlight w:val="none"/>
              </w:rPr>
            </w:pPr>
            <w:r>
              <w:rPr>
                <w:rFonts w:hint="eastAsia" w:hAnsi="宋体" w:cs="宋体"/>
                <w:bCs/>
                <w:szCs w:val="24"/>
                <w:highlight w:val="none"/>
              </w:rPr>
              <w:t>④采用保证保险的，应为保险公司出具的不可撤销、不可转让的见索即付保证保险。</w:t>
            </w:r>
          </w:p>
          <w:p>
            <w:pPr>
              <w:snapToGrid w:val="0"/>
              <w:spacing w:line="360" w:lineRule="auto"/>
              <w:rPr>
                <w:rFonts w:hAnsi="宋体" w:cs="宋体"/>
                <w:bCs/>
                <w:szCs w:val="24"/>
                <w:highlight w:val="none"/>
              </w:rPr>
            </w:pPr>
            <w:r>
              <w:rPr>
                <w:rFonts w:hint="eastAsia" w:hAnsi="宋体" w:cs="宋体"/>
                <w:bCs/>
                <w:szCs w:val="24"/>
                <w:highlight w:val="none"/>
              </w:rPr>
              <w:t>⑤采用电子保函的，请登录全国公共资源交易平台（安徽省•合肥市）（安徽合肥公共资源交易中心网站）“通知公告”栏目查看《合肥市公共资源交易投标保证金电子保函操作手册》并按照操作手册规定内容办理。</w:t>
            </w:r>
          </w:p>
          <w:p>
            <w:pPr>
              <w:pStyle w:val="4"/>
              <w:rPr>
                <w:rFonts w:ascii="宋体" w:hAnsi="宋体" w:eastAsia="宋体" w:cs="宋体"/>
                <w:kern w:val="0"/>
                <w:highlight w:val="none"/>
              </w:rPr>
            </w:pPr>
            <w:r>
              <w:rPr>
                <w:rFonts w:hint="eastAsia" w:ascii="Times New Roman" w:hAnsi="Times New Roman" w:eastAsia="宋体" w:cs="宋体"/>
                <w:kern w:val="0"/>
                <w:highlight w:val="none"/>
              </w:rPr>
              <w:t>（4）</w:t>
            </w:r>
            <w:r>
              <w:rPr>
                <w:rFonts w:hint="eastAsia" w:ascii="宋体" w:hAnsi="宋体" w:eastAsia="宋体" w:cs="宋体"/>
                <w:kern w:val="0"/>
                <w:highlight w:val="none"/>
              </w:rPr>
              <w:t>是否适用免缴投标保证金政策：</w:t>
            </w:r>
          </w:p>
          <w:p>
            <w:pPr>
              <w:snapToGrid w:val="0"/>
              <w:spacing w:line="360" w:lineRule="auto"/>
              <w:rPr>
                <w:rFonts w:hAnsi="宋体" w:cs="宋体"/>
                <w:bCs/>
                <w:szCs w:val="24"/>
                <w:highlight w:val="none"/>
              </w:rPr>
            </w:pPr>
            <w:r>
              <w:rPr>
                <w:rFonts w:hint="eastAsia" w:hAnsi="宋体" w:cs="宋体"/>
                <w:bCs/>
                <w:szCs w:val="24"/>
                <w:highlight w:val="none"/>
              </w:rPr>
              <w:sym w:font="Wingdings 2" w:char="00A3"/>
            </w:r>
            <w:r>
              <w:rPr>
                <w:rFonts w:hint="eastAsia" w:hAnsi="宋体" w:cs="宋体"/>
                <w:bCs/>
                <w:szCs w:val="24"/>
                <w:highlight w:val="none"/>
              </w:rPr>
              <w:t>不适用</w:t>
            </w:r>
          </w:p>
          <w:p>
            <w:pPr>
              <w:spacing w:line="360" w:lineRule="auto"/>
              <w:rPr>
                <w:rFonts w:cs="宋体"/>
                <w:bCs/>
                <w:highlight w:val="none"/>
              </w:rPr>
            </w:pPr>
            <w:r>
              <w:rPr>
                <w:rFonts w:hint="eastAsia" w:ascii="MS Mincho" w:hAnsi="MS Mincho" w:eastAsia="MS Mincho" w:cs="MS Mincho"/>
                <w:highlight w:val="none"/>
              </w:rPr>
              <w:t>☑</w:t>
            </w:r>
            <w:r>
              <w:rPr>
                <w:rFonts w:hint="eastAsia" w:hAnsi="宋体" w:cs="宋体"/>
                <w:bCs/>
                <w:szCs w:val="24"/>
                <w:highlight w:val="none"/>
              </w:rPr>
              <w:t>适用，适用免缴投标保证金的情形：</w:t>
            </w:r>
            <w:r>
              <w:rPr>
                <w:rFonts w:hint="eastAsia" w:cs="宋体"/>
                <w:bCs/>
                <w:highlight w:val="none"/>
              </w:rPr>
              <w:t>投标人按招标文件第六章“投标人免缴投标保证金信用承诺函”格式进行承诺后，免缴投标保证金。</w:t>
            </w:r>
          </w:p>
          <w:p>
            <w:pPr>
              <w:spacing w:line="360" w:lineRule="auto"/>
              <w:rPr>
                <w:rFonts w:hAnsi="宋体" w:cs="宋体"/>
                <w:bCs/>
                <w:szCs w:val="24"/>
                <w:highlight w:val="none"/>
              </w:rPr>
            </w:pPr>
            <w:r>
              <w:rPr>
                <w:rFonts w:hint="eastAsia" w:ascii="Times New Roman" w:cs="宋体"/>
                <w:bCs/>
                <w:szCs w:val="24"/>
                <w:highlight w:val="none"/>
              </w:rPr>
              <w:t>（5）</w:t>
            </w:r>
            <w:r>
              <w:rPr>
                <w:rFonts w:hint="eastAsia" w:hAnsi="宋体" w:cs="宋体"/>
                <w:bCs/>
                <w:szCs w:val="24"/>
                <w:highlight w:val="none"/>
              </w:rPr>
              <w:t>其他要求：</w:t>
            </w:r>
          </w:p>
          <w:p>
            <w:pPr>
              <w:spacing w:line="360" w:lineRule="auto"/>
              <w:rPr>
                <w:rFonts w:hAnsi="宋体" w:cs="宋体"/>
                <w:bCs/>
                <w:szCs w:val="24"/>
                <w:highlight w:val="none"/>
              </w:rPr>
            </w:pPr>
            <w:r>
              <w:rPr>
                <w:rFonts w:hint="eastAsia" w:hAnsi="宋体" w:cs="宋体"/>
                <w:bCs/>
                <w:szCs w:val="24"/>
                <w:highlight w:val="none"/>
              </w:rPr>
              <w:t>①特别提醒</w:t>
            </w:r>
          </w:p>
          <w:p>
            <w:pPr>
              <w:spacing w:line="360" w:lineRule="auto"/>
              <w:rPr>
                <w:rFonts w:hAnsi="宋体" w:cs="宋体"/>
                <w:bCs/>
                <w:szCs w:val="24"/>
                <w:highlight w:val="none"/>
              </w:rPr>
            </w:pPr>
            <w:r>
              <w:rPr>
                <w:rFonts w:hint="eastAsia" w:hAnsi="宋体" w:cs="宋体"/>
                <w:bCs/>
                <w:szCs w:val="24"/>
                <w:highlight w:val="none"/>
              </w:rPr>
              <w:t>投标人采用银行保函、担保机构担保、保证保险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pPr>
              <w:spacing w:line="360" w:lineRule="auto"/>
              <w:rPr>
                <w:rFonts w:hAnsi="宋体" w:cs="宋体"/>
                <w:bCs/>
                <w:szCs w:val="24"/>
                <w:highlight w:val="none"/>
              </w:rPr>
            </w:pPr>
            <w:r>
              <w:rPr>
                <w:rFonts w:hint="eastAsia" w:hAnsi="宋体" w:cs="宋体"/>
                <w:bCs/>
                <w:szCs w:val="24"/>
                <w:highlight w:val="none"/>
              </w:rPr>
              <w:t>②投标保证金弄虚作假情形</w:t>
            </w:r>
          </w:p>
          <w:p>
            <w:pPr>
              <w:spacing w:line="360" w:lineRule="auto"/>
              <w:rPr>
                <w:rFonts w:hAnsi="宋体" w:cs="宋体"/>
                <w:bCs/>
                <w:szCs w:val="24"/>
                <w:highlight w:val="none"/>
                <w:u w:val="single"/>
              </w:rPr>
            </w:pPr>
            <w:r>
              <w:rPr>
                <w:rFonts w:hint="eastAsia" w:hAnsi="宋体" w:cs="宋体"/>
                <w:bCs/>
                <w:szCs w:val="24"/>
                <w:highlight w:val="none"/>
              </w:rPr>
              <w:t>投标人采用虚假银行保函（或担保机构担保或保证保险）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pPr>
              <w:snapToGrid w:val="0"/>
              <w:spacing w:line="360" w:lineRule="auto"/>
              <w:rPr>
                <w:rFonts w:hAnsi="宋体" w:cs="宋体"/>
                <w:bCs/>
                <w:szCs w:val="24"/>
                <w:highlight w:val="none"/>
                <w:u w:val="single"/>
              </w:rPr>
            </w:pPr>
            <w:r>
              <w:rPr>
                <w:rFonts w:hint="eastAsia" w:ascii="Times New Roman" w:cs="宋体"/>
                <w:bCs/>
                <w:szCs w:val="24"/>
                <w:highlight w:val="none"/>
              </w:rPr>
              <w:t>（6）</w:t>
            </w:r>
            <w:r>
              <w:rPr>
                <w:rFonts w:hint="eastAsia" w:hAnsi="宋体" w:cs="宋体"/>
                <w:bCs/>
                <w:szCs w:val="24"/>
                <w:highlight w:val="none"/>
              </w:rPr>
              <w:t>投标保证金注意事项：</w:t>
            </w:r>
          </w:p>
          <w:p>
            <w:pPr>
              <w:snapToGrid w:val="0"/>
              <w:spacing w:line="360" w:lineRule="auto"/>
              <w:rPr>
                <w:rFonts w:hAnsi="宋体" w:cs="宋体"/>
                <w:bCs/>
                <w:szCs w:val="24"/>
                <w:highlight w:val="none"/>
              </w:rPr>
            </w:pPr>
            <w:r>
              <w:rPr>
                <w:rFonts w:hint="eastAsia" w:hAnsi="宋体" w:cs="宋体"/>
                <w:bCs/>
                <w:szCs w:val="24"/>
                <w:highlight w:val="none"/>
              </w:rPr>
              <w:t>①投标人采用银行保函、担保机构担保、保证保险形式的，须提供明确有效的查询途径（网址链接及查询方式），否则无效。</w:t>
            </w:r>
          </w:p>
          <w:p>
            <w:pPr>
              <w:snapToGrid w:val="0"/>
              <w:spacing w:line="360" w:lineRule="auto"/>
              <w:rPr>
                <w:rFonts w:hAnsi="宋体" w:cs="宋体"/>
                <w:bCs/>
                <w:szCs w:val="24"/>
                <w:highlight w:val="none"/>
              </w:rPr>
            </w:pPr>
            <w:r>
              <w:rPr>
                <w:rFonts w:hint="eastAsia" w:hAnsi="宋体" w:cs="宋体"/>
                <w:bCs/>
                <w:szCs w:val="24"/>
                <w:highlight w:val="none"/>
              </w:rPr>
              <w:t>②</w:t>
            </w:r>
            <w:r>
              <w:rPr>
                <w:rFonts w:hint="eastAsia" w:ascii="Times New Roman" w:cs="宋体"/>
                <w:bCs/>
                <w:szCs w:val="24"/>
                <w:highlight w:val="none"/>
              </w:rPr>
              <w:t>保函存在明显异常情形的（如多家投标人的保函编号相同；保函存在明显伪造痕迹、内容前后矛盾等情形），评标委员会应根据投标人提供的查询途径进行核查，并在评标报告中予以记录</w:t>
            </w:r>
            <w:r>
              <w:rPr>
                <w:rFonts w:hint="eastAsia" w:hAnsi="宋体" w:cs="宋体"/>
                <w:bCs/>
                <w:szCs w:val="24"/>
                <w:highlight w:val="none"/>
              </w:rPr>
              <w:t>。</w:t>
            </w:r>
          </w:p>
          <w:p>
            <w:pPr>
              <w:snapToGrid w:val="0"/>
              <w:spacing w:line="360" w:lineRule="auto"/>
              <w:rPr>
                <w:rFonts w:hAnsi="宋体" w:cs="宋体"/>
                <w:bCs/>
                <w:szCs w:val="24"/>
                <w:highlight w:val="none"/>
                <w:u w:val="single"/>
              </w:rPr>
            </w:pPr>
            <w:r>
              <w:rPr>
                <w:rFonts w:hint="eastAsia" w:hAnsi="宋体" w:cs="宋体"/>
                <w:bCs/>
                <w:szCs w:val="24"/>
                <w:highlight w:val="none"/>
              </w:rPr>
              <w:t>③</w:t>
            </w:r>
            <w:r>
              <w:rPr>
                <w:rFonts w:hint="eastAsia" w:ascii="Times New Roman" w:cs="宋体"/>
                <w:bCs/>
                <w:szCs w:val="24"/>
                <w:highlight w:val="none"/>
              </w:rPr>
              <w:t>中标候选人须在中标候选人公示期间将其开具至本招标项目的银行保函（或担保机构担保或保证保险）原件提交招标人（或招标代理机构），且原件须与投标文件中提供的扫描件一致，如存在未按照规定提交或提交内容不一致，或发现弄虚作假的，招标人（或招标代理机构）应报公共资源交易监督管理部门</w:t>
            </w:r>
            <w:r>
              <w:rPr>
                <w:rFonts w:hint="eastAsia" w:hAnsi="宋体" w:cs="宋体"/>
                <w:bCs/>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ascii="Times New Roman" w:cs="宋体"/>
                <w:bCs/>
                <w:szCs w:val="24"/>
                <w:highlight w:val="none"/>
              </w:rPr>
            </w:pPr>
            <w:r>
              <w:rPr>
                <w:rFonts w:hint="eastAsia" w:ascii="Times New Roman" w:cs="宋体"/>
                <w:bCs/>
                <w:szCs w:val="24"/>
                <w:highlight w:val="none"/>
              </w:rPr>
              <w:t>3.4.3</w:t>
            </w:r>
          </w:p>
        </w:tc>
        <w:tc>
          <w:tcPr>
            <w:tcW w:w="1776" w:type="dxa"/>
            <w:vAlign w:val="center"/>
          </w:tcPr>
          <w:p>
            <w:pPr>
              <w:snapToGrid w:val="0"/>
              <w:spacing w:line="360" w:lineRule="auto"/>
              <w:jc w:val="center"/>
              <w:rPr>
                <w:rFonts w:ascii="Times New Roman" w:cs="宋体"/>
                <w:bCs/>
                <w:szCs w:val="24"/>
                <w:highlight w:val="none"/>
              </w:rPr>
            </w:pPr>
            <w:r>
              <w:rPr>
                <w:rFonts w:hint="eastAsia" w:ascii="Times New Roman" w:cs="宋体"/>
                <w:bCs/>
                <w:szCs w:val="24"/>
                <w:highlight w:val="none"/>
              </w:rPr>
              <w:t>投标保证金的退还</w:t>
            </w:r>
          </w:p>
        </w:tc>
        <w:tc>
          <w:tcPr>
            <w:tcW w:w="5684" w:type="dxa"/>
            <w:vAlign w:val="center"/>
          </w:tcPr>
          <w:p>
            <w:pPr>
              <w:snapToGrid w:val="0"/>
              <w:spacing w:line="360" w:lineRule="auto"/>
              <w:rPr>
                <w:rFonts w:ascii="Times New Roman" w:cs="宋体"/>
                <w:bCs/>
                <w:szCs w:val="24"/>
                <w:highlight w:val="none"/>
              </w:rPr>
            </w:pPr>
            <w:r>
              <w:rPr>
                <w:rFonts w:hint="eastAsia" w:ascii="Times New Roman" w:cs="宋体"/>
                <w:bCs/>
                <w:szCs w:val="24"/>
                <w:highlight w:val="none"/>
              </w:rPr>
              <w:t>按照安徽合肥公共资源交易中心《关于进一步优化投标保证金退还流程的通知》（合公中心〔2023〕3号）执行。</w:t>
            </w:r>
          </w:p>
          <w:p>
            <w:pPr>
              <w:snapToGrid w:val="0"/>
              <w:spacing w:line="360" w:lineRule="auto"/>
              <w:rPr>
                <w:rFonts w:ascii="Times New Roman" w:cs="宋体"/>
                <w:bCs/>
                <w:szCs w:val="24"/>
                <w:highlight w:val="none"/>
              </w:rPr>
            </w:pPr>
            <w:r>
              <w:rPr>
                <w:rFonts w:hint="eastAsia" w:ascii="Times New Roman" w:cs="宋体"/>
                <w:bCs/>
                <w:szCs w:val="24"/>
                <w:highlight w:val="none"/>
              </w:rPr>
              <w:t>（如有最新规定，按照最新规定执行）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3.4.4（3）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其他不予退还投标保证金的情形</w:t>
            </w:r>
          </w:p>
        </w:tc>
        <w:tc>
          <w:tcPr>
            <w:tcW w:w="5684" w:type="dxa"/>
            <w:vAlign w:val="center"/>
          </w:tcPr>
          <w:p>
            <w:pPr>
              <w:snapToGrid w:val="0"/>
              <w:spacing w:line="360" w:lineRule="auto"/>
              <w:rPr>
                <w:rFonts w:hAnsi="宋体" w:cs="宋体"/>
                <w:highlight w:val="none"/>
                <w:u w:val="single"/>
              </w:rPr>
            </w:pPr>
            <w:r>
              <w:rPr>
                <w:rFonts w:hint="eastAsia" w:ascii="Times New Roman"/>
                <w:bCs/>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3.6.1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是否允许递交备选投标方案</w:t>
            </w:r>
          </w:p>
        </w:tc>
        <w:tc>
          <w:tcPr>
            <w:tcW w:w="5684" w:type="dxa"/>
            <w:vAlign w:val="center"/>
          </w:tcPr>
          <w:p>
            <w:pPr>
              <w:adjustRightInd w:val="0"/>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adjustRightInd w:val="0"/>
              <w:snapToGrid w:val="0"/>
              <w:spacing w:line="360" w:lineRule="auto"/>
              <w:rPr>
                <w:rFonts w:hAnsi="宋体" w:cs="宋体"/>
                <w:snapToGrid w:val="0"/>
                <w:highlight w:val="none"/>
                <w:shd w:val="clear" w:color="auto" w:fill="FFFFFF"/>
              </w:rPr>
            </w:pPr>
            <w:r>
              <w:rPr>
                <w:rFonts w:hint="eastAsia" w:hAnsi="宋体" w:cs="宋体"/>
                <w:highlight w:val="none"/>
              </w:rPr>
              <w:t>□允许，具体要求：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3.7.4</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非加密投标文件递交</w:t>
            </w:r>
          </w:p>
        </w:tc>
        <w:tc>
          <w:tcPr>
            <w:tcW w:w="5684" w:type="dxa"/>
            <w:vAlign w:val="center"/>
          </w:tcPr>
          <w:p>
            <w:pPr>
              <w:adjustRightInd w:val="0"/>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□允许，具体要求如下：</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非加密投标文件由投标人自行确定是否递交。</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如递交，应在投标截止时间前在开标地点递交，并提供以下证明材料，否则招标人不予接收。</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（1）法定代表人亲自递交的，应提供法定代表人身份证明和法定代表人的有效身份证件；</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（2）委托代理人递交的，应提供授权委托书和委托代理人的有效身份证件。</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非加密投标文件介质：光盘或U盘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4.1.2</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非加密投标文件密封和标记要求</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非加密投标文件封套：</w:t>
            </w:r>
          </w:p>
          <w:p>
            <w:pPr>
              <w:snapToGrid w:val="0"/>
              <w:spacing w:line="360" w:lineRule="auto"/>
              <w:rPr>
                <w:rFonts w:hAnsi="宋体" w:cs="宋体"/>
                <w:bCs/>
                <w:snapToGrid w:val="0"/>
                <w:highlight w:val="none"/>
              </w:rPr>
            </w:pPr>
            <w:r>
              <w:rPr>
                <w:rFonts w:hint="eastAsia" w:hAnsi="宋体" w:cs="宋体"/>
                <w:bCs/>
                <w:snapToGrid w:val="0"/>
                <w:highlight w:val="none"/>
              </w:rPr>
              <w:t>投标人名称：</w:t>
            </w:r>
          </w:p>
          <w:p>
            <w:pPr>
              <w:snapToGrid w:val="0"/>
              <w:spacing w:line="360" w:lineRule="auto"/>
              <w:rPr>
                <w:rFonts w:hAnsi="宋体" w:cs="宋体"/>
                <w:bCs/>
                <w:snapToGrid w:val="0"/>
                <w:highlight w:val="none"/>
              </w:rPr>
            </w:pPr>
            <w:r>
              <w:rPr>
                <w:rFonts w:hint="eastAsia" w:hAnsi="宋体" w:cs="宋体"/>
                <w:bCs/>
                <w:snapToGrid w:val="0"/>
                <w:highlight w:val="none"/>
                <w:u w:val="single"/>
              </w:rPr>
              <w:t>（招标项目名称）</w:t>
            </w:r>
            <w:r>
              <w:rPr>
                <w:rFonts w:hint="eastAsia" w:hAnsi="宋体" w:cs="宋体"/>
                <w:bCs/>
                <w:snapToGrid w:val="0"/>
                <w:highlight w:val="none"/>
              </w:rPr>
              <w:t>标段投标文件</w:t>
            </w:r>
          </w:p>
          <w:p>
            <w:pPr>
              <w:snapToGrid w:val="0"/>
              <w:spacing w:line="360" w:lineRule="auto"/>
              <w:rPr>
                <w:rFonts w:hAnsi="宋体" w:cs="宋体"/>
                <w:bCs/>
                <w:snapToGrid w:val="0"/>
                <w:highlight w:val="none"/>
              </w:rPr>
            </w:pPr>
            <w:r>
              <w:rPr>
                <w:rFonts w:hint="eastAsia" w:hAnsi="宋体" w:cs="宋体"/>
                <w:bCs/>
                <w:snapToGrid w:val="0"/>
                <w:highlight w:val="none"/>
              </w:rPr>
              <w:t>（非加密投标文件）</w:t>
            </w:r>
          </w:p>
          <w:p>
            <w:pPr>
              <w:snapToGrid w:val="0"/>
              <w:spacing w:line="360" w:lineRule="auto"/>
              <w:rPr>
                <w:rFonts w:hAnsi="宋体" w:cs="宋体"/>
                <w:highlight w:val="none"/>
              </w:rPr>
            </w:pPr>
            <w:r>
              <w:rPr>
                <w:rFonts w:hint="eastAsia" w:hAnsi="宋体" w:cs="宋体"/>
                <w:bCs/>
                <w:snapToGrid w:val="0"/>
                <w:highlight w:val="none"/>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4.2.2</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递交非加密投标文件地点</w:t>
            </w:r>
          </w:p>
        </w:tc>
        <w:tc>
          <w:tcPr>
            <w:tcW w:w="5684" w:type="dxa"/>
            <w:vAlign w:val="center"/>
          </w:tcPr>
          <w:p>
            <w:pPr>
              <w:snapToGrid w:val="0"/>
              <w:spacing w:line="360" w:lineRule="auto"/>
              <w:rPr>
                <w:rFonts w:hAnsi="宋体" w:cs="宋体"/>
                <w:bCs/>
                <w:snapToGrid w:val="0"/>
                <w:szCs w:val="24"/>
                <w:highlight w:val="none"/>
              </w:rPr>
            </w:pPr>
            <w:r>
              <w:rPr>
                <w:rFonts w:hint="eastAsia" w:hAnsi="宋体" w:cs="宋体"/>
                <w:bCs/>
                <w:snapToGrid w:val="0"/>
                <w:highlight w:val="none"/>
              </w:rPr>
              <w:t>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4.2.3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是否退还投标文件</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否</w:t>
            </w:r>
          </w:p>
          <w:p>
            <w:pPr>
              <w:snapToGrid w:val="0"/>
              <w:spacing w:line="360" w:lineRule="auto"/>
              <w:rPr>
                <w:rFonts w:hAnsi="宋体" w:cs="宋体"/>
                <w:highlight w:val="none"/>
                <w:u w:val="single"/>
              </w:rPr>
            </w:pPr>
            <w:r>
              <w:rPr>
                <w:rFonts w:hint="eastAsia" w:hAnsi="宋体" w:cs="宋体"/>
                <w:highlight w:val="none"/>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5.1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开标时间和地点</w:t>
            </w:r>
          </w:p>
        </w:tc>
        <w:tc>
          <w:tcPr>
            <w:tcW w:w="5684" w:type="dxa"/>
            <w:vAlign w:val="center"/>
          </w:tcPr>
          <w:p>
            <w:pPr>
              <w:snapToGrid w:val="0"/>
              <w:spacing w:line="360" w:lineRule="auto"/>
              <w:rPr>
                <w:rFonts w:hAnsi="宋体" w:cs="宋体"/>
                <w:highlight w:val="none"/>
              </w:rPr>
            </w:pPr>
            <w:r>
              <w:rPr>
                <w:rFonts w:hint="eastAsia" w:hAnsi="宋体" w:cs="宋体"/>
                <w:highlight w:val="none"/>
              </w:rPr>
              <w:t>开标时间：同投标截止时间</w:t>
            </w:r>
          </w:p>
          <w:p>
            <w:pPr>
              <w:snapToGrid w:val="0"/>
              <w:spacing w:line="360" w:lineRule="auto"/>
              <w:rPr>
                <w:rFonts w:hAnsi="宋体" w:cs="宋体"/>
                <w:highlight w:val="none"/>
              </w:rPr>
            </w:pPr>
            <w:r>
              <w:rPr>
                <w:rFonts w:hint="eastAsia" w:hAnsi="宋体" w:cs="宋体"/>
                <w:highlight w:val="none"/>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5.2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开标程序</w:t>
            </w:r>
          </w:p>
        </w:tc>
        <w:tc>
          <w:tcPr>
            <w:tcW w:w="5684" w:type="dxa"/>
            <w:vAlign w:val="center"/>
          </w:tcPr>
          <w:p>
            <w:pPr>
              <w:snapToGrid w:val="0"/>
              <w:spacing w:line="360" w:lineRule="auto"/>
              <w:rPr>
                <w:rFonts w:hAnsi="宋体" w:cs="宋体"/>
                <w:bCs/>
                <w:snapToGrid w:val="0"/>
                <w:highlight w:val="none"/>
              </w:rPr>
            </w:pPr>
            <w:r>
              <w:rPr>
                <w:rFonts w:hint="eastAsia" w:hAnsi="宋体" w:cs="宋体"/>
                <w:highlight w:val="none"/>
              </w:rPr>
              <w:t>（3）解密时间：</w:t>
            </w:r>
            <w:r>
              <w:rPr>
                <w:rFonts w:hint="eastAsia" w:hAnsi="宋体" w:cs="宋体"/>
                <w:highlight w:val="none"/>
                <w:u w:val="single"/>
              </w:rPr>
              <w:t xml:space="preserve"> 30</w:t>
            </w:r>
            <w:r>
              <w:rPr>
                <w:rFonts w:hint="eastAsia" w:hAnsi="宋体" w:cs="宋体"/>
                <w:highlight w:val="none"/>
              </w:rPr>
              <w:t>分钟</w:t>
            </w:r>
            <w:r>
              <w:rPr>
                <w:rFonts w:hint="eastAsia" w:hAnsi="宋体" w:cs="宋体"/>
                <w:bCs/>
                <w:snapToGrid w:val="0"/>
                <w:highlight w:val="none"/>
              </w:rPr>
              <w:t>（以电子交易系统解密倒计时为准）；</w:t>
            </w:r>
          </w:p>
          <w:p>
            <w:pPr>
              <w:snapToGrid w:val="0"/>
              <w:spacing w:line="360" w:lineRule="auto"/>
              <w:rPr>
                <w:rFonts w:hAnsi="宋体" w:cs="宋体"/>
                <w:highlight w:val="none"/>
              </w:rPr>
            </w:pPr>
            <w:r>
              <w:rPr>
                <w:rFonts w:hint="eastAsia" w:hAnsi="宋体" w:cs="宋体"/>
                <w:highlight w:val="none"/>
              </w:rPr>
              <w:t>□（5）公布投标人名称、标段名称、投标报价。</w:t>
            </w:r>
          </w:p>
          <w:p>
            <w:pPr>
              <w:snapToGrid w:val="0"/>
              <w:spacing w:line="360" w:lineRule="auto"/>
              <w:jc w:val="left"/>
              <w:rPr>
                <w:rFonts w:ascii="Times New Roman" w:cs="宋体"/>
                <w:szCs w:val="24"/>
                <w:highlight w:val="none"/>
              </w:rPr>
            </w:pPr>
            <w:r>
              <w:rPr>
                <w:rFonts w:hint="eastAsia" w:ascii="MS Mincho" w:hAnsi="MS Mincho" w:eastAsia="MS Mincho" w:cs="MS Mincho"/>
                <w:highlight w:val="none"/>
              </w:rPr>
              <w:t>☑</w:t>
            </w:r>
            <w:r>
              <w:rPr>
                <w:rFonts w:hint="eastAsia" w:hAnsi="宋体" w:cs="宋体"/>
                <w:highlight w:val="none"/>
              </w:rPr>
              <w:t>（5）公布投标人名称、标段名称；商务、技术文件评审完成后，根据第三章“评标办法”的规定再公布所有投标人的投标报价。</w:t>
            </w:r>
          </w:p>
          <w:p>
            <w:pPr>
              <w:snapToGrid w:val="0"/>
              <w:spacing w:line="360" w:lineRule="auto"/>
              <w:rPr>
                <w:rFonts w:hAnsi="宋体" w:cs="宋体"/>
                <w:highlight w:val="none"/>
              </w:rPr>
            </w:pPr>
            <w:r>
              <w:rPr>
                <w:rFonts w:hint="eastAsia" w:hAnsi="宋体" w:cs="宋体"/>
                <w:bCs/>
                <w:highlight w:val="none"/>
              </w:rPr>
              <w:t>多标段开标顺序：/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6.3.2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评标委员会推荐中标候选人的数量</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u w:val="single"/>
              </w:rPr>
              <w:t>1-2名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6.4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中标候选人公示媒介、期限及其他要求</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rPr>
              <w:t>（1）</w:t>
            </w:r>
            <w:r>
              <w:rPr>
                <w:rFonts w:hint="eastAsia" w:hAnsi="宋体" w:cs="宋体"/>
                <w:highlight w:val="none"/>
              </w:rPr>
              <w:t>公示媒介：同招标公告发布媒介</w:t>
            </w:r>
          </w:p>
          <w:p>
            <w:pPr>
              <w:snapToGrid w:val="0"/>
              <w:spacing w:line="360" w:lineRule="auto"/>
              <w:rPr>
                <w:rFonts w:hAnsi="宋体" w:cs="宋体"/>
                <w:highlight w:val="none"/>
                <w:u w:val="single"/>
              </w:rPr>
            </w:pPr>
            <w:r>
              <w:rPr>
                <w:rFonts w:hint="eastAsia" w:ascii="Times New Roman" w:cs="宋体"/>
                <w:bCs/>
                <w:szCs w:val="24"/>
                <w:highlight w:val="none"/>
              </w:rPr>
              <w:t>（2）</w:t>
            </w:r>
            <w:r>
              <w:rPr>
                <w:rFonts w:hint="eastAsia" w:hAnsi="宋体" w:cs="宋体"/>
                <w:highlight w:val="none"/>
              </w:rPr>
              <w:t>公示期限：</w:t>
            </w:r>
            <w:r>
              <w:rPr>
                <w:rFonts w:hint="eastAsia" w:hAnsi="宋体" w:cs="宋体"/>
                <w:highlight w:val="none"/>
                <w:u w:val="single"/>
              </w:rPr>
              <w:t>3</w:t>
            </w:r>
            <w:r>
              <w:rPr>
                <w:rFonts w:hint="eastAsia" w:hAnsi="宋体" w:cs="宋体"/>
                <w:highlight w:val="none"/>
              </w:rPr>
              <w:t>日（公示期截止时间在法定休息日的应顺延至首个工作日）</w:t>
            </w:r>
          </w:p>
          <w:p>
            <w:pPr>
              <w:snapToGrid w:val="0"/>
              <w:spacing w:line="360" w:lineRule="auto"/>
              <w:rPr>
                <w:rFonts w:ascii="Times New Roman" w:cs="宋体"/>
                <w:bCs/>
                <w:szCs w:val="24"/>
                <w:highlight w:val="none"/>
                <w:u w:val="single"/>
              </w:rPr>
            </w:pPr>
            <w:r>
              <w:rPr>
                <w:rFonts w:hint="eastAsia" w:ascii="Times New Roman" w:cs="宋体"/>
                <w:bCs/>
                <w:szCs w:val="24"/>
                <w:highlight w:val="none"/>
              </w:rPr>
              <w:t>（3）其他要求：</w:t>
            </w:r>
          </w:p>
          <w:p>
            <w:pPr>
              <w:snapToGrid w:val="0"/>
              <w:spacing w:line="360" w:lineRule="auto"/>
              <w:rPr>
                <w:rFonts w:ascii="Times New Roman" w:cs="宋体"/>
                <w:bCs/>
                <w:szCs w:val="24"/>
                <w:highlight w:val="none"/>
              </w:rPr>
            </w:pPr>
            <w:r>
              <w:rPr>
                <w:rFonts w:hint="eastAsia" w:ascii="Times New Roman" w:cs="宋体"/>
                <w:bCs/>
                <w:szCs w:val="24"/>
                <w:highlight w:val="none"/>
              </w:rPr>
              <w:t>①招标人（或委托代理机构）在发布中标候选人公示时应当同时公开以下评标情况：</w:t>
            </w:r>
          </w:p>
          <w:p>
            <w:pPr>
              <w:snapToGrid w:val="0"/>
              <w:spacing w:line="360" w:lineRule="auto"/>
              <w:rPr>
                <w:rFonts w:ascii="Times New Roman" w:cs="宋体"/>
                <w:bCs/>
                <w:szCs w:val="24"/>
                <w:highlight w:val="none"/>
              </w:rPr>
            </w:pPr>
            <w:r>
              <w:rPr>
                <w:rFonts w:hint="eastAsia" w:ascii="Times New Roman" w:cs="宋体"/>
                <w:bCs/>
                <w:szCs w:val="24"/>
                <w:highlight w:val="none"/>
              </w:rPr>
              <w:t>a.投标人名称、投标报价、投标文件被否决的原因及依据；</w:t>
            </w:r>
          </w:p>
          <w:p>
            <w:pPr>
              <w:snapToGrid w:val="0"/>
              <w:spacing w:line="360" w:lineRule="auto"/>
              <w:rPr>
                <w:rFonts w:ascii="Times New Roman" w:cs="宋体"/>
                <w:bCs/>
                <w:szCs w:val="24"/>
                <w:highlight w:val="none"/>
              </w:rPr>
            </w:pPr>
            <w:r>
              <w:rPr>
                <w:rFonts w:hint="eastAsia" w:ascii="Times New Roman" w:cs="宋体"/>
                <w:bCs/>
                <w:szCs w:val="24"/>
                <w:highlight w:val="none"/>
              </w:rPr>
              <w:t>b</w:t>
            </w:r>
            <w:r>
              <w:rPr>
                <w:rFonts w:ascii="Times New Roman" w:cs="宋体"/>
                <w:bCs/>
                <w:szCs w:val="24"/>
                <w:highlight w:val="none"/>
              </w:rPr>
              <w:t>.</w:t>
            </w:r>
            <w:r>
              <w:rPr>
                <w:rFonts w:hint="eastAsia" w:ascii="Times New Roman" w:cs="宋体"/>
                <w:bCs/>
                <w:szCs w:val="24"/>
                <w:highlight w:val="none"/>
              </w:rPr>
              <w:t>评标委员会的评分情况。包括商务文件、技术文件、报价文件评分，其中技术文件还需公开采用编码标注的各评标委员会成员评分；</w:t>
            </w:r>
          </w:p>
          <w:p>
            <w:pPr>
              <w:pStyle w:val="4"/>
              <w:rPr>
                <w:rFonts w:ascii="宋体" w:hAnsi="Times New Roman" w:eastAsia="宋体"/>
                <w:bCs w:val="0"/>
                <w:kern w:val="0"/>
                <w:szCs w:val="20"/>
                <w:highlight w:val="none"/>
              </w:rPr>
            </w:pPr>
            <w:r>
              <w:rPr>
                <w:rFonts w:hint="eastAsia" w:ascii="宋体" w:hAnsi="Times New Roman" w:eastAsia="宋体"/>
                <w:bCs w:val="0"/>
                <w:kern w:val="0"/>
                <w:szCs w:val="20"/>
                <w:highlight w:val="none"/>
              </w:rPr>
              <w:t>c.中标候选人经评审通过的拟任项目负责人（如有）：</w:t>
            </w:r>
          </w:p>
          <w:p>
            <w:pPr>
              <w:pStyle w:val="4"/>
              <w:rPr>
                <w:rFonts w:ascii="宋体" w:hAnsi="Times New Roman" w:eastAsia="宋体"/>
                <w:bCs w:val="0"/>
                <w:kern w:val="0"/>
                <w:szCs w:val="20"/>
                <w:highlight w:val="none"/>
              </w:rPr>
            </w:pPr>
            <w:r>
              <w:rPr>
                <w:rFonts w:hint="eastAsia" w:ascii="宋体" w:hAnsi="Times New Roman" w:eastAsia="宋体"/>
                <w:bCs w:val="0"/>
                <w:kern w:val="0"/>
                <w:szCs w:val="20"/>
                <w:highlight w:val="none"/>
              </w:rPr>
              <w:t>项目负责人姓名；注册证书注册编号；</w:t>
            </w:r>
          </w:p>
          <w:p>
            <w:pPr>
              <w:pStyle w:val="4"/>
              <w:rPr>
                <w:rFonts w:ascii="宋体" w:hAnsi="Times New Roman" w:eastAsia="宋体"/>
                <w:bCs w:val="0"/>
                <w:kern w:val="0"/>
                <w:szCs w:val="20"/>
                <w:highlight w:val="none"/>
              </w:rPr>
            </w:pPr>
            <w:r>
              <w:rPr>
                <w:rFonts w:hint="eastAsia" w:ascii="宋体" w:hAnsi="Times New Roman" w:eastAsia="宋体"/>
                <w:bCs w:val="0"/>
                <w:kern w:val="0"/>
                <w:szCs w:val="20"/>
                <w:highlight w:val="none"/>
              </w:rPr>
              <w:t>d.中标候选人经评审通过的项目负责人业绩（如有，</w:t>
            </w:r>
          </w:p>
          <w:p>
            <w:pPr>
              <w:pStyle w:val="4"/>
              <w:rPr>
                <w:rFonts w:ascii="宋体" w:hAnsi="Times New Roman" w:eastAsia="宋体"/>
                <w:bCs w:val="0"/>
                <w:kern w:val="0"/>
                <w:szCs w:val="20"/>
                <w:highlight w:val="none"/>
              </w:rPr>
            </w:pPr>
            <w:r>
              <w:rPr>
                <w:rFonts w:hint="eastAsia" w:ascii="宋体" w:hAnsi="Times New Roman" w:eastAsia="宋体"/>
                <w:bCs w:val="0"/>
                <w:kern w:val="0"/>
                <w:szCs w:val="20"/>
                <w:highlight w:val="none"/>
              </w:rPr>
              <w:t>含资格审查用业绩和商务文件评分用业绩）：项目名</w:t>
            </w:r>
          </w:p>
          <w:p>
            <w:pPr>
              <w:pStyle w:val="4"/>
              <w:rPr>
                <w:rFonts w:ascii="宋体" w:hAnsi="Times New Roman" w:eastAsia="宋体"/>
                <w:bCs w:val="0"/>
                <w:kern w:val="0"/>
                <w:szCs w:val="20"/>
                <w:highlight w:val="none"/>
              </w:rPr>
            </w:pPr>
            <w:r>
              <w:rPr>
                <w:rFonts w:hint="eastAsia" w:ascii="宋体" w:hAnsi="Times New Roman" w:eastAsia="宋体"/>
                <w:bCs w:val="0"/>
                <w:kern w:val="0"/>
                <w:szCs w:val="20"/>
                <w:highlight w:val="none"/>
              </w:rPr>
              <w:t>称；</w:t>
            </w:r>
          </w:p>
          <w:p>
            <w:pPr>
              <w:pStyle w:val="4"/>
              <w:rPr>
                <w:rFonts w:ascii="宋体" w:hAnsi="Times New Roman" w:eastAsia="宋体"/>
                <w:bCs w:val="0"/>
                <w:kern w:val="0"/>
                <w:szCs w:val="20"/>
                <w:highlight w:val="none"/>
              </w:rPr>
            </w:pPr>
            <w:r>
              <w:rPr>
                <w:rFonts w:hint="eastAsia" w:ascii="宋体" w:hAnsi="Times New Roman" w:eastAsia="宋体"/>
                <w:bCs w:val="0"/>
                <w:kern w:val="0"/>
                <w:szCs w:val="20"/>
                <w:highlight w:val="none"/>
              </w:rPr>
              <w:t>e.中标候选人经评审通过的投标人业绩（如有，含资格审查用业绩和商务文件评分用业绩）：项目名称；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是否授权评标委员会确定中标人</w:t>
            </w:r>
          </w:p>
        </w:tc>
        <w:tc>
          <w:tcPr>
            <w:tcW w:w="5684" w:type="dxa"/>
            <w:vAlign w:val="center"/>
          </w:tcPr>
          <w:p>
            <w:pPr>
              <w:snapToGrid w:val="0"/>
              <w:spacing w:line="360" w:lineRule="auto"/>
              <w:rPr>
                <w:highlight w:val="none"/>
              </w:rPr>
            </w:pPr>
            <w:r>
              <w:rPr>
                <w:rFonts w:hint="eastAsia" w:ascii="MS Mincho" w:hAnsi="MS Mincho" w:eastAsia="MS Mincho" w:cs="MS Mincho"/>
                <w:highlight w:val="none"/>
              </w:rPr>
              <w:t>☑</w:t>
            </w:r>
            <w:r>
              <w:rPr>
                <w:rFonts w:hint="eastAsia"/>
                <w:highlight w:val="none"/>
              </w:rPr>
              <w:t>是</w:t>
            </w:r>
          </w:p>
          <w:p>
            <w:pPr>
              <w:snapToGrid w:val="0"/>
              <w:spacing w:line="360" w:lineRule="auto"/>
              <w:rPr>
                <w:highlight w:val="none"/>
              </w:rPr>
            </w:pPr>
            <w:r>
              <w:rPr>
                <w:rFonts w:hint="eastAsia"/>
                <w:highlight w:val="none"/>
              </w:rPr>
              <w:sym w:font="Wingdings 2" w:char="00A3"/>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中标结果公示媒介</w:t>
            </w:r>
          </w:p>
        </w:tc>
        <w:tc>
          <w:tcPr>
            <w:tcW w:w="5684" w:type="dxa"/>
            <w:vAlign w:val="center"/>
          </w:tcPr>
          <w:p>
            <w:pPr>
              <w:snapToGrid w:val="0"/>
              <w:spacing w:line="360" w:lineRule="auto"/>
              <w:rPr>
                <w:rFonts w:hAnsi="宋体" w:cs="宋体"/>
                <w:highlight w:val="none"/>
              </w:rPr>
            </w:pPr>
            <w:r>
              <w:rPr>
                <w:rFonts w:hint="eastAsia" w:hAnsi="宋体" w:cs="宋体"/>
                <w:highlight w:val="none"/>
              </w:rPr>
              <w:t>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中标通知书和中标结果通知发出的形式</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rPr>
              <w:t>（1）</w:t>
            </w:r>
            <w:r>
              <w:rPr>
                <w:rFonts w:hint="eastAsia" w:hAnsi="宋体" w:cs="宋体"/>
                <w:highlight w:val="none"/>
              </w:rPr>
              <w:t>中标通知书发出的形式：</w:t>
            </w:r>
            <w:r>
              <w:rPr>
                <w:rFonts w:hint="eastAsia" w:hAnsi="宋体" w:cs="宋体"/>
                <w:highlight w:val="none"/>
              </w:rPr>
              <w:sym w:font="Wingdings 2" w:char="0052"/>
            </w:r>
            <w:r>
              <w:rPr>
                <w:rFonts w:hint="eastAsia" w:hAnsi="宋体" w:cs="宋体"/>
                <w:highlight w:val="none"/>
              </w:rPr>
              <w:t xml:space="preserve">数据电文  </w:t>
            </w:r>
            <w:r>
              <w:rPr>
                <w:rFonts w:hint="eastAsia" w:hAnsi="宋体" w:cs="宋体"/>
                <w:highlight w:val="none"/>
              </w:rPr>
              <w:sym w:font="Wingdings 2" w:char="00A3"/>
            </w:r>
            <w:r>
              <w:rPr>
                <w:rFonts w:hint="eastAsia" w:hAnsi="宋体" w:cs="宋体"/>
                <w:highlight w:val="none"/>
              </w:rPr>
              <w:t>纸质</w:t>
            </w:r>
          </w:p>
          <w:p>
            <w:pPr>
              <w:snapToGrid w:val="0"/>
              <w:spacing w:line="360" w:lineRule="auto"/>
              <w:rPr>
                <w:rFonts w:hAnsi="宋体" w:cs="宋体"/>
                <w:highlight w:val="none"/>
              </w:rPr>
            </w:pPr>
            <w:r>
              <w:rPr>
                <w:rFonts w:hint="eastAsia" w:ascii="Times New Roman" w:cs="宋体"/>
                <w:bCs/>
                <w:szCs w:val="24"/>
                <w:highlight w:val="none"/>
              </w:rPr>
              <w:t>（2）</w:t>
            </w:r>
            <w:r>
              <w:rPr>
                <w:rFonts w:hint="eastAsia" w:hAnsi="宋体" w:cs="宋体"/>
                <w:highlight w:val="none"/>
              </w:rPr>
              <w:t>中标结果通知发出的形式：</w:t>
            </w:r>
            <w:r>
              <w:rPr>
                <w:rFonts w:hint="eastAsia" w:hAnsi="宋体" w:cs="宋体"/>
                <w:highlight w:val="none"/>
              </w:rPr>
              <w:sym w:font="Wingdings 2" w:char="0052"/>
            </w:r>
            <w:r>
              <w:rPr>
                <w:rFonts w:hint="eastAsia" w:hAnsi="宋体" w:cs="宋体"/>
                <w:highlight w:val="none"/>
              </w:rPr>
              <w:t xml:space="preserve">数据电文 </w:t>
            </w:r>
            <w:r>
              <w:rPr>
                <w:rFonts w:hint="eastAsia" w:hAnsi="宋体" w:cs="宋体"/>
                <w:highlight w:val="none"/>
              </w:rPr>
              <w:sym w:font="Wingdings 2" w:char="00A3"/>
            </w:r>
            <w:r>
              <w:rPr>
                <w:rFonts w:hint="eastAsia" w:hAnsi="宋体" w:cs="宋体"/>
                <w:highlight w:val="none"/>
              </w:rPr>
              <w:t>纸质</w:t>
            </w:r>
          </w:p>
          <w:p>
            <w:pPr>
              <w:snapToGrid w:val="0"/>
              <w:spacing w:line="360" w:lineRule="auto"/>
              <w:rPr>
                <w:rFonts w:hAnsi="宋体" w:cs="宋体"/>
                <w:highlight w:val="none"/>
              </w:rPr>
            </w:pPr>
            <w:r>
              <w:rPr>
                <w:rFonts w:hint="eastAsia" w:hAnsi="宋体" w:cs="宋体"/>
                <w:highlight w:val="none"/>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8.1.1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履约保证金</w:t>
            </w:r>
          </w:p>
        </w:tc>
        <w:tc>
          <w:tcPr>
            <w:tcW w:w="5684" w:type="dxa"/>
            <w:vAlign w:val="center"/>
          </w:tcPr>
          <w:p>
            <w:pPr>
              <w:snapToGrid w:val="0"/>
              <w:spacing w:line="360" w:lineRule="auto"/>
              <w:rPr>
                <w:rFonts w:hAnsi="宋体" w:cs="宋体"/>
                <w:bCs/>
                <w:snapToGrid w:val="0"/>
                <w:highlight w:val="none"/>
              </w:rPr>
            </w:pPr>
            <w:r>
              <w:rPr>
                <w:rFonts w:hint="eastAsia" w:hAnsi="宋体" w:cs="宋体"/>
                <w:snapToGrid w:val="0"/>
                <w:highlight w:val="none"/>
              </w:rPr>
              <w:t>是否要求投标人递交</w:t>
            </w:r>
            <w:r>
              <w:rPr>
                <w:rFonts w:hint="eastAsia" w:hAnsi="宋体" w:cs="宋体"/>
                <w:highlight w:val="none"/>
              </w:rPr>
              <w:t>履约保证金</w:t>
            </w:r>
            <w:r>
              <w:rPr>
                <w:rFonts w:hint="eastAsia" w:hAnsi="宋体" w:cs="宋体"/>
                <w:snapToGrid w:val="0"/>
                <w:highlight w:val="none"/>
              </w:rPr>
              <w:t>：</w:t>
            </w:r>
          </w:p>
          <w:p>
            <w:pPr>
              <w:snapToGrid w:val="0"/>
              <w:spacing w:line="360" w:lineRule="auto"/>
              <w:rPr>
                <w:rFonts w:hAnsi="宋体" w:cs="宋体"/>
                <w:snapToGrid w:val="0"/>
                <w:highlight w:val="none"/>
              </w:rPr>
            </w:pPr>
            <w:r>
              <w:rPr>
                <w:rFonts w:hint="eastAsia" w:hAnsi="宋体" w:cs="宋体"/>
                <w:snapToGrid w:val="0"/>
                <w:highlight w:val="none"/>
              </w:rPr>
              <w:sym w:font="Wingdings 2" w:char="00A3"/>
            </w:r>
            <w:r>
              <w:rPr>
                <w:rFonts w:hint="eastAsia" w:hAnsi="宋体" w:cs="宋体"/>
                <w:snapToGrid w:val="0"/>
                <w:highlight w:val="none"/>
              </w:rPr>
              <w:t>不要求</w:t>
            </w:r>
          </w:p>
          <w:p>
            <w:pPr>
              <w:snapToGrid w:val="0"/>
              <w:spacing w:line="360" w:lineRule="auto"/>
              <w:rPr>
                <w:rFonts w:hAnsi="宋体" w:cs="宋体"/>
                <w:snapToGrid w:val="0"/>
                <w:highlight w:val="none"/>
              </w:rPr>
            </w:pPr>
            <w:r>
              <w:rPr>
                <w:rFonts w:hint="eastAsia" w:ascii="MS Mincho" w:hAnsi="MS Mincho" w:eastAsia="MS Mincho" w:cs="MS Mincho"/>
                <w:highlight w:val="none"/>
              </w:rPr>
              <w:t>☑</w:t>
            </w:r>
            <w:r>
              <w:rPr>
                <w:rFonts w:hint="eastAsia" w:hAnsi="宋体" w:cs="宋体"/>
                <w:snapToGrid w:val="0"/>
                <w:highlight w:val="none"/>
              </w:rPr>
              <w:t>要求，具体如下：</w:t>
            </w:r>
          </w:p>
          <w:p>
            <w:pPr>
              <w:snapToGrid w:val="0"/>
              <w:spacing w:line="360" w:lineRule="auto"/>
              <w:rPr>
                <w:rFonts w:hAnsi="宋体" w:cs="宋体"/>
                <w:bCs/>
                <w:snapToGrid w:val="0"/>
                <w:highlight w:val="none"/>
              </w:rPr>
            </w:pPr>
            <w:r>
              <w:rPr>
                <w:rFonts w:hint="eastAsia" w:hAnsi="宋体" w:cs="宋体"/>
                <w:bCs/>
                <w:snapToGrid w:val="0"/>
                <w:highlight w:val="none"/>
              </w:rPr>
              <w:t>（1）履约保证金金额：</w:t>
            </w:r>
            <w:r>
              <w:rPr>
                <w:rFonts w:hint="eastAsia" w:hAnsi="宋体" w:cs="宋体"/>
                <w:bCs/>
                <w:snapToGrid w:val="0"/>
                <w:highlight w:val="none"/>
                <w:u w:val="single"/>
              </w:rPr>
              <w:t>中标金额的2%</w:t>
            </w:r>
          </w:p>
          <w:p>
            <w:pPr>
              <w:snapToGrid w:val="0"/>
              <w:spacing w:line="360" w:lineRule="auto"/>
              <w:rPr>
                <w:rFonts w:hAnsi="宋体" w:cs="宋体"/>
                <w:highlight w:val="none"/>
              </w:rPr>
            </w:pPr>
            <w:r>
              <w:rPr>
                <w:rFonts w:hint="eastAsia" w:hAnsi="宋体" w:cs="宋体"/>
                <w:bCs/>
                <w:snapToGrid w:val="0"/>
                <w:highlight w:val="none"/>
              </w:rPr>
              <w:t>（2）履约保证金形式</w:t>
            </w:r>
            <w:r>
              <w:rPr>
                <w:rFonts w:hint="eastAsia" w:hAnsi="宋体" w:cs="宋体"/>
                <w:highlight w:val="none"/>
              </w:rPr>
              <w:t>：</w:t>
            </w:r>
          </w:p>
          <w:p>
            <w:pPr>
              <w:snapToGrid w:val="0"/>
              <w:spacing w:line="360" w:lineRule="auto"/>
              <w:rPr>
                <w:rFonts w:hAnsi="宋体" w:cs="宋体"/>
                <w:highlight w:val="none"/>
              </w:rPr>
            </w:pPr>
            <w:r>
              <w:rPr>
                <w:rFonts w:hint="eastAsia" w:hAnsi="宋体" w:cs="宋体"/>
                <w:highlight w:val="none"/>
              </w:rPr>
              <w:sym w:font="Wingdings 2" w:char="0052"/>
            </w:r>
            <w:r>
              <w:rPr>
                <w:rFonts w:hint="eastAsia" w:hAnsi="宋体" w:cs="宋体"/>
                <w:highlight w:val="none"/>
              </w:rPr>
              <w:t>现金（银行转账、银行电汇）</w:t>
            </w:r>
          </w:p>
          <w:p>
            <w:pPr>
              <w:snapToGrid w:val="0"/>
              <w:spacing w:line="360" w:lineRule="auto"/>
              <w:rPr>
                <w:rFonts w:hAnsi="宋体" w:cs="宋体"/>
                <w:highlight w:val="none"/>
              </w:rPr>
            </w:pPr>
            <w:r>
              <w:rPr>
                <w:rFonts w:hint="eastAsia" w:hAnsi="宋体" w:cs="宋体"/>
                <w:highlight w:val="none"/>
              </w:rPr>
              <w:sym w:font="Wingdings 2" w:char="0052"/>
            </w:r>
            <w:r>
              <w:rPr>
                <w:rFonts w:hint="eastAsia" w:hAnsi="宋体" w:cs="宋体"/>
                <w:highlight w:val="none"/>
              </w:rPr>
              <w:t>银行保函</w:t>
            </w:r>
          </w:p>
          <w:p>
            <w:pPr>
              <w:snapToGrid w:val="0"/>
              <w:spacing w:line="360" w:lineRule="auto"/>
              <w:rPr>
                <w:rFonts w:hAnsi="宋体" w:cs="宋体"/>
                <w:highlight w:val="none"/>
              </w:rPr>
            </w:pPr>
            <w:r>
              <w:rPr>
                <w:rFonts w:hint="eastAsia" w:hAnsi="宋体" w:cs="宋体"/>
                <w:highlight w:val="none"/>
              </w:rPr>
              <w:sym w:font="Wingdings 2" w:char="0052"/>
            </w:r>
            <w:r>
              <w:rPr>
                <w:rFonts w:hint="eastAsia" w:hAnsi="宋体" w:cs="宋体"/>
                <w:highlight w:val="none"/>
              </w:rPr>
              <w:t>担保机构担保</w:t>
            </w:r>
          </w:p>
          <w:p>
            <w:pPr>
              <w:snapToGrid w:val="0"/>
              <w:spacing w:line="360" w:lineRule="auto"/>
              <w:rPr>
                <w:rFonts w:hint="eastAsia" w:hAnsi="宋体" w:cs="宋体"/>
                <w:highlight w:val="none"/>
              </w:rPr>
            </w:pPr>
            <w:r>
              <w:rPr>
                <w:rFonts w:hint="eastAsia" w:hAnsi="宋体" w:cs="宋体"/>
                <w:highlight w:val="none"/>
              </w:rPr>
              <w:sym w:font="Wingdings 2" w:char="0052"/>
            </w:r>
            <w:r>
              <w:rPr>
                <w:rFonts w:hint="eastAsia" w:hAnsi="宋体" w:cs="宋体"/>
                <w:highlight w:val="none"/>
              </w:rPr>
              <w:t>保证保险</w:t>
            </w:r>
          </w:p>
          <w:p>
            <w:pPr>
              <w:snapToGrid w:val="0"/>
              <w:spacing w:line="360" w:lineRule="auto"/>
              <w:rPr>
                <w:rFonts w:hAnsi="宋体" w:cs="宋体"/>
                <w:bCs/>
                <w:szCs w:val="24"/>
                <w:highlight w:val="none"/>
              </w:rPr>
            </w:pPr>
            <w:r>
              <w:rPr>
                <w:rFonts w:hint="eastAsia" w:hAnsi="宋体" w:cs="宋体"/>
                <w:bCs/>
                <w:szCs w:val="24"/>
                <w:highlight w:val="none"/>
              </w:rPr>
              <w:sym w:font="Wingdings 2" w:char="0052"/>
            </w:r>
            <w:r>
              <w:rPr>
                <w:rFonts w:hint="eastAsia" w:hAnsi="宋体" w:cs="宋体"/>
                <w:bCs/>
                <w:szCs w:val="24"/>
                <w:highlight w:val="none"/>
              </w:rPr>
              <w:t>电子保函</w:t>
            </w:r>
          </w:p>
          <w:p>
            <w:pPr>
              <w:snapToGrid w:val="0"/>
              <w:spacing w:line="360" w:lineRule="auto"/>
              <w:rPr>
                <w:rFonts w:hAnsi="宋体" w:cs="宋体"/>
                <w:highlight w:val="none"/>
              </w:rPr>
            </w:pPr>
            <w:r>
              <w:rPr>
                <w:rFonts w:hint="eastAsia" w:ascii="Times New Roman" w:cs="宋体"/>
                <w:bCs/>
                <w:szCs w:val="24"/>
                <w:highlight w:val="none"/>
              </w:rPr>
              <w:t>（3）</w:t>
            </w:r>
            <w:r>
              <w:rPr>
                <w:rFonts w:hint="eastAsia" w:hAnsi="宋体" w:cs="宋体"/>
                <w:highlight w:val="none"/>
              </w:rPr>
              <w:t>具体要求：</w:t>
            </w:r>
          </w:p>
          <w:p>
            <w:pPr>
              <w:snapToGrid w:val="0"/>
              <w:spacing w:line="360" w:lineRule="auto"/>
              <w:rPr>
                <w:rFonts w:ascii="Times New Roman" w:cs="宋体"/>
                <w:bCs/>
                <w:szCs w:val="24"/>
                <w:highlight w:val="none"/>
              </w:rPr>
            </w:pPr>
            <w:r>
              <w:rPr>
                <w:rFonts w:hint="eastAsia" w:ascii="Times New Roman" w:cs="宋体"/>
                <w:bCs/>
                <w:szCs w:val="24"/>
                <w:highlight w:val="none"/>
              </w:rPr>
              <w:t>①采用银行保函的，应为不可撤销、不可转让的见索即付独立保函。</w:t>
            </w:r>
          </w:p>
          <w:p>
            <w:pPr>
              <w:snapToGrid w:val="0"/>
              <w:spacing w:line="360" w:lineRule="auto"/>
              <w:rPr>
                <w:rFonts w:ascii="Times New Roman" w:cs="宋体"/>
                <w:bCs/>
                <w:szCs w:val="24"/>
                <w:highlight w:val="none"/>
              </w:rPr>
            </w:pPr>
            <w:r>
              <w:rPr>
                <w:rFonts w:hint="eastAsia" w:ascii="Times New Roman" w:cs="宋体"/>
                <w:bCs/>
                <w:szCs w:val="24"/>
                <w:highlight w:val="none"/>
              </w:rPr>
              <w:t>②采用担保机构担保的，应为经安徽省地方金融监督管理局审查批准，依法取得融资担保业务经营许可证的融资担保机构出具的不可撤销、不可转让的见索即付独立保函。</w:t>
            </w:r>
          </w:p>
          <w:p>
            <w:pPr>
              <w:snapToGrid w:val="0"/>
              <w:spacing w:line="360" w:lineRule="auto"/>
              <w:rPr>
                <w:rFonts w:hint="eastAsia" w:ascii="Times New Roman" w:cs="宋体"/>
                <w:bCs/>
                <w:szCs w:val="24"/>
                <w:highlight w:val="none"/>
              </w:rPr>
            </w:pPr>
            <w:r>
              <w:rPr>
                <w:rFonts w:hint="eastAsia" w:ascii="Times New Roman" w:cs="宋体"/>
                <w:bCs/>
                <w:szCs w:val="24"/>
                <w:highlight w:val="none"/>
              </w:rPr>
              <w:t>③采用保证保险的，应为保险公司出具的不可撤销、不可转让的见索即付保证保险。</w:t>
            </w:r>
          </w:p>
          <w:p>
            <w:pPr>
              <w:snapToGrid w:val="0"/>
              <w:spacing w:line="360" w:lineRule="auto"/>
              <w:rPr>
                <w:rFonts w:hint="eastAsia" w:ascii="Times New Roman" w:cs="宋体"/>
                <w:bCs/>
                <w:szCs w:val="24"/>
                <w:highlight w:val="none"/>
              </w:rPr>
            </w:pPr>
            <w:r>
              <w:rPr>
                <w:rFonts w:hint="eastAsia" w:hAnsi="宋体" w:cs="宋体"/>
                <w:bCs/>
                <w:szCs w:val="24"/>
                <w:highlight w:val="none"/>
                <w:lang w:val="en-US" w:eastAsia="zh-CN"/>
              </w:rPr>
              <w:t>④采用电子保函的，可登陆安徽合肥公共资源交易电子服务系统进入合肥市电子保函平台，自主选择金融机构在线办理电子保函，电子保函与银行转账、银行电汇、纸质保函（银行保函、担保机构担保、保证保险）具有同等效力，具体操作流程见操作手册。</w:t>
            </w:r>
          </w:p>
          <w:p>
            <w:pPr>
              <w:spacing w:line="360" w:lineRule="auto"/>
              <w:rPr>
                <w:rFonts w:hAnsi="宋体" w:cs="宋体"/>
                <w:bCs/>
                <w:highlight w:val="none"/>
              </w:rPr>
            </w:pPr>
            <w:r>
              <w:rPr>
                <w:rFonts w:hint="eastAsia" w:ascii="Times New Roman" w:cs="宋体"/>
                <w:bCs/>
                <w:szCs w:val="24"/>
                <w:highlight w:val="none"/>
              </w:rPr>
              <w:t>（4）</w:t>
            </w:r>
            <w:r>
              <w:rPr>
                <w:rFonts w:hint="eastAsia" w:hAnsi="宋体" w:cs="宋体"/>
                <w:bCs/>
                <w:highlight w:val="none"/>
              </w:rPr>
              <w:t>本招标项目是否减免履约保证金：</w:t>
            </w:r>
          </w:p>
          <w:p>
            <w:pPr>
              <w:spacing w:line="360" w:lineRule="auto"/>
              <w:rPr>
                <w:rFonts w:hAnsi="宋体" w:cs="宋体"/>
                <w:bCs/>
                <w:highlight w:val="none"/>
              </w:rPr>
            </w:pPr>
            <w:r>
              <w:rPr>
                <w:rFonts w:hint="eastAsia" w:ascii="MS Mincho" w:hAnsi="MS Mincho" w:eastAsia="MS Mincho" w:cs="MS Mincho"/>
                <w:highlight w:val="none"/>
              </w:rPr>
              <w:t>☑</w:t>
            </w:r>
            <w:r>
              <w:rPr>
                <w:rFonts w:hint="eastAsia" w:hAnsi="宋体" w:cs="宋体"/>
                <w:bCs/>
                <w:highlight w:val="none"/>
              </w:rPr>
              <w:t>不减免</w:t>
            </w:r>
          </w:p>
          <w:p>
            <w:pPr>
              <w:spacing w:line="360" w:lineRule="auto"/>
              <w:rPr>
                <w:rFonts w:hAnsi="宋体" w:cs="宋体"/>
                <w:highlight w:val="none"/>
                <w:u w:val="single"/>
              </w:rPr>
            </w:pPr>
            <w:r>
              <w:rPr>
                <w:rFonts w:hint="eastAsia" w:hAnsi="宋体" w:cs="宋体"/>
                <w:bCs/>
                <w:highlight w:val="none"/>
              </w:rPr>
              <w:t>□减免，</w:t>
            </w:r>
            <w:r>
              <w:rPr>
                <w:rFonts w:hint="eastAsia" w:hAnsi="宋体" w:cs="宋体"/>
                <w:highlight w:val="none"/>
              </w:rPr>
              <w:t>适用减免履约保证金的情形：</w:t>
            </w:r>
          </w:p>
          <w:p>
            <w:pPr>
              <w:spacing w:line="360" w:lineRule="auto"/>
              <w:rPr>
                <w:rFonts w:hAnsi="宋体" w:cs="宋体"/>
                <w:highlight w:val="none"/>
              </w:rPr>
            </w:pPr>
            <w:r>
              <w:rPr>
                <w:rFonts w:hint="eastAsia" w:ascii="Times New Roman" w:cs="宋体"/>
                <w:bCs/>
                <w:szCs w:val="24"/>
                <w:highlight w:val="none"/>
              </w:rPr>
              <w:t>（5）</w:t>
            </w:r>
            <w:r>
              <w:rPr>
                <w:rFonts w:hint="eastAsia" w:hAnsi="宋体" w:cs="宋体"/>
                <w:highlight w:val="none"/>
              </w:rPr>
              <w:t>其他要求：</w:t>
            </w:r>
            <w:r>
              <w:rPr>
                <w:rFonts w:hint="eastAsia" w:hAnsi="宋体" w:cs="宋体"/>
                <w:highlight w:val="none"/>
                <w:u w:val="single"/>
                <w:lang w:val="en-US" w:eastAsia="zh-CN"/>
              </w:rPr>
              <w:t>如</w:t>
            </w:r>
            <w:r>
              <w:rPr>
                <w:rFonts w:hint="eastAsia" w:hAnsi="宋体" w:cs="宋体"/>
                <w:bCs/>
                <w:snapToGrid w:val="0"/>
                <w:highlight w:val="none"/>
                <w:u w:val="single"/>
              </w:rPr>
              <w:t>投标人采用现金（银行转账、银行电汇）形式提交履约保证金的，同时退还银行同期活期存款利息。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6" w:type="dxa"/>
            <w:gridSpan w:val="3"/>
            <w:vAlign w:val="center"/>
          </w:tcPr>
          <w:p>
            <w:pPr>
              <w:snapToGrid w:val="0"/>
              <w:spacing w:line="360" w:lineRule="auto"/>
              <w:jc w:val="left"/>
              <w:rPr>
                <w:rFonts w:hAnsi="宋体" w:cs="宋体"/>
                <w:highlight w:val="none"/>
              </w:rPr>
            </w:pPr>
            <w:r>
              <w:rPr>
                <w:rFonts w:hint="eastAsia" w:hAnsi="宋体" w:cs="宋体"/>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10.1</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获取与查看通知</w:t>
            </w:r>
          </w:p>
        </w:tc>
        <w:tc>
          <w:tcPr>
            <w:tcW w:w="5684" w:type="dxa"/>
            <w:vAlign w:val="center"/>
          </w:tcPr>
          <w:p>
            <w:pPr>
              <w:widowControl/>
              <w:snapToGrid w:val="0"/>
              <w:spacing w:line="360" w:lineRule="auto"/>
              <w:jc w:val="left"/>
              <w:rPr>
                <w:rFonts w:hAnsi="宋体" w:cs="宋体"/>
                <w:highlight w:val="none"/>
              </w:rPr>
            </w:pPr>
            <w:r>
              <w:rPr>
                <w:rFonts w:hint="eastAsia" w:ascii="Times New Roman" w:cs="宋体"/>
                <w:bCs/>
                <w:szCs w:val="24"/>
                <w:highlight w:val="none"/>
              </w:rPr>
              <w:t>本招标项目的招标文件、图纸、工程量清单、最高投标限价、澄清及修改等相关资料均通过电子服务系统发布；投标人应当及时登录电子服务系统自行查看并下载。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10.2</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电子招标</w:t>
            </w:r>
          </w:p>
        </w:tc>
        <w:tc>
          <w:tcPr>
            <w:tcW w:w="5684" w:type="dxa"/>
            <w:vAlign w:val="center"/>
          </w:tcPr>
          <w:p>
            <w:pPr>
              <w:widowControl/>
              <w:snapToGrid w:val="0"/>
              <w:spacing w:line="360" w:lineRule="auto"/>
              <w:jc w:val="left"/>
              <w:rPr>
                <w:rFonts w:hAnsi="宋体" w:cs="宋体"/>
                <w:highlight w:val="none"/>
              </w:rPr>
            </w:pPr>
            <w:r>
              <w:rPr>
                <w:rFonts w:hint="eastAsia" w:hAnsi="宋体" w:cs="宋体"/>
                <w:highlight w:val="none"/>
              </w:rPr>
              <w:t>本招标项目实行全流程电子化交易，除招标文件另有规定外，电子招标投标操作要求见本章附件《合肥市公共资源交易电子招标投标操作规程》。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10.3</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相关政策要求</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1）省外建设工程企业按照《关于优化进皖建设工程企业信息登记服务和管理有关工作的通知》（建市函〔2022〕580 号）进行相关信息登记。</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（2）工程质量保证金执行《关于以保函等方式替代工程质量保证金的通知》（合建〔2020〕29 号）。</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（3）关于投标保证金、履约保证金、工程质量保证金执行《关于加快推进房屋建筑和市政基础设施工程实行工程担保制度的通知》（建市〔2020〕84 号）。</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（4）保证保险产品应按《中国银保监会办公厅关于进一步加强和改进财产保险公司产品监管有关问题</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的通知》执行。</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（5）采用一级建造师投标的应按《住房和城乡建设部办公厅关于全面实行一级建造师电子注册证书的通知》（建办市〔2021〕40 号）执行。</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（6）采用一级注册建筑师投标的应符合《全国注册建筑师管理委员会关于开展使用一级注册建筑师电子注册证书工作的通知》（注建〔2021〕2 号）规定，投标文件提供的一级注册建筑师证书应在个人签名处手写本人签名，未手写签名或与签名图像笔迹不一致的，该电子证书无效。</w:t>
            </w:r>
          </w:p>
          <w:p>
            <w:pPr>
              <w:spacing w:line="360" w:lineRule="auto"/>
              <w:rPr>
                <w:rFonts w:hAnsi="宋体" w:cs="宋体"/>
                <w:highlight w:val="none"/>
              </w:rPr>
            </w:pPr>
            <w:r>
              <w:rPr>
                <w:rFonts w:hint="eastAsia" w:ascii="Times New Roman" w:cs="宋体"/>
                <w:bCs/>
                <w:szCs w:val="24"/>
                <w:highlight w:val="none"/>
              </w:rPr>
              <w:t>注：未列明的按照国家、省、市相关政策执行。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10.4</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评标过程中的澄清、说明或补正</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（1）评标委员会通过电子交易系统将需要澄清、说明或补正的内容以询标函的形式发送给投标人，投标人应安排专人登录电子交易系统并保持在线状态，以便及时接收评标委员会可能发出的询标函。</w:t>
            </w:r>
          </w:p>
          <w:p>
            <w:pPr>
              <w:widowControl/>
              <w:snapToGrid w:val="0"/>
              <w:spacing w:line="360" w:lineRule="auto"/>
              <w:jc w:val="left"/>
              <w:rPr>
                <w:rFonts w:hAnsi="宋体" w:cs="宋体"/>
                <w:bCs/>
                <w:snapToGrid w:val="0"/>
                <w:highlight w:val="none"/>
              </w:rPr>
            </w:pPr>
            <w:r>
              <w:rPr>
                <w:rFonts w:hint="eastAsia" w:ascii="Times New Roman" w:cs="宋体"/>
                <w:bCs/>
                <w:szCs w:val="24"/>
                <w:highlight w:val="none"/>
              </w:rPr>
              <w:t>（2）因投标人未登录电子交易系统导致无法及时接收询标函（远程网上询标）或未在规定时间（</w:t>
            </w:r>
            <w:r>
              <w:rPr>
                <w:rFonts w:hint="eastAsia" w:ascii="Times New Roman" w:cs="宋体"/>
                <w:bCs/>
                <w:szCs w:val="24"/>
                <w:highlight w:val="none"/>
                <w:u w:val="single"/>
              </w:rPr>
              <w:t>15</w:t>
            </w:r>
            <w:r>
              <w:rPr>
                <w:rFonts w:hint="eastAsia" w:ascii="Times New Roman" w:cs="宋体"/>
                <w:bCs/>
                <w:szCs w:val="24"/>
                <w:highlight w:val="none"/>
              </w:rPr>
              <w:t>分钟）内按照评标委员会要求进行澄清、说明或补正内容的，视同投标人放弃澄清、说明或补正内容的权利，评标委员会可按照对投标人不利的解释进行判定。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szCs w:val="24"/>
                <w:highlight w:val="none"/>
              </w:rPr>
            </w:pPr>
            <w:r>
              <w:rPr>
                <w:rFonts w:hint="eastAsia" w:hAnsi="宋体" w:cs="宋体"/>
                <w:bCs/>
                <w:szCs w:val="24"/>
                <w:highlight w:val="none"/>
              </w:rPr>
              <w:t>10.5</w:t>
            </w:r>
          </w:p>
        </w:tc>
        <w:tc>
          <w:tcPr>
            <w:tcW w:w="1776" w:type="dxa"/>
            <w:vAlign w:val="center"/>
          </w:tcPr>
          <w:p>
            <w:pPr>
              <w:snapToGrid w:val="0"/>
              <w:spacing w:line="360" w:lineRule="auto"/>
              <w:jc w:val="center"/>
              <w:rPr>
                <w:rFonts w:hAnsi="宋体" w:cs="宋体"/>
                <w:bCs/>
                <w:snapToGrid w:val="0"/>
                <w:szCs w:val="24"/>
                <w:highlight w:val="none"/>
              </w:rPr>
            </w:pPr>
            <w:r>
              <w:rPr>
                <w:rFonts w:hint="eastAsia" w:hAnsi="宋体" w:cs="宋体"/>
                <w:bCs/>
                <w:snapToGrid w:val="0"/>
                <w:szCs w:val="24"/>
                <w:highlight w:val="none"/>
              </w:rPr>
              <w:t>投标人对所提供材料应承担的责任</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（1）投标人提供虚假材料谋取中标的，公共资源交易监督管理部门将依法处理，并记入不良行为记录，予以披露。</w:t>
            </w:r>
          </w:p>
          <w:p>
            <w:pPr>
              <w:widowControl/>
              <w:snapToGrid w:val="0"/>
              <w:spacing w:line="360" w:lineRule="auto"/>
              <w:jc w:val="left"/>
              <w:rPr>
                <w:rFonts w:hAnsi="宋体" w:cs="宋体"/>
                <w:szCs w:val="24"/>
                <w:highlight w:val="none"/>
              </w:rPr>
            </w:pPr>
            <w:r>
              <w:rPr>
                <w:rFonts w:hint="eastAsia" w:ascii="Times New Roman" w:cs="宋体"/>
                <w:bCs/>
                <w:szCs w:val="24"/>
                <w:highlight w:val="none"/>
              </w:rPr>
              <w:t>（2）投标人对所提供的材料承担缔约过失责任和法律责任。若投诉人或举报人对前述材料存在争议，进行有效投诉或举报，被投诉人、被举报人应当主动配合公共资源交易监督管理部门调查，并在规定期限内举证，提供有关证明材料；拒绝配合</w:t>
            </w:r>
            <w:r>
              <w:rPr>
                <w:rFonts w:ascii="Times New Roman" w:cs="宋体"/>
                <w:bCs/>
                <w:szCs w:val="24"/>
                <w:highlight w:val="none"/>
              </w:rPr>
              <w:t>调查</w:t>
            </w:r>
            <w:r>
              <w:rPr>
                <w:rFonts w:hint="eastAsia" w:ascii="Times New Roman" w:cs="宋体"/>
                <w:bCs/>
                <w:szCs w:val="24"/>
                <w:highlight w:val="none"/>
              </w:rPr>
              <w:t>，且未在规定期限内举证、提供证明材料的，公共资源交易监督管理部门将依法处理。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10.6</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中标人未履行相关义务的责任</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中标人未履行相关义务的，公共资源交易监督管理部门将依法对中标人进行处理，追究相关责任：</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（1）中标后，中标人被公共资源交易监督管理部门查实存在违法行为，不满足中标条件的，由招标人取消其中标资格，并做好项目后续工作；</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（2）中标人应在规定期限内提交履约保证金并与招标人签订合同，若中标人未能在规定期限内提交履约保证金或签订合同，招标人有权取消其中标资格，并报公共资源交易监督管理部门；</w:t>
            </w:r>
          </w:p>
          <w:p>
            <w:pPr>
              <w:widowControl/>
              <w:snapToGrid w:val="0"/>
              <w:spacing w:line="360" w:lineRule="auto"/>
              <w:jc w:val="left"/>
              <w:rPr>
                <w:rFonts w:hAnsi="宋体" w:cs="宋体"/>
                <w:highlight w:val="none"/>
              </w:rPr>
            </w:pPr>
            <w:r>
              <w:rPr>
                <w:rFonts w:hint="eastAsia" w:ascii="Times New Roman" w:cs="宋体"/>
                <w:bCs/>
                <w:szCs w:val="24"/>
                <w:highlight w:val="none"/>
              </w:rPr>
              <w:t>（3）合同签订后，中标人存在规定时间内不组织人员进场开工、不履行合同义务等情况，招标人有权解除合同，追究其违约责任，并报公共资源交易监督管理部门。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10.7</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同义词语</w:t>
            </w:r>
          </w:p>
        </w:tc>
        <w:tc>
          <w:tcPr>
            <w:tcW w:w="5684" w:type="dxa"/>
            <w:vAlign w:val="center"/>
          </w:tcPr>
          <w:p>
            <w:pPr>
              <w:widowControl/>
              <w:snapToGrid w:val="0"/>
              <w:spacing w:line="360" w:lineRule="auto"/>
              <w:jc w:val="left"/>
              <w:rPr>
                <w:rFonts w:hAnsi="宋体" w:cs="宋体"/>
                <w:highlight w:val="none"/>
              </w:rPr>
            </w:pPr>
            <w:r>
              <w:rPr>
                <w:rFonts w:hint="eastAsia" w:hAnsi="宋体" w:cs="宋体"/>
                <w:highlight w:val="none"/>
              </w:rPr>
              <w:t>构成招标文件组成部分的“通用合同条款”、“专用合同条款”和“供货要求”等章节中“买方”和“卖方”，等同于招标投标阶段的“招标人”和“投标人/中标人”。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10.8</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解释权</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（1）构成本招标文件的各个组成文件应互为解释，互为说明；</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（2）同一组成文件中就同一事项的规定或约定不一致的，以编排顺序在后者为准；</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（3）如有不明确或不一致，构成合同文件组成内容的，以合同文件约定内容为准，且以专用合同条款约定的合同文件优先顺序解释；</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（4）除招标文件中有特别规定外，仅适用于招标投标阶段的规定，按照招标公告、投标人须知、评标办法、投标文件格式的先后顺序解释；</w:t>
            </w:r>
          </w:p>
          <w:p>
            <w:pPr>
              <w:widowControl/>
              <w:snapToGrid w:val="0"/>
              <w:spacing w:line="360" w:lineRule="auto"/>
              <w:jc w:val="left"/>
              <w:rPr>
                <w:rFonts w:hAnsi="宋体" w:cs="宋体"/>
                <w:highlight w:val="none"/>
              </w:rPr>
            </w:pPr>
            <w:r>
              <w:rPr>
                <w:rFonts w:hint="eastAsia" w:ascii="Times New Roman" w:cs="宋体"/>
                <w:bCs/>
                <w:szCs w:val="24"/>
                <w:highlight w:val="none"/>
              </w:rPr>
              <w:t>（5）按照本款前述规定仍不能形成结论的，由招标人负责解释。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10.9</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异议提出方式</w:t>
            </w:r>
          </w:p>
        </w:tc>
        <w:tc>
          <w:tcPr>
            <w:tcW w:w="5684" w:type="dxa"/>
            <w:vAlign w:val="center"/>
          </w:tcPr>
          <w:p>
            <w:pPr>
              <w:widowControl/>
              <w:snapToGrid w:val="0"/>
              <w:spacing w:line="360" w:lineRule="auto"/>
              <w:jc w:val="left"/>
              <w:rPr>
                <w:rFonts w:hAnsi="宋体" w:cs="宋体"/>
                <w:bCs/>
                <w:snapToGrid w:val="0"/>
                <w:highlight w:val="none"/>
              </w:rPr>
            </w:pPr>
            <w:r>
              <w:rPr>
                <w:rFonts w:hint="eastAsia" w:hAnsi="宋体" w:cs="宋体"/>
                <w:highlight w:val="none"/>
              </w:rPr>
              <w:t>通过电子交易系统在线提出或以其他书面形式提出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bCs/>
                <w:snapToGrid w:val="0"/>
                <w:highlight w:val="none"/>
              </w:rPr>
              <w:t>10.10</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招标代理服务费及工程量清单和最高投标限价（招标控制价）编制费</w:t>
            </w:r>
          </w:p>
        </w:tc>
        <w:tc>
          <w:tcPr>
            <w:tcW w:w="5684" w:type="dxa"/>
            <w:vAlign w:val="center"/>
          </w:tcPr>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1、中标人须向肥东县公共资源交易有限公司缴纳招标代理服务费，可以采用转账方式。</w:t>
            </w:r>
          </w:p>
          <w:p>
            <w:pPr>
              <w:pStyle w:val="131"/>
              <w:widowControl/>
              <w:spacing w:line="360" w:lineRule="auto"/>
              <w:jc w:val="left"/>
              <w:rPr>
                <w:rFonts w:ascii="Times New Roman" w:cs="宋体"/>
                <w:bCs/>
                <w:szCs w:val="24"/>
                <w:highlight w:val="none"/>
              </w:rPr>
            </w:pPr>
            <w:r>
              <w:rPr>
                <w:rFonts w:hint="eastAsia" w:ascii="Times New Roman" w:hAnsi="Times New Roman" w:cs="宋体"/>
                <w:bCs/>
                <w:kern w:val="0"/>
                <w:sz w:val="24"/>
                <w:szCs w:val="24"/>
                <w:highlight w:val="none"/>
              </w:rPr>
              <w:t>2、招标代理服务费：以中标价为计算基数按照差额定率累进法，分标段按下表收费标准收取。</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3"/>
              <w:gridCol w:w="1248"/>
              <w:gridCol w:w="1171"/>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中标金额</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货物招标</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服务招标</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100万元以下（含100万元）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1.5%</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1.5%</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100万元-500万元（含500万元）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1.1%</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0.8%</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500万元-1000万元（含1000万元）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0.8%</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0.45%</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1000万元-5000万元（含5000万元）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0.5%</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0.25%</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5000万元-1亿元（含1亿元）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0.25%</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0.1%</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1亿元-10亿元（含10亿元）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10亿元以上</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r>
          </w:tbl>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注：招标代理服务费按差额定率累进法计算。例如：某工程招标代理业务中标金额为 6000 万元，计算招标代理服务费如下：</w:t>
            </w:r>
          </w:p>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 万元×1.0％＝1万元</w:t>
            </w:r>
          </w:p>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（500－100）万元×0.7％＝2.8 万元</w:t>
            </w:r>
          </w:p>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（1000－500）万元×0.55％×＝2.75万元</w:t>
            </w:r>
          </w:p>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（5000－1000）万元×0.35％＝14万元</w:t>
            </w:r>
          </w:p>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（6000－5000）万元×0.2％＝2万元</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合计收费＝1＋2.8＋2.75＋14＋2＝22.55(万元)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10.11</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投标所需资料</w:t>
            </w:r>
          </w:p>
        </w:tc>
        <w:tc>
          <w:tcPr>
            <w:tcW w:w="5684" w:type="dxa"/>
            <w:vAlign w:val="center"/>
          </w:tcPr>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投标人按照招标文件要求编制投标文件并对投标文件进行电子签章并使用数字证书加密，并于招标文件规定的投标截止时间前通过电子交易系统完成上传。投标人应合理安排投标文件递交时间，特别是网络速度慢的地区防止在系统关闭前网络拥堵无法操作。如果因计算机及网络故障造成无法完成投标文件递交情形，责任自负。</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（2）投标人应及时查看上传的相关资料，如出现上传的相应投标资料不全、模糊不清、超出有效期等情况，评标委员会将作出对投标人不利的认定，由此产生的一切后果由投标人自行承担。</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3）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（4）采用一级建造师投标的应符合《住房和城乡建设部办公厅关于全面实行一级建造师电子注册证书的通知》(建办市〔2021〕40 号)规定，投标文件应提供一级建造师电子注册证书，且应在个人签名处手写本人签名，未手写签名或与签名图像笔迹不一致的，该电子证书无效。</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（5）采用一级注册建筑师投标的应符合《全国注册建筑师管理委员会关于开展使用一级注册建筑师电子注册证书工作的通知》（注建〔2021〕2 号）规定，投标文件提供的一级注册建筑师证书应在个人签名处手写本人签名，未手写签名或与签名图像笔迹不一致的，该电子证书无效。</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（6）具体资料以第三章“评标办法”和第六章“投标文件格式”要求为准。</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注：请投标人务必对照招标文件内容及要求制作投标文件，若遇到投标文件模板格式与招标文件格式不一致时一律以招标文件格式为准。招标文件中未出现而投标文件模板中存在的内容，无需提供。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10.12</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招标人补充的</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其他内容</w:t>
            </w:r>
          </w:p>
        </w:tc>
        <w:tc>
          <w:tcPr>
            <w:tcW w:w="5684" w:type="dxa"/>
            <w:vAlign w:val="center"/>
          </w:tcPr>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投标人投标文件中填报人员及投标人按招标文件提出的最低要求填报派驻投标标段的其他管理和技术人员，经招标人审核后不得进行更换。除非招标文件另有约定，投标人派驻投标标段的项目负责人及项目管理机构主要人员均应为投标单位在职人员（不含外聘人员、返聘人员、临时聘用人员），否则招标人有权取消其中标资格。</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（2）因电子服务系统或电子交易系统出现软件设计或功能缺陷、运行异常等情况，可能影响招投标活动公平、公正进行的，招标人（或招标代理机构）有权中止或终止招投标活动，招投标各方免责。</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（3）唱标信息内容与投标函中不一致的，以投标函中内容为准。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10.13</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招标人其他要求</w:t>
            </w:r>
          </w:p>
        </w:tc>
        <w:tc>
          <w:tcPr>
            <w:tcW w:w="5684" w:type="dxa"/>
            <w:vAlign w:val="center"/>
          </w:tcPr>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投标人、中标人提交投标保证金、履约保证金、预付款担保、质量保证金的，鼓励优先使用电子保函形式，采用电子保函的，可登陆安徽合肥公共资源交易电子服务系统进入合肥市电子保函平台，自主选择金融机构在线办理电子保函，电子保函与银行转账、银行电汇、纸质保函（银行保函、担保机构担保、保证保险）具有同等效力，具体操作流程见操作手册。</w:t>
            </w:r>
          </w:p>
        </w:tc>
      </w:tr>
    </w:tbl>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eastAsia="黑体"/>
          <w:b w:val="0"/>
          <w:sz w:val="28"/>
          <w:szCs w:val="28"/>
          <w:highlight w:val="none"/>
        </w:rPr>
        <w:br w:type="page"/>
      </w:r>
      <w:bookmarkStart w:id="85" w:name="_Toc24087"/>
      <w:bookmarkStart w:id="86" w:name="_Toc460226989"/>
      <w:bookmarkStart w:id="87" w:name="_Toc14420"/>
      <w:bookmarkStart w:id="88" w:name="_Toc511"/>
      <w:bookmarkStart w:id="89" w:name="_Toc460660062"/>
      <w:bookmarkStart w:id="90" w:name="_Toc421916975"/>
      <w:bookmarkStart w:id="91" w:name="_Toc283798416"/>
      <w:bookmarkStart w:id="92" w:name="_Toc38879316"/>
      <w:bookmarkStart w:id="93" w:name="_Toc140069399"/>
      <w:bookmarkStart w:id="94" w:name="_Toc11078137"/>
      <w:bookmarkStart w:id="95" w:name="_Toc460226720"/>
      <w:bookmarkStart w:id="96" w:name="_Toc184635071"/>
      <w:r>
        <w:rPr>
          <w:rFonts w:hint="eastAsia" w:ascii="Times New Roman" w:hAnsi="Times New Roman" w:eastAsia="黑体"/>
          <w:b w:val="0"/>
          <w:bCs w:val="0"/>
          <w:highlight w:val="none"/>
        </w:rPr>
        <w:t>附录1  资格审查条件（资质最低条件）</w:t>
      </w:r>
      <w:bookmarkEnd w:id="85"/>
      <w:bookmarkEnd w:id="86"/>
      <w:bookmarkEnd w:id="87"/>
      <w:bookmarkEnd w:id="88"/>
      <w:bookmarkEnd w:id="89"/>
      <w:bookmarkEnd w:id="90"/>
      <w:bookmarkEnd w:id="91"/>
      <w:bookmarkEnd w:id="92"/>
      <w:bookmarkEnd w:id="93"/>
      <w:bookmarkEnd w:id="94"/>
      <w:bookmarkEnd w:id="95"/>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tcPr>
          <w:p>
            <w:pPr>
              <w:pStyle w:val="165"/>
              <w:adjustRightInd w:val="0"/>
              <w:snapToGrid w:val="0"/>
              <w:spacing w:beforeLines="50" w:line="360" w:lineRule="auto"/>
              <w:rPr>
                <w:rFonts w:ascii="Times New Roman" w:hAnsi="Times New Roman"/>
                <w:bCs/>
                <w:snapToGrid w:val="0"/>
                <w:kern w:val="0"/>
                <w:sz w:val="24"/>
                <w:szCs w:val="24"/>
                <w:highlight w:val="none"/>
              </w:rPr>
            </w:pPr>
            <w:r>
              <w:rPr>
                <w:rFonts w:hint="eastAsia" w:ascii="Times New Roman" w:hAnsi="Times New Roman"/>
                <w:bCs/>
                <w:snapToGrid w:val="0"/>
                <w:kern w:val="0"/>
                <w:sz w:val="24"/>
                <w:szCs w:val="24"/>
                <w:highlight w:val="none"/>
              </w:rPr>
              <w:t>1.具备有效的营业执照。</w:t>
            </w:r>
          </w:p>
          <w:p>
            <w:pPr>
              <w:pStyle w:val="165"/>
              <w:adjustRightInd w:val="0"/>
              <w:snapToGrid w:val="0"/>
              <w:spacing w:beforeLines="50" w:line="360" w:lineRule="auto"/>
              <w:rPr>
                <w:rFonts w:ascii="Times New Roman" w:hAnsi="Times New Roman"/>
                <w:bCs/>
                <w:snapToGrid w:val="0"/>
                <w:sz w:val="24"/>
                <w:szCs w:val="24"/>
                <w:highlight w:val="none"/>
              </w:rPr>
            </w:pPr>
            <w:r>
              <w:rPr>
                <w:rFonts w:hint="eastAsia" w:ascii="Times New Roman" w:hAnsi="Times New Roman"/>
                <w:bCs/>
                <w:snapToGrid w:val="0"/>
                <w:sz w:val="24"/>
                <w:szCs w:val="24"/>
                <w:highlight w:val="none"/>
              </w:rPr>
              <w:t>2.具备有效的资质证书，安全生产许可证。（见招标公告）</w:t>
            </w:r>
          </w:p>
        </w:tc>
      </w:tr>
    </w:tbl>
    <w:p>
      <w:pPr>
        <w:pStyle w:val="165"/>
        <w:adjustRightInd w:val="0"/>
        <w:snapToGrid w:val="0"/>
        <w:spacing w:line="300" w:lineRule="exact"/>
        <w:ind w:firstLine="480" w:firstLineChars="200"/>
        <w:rPr>
          <w:rFonts w:ascii="Times New Roman" w:hAnsi="Times New Roman"/>
          <w:bCs/>
          <w:snapToGrid w:val="0"/>
          <w:kern w:val="0"/>
          <w:sz w:val="24"/>
          <w:szCs w:val="24"/>
          <w:highlight w:val="none"/>
        </w:rPr>
      </w:pPr>
      <w:r>
        <w:rPr>
          <w:rFonts w:hint="eastAsia" w:ascii="Times New Roman" w:hAnsi="Times New Roman"/>
          <w:bCs/>
          <w:snapToGrid w:val="0"/>
          <w:kern w:val="0"/>
          <w:sz w:val="24"/>
          <w:szCs w:val="24"/>
          <w:highlight w:val="none"/>
        </w:rPr>
        <w:t>注：投标人应提供营业执照、资质证书</w:t>
      </w:r>
      <w:bookmarkStart w:id="97" w:name="_Toc460226990"/>
      <w:bookmarkStart w:id="98" w:name="_Toc283798417"/>
      <w:bookmarkStart w:id="99" w:name="_Toc421916976"/>
      <w:bookmarkStart w:id="100" w:name="_Toc460226721"/>
      <w:bookmarkStart w:id="101" w:name="_Toc460660063"/>
      <w:r>
        <w:rPr>
          <w:rFonts w:hint="eastAsia" w:ascii="Times New Roman" w:hAnsi="Times New Roman"/>
          <w:bCs/>
          <w:snapToGrid w:val="0"/>
          <w:kern w:val="0"/>
          <w:sz w:val="24"/>
          <w:szCs w:val="24"/>
          <w:highlight w:val="none"/>
        </w:rPr>
        <w:t>等材料扫描件。</w:t>
      </w: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eastAsia="仿宋"/>
          <w:b w:val="0"/>
          <w:highlight w:val="none"/>
        </w:rPr>
        <w:br w:type="page"/>
      </w:r>
      <w:bookmarkStart w:id="102" w:name="_Toc140069400"/>
      <w:bookmarkStart w:id="103" w:name="_Toc38879317"/>
      <w:bookmarkStart w:id="104" w:name="_Toc11078138"/>
      <w:bookmarkStart w:id="105" w:name="_Toc23161"/>
      <w:bookmarkStart w:id="106" w:name="_Toc697"/>
      <w:bookmarkStart w:id="107" w:name="_Toc13564"/>
      <w:r>
        <w:rPr>
          <w:rFonts w:hint="eastAsia" w:ascii="Times New Roman" w:hAnsi="Times New Roman" w:eastAsia="黑体"/>
          <w:b w:val="0"/>
          <w:bCs w:val="0"/>
          <w:highlight w:val="none"/>
        </w:rPr>
        <w:t>附录2  资格审查条件（财务最低要求）</w:t>
      </w:r>
      <w:bookmarkEnd w:id="97"/>
      <w:bookmarkEnd w:id="98"/>
      <w:bookmarkEnd w:id="99"/>
      <w:bookmarkEnd w:id="100"/>
      <w:bookmarkEnd w:id="101"/>
      <w:bookmarkEnd w:id="102"/>
      <w:bookmarkEnd w:id="103"/>
      <w:bookmarkEnd w:id="104"/>
      <w:bookmarkEnd w:id="105"/>
      <w:bookmarkEnd w:id="106"/>
      <w:bookmarkEnd w:id="107"/>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spacing w:line="360" w:lineRule="auto"/>
              <w:jc w:val="left"/>
              <w:rPr>
                <w:rFonts w:ascii="Times New Roman" w:hAnsi="Times New Roman"/>
                <w:bCs/>
                <w:sz w:val="24"/>
                <w:szCs w:val="24"/>
                <w:highlight w:val="none"/>
              </w:rPr>
            </w:pPr>
            <w:r>
              <w:rPr>
                <w:rFonts w:hint="eastAsia" w:ascii="MS Mincho" w:hAnsi="MS Mincho" w:eastAsia="MS Mincho" w:cs="MS Mincho"/>
                <w:highlight w:val="none"/>
              </w:rPr>
              <w:t>☑</w:t>
            </w:r>
            <w:r>
              <w:rPr>
                <w:rFonts w:hint="eastAsia" w:ascii="Times New Roman" w:hAnsi="Times New Roman"/>
                <w:bCs/>
                <w:sz w:val="24"/>
                <w:szCs w:val="24"/>
                <w:highlight w:val="none"/>
              </w:rPr>
              <w:t>无需提供。</w:t>
            </w:r>
          </w:p>
          <w:p>
            <w:pPr>
              <w:pStyle w:val="165"/>
              <w:adjustRightInd w:val="0"/>
              <w:snapToGrid w:val="0"/>
              <w:spacing w:line="360" w:lineRule="auto"/>
              <w:jc w:val="left"/>
              <w:rPr>
                <w:rFonts w:ascii="Times New Roman" w:hAnsi="Times New Roman"/>
                <w:bCs/>
                <w:sz w:val="24"/>
                <w:szCs w:val="24"/>
                <w:highlight w:val="none"/>
              </w:rPr>
            </w:pPr>
            <w:r>
              <w:rPr>
                <w:rFonts w:hint="eastAsia" w:ascii="Times New Roman" w:hAnsi="Times New Roman"/>
                <w:bCs/>
                <w:sz w:val="24"/>
                <w:szCs w:val="24"/>
                <w:highlight w:val="none"/>
              </w:rPr>
              <w:t>□需提供以下材料：</w:t>
            </w:r>
          </w:p>
          <w:p>
            <w:pPr>
              <w:pStyle w:val="165"/>
              <w:adjustRightInd w:val="0"/>
              <w:snapToGrid w:val="0"/>
              <w:spacing w:line="360" w:lineRule="auto"/>
              <w:jc w:val="left"/>
              <w:rPr>
                <w:rFonts w:ascii="Times New Roman" w:hAnsi="Times New Roman"/>
                <w:bCs/>
                <w:sz w:val="24"/>
                <w:szCs w:val="24"/>
                <w:highlight w:val="none"/>
              </w:rPr>
            </w:pPr>
            <w:r>
              <w:rPr>
                <w:rFonts w:hint="eastAsia" w:ascii="Times New Roman" w:hAnsi="Times New Roman"/>
                <w:bCs/>
                <w:sz w:val="24"/>
                <w:szCs w:val="24"/>
                <w:highlight w:val="none"/>
              </w:rPr>
              <w:t>经会计师事务所或审计机构审计的财务会计报表，包括资产负债表、现金流量表、利润表、财务情况说明书。</w:t>
            </w:r>
          </w:p>
        </w:tc>
      </w:tr>
    </w:tbl>
    <w:p>
      <w:pPr>
        <w:pStyle w:val="165"/>
        <w:adjustRightInd w:val="0"/>
        <w:snapToGrid w:val="0"/>
        <w:spacing w:line="300" w:lineRule="exact"/>
        <w:ind w:firstLine="480" w:firstLineChars="200"/>
        <w:rPr>
          <w:rFonts w:ascii="Times New Roman" w:hAnsi="Times New Roman"/>
          <w:bCs/>
          <w:snapToGrid w:val="0"/>
          <w:kern w:val="0"/>
          <w:sz w:val="24"/>
          <w:szCs w:val="24"/>
          <w:highlight w:val="none"/>
        </w:rPr>
      </w:pPr>
      <w:r>
        <w:rPr>
          <w:rFonts w:hint="eastAsia" w:ascii="Times New Roman" w:hAnsi="Times New Roman"/>
          <w:bCs/>
          <w:kern w:val="0"/>
          <w:sz w:val="24"/>
          <w:szCs w:val="24"/>
          <w:highlight w:val="none"/>
        </w:rPr>
        <w:t>注：</w:t>
      </w:r>
      <w:r>
        <w:rPr>
          <w:rFonts w:hint="eastAsia" w:ascii="Times New Roman" w:hAnsi="Times New Roman"/>
          <w:bCs/>
          <w:snapToGrid w:val="0"/>
          <w:kern w:val="0"/>
          <w:sz w:val="24"/>
          <w:szCs w:val="24"/>
          <w:highlight w:val="none"/>
        </w:rPr>
        <w:t>证明材料</w:t>
      </w:r>
      <w:r>
        <w:rPr>
          <w:rFonts w:hint="eastAsia" w:ascii="Times New Roman" w:hAnsi="Times New Roman"/>
          <w:bCs/>
          <w:kern w:val="0"/>
          <w:sz w:val="24"/>
          <w:szCs w:val="24"/>
          <w:highlight w:val="none"/>
        </w:rPr>
        <w:t>的信息应完整或能充分证明满足评审需要</w:t>
      </w:r>
      <w:r>
        <w:rPr>
          <w:rFonts w:hint="eastAsia" w:ascii="Times New Roman" w:hAnsi="Times New Roman"/>
          <w:bCs/>
          <w:snapToGrid w:val="0"/>
          <w:kern w:val="0"/>
          <w:sz w:val="24"/>
          <w:szCs w:val="24"/>
          <w:highlight w:val="none"/>
        </w:rPr>
        <w:t>。</w:t>
      </w: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b w:val="0"/>
          <w:bCs w:val="0"/>
          <w:szCs w:val="21"/>
          <w:highlight w:val="none"/>
        </w:rPr>
        <w:br w:type="page"/>
      </w:r>
      <w:bookmarkStart w:id="108" w:name="_Toc19832"/>
      <w:bookmarkStart w:id="109" w:name="_Toc421916977"/>
      <w:bookmarkStart w:id="110" w:name="_Toc283798418"/>
      <w:bookmarkStart w:id="111" w:name="_Toc11078139"/>
      <w:bookmarkStart w:id="112" w:name="_Toc460660064"/>
      <w:bookmarkStart w:id="113" w:name="_Toc8062"/>
      <w:bookmarkStart w:id="114" w:name="_Toc460226722"/>
      <w:bookmarkStart w:id="115" w:name="_Toc460226991"/>
      <w:bookmarkStart w:id="116" w:name="_Toc28740"/>
      <w:bookmarkStart w:id="117" w:name="_Toc38879318"/>
      <w:bookmarkStart w:id="118" w:name="_Toc140069401"/>
      <w:r>
        <w:rPr>
          <w:rFonts w:hint="eastAsia" w:ascii="Times New Roman" w:hAnsi="Times New Roman" w:eastAsia="黑体"/>
          <w:b w:val="0"/>
          <w:bCs w:val="0"/>
          <w:highlight w:val="none"/>
        </w:rPr>
        <w:t>附录3  资格审查条件</w:t>
      </w:r>
      <w:bookmarkEnd w:id="108"/>
      <w:bookmarkEnd w:id="109"/>
      <w:bookmarkEnd w:id="110"/>
      <w:bookmarkEnd w:id="111"/>
      <w:bookmarkEnd w:id="112"/>
      <w:bookmarkEnd w:id="113"/>
      <w:bookmarkEnd w:id="114"/>
      <w:bookmarkEnd w:id="115"/>
      <w:bookmarkEnd w:id="116"/>
      <w:bookmarkEnd w:id="117"/>
      <w:r>
        <w:rPr>
          <w:rFonts w:hint="eastAsia" w:ascii="Times New Roman" w:hAnsi="Times New Roman" w:eastAsia="黑体"/>
          <w:b w:val="0"/>
          <w:bCs w:val="0"/>
          <w:highlight w:val="none"/>
        </w:rPr>
        <w:t>（业绩最低要求）</w:t>
      </w:r>
      <w:bookmarkEnd w:id="118"/>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ascii="Times New Roman" w:hAnsi="Times New Roman"/>
                <w:bCs/>
                <w:sz w:val="24"/>
                <w:szCs w:val="24"/>
                <w:highlight w:val="none"/>
              </w:rPr>
              <w:t>投标人</w:t>
            </w:r>
            <w:r>
              <w:rPr>
                <w:rFonts w:hint="eastAsia" w:ascii="Times New Roman" w:hAnsi="Times New Roman"/>
                <w:bCs/>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bCs/>
                <w:szCs w:val="24"/>
                <w:highlight w:val="none"/>
              </w:rPr>
            </w:pPr>
            <w:r>
              <w:rPr>
                <w:rFonts w:hint="eastAsia" w:ascii="Times New Roman"/>
                <w:bCs/>
                <w:szCs w:val="24"/>
                <w:highlight w:val="none"/>
              </w:rPr>
              <w:t>见招标公告。</w:t>
            </w:r>
          </w:p>
        </w:tc>
      </w:tr>
    </w:tbl>
    <w:p>
      <w:pPr>
        <w:adjustRightInd w:val="0"/>
        <w:snapToGrid w:val="0"/>
        <w:spacing w:line="360" w:lineRule="auto"/>
        <w:ind w:firstLine="480" w:firstLineChars="200"/>
        <w:rPr>
          <w:rFonts w:hAnsi="宋体" w:cs="宋体"/>
          <w:bCs/>
          <w:snapToGrid w:val="0"/>
          <w:highlight w:val="none"/>
        </w:rPr>
      </w:pPr>
      <w:r>
        <w:rPr>
          <w:rFonts w:hint="eastAsia" w:hAnsi="宋体" w:cs="宋体"/>
          <w:bCs/>
          <w:snapToGrid w:val="0"/>
          <w:highlight w:val="none"/>
        </w:rPr>
        <w:t>注：</w:t>
      </w:r>
    </w:p>
    <w:p>
      <w:pPr>
        <w:spacing w:line="360" w:lineRule="auto"/>
        <w:ind w:firstLine="480" w:firstLineChars="200"/>
        <w:rPr>
          <w:rFonts w:hAnsi="宋体" w:cs="宋体"/>
          <w:bCs/>
          <w:highlight w:val="none"/>
        </w:rPr>
      </w:pPr>
      <w:r>
        <w:rPr>
          <w:rFonts w:hint="eastAsia" w:hAnsi="宋体" w:cs="宋体"/>
          <w:bCs/>
          <w:highlight w:val="none"/>
        </w:rPr>
        <w:t>1.</w:t>
      </w:r>
      <w:r>
        <w:rPr>
          <w:rFonts w:hint="eastAsia" w:hAnsi="宋体"/>
          <w:highlight w:val="none"/>
        </w:rPr>
        <w:t>投标人应提供下列勾选的业绩证明材料</w:t>
      </w:r>
      <w:r>
        <w:rPr>
          <w:rFonts w:hint="eastAsia" w:hAnsi="宋体" w:cs="宋体"/>
          <w:bCs/>
          <w:highlight w:val="none"/>
        </w:rPr>
        <w:t>：</w:t>
      </w:r>
    </w:p>
    <w:p>
      <w:pPr>
        <w:spacing w:line="360" w:lineRule="auto"/>
        <w:ind w:firstLine="480" w:firstLineChars="200"/>
        <w:rPr>
          <w:rFonts w:hAnsi="宋体" w:cs="宋体"/>
          <w:bCs/>
          <w:highlight w:val="none"/>
        </w:rPr>
      </w:pPr>
      <w:r>
        <w:rPr>
          <w:rFonts w:hint="eastAsia" w:hAnsi="宋体" w:cs="宋体"/>
          <w:bCs/>
          <w:highlight w:val="none"/>
        </w:rPr>
        <w:t>□（1）合同；</w:t>
      </w:r>
    </w:p>
    <w:p>
      <w:pPr>
        <w:spacing w:line="360" w:lineRule="auto"/>
        <w:ind w:firstLine="480" w:firstLineChars="200"/>
        <w:rPr>
          <w:rFonts w:hAnsi="宋体" w:cs="宋体"/>
          <w:bCs/>
          <w:highlight w:val="none"/>
        </w:rPr>
      </w:pPr>
      <w:r>
        <w:rPr>
          <w:rFonts w:hint="eastAsia" w:hAnsi="宋体" w:cs="宋体"/>
          <w:bCs/>
          <w:highlight w:val="none"/>
        </w:rPr>
        <w:t>□（2）供货安装完毕并验收合格的相关证明文件（如验收证书或合同甲方开具的证明等）；</w:t>
      </w:r>
    </w:p>
    <w:p>
      <w:pPr>
        <w:adjustRightInd w:val="0"/>
        <w:snapToGrid w:val="0"/>
        <w:spacing w:line="360" w:lineRule="auto"/>
        <w:ind w:firstLine="480" w:firstLineChars="200"/>
        <w:rPr>
          <w:rFonts w:hAnsi="宋体" w:cs="宋体"/>
          <w:bCs/>
          <w:snapToGrid w:val="0"/>
          <w:highlight w:val="none"/>
        </w:rPr>
      </w:pPr>
      <w:r>
        <w:rPr>
          <w:rFonts w:hint="eastAsia" w:hAnsi="宋体" w:cs="宋体"/>
          <w:highlight w:val="none"/>
        </w:rPr>
        <w:t>□（3）其他材料：</w:t>
      </w:r>
      <w:r>
        <w:rPr>
          <w:rFonts w:hint="eastAsia" w:hAnsi="宋体" w:cs="宋体"/>
          <w:highlight w:val="none"/>
          <w:u w:val="single"/>
        </w:rPr>
        <w:t xml:space="preserve">  /    </w:t>
      </w:r>
    </w:p>
    <w:p>
      <w:pPr>
        <w:adjustRightInd w:val="0"/>
        <w:snapToGrid w:val="0"/>
        <w:spacing w:line="360" w:lineRule="auto"/>
        <w:ind w:firstLine="480" w:firstLineChars="200"/>
        <w:rPr>
          <w:rFonts w:ascii="Times New Roman"/>
          <w:szCs w:val="21"/>
          <w:highlight w:val="none"/>
        </w:rPr>
      </w:pPr>
      <w:r>
        <w:rPr>
          <w:rFonts w:hint="eastAsia" w:hAnsi="宋体" w:cs="宋体"/>
          <w:highlight w:val="none"/>
        </w:rPr>
        <w:t>2.业绩需在商务文件中“资格审查资料”栏“投标人业绩情况表（资格审查）”中注明并提供相关证明材料。如投标人提供的上述业绩证明材料未能完整或充分反映评审因素（如</w:t>
      </w:r>
      <w:r>
        <w:rPr>
          <w:rFonts w:hint="eastAsia" w:hAnsi="宋体" w:cs="宋体"/>
          <w:highlight w:val="none"/>
          <w:u w:val="single"/>
        </w:rPr>
        <w:t xml:space="preserve">  /    </w:t>
      </w:r>
      <w:r>
        <w:rPr>
          <w:rFonts w:hint="eastAsia" w:hAnsi="宋体" w:cs="宋体"/>
          <w:highlight w:val="none"/>
        </w:rPr>
        <w:t>）的，应另附合同甲方证明材料（须加盖合同甲方单位章）予以明确说明，否则评标委员会不予认可</w:t>
      </w:r>
      <w:r>
        <w:rPr>
          <w:rFonts w:hint="eastAsia" w:ascii="Times New Roman"/>
          <w:szCs w:val="21"/>
          <w:highlight w:val="none"/>
        </w:rPr>
        <w:t>。</w:t>
      </w:r>
    </w:p>
    <w:p>
      <w:pPr>
        <w:spacing w:line="360" w:lineRule="auto"/>
        <w:ind w:firstLine="480" w:firstLineChars="200"/>
        <w:rPr>
          <w:rFonts w:hAnsi="宋体" w:cs="宋体"/>
          <w:bCs/>
          <w:highlight w:val="none"/>
        </w:rPr>
      </w:pPr>
      <w:r>
        <w:rPr>
          <w:rFonts w:hint="eastAsia" w:hAnsi="宋体" w:cs="宋体"/>
          <w:bCs/>
          <w:highlight w:val="none"/>
        </w:rPr>
        <w:t>3.本招标项目投标人业绩(资格审查)数量:</w:t>
      </w:r>
      <w:r>
        <w:rPr>
          <w:rFonts w:hint="eastAsia" w:hAnsi="宋体" w:cs="宋体"/>
          <w:bCs/>
          <w:highlight w:val="none"/>
          <w:u w:val="single"/>
        </w:rPr>
        <w:t xml:space="preserve">   0   </w:t>
      </w:r>
      <w:r>
        <w:rPr>
          <w:rFonts w:hint="eastAsia" w:hAnsi="宋体" w:cs="宋体"/>
          <w:bCs/>
          <w:highlight w:val="none"/>
        </w:rPr>
        <w:t>个。</w:t>
      </w:r>
    </w:p>
    <w:p>
      <w:pPr>
        <w:rPr>
          <w:highlight w:val="none"/>
        </w:rPr>
      </w:pPr>
    </w:p>
    <w:p>
      <w:pPr>
        <w:rPr>
          <w:highlight w:val="none"/>
        </w:rPr>
      </w:pP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b w:val="0"/>
          <w:snapToGrid w:val="0"/>
          <w:sz w:val="21"/>
          <w:szCs w:val="21"/>
          <w:highlight w:val="none"/>
        </w:rPr>
        <w:br w:type="page"/>
      </w:r>
      <w:bookmarkStart w:id="119" w:name="_Toc10084"/>
      <w:bookmarkStart w:id="120" w:name="_Toc30200"/>
      <w:bookmarkStart w:id="121" w:name="_Toc11078140"/>
      <w:bookmarkStart w:id="122" w:name="_Toc140069402"/>
      <w:bookmarkStart w:id="123" w:name="_Toc38879319"/>
      <w:bookmarkStart w:id="124" w:name="_Toc4225"/>
      <w:bookmarkStart w:id="125" w:name="_Toc460226992"/>
      <w:bookmarkStart w:id="126" w:name="_Toc460226723"/>
      <w:bookmarkStart w:id="127" w:name="_Toc421916978"/>
      <w:r>
        <w:rPr>
          <w:rFonts w:hint="eastAsia" w:ascii="Times New Roman" w:hAnsi="Times New Roman" w:eastAsia="黑体"/>
          <w:b w:val="0"/>
          <w:bCs w:val="0"/>
          <w:highlight w:val="none"/>
        </w:rPr>
        <w:t>附录4  资格审查条件（信誉最低要求）</w:t>
      </w:r>
      <w:bookmarkEnd w:id="119"/>
      <w:bookmarkEnd w:id="120"/>
      <w:bookmarkEnd w:id="121"/>
      <w:bookmarkEnd w:id="122"/>
      <w:bookmarkEnd w:id="123"/>
      <w:bookmarkEnd w:id="124"/>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bCs/>
                <w:szCs w:val="24"/>
                <w:highlight w:val="none"/>
              </w:rPr>
            </w:pPr>
            <w:r>
              <w:rPr>
                <w:rFonts w:hint="eastAsia" w:ascii="Times New Roman"/>
                <w:bCs/>
                <w:highlight w:val="none"/>
              </w:rPr>
              <w:t>见招标公告。</w:t>
            </w:r>
          </w:p>
        </w:tc>
      </w:tr>
    </w:tbl>
    <w:p>
      <w:pPr>
        <w:pStyle w:val="165"/>
        <w:adjustRightInd w:val="0"/>
        <w:snapToGrid w:val="0"/>
        <w:spacing w:line="360" w:lineRule="auto"/>
        <w:ind w:firstLine="480" w:firstLineChars="200"/>
        <w:rPr>
          <w:rFonts w:ascii="Times New Roman" w:hAnsi="Times New Roman"/>
          <w:bCs/>
          <w:snapToGrid w:val="0"/>
          <w:kern w:val="0"/>
          <w:sz w:val="24"/>
          <w:szCs w:val="24"/>
          <w:highlight w:val="none"/>
        </w:rPr>
      </w:pPr>
      <w:bookmarkStart w:id="128" w:name="_Toc11078141"/>
      <w:bookmarkStart w:id="129" w:name="_Toc38879320"/>
      <w:bookmarkStart w:id="130" w:name="_Toc460660065"/>
      <w:r>
        <w:rPr>
          <w:rFonts w:hint="eastAsia" w:ascii="Times New Roman" w:hAnsi="Times New Roman"/>
          <w:bCs/>
          <w:snapToGrid w:val="0"/>
          <w:kern w:val="0"/>
          <w:sz w:val="24"/>
          <w:szCs w:val="24"/>
          <w:highlight w:val="none"/>
        </w:rPr>
        <w:t>注：投标人无需提供证明材料，由评标委员会通过电子服务系统查询。</w:t>
      </w: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eastAsia="黑体"/>
          <w:b w:val="0"/>
          <w:highlight w:val="none"/>
        </w:rPr>
        <w:br w:type="page"/>
      </w:r>
      <w:bookmarkStart w:id="131" w:name="_Toc140069403"/>
      <w:bookmarkStart w:id="132" w:name="_Toc22030"/>
      <w:bookmarkStart w:id="133" w:name="_Toc2606"/>
      <w:bookmarkStart w:id="134" w:name="_Toc30197"/>
      <w:r>
        <w:rPr>
          <w:rFonts w:hint="eastAsia" w:ascii="Times New Roman" w:hAnsi="Times New Roman" w:eastAsia="黑体"/>
          <w:b w:val="0"/>
          <w:bCs w:val="0"/>
          <w:highlight w:val="none"/>
        </w:rPr>
        <w:t>附录5  资格审查条件（</w:t>
      </w:r>
      <w:r>
        <w:rPr>
          <w:rFonts w:hint="eastAsia" w:ascii="黑体" w:hAnsi="黑体" w:eastAsia="黑体" w:cs="黑体"/>
          <w:b w:val="0"/>
          <w:highlight w:val="none"/>
        </w:rPr>
        <w:t>项目负责人最低要求</w:t>
      </w:r>
      <w:r>
        <w:rPr>
          <w:rFonts w:hint="eastAsia" w:ascii="Times New Roman" w:hAnsi="Times New Roman" w:eastAsia="黑体"/>
          <w:b w:val="0"/>
          <w:bCs w:val="0"/>
          <w:highlight w:val="none"/>
        </w:rPr>
        <w:t>）</w:t>
      </w:r>
      <w:bookmarkEnd w:id="125"/>
      <w:bookmarkEnd w:id="126"/>
      <w:bookmarkEnd w:id="127"/>
      <w:bookmarkEnd w:id="128"/>
      <w:bookmarkEnd w:id="129"/>
      <w:bookmarkEnd w:id="130"/>
      <w:bookmarkEnd w:id="131"/>
      <w:bookmarkEnd w:id="132"/>
      <w:bookmarkEnd w:id="133"/>
      <w:bookmarkEnd w:id="134"/>
    </w:p>
    <w:tbl>
      <w:tblPr>
        <w:tblStyle w:val="52"/>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widowControl/>
              <w:spacing w:line="360" w:lineRule="auto"/>
              <w:jc w:val="left"/>
              <w:rPr>
                <w:rFonts w:ascii="宋体" w:hAnsi="宋体" w:cs="宋体"/>
                <w:bCs/>
                <w:snapToGrid w:val="0"/>
                <w:kern w:val="0"/>
                <w:sz w:val="24"/>
                <w:szCs w:val="24"/>
                <w:highlight w:val="none"/>
              </w:rPr>
            </w:pPr>
            <w:r>
              <w:rPr>
                <w:rFonts w:hint="eastAsia" w:ascii="宋体" w:hAnsi="宋体" w:cs="宋体"/>
                <w:sz w:val="24"/>
                <w:highlight w:val="none"/>
              </w:rPr>
              <w:t>1.</w:t>
            </w:r>
            <w:r>
              <w:rPr>
                <w:rFonts w:hint="eastAsia" w:ascii="宋体" w:hAnsi="宋体" w:cs="宋体"/>
                <w:bCs/>
                <w:snapToGrid w:val="0"/>
                <w:kern w:val="0"/>
                <w:sz w:val="24"/>
                <w:szCs w:val="24"/>
                <w:highlight w:val="none"/>
              </w:rPr>
              <w:t>项目负责人资格条件见招标公告，且必须是本单位人员（招标公告中要求的注册证书注册单位应当与投标人名称一致</w:t>
            </w:r>
            <w:r>
              <w:rPr>
                <w:rFonts w:hint="eastAsia" w:ascii="Times New Roman" w:hAnsi="Times New Roman" w:cs="楷体"/>
                <w:bCs/>
                <w:snapToGrid w:val="0"/>
                <w:kern w:val="0"/>
                <w:sz w:val="24"/>
                <w:szCs w:val="24"/>
                <w:highlight w:val="none"/>
              </w:rPr>
              <w:t>）</w:t>
            </w:r>
            <w:r>
              <w:rPr>
                <w:rFonts w:hint="eastAsia" w:ascii="宋体" w:hAnsi="宋体" w:cs="宋体"/>
                <w:bCs/>
                <w:snapToGrid w:val="0"/>
                <w:kern w:val="0"/>
                <w:sz w:val="24"/>
                <w:szCs w:val="24"/>
                <w:highlight w:val="none"/>
              </w:rPr>
              <w:t>。</w:t>
            </w:r>
          </w:p>
          <w:p>
            <w:pPr>
              <w:widowControl/>
              <w:spacing w:line="360" w:lineRule="auto"/>
              <w:jc w:val="left"/>
              <w:rPr>
                <w:rFonts w:hAnsi="宋体" w:cs="宋体"/>
                <w:bCs/>
                <w:snapToGrid w:val="0"/>
                <w:highlight w:val="none"/>
              </w:rPr>
            </w:pPr>
            <w:r>
              <w:rPr>
                <w:rFonts w:hint="eastAsia" w:hAnsi="宋体" w:cs="宋体"/>
                <w:bCs/>
                <w:highlight w:val="none"/>
              </w:rPr>
              <w:t>2.</w:t>
            </w:r>
            <w:r>
              <w:rPr>
                <w:rFonts w:hint="eastAsia" w:hAnsi="宋体" w:cs="宋体"/>
                <w:bCs/>
                <w:snapToGrid w:val="0"/>
                <w:highlight w:val="none"/>
              </w:rPr>
              <w:t>项目负责人业绩具体要求见招标公告。</w:t>
            </w:r>
          </w:p>
          <w:p>
            <w:pPr>
              <w:spacing w:line="360" w:lineRule="auto"/>
              <w:rPr>
                <w:rFonts w:ascii="Times New Roman" w:cs="楷体"/>
                <w:bCs/>
                <w:snapToGrid w:val="0"/>
                <w:szCs w:val="24"/>
                <w:highlight w:val="none"/>
              </w:rPr>
            </w:pPr>
            <w:r>
              <w:rPr>
                <w:rFonts w:hint="eastAsia" w:ascii="MS Mincho" w:hAnsi="MS Mincho" w:eastAsia="MS Mincho" w:cs="MS Mincho"/>
                <w:highlight w:val="none"/>
              </w:rPr>
              <w:t>☑</w:t>
            </w:r>
            <w:r>
              <w:rPr>
                <w:rFonts w:hint="eastAsia" w:hAnsi="宋体" w:cs="宋体"/>
                <w:bCs/>
                <w:snapToGrid w:val="0"/>
                <w:highlight w:val="none"/>
              </w:rPr>
              <w:t>社保要求：</w:t>
            </w:r>
            <w:r>
              <w:rPr>
                <w:rFonts w:hint="eastAsia" w:ascii="Times New Roman" w:cs="楷体"/>
                <w:bCs/>
                <w:snapToGrid w:val="0"/>
                <w:szCs w:val="24"/>
                <w:highlight w:val="none"/>
              </w:rPr>
              <w:t>提供投标人所属社保机构出具的项目负责人</w:t>
            </w:r>
            <w:r>
              <w:rPr>
                <w:rFonts w:hint="eastAsia" w:ascii="Times New Roman" w:cs="楷体"/>
                <w:bCs/>
                <w:snapToGrid w:val="0"/>
                <w:szCs w:val="24"/>
                <w:highlight w:val="none"/>
                <w:u w:val="single"/>
              </w:rPr>
              <w:t>自2023年</w:t>
            </w:r>
            <w:r>
              <w:rPr>
                <w:rFonts w:hint="eastAsia" w:ascii="Times New Roman" w:cs="楷体"/>
                <w:bCs/>
                <w:snapToGrid w:val="0"/>
                <w:szCs w:val="24"/>
                <w:highlight w:val="none"/>
                <w:u w:val="single"/>
                <w:lang w:val="en-US" w:eastAsia="zh-CN"/>
              </w:rPr>
              <w:t>6</w:t>
            </w:r>
            <w:r>
              <w:rPr>
                <w:rFonts w:hint="eastAsia" w:ascii="Times New Roman" w:cs="楷体"/>
                <w:bCs/>
                <w:snapToGrid w:val="0"/>
                <w:szCs w:val="24"/>
                <w:highlight w:val="none"/>
                <w:u w:val="single"/>
              </w:rPr>
              <w:t>月1日以来任意连续三个月的</w:t>
            </w:r>
            <w:r>
              <w:rPr>
                <w:rFonts w:hint="eastAsia" w:ascii="Times New Roman" w:cs="楷体"/>
                <w:bCs/>
                <w:snapToGrid w:val="0"/>
                <w:szCs w:val="24"/>
                <w:highlight w:val="none"/>
              </w:rPr>
              <w:t>社保缴费证明（或其他能够证明项目负责人参加社保的有效证明）材料，项目负责人的社保缴纳单位应当是投标人或者投标人不具备独立法人资格的分支机构。</w:t>
            </w:r>
          </w:p>
          <w:p>
            <w:pPr>
              <w:spacing w:line="360" w:lineRule="auto"/>
              <w:rPr>
                <w:highlight w:val="none"/>
              </w:rPr>
            </w:pPr>
            <w:r>
              <w:rPr>
                <w:rFonts w:hint="eastAsia" w:ascii="Times New Roman" w:cs="楷体"/>
                <w:bCs/>
                <w:snapToGrid w:val="0"/>
                <w:szCs w:val="24"/>
                <w:highlight w:val="none"/>
              </w:rPr>
              <w:t>（社保缴费证明或社保的有效证明材料至少含养老保险）</w:t>
            </w:r>
          </w:p>
        </w:tc>
      </w:tr>
    </w:tbl>
    <w:p>
      <w:pPr>
        <w:pStyle w:val="165"/>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注：</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w:t>
      </w:r>
      <w:r>
        <w:rPr>
          <w:rFonts w:hint="eastAsia" w:ascii="Times New Roman"/>
          <w:szCs w:val="21"/>
          <w:highlight w:val="none"/>
        </w:rPr>
        <w:t>投标人应提供</w:t>
      </w:r>
      <w:r>
        <w:rPr>
          <w:rFonts w:hint="eastAsia" w:hAnsi="宋体" w:cs="宋体"/>
          <w:highlight w:val="none"/>
        </w:rPr>
        <w:t>项目负责人</w:t>
      </w:r>
      <w:r>
        <w:rPr>
          <w:rFonts w:hint="eastAsia" w:ascii="Times New Roman" w:cs="宋体"/>
          <w:bCs/>
          <w:szCs w:val="24"/>
          <w:highlight w:val="none"/>
        </w:rPr>
        <w:t>相关证书</w:t>
      </w:r>
      <w:r>
        <w:rPr>
          <w:rFonts w:hint="eastAsia" w:ascii="Times New Roman"/>
          <w:szCs w:val="21"/>
          <w:highlight w:val="none"/>
        </w:rPr>
        <w:t>、参加社保的有效证明材料（如要求）。</w:t>
      </w:r>
    </w:p>
    <w:p>
      <w:pPr>
        <w:spacing w:line="360" w:lineRule="auto"/>
        <w:ind w:firstLine="480" w:firstLineChars="200"/>
        <w:rPr>
          <w:rFonts w:hAnsi="宋体" w:cs="宋体"/>
          <w:highlight w:val="none"/>
        </w:rPr>
      </w:pPr>
      <w:r>
        <w:rPr>
          <w:rFonts w:hint="eastAsia" w:hAnsi="宋体" w:cs="宋体"/>
          <w:bCs/>
          <w:snapToGrid w:val="0"/>
          <w:highlight w:val="none"/>
        </w:rPr>
        <w:t>2.</w:t>
      </w:r>
      <w:r>
        <w:rPr>
          <w:rFonts w:hint="eastAsia" w:ascii="Times New Roman"/>
          <w:szCs w:val="24"/>
          <w:highlight w:val="none"/>
        </w:rPr>
        <w:t>投标人应提供下列类别勾选的业绩证明材料：</w:t>
      </w:r>
    </w:p>
    <w:p>
      <w:pPr>
        <w:spacing w:line="360" w:lineRule="auto"/>
        <w:ind w:firstLine="480" w:firstLineChars="200"/>
        <w:rPr>
          <w:rFonts w:hAnsi="宋体" w:cs="宋体"/>
          <w:bCs/>
          <w:highlight w:val="none"/>
        </w:rPr>
      </w:pPr>
      <w:r>
        <w:rPr>
          <w:rFonts w:hint="eastAsia" w:hAnsi="宋体" w:cs="宋体"/>
          <w:bCs/>
          <w:highlight w:val="none"/>
        </w:rPr>
        <w:t>□（1）合同；</w:t>
      </w:r>
    </w:p>
    <w:p>
      <w:pPr>
        <w:spacing w:line="360" w:lineRule="auto"/>
        <w:ind w:firstLine="480" w:firstLineChars="200"/>
        <w:rPr>
          <w:rFonts w:hAnsi="宋体" w:cs="宋体"/>
          <w:bCs/>
          <w:highlight w:val="none"/>
        </w:rPr>
      </w:pPr>
      <w:r>
        <w:rPr>
          <w:rFonts w:hint="eastAsia" w:hAnsi="宋体" w:cs="宋体"/>
          <w:bCs/>
          <w:highlight w:val="none"/>
        </w:rPr>
        <w:t>□（2）供货安装完毕并验收合格的相关证明文件（如验收证书或合同甲方开具的证明等）；</w:t>
      </w:r>
    </w:p>
    <w:p>
      <w:pPr>
        <w:spacing w:line="360" w:lineRule="auto"/>
        <w:ind w:firstLine="480" w:firstLineChars="200"/>
        <w:rPr>
          <w:rFonts w:hAnsi="宋体" w:cs="宋体"/>
          <w:highlight w:val="none"/>
          <w:u w:val="single"/>
        </w:rPr>
      </w:pPr>
      <w:r>
        <w:rPr>
          <w:rFonts w:hint="eastAsia" w:hAnsi="宋体" w:cs="宋体"/>
          <w:highlight w:val="none"/>
        </w:rPr>
        <w:t>□（3）其他材料：</w:t>
      </w:r>
      <w:r>
        <w:rPr>
          <w:rFonts w:hint="eastAsia" w:hAnsi="宋体" w:cs="宋体"/>
          <w:highlight w:val="none"/>
          <w:u w:val="single"/>
        </w:rPr>
        <w:t xml:space="preserve">   /   </w:t>
      </w:r>
    </w:p>
    <w:p>
      <w:pPr>
        <w:adjustRightInd w:val="0"/>
        <w:snapToGrid w:val="0"/>
        <w:spacing w:line="360" w:lineRule="auto"/>
        <w:ind w:firstLine="480" w:firstLineChars="200"/>
        <w:rPr>
          <w:rFonts w:ascii="Times New Roman"/>
          <w:szCs w:val="24"/>
          <w:highlight w:val="none"/>
        </w:rPr>
      </w:pPr>
      <w:r>
        <w:rPr>
          <w:rFonts w:hint="eastAsia" w:hAnsi="宋体" w:cs="宋体"/>
          <w:highlight w:val="none"/>
        </w:rPr>
        <w:t>注：</w:t>
      </w:r>
      <w:r>
        <w:rPr>
          <w:rFonts w:hint="eastAsia" w:ascii="Times New Roman"/>
          <w:szCs w:val="24"/>
          <w:highlight w:val="none"/>
        </w:rPr>
        <w:t>业绩需在商务文件中“资格审查资料”栏“项目负责人业绩情况表（资格审查）”中注明并提供相关证明材料。如投标人提供的上述业绩证明材料未能完整或充分反映评审因素（如</w:t>
      </w:r>
      <w:r>
        <w:rPr>
          <w:rFonts w:hint="eastAsia" w:ascii="Times New Roman"/>
          <w:szCs w:val="24"/>
          <w:highlight w:val="none"/>
          <w:u w:val="single"/>
        </w:rPr>
        <w:t xml:space="preserve">  /    </w:t>
      </w:r>
      <w:r>
        <w:rPr>
          <w:rFonts w:hint="eastAsia" w:ascii="Times New Roman"/>
          <w:szCs w:val="24"/>
          <w:highlight w:val="none"/>
        </w:rPr>
        <w:t>）的，应另附合同甲方证明材料（须加盖合同甲方单位章）予以明确说明，否则评标委员会不予认可。</w:t>
      </w:r>
    </w:p>
    <w:p>
      <w:pPr>
        <w:adjustRightInd w:val="0"/>
        <w:snapToGrid w:val="0"/>
        <w:spacing w:line="360" w:lineRule="auto"/>
        <w:ind w:firstLine="480" w:firstLineChars="200"/>
        <w:rPr>
          <w:rFonts w:ascii="Times New Roman"/>
          <w:szCs w:val="24"/>
          <w:highlight w:val="none"/>
        </w:rPr>
      </w:pPr>
      <w:r>
        <w:rPr>
          <w:rFonts w:hint="eastAsia" w:ascii="Times New Roman"/>
          <w:szCs w:val="24"/>
          <w:highlight w:val="none"/>
        </w:rPr>
        <w:t>3.投标人提供的项目负责人业绩证明材料应反映出本招标项目的项目负责人在此业绩中担任过</w:t>
      </w:r>
      <w:r>
        <w:rPr>
          <w:rFonts w:hint="eastAsia" w:ascii="Times New Roman"/>
          <w:szCs w:val="24"/>
          <w:highlight w:val="none"/>
          <w:u w:val="single"/>
        </w:rPr>
        <w:t xml:space="preserve">   /   </w:t>
      </w:r>
      <w:r>
        <w:rPr>
          <w:rFonts w:hint="eastAsia" w:ascii="Times New Roman"/>
          <w:szCs w:val="24"/>
          <w:highlight w:val="none"/>
        </w:rPr>
        <w:t>的岗位。</w:t>
      </w:r>
    </w:p>
    <w:p>
      <w:pPr>
        <w:spacing w:line="360" w:lineRule="auto"/>
        <w:ind w:firstLine="480" w:firstLineChars="200"/>
        <w:rPr>
          <w:rFonts w:hAnsi="宋体" w:cs="宋体"/>
          <w:bCs/>
          <w:highlight w:val="none"/>
        </w:rPr>
      </w:pPr>
      <w:r>
        <w:rPr>
          <w:rFonts w:hint="eastAsia" w:hAnsi="宋体" w:cs="宋体"/>
          <w:bCs/>
          <w:highlight w:val="none"/>
        </w:rPr>
        <w:t>4.本招标项目的项目负责人业绩(资格审查)数量:</w:t>
      </w:r>
      <w:r>
        <w:rPr>
          <w:rFonts w:hint="eastAsia" w:hAnsi="宋体" w:cs="宋体"/>
          <w:bCs/>
          <w:highlight w:val="none"/>
          <w:u w:val="single"/>
        </w:rPr>
        <w:t xml:space="preserve">   0   </w:t>
      </w:r>
      <w:r>
        <w:rPr>
          <w:rFonts w:hint="eastAsia" w:hAnsi="宋体" w:cs="宋体"/>
          <w:bCs/>
          <w:highlight w:val="none"/>
        </w:rPr>
        <w:t>个。</w:t>
      </w:r>
    </w:p>
    <w:p>
      <w:pPr>
        <w:rPr>
          <w:highlight w:val="none"/>
        </w:rPr>
      </w:pPr>
    </w:p>
    <w:p>
      <w:pPr>
        <w:rPr>
          <w:highlight w:val="none"/>
        </w:rPr>
      </w:pPr>
    </w:p>
    <w:p>
      <w:pPr>
        <w:pStyle w:val="3"/>
        <w:spacing w:beforeLines="100" w:afterLines="100" w:line="240" w:lineRule="auto"/>
        <w:jc w:val="center"/>
        <w:rPr>
          <w:rFonts w:ascii="Times New Roman" w:hAnsi="Times New Roman" w:eastAsia="黑体"/>
          <w:b w:val="0"/>
          <w:bCs w:val="0"/>
          <w:highlight w:val="none"/>
        </w:rPr>
      </w:pPr>
      <w:r>
        <w:rPr>
          <w:rFonts w:hint="eastAsia" w:ascii="Times New Roman" w:hAnsi="Times New Roman" w:eastAsia="黑体"/>
          <w:b w:val="0"/>
          <w:bCs w:val="0"/>
          <w:highlight w:val="none"/>
        </w:rPr>
        <w:br w:type="page"/>
      </w:r>
      <w:bookmarkStart w:id="135" w:name="_Toc140069404"/>
      <w:r>
        <w:rPr>
          <w:rFonts w:hint="eastAsia" w:ascii="Times New Roman" w:hAnsi="Times New Roman" w:eastAsia="黑体"/>
          <w:b w:val="0"/>
          <w:bCs w:val="0"/>
          <w:highlight w:val="none"/>
        </w:rPr>
        <w:t>附录6  资格审查条件（</w:t>
      </w:r>
      <w:r>
        <w:rPr>
          <w:rFonts w:hint="eastAsia" w:ascii="Times New Roman" w:hAnsi="Times New Roman" w:eastAsia="黑体"/>
          <w:b w:val="0"/>
          <w:highlight w:val="none"/>
        </w:rPr>
        <w:t>其他要求</w:t>
      </w:r>
      <w:r>
        <w:rPr>
          <w:rFonts w:hint="eastAsia" w:ascii="Times New Roman" w:hAnsi="Times New Roman" w:eastAsia="黑体"/>
          <w:b w:val="0"/>
          <w:bCs w:val="0"/>
          <w:highlight w:val="none"/>
        </w:rPr>
        <w:t>）</w:t>
      </w:r>
      <w:bookmarkEnd w:id="135"/>
    </w:p>
    <w:tbl>
      <w:tblPr>
        <w:tblStyle w:val="52"/>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highlight w:val="none"/>
              </w:rPr>
            </w:pPr>
            <w:r>
              <w:rPr>
                <w:rFonts w:hint="eastAsia" w:hAnsi="宋体" w:cs="宋体"/>
                <w:highlight w:val="none"/>
              </w:rPr>
              <w:t>1.投标人不得存在招标文件第二章投标人须知第1.4.3项、第1.4.4项规定的情形。</w:t>
            </w:r>
          </w:p>
          <w:p>
            <w:pPr>
              <w:pStyle w:val="4"/>
              <w:spacing w:before="0" w:after="0"/>
              <w:rPr>
                <w:kern w:val="0"/>
                <w:szCs w:val="20"/>
                <w:highlight w:val="none"/>
              </w:rPr>
            </w:pPr>
            <w:r>
              <w:rPr>
                <w:rFonts w:hint="eastAsia" w:ascii="宋体" w:hAnsi="宋体" w:eastAsia="宋体" w:cs="宋体"/>
                <w:kern w:val="0"/>
                <w:szCs w:val="20"/>
                <w:highlight w:val="none"/>
              </w:rPr>
              <w:t>2.其他要求：</w:t>
            </w:r>
            <w:r>
              <w:rPr>
                <w:rFonts w:hint="eastAsia" w:ascii="宋体" w:hAnsi="宋体" w:eastAsia="宋体" w:cs="宋体"/>
                <w:kern w:val="0"/>
                <w:szCs w:val="20"/>
                <w:highlight w:val="none"/>
                <w:u w:val="single"/>
              </w:rPr>
              <w:t xml:space="preserve">   /   </w:t>
            </w:r>
          </w:p>
        </w:tc>
      </w:tr>
    </w:tbl>
    <w:p>
      <w:pPr>
        <w:pStyle w:val="165"/>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注：</w:t>
      </w:r>
    </w:p>
    <w:p>
      <w:pPr>
        <w:adjustRightInd w:val="0"/>
        <w:snapToGrid w:val="0"/>
        <w:spacing w:line="360" w:lineRule="auto"/>
        <w:ind w:firstLine="437"/>
        <w:rPr>
          <w:rFonts w:hAnsi="宋体" w:cs="宋体"/>
          <w:highlight w:val="none"/>
        </w:rPr>
      </w:pPr>
      <w:r>
        <w:rPr>
          <w:rFonts w:hint="eastAsia" w:hAnsi="宋体" w:cs="宋体"/>
          <w:highlight w:val="none"/>
        </w:rPr>
        <w:t>1.投标人应按照第六章“投标文件格式”的“诚信投标承诺书”承诺。如投标人承诺与实际不符，招标人有权取消其中标（或中标候选）资格，并报公共资源交易监督管理部门。</w:t>
      </w:r>
    </w:p>
    <w:p>
      <w:pPr>
        <w:rPr>
          <w:highlight w:val="none"/>
        </w:rPr>
      </w:pPr>
    </w:p>
    <w:p>
      <w:pPr>
        <w:rPr>
          <w:highlight w:val="none"/>
        </w:rPr>
      </w:pP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b w:val="0"/>
          <w:szCs w:val="21"/>
          <w:highlight w:val="none"/>
        </w:rPr>
        <w:br w:type="page"/>
      </w:r>
      <w:bookmarkEnd w:id="96"/>
      <w:bookmarkStart w:id="136" w:name="_Toc283798422"/>
      <w:bookmarkStart w:id="137" w:name="_Toc16515"/>
      <w:bookmarkStart w:id="138" w:name="_Toc2985"/>
      <w:bookmarkStart w:id="139" w:name="_Toc140069405"/>
      <w:bookmarkStart w:id="140" w:name="_Toc25831"/>
      <w:bookmarkStart w:id="141" w:name="_Toc38879323"/>
      <w:bookmarkStart w:id="142" w:name="_Toc17783"/>
      <w:bookmarkStart w:id="143" w:name="_Toc8098"/>
      <w:bookmarkStart w:id="144" w:name="_Toc299"/>
      <w:bookmarkStart w:id="145" w:name="_Toc31252"/>
      <w:bookmarkStart w:id="146" w:name="_Toc5852"/>
      <w:r>
        <w:rPr>
          <w:rFonts w:hint="eastAsia" w:ascii="Times New Roman" w:hAnsi="Times New Roman" w:eastAsia="黑体"/>
          <w:b w:val="0"/>
          <w:bCs w:val="0"/>
          <w:highlight w:val="none"/>
        </w:rPr>
        <w:t>投标人须知</w:t>
      </w:r>
      <w:bookmarkEnd w:id="136"/>
      <w:r>
        <w:rPr>
          <w:rFonts w:hint="eastAsia" w:ascii="Times New Roman" w:hAnsi="Times New Roman" w:eastAsia="黑体"/>
          <w:b w:val="0"/>
          <w:bCs w:val="0"/>
          <w:highlight w:val="none"/>
        </w:rPr>
        <w:t>正文修改一览表</w:t>
      </w:r>
      <w:bookmarkEnd w:id="137"/>
      <w:bookmarkEnd w:id="138"/>
      <w:bookmarkEnd w:id="139"/>
      <w:bookmarkEnd w:id="140"/>
      <w:bookmarkEnd w:id="141"/>
      <w:bookmarkEnd w:id="142"/>
      <w:bookmarkEnd w:id="143"/>
      <w:bookmarkEnd w:id="144"/>
      <w:bookmarkEnd w:id="145"/>
      <w:bookmarkEnd w:id="146"/>
    </w:p>
    <w:p>
      <w:pPr>
        <w:pStyle w:val="129"/>
        <w:spacing w:line="360" w:lineRule="auto"/>
        <w:rPr>
          <w:kern w:val="0"/>
          <w:sz w:val="24"/>
          <w:highlight w:val="none"/>
        </w:rPr>
      </w:pPr>
      <w:r>
        <w:rPr>
          <w:rFonts w:hint="eastAsia"/>
          <w:kern w:val="0"/>
          <w:sz w:val="24"/>
          <w:highlight w:val="none"/>
        </w:rPr>
        <w:t>投标人须知正文条款内容修改如下：</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849"/>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pStyle w:val="129"/>
              <w:jc w:val="center"/>
              <w:rPr>
                <w:sz w:val="24"/>
                <w:highlight w:val="none"/>
              </w:rPr>
            </w:pPr>
            <w:r>
              <w:rPr>
                <w:rFonts w:hint="eastAsia"/>
                <w:sz w:val="24"/>
                <w:highlight w:val="none"/>
              </w:rPr>
              <w:t>条款</w:t>
            </w:r>
          </w:p>
          <w:p>
            <w:pPr>
              <w:pStyle w:val="129"/>
              <w:jc w:val="center"/>
              <w:rPr>
                <w:sz w:val="24"/>
                <w:highlight w:val="none"/>
              </w:rPr>
            </w:pPr>
            <w:r>
              <w:rPr>
                <w:rFonts w:hint="eastAsia"/>
                <w:sz w:val="24"/>
                <w:highlight w:val="none"/>
              </w:rPr>
              <w:t>编号</w:t>
            </w:r>
          </w:p>
        </w:tc>
        <w:tc>
          <w:tcPr>
            <w:tcW w:w="2849" w:type="dxa"/>
            <w:tcBorders>
              <w:top w:val="single" w:color="auto" w:sz="4" w:space="0"/>
              <w:left w:val="single" w:color="auto" w:sz="4" w:space="0"/>
              <w:bottom w:val="single" w:color="auto" w:sz="4" w:space="0"/>
              <w:right w:val="single" w:color="auto" w:sz="4" w:space="0"/>
            </w:tcBorders>
            <w:vAlign w:val="center"/>
          </w:tcPr>
          <w:p>
            <w:pPr>
              <w:pStyle w:val="129"/>
              <w:jc w:val="center"/>
              <w:rPr>
                <w:sz w:val="24"/>
                <w:highlight w:val="none"/>
              </w:rPr>
            </w:pPr>
            <w:r>
              <w:rPr>
                <w:rFonts w:hint="eastAsia"/>
                <w:sz w:val="24"/>
                <w:highlight w:val="none"/>
              </w:rPr>
              <w:t>示范文本中条款内容</w:t>
            </w:r>
          </w:p>
        </w:tc>
        <w:tc>
          <w:tcPr>
            <w:tcW w:w="4687" w:type="dxa"/>
            <w:tcBorders>
              <w:top w:val="single" w:color="auto" w:sz="4" w:space="0"/>
              <w:left w:val="single" w:color="auto" w:sz="4" w:space="0"/>
              <w:bottom w:val="single" w:color="auto" w:sz="4" w:space="0"/>
              <w:right w:val="single" w:color="auto" w:sz="4" w:space="0"/>
            </w:tcBorders>
            <w:vAlign w:val="center"/>
          </w:tcPr>
          <w:p>
            <w:pPr>
              <w:pStyle w:val="129"/>
              <w:jc w:val="center"/>
              <w:rPr>
                <w:sz w:val="24"/>
                <w:highlight w:val="none"/>
              </w:rPr>
            </w:pPr>
            <w:r>
              <w:rPr>
                <w:rFonts w:hint="eastAsia"/>
                <w:sz w:val="24"/>
                <w:highlight w:val="none"/>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2849" w:type="dxa"/>
            <w:tcBorders>
              <w:top w:val="single" w:color="auto" w:sz="4" w:space="0"/>
              <w:left w:val="single" w:color="auto" w:sz="4" w:space="0"/>
              <w:bottom w:val="single" w:color="auto" w:sz="4" w:space="0"/>
              <w:right w:val="single" w:color="auto" w:sz="4" w:space="0"/>
            </w:tcBorders>
            <w:vAlign w:val="center"/>
          </w:tcPr>
          <w:p>
            <w:pPr>
              <w:pStyle w:val="129"/>
              <w:jc w:val="center"/>
              <w:rPr>
                <w:rFonts w:ascii="宋体" w:hAnsi="宋体"/>
                <w:kern w:val="0"/>
                <w:sz w:val="24"/>
                <w:szCs w:val="20"/>
                <w:highlight w:val="none"/>
              </w:rPr>
            </w:pPr>
            <w:r>
              <w:rPr>
                <w:rFonts w:hint="eastAsia" w:ascii="宋体" w:hAnsi="宋体"/>
                <w:kern w:val="0"/>
                <w:sz w:val="24"/>
                <w:szCs w:val="20"/>
                <w:highlight w:val="none"/>
              </w:rPr>
              <w:t>/</w:t>
            </w:r>
          </w:p>
        </w:tc>
        <w:tc>
          <w:tcPr>
            <w:tcW w:w="4687" w:type="dxa"/>
            <w:tcBorders>
              <w:top w:val="single" w:color="auto" w:sz="4" w:space="0"/>
              <w:left w:val="single" w:color="auto" w:sz="4" w:space="0"/>
              <w:bottom w:val="single" w:color="auto" w:sz="4" w:space="0"/>
              <w:right w:val="single" w:color="auto" w:sz="4" w:space="0"/>
            </w:tcBorders>
            <w:vAlign w:val="center"/>
          </w:tcPr>
          <w:p>
            <w:pPr>
              <w:jc w:val="lef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2849"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4687" w:type="dxa"/>
            <w:tcBorders>
              <w:top w:val="single" w:color="auto" w:sz="4" w:space="0"/>
              <w:left w:val="single" w:color="auto" w:sz="4" w:space="0"/>
              <w:bottom w:val="single" w:color="auto" w:sz="4" w:space="0"/>
              <w:right w:val="single" w:color="auto" w:sz="4" w:space="0"/>
            </w:tcBorders>
            <w:vAlign w:val="center"/>
          </w:tcPr>
          <w:p>
            <w:pPr>
              <w:snapToGrid w:val="0"/>
              <w:rPr>
                <w:rFonts w:hAnsi="宋体"/>
                <w:highlight w:val="none"/>
              </w:rPr>
            </w:pPr>
            <w:r>
              <w:rPr>
                <w:rFonts w:hint="eastAsia" w:hAnsi="宋体"/>
                <w:highlight w:val="none"/>
              </w:rPr>
              <w:t>/</w:t>
            </w:r>
          </w:p>
        </w:tc>
      </w:tr>
      <w:bookmarkEnd w:id="75"/>
      <w:bookmarkEnd w:id="76"/>
      <w:bookmarkEnd w:id="77"/>
      <w:bookmarkEnd w:id="78"/>
      <w:bookmarkEnd w:id="79"/>
      <w:bookmarkEnd w:id="80"/>
    </w:tbl>
    <w:p>
      <w:pPr>
        <w:pStyle w:val="3"/>
        <w:numPr>
          <w:ilvl w:val="0"/>
          <w:numId w:val="2"/>
        </w:numPr>
        <w:spacing w:beforeLines="100" w:afterLines="100" w:line="240" w:lineRule="auto"/>
        <w:rPr>
          <w:rFonts w:ascii="黑体" w:hAnsi="黑体" w:eastAsia="黑体" w:cs="黑体"/>
          <w:b w:val="0"/>
          <w:bCs w:val="0"/>
          <w:highlight w:val="none"/>
        </w:rPr>
      </w:pPr>
      <w:bookmarkStart w:id="147" w:name="_Toc1641"/>
      <w:bookmarkStart w:id="148" w:name="_Toc38879335"/>
      <w:bookmarkStart w:id="149" w:name="_Toc63412030"/>
      <w:r>
        <w:rPr>
          <w:rFonts w:hint="eastAsia" w:ascii="Times New Roman" w:hAnsi="Times New Roman" w:eastAsia="黑体"/>
          <w:b w:val="0"/>
          <w:highlight w:val="none"/>
        </w:rPr>
        <w:br w:type="page"/>
      </w:r>
      <w:bookmarkEnd w:id="147"/>
      <w:bookmarkStart w:id="150" w:name="_Toc601"/>
      <w:bookmarkStart w:id="151" w:name="_Toc140069406"/>
      <w:r>
        <w:rPr>
          <w:rFonts w:hint="eastAsia" w:ascii="黑体" w:hAnsi="黑体" w:eastAsia="黑体" w:cs="黑体"/>
          <w:b w:val="0"/>
          <w:bCs w:val="0"/>
          <w:highlight w:val="none"/>
        </w:rPr>
        <w:t>总则</w:t>
      </w:r>
      <w:bookmarkEnd w:id="150"/>
      <w:bookmarkEnd w:id="151"/>
    </w:p>
    <w:p>
      <w:pPr>
        <w:pStyle w:val="4"/>
        <w:spacing w:beforeLines="100" w:afterLines="100" w:line="240" w:lineRule="auto"/>
        <w:rPr>
          <w:rFonts w:cs="黑体"/>
          <w:snapToGrid w:val="0"/>
          <w:highlight w:val="none"/>
          <w:shd w:val="clear" w:color="auto" w:fill="FFFFFF"/>
          <w:lang w:val="zh-CN"/>
        </w:rPr>
      </w:pPr>
      <w:bookmarkStart w:id="152" w:name="_Toc152045530"/>
      <w:bookmarkStart w:id="153" w:name="_Toc152042306"/>
      <w:bookmarkStart w:id="154" w:name="_Toc179632547"/>
      <w:bookmarkStart w:id="155" w:name="_Toc144974498"/>
      <w:r>
        <w:rPr>
          <w:rFonts w:hint="eastAsia" w:cs="黑体"/>
          <w:snapToGrid w:val="0"/>
          <w:highlight w:val="none"/>
          <w:shd w:val="clear" w:color="auto" w:fill="FFFFFF"/>
          <w:lang w:val="zh-CN"/>
        </w:rPr>
        <w:t>1.1项目概况</w:t>
      </w:r>
      <w:bookmarkEnd w:id="152"/>
      <w:bookmarkEnd w:id="153"/>
      <w:bookmarkEnd w:id="154"/>
      <w:bookmarkEnd w:id="155"/>
    </w:p>
    <w:p>
      <w:pPr>
        <w:spacing w:line="360" w:lineRule="auto"/>
        <w:ind w:firstLine="480" w:firstLineChars="200"/>
        <w:rPr>
          <w:rFonts w:hAnsi="宋体" w:cs="宋体"/>
          <w:highlight w:val="none"/>
        </w:rPr>
      </w:pPr>
      <w:r>
        <w:rPr>
          <w:rFonts w:hint="eastAsia" w:hAnsi="宋体" w:cs="宋体"/>
          <w:highlight w:val="none"/>
        </w:rPr>
        <w:t>1.1.1根据《中华人民共和国招标投标法》《中华人民共和国招标投标法实施条例》等有关法律、法规和规章的规定，本招标项目已具备招标条件，现对本招标项目进行招标。</w:t>
      </w:r>
    </w:p>
    <w:p>
      <w:pPr>
        <w:spacing w:line="360" w:lineRule="auto"/>
        <w:ind w:firstLine="480" w:firstLineChars="200"/>
        <w:rPr>
          <w:rFonts w:hAnsi="宋体" w:cs="宋体"/>
          <w:highlight w:val="none"/>
        </w:rPr>
      </w:pPr>
      <w:r>
        <w:rPr>
          <w:rFonts w:hint="eastAsia" w:hAnsi="宋体" w:cs="宋体"/>
          <w:highlight w:val="none"/>
        </w:rPr>
        <w:t>1.1.2招标人：见招标公告。</w:t>
      </w:r>
    </w:p>
    <w:p>
      <w:pPr>
        <w:spacing w:line="360" w:lineRule="auto"/>
        <w:ind w:firstLine="480" w:firstLineChars="200"/>
        <w:rPr>
          <w:rFonts w:hAnsi="宋体" w:cs="宋体"/>
          <w:highlight w:val="none"/>
        </w:rPr>
      </w:pPr>
      <w:r>
        <w:rPr>
          <w:rFonts w:hint="eastAsia" w:hAnsi="宋体" w:cs="宋体"/>
          <w:highlight w:val="none"/>
        </w:rPr>
        <w:t>1.1.3 招标代理机构：见招标公告。</w:t>
      </w:r>
    </w:p>
    <w:p>
      <w:pPr>
        <w:spacing w:line="360" w:lineRule="auto"/>
        <w:ind w:firstLine="480" w:firstLineChars="200"/>
        <w:rPr>
          <w:rFonts w:hAnsi="宋体" w:cs="宋体"/>
          <w:highlight w:val="none"/>
        </w:rPr>
      </w:pPr>
      <w:r>
        <w:rPr>
          <w:rFonts w:hint="eastAsia" w:hAnsi="宋体" w:cs="宋体"/>
          <w:highlight w:val="none"/>
        </w:rPr>
        <w:t>1.1.4 招标项目名称：见招标公告。</w:t>
      </w:r>
    </w:p>
    <w:p>
      <w:pPr>
        <w:spacing w:line="360" w:lineRule="auto"/>
        <w:ind w:firstLine="480" w:firstLineChars="200"/>
        <w:rPr>
          <w:rFonts w:hAnsi="宋体" w:cs="宋体"/>
          <w:highlight w:val="none"/>
        </w:rPr>
      </w:pPr>
      <w:r>
        <w:rPr>
          <w:rFonts w:hint="eastAsia" w:hAnsi="宋体" w:cs="宋体"/>
          <w:highlight w:val="none"/>
        </w:rPr>
        <w:t>1.1.5 建设地点：见招标公告。</w:t>
      </w:r>
    </w:p>
    <w:p>
      <w:pPr>
        <w:pStyle w:val="4"/>
        <w:spacing w:beforeLines="100" w:afterLines="100" w:line="240" w:lineRule="auto"/>
        <w:rPr>
          <w:rFonts w:cs="黑体"/>
          <w:snapToGrid w:val="0"/>
          <w:highlight w:val="none"/>
          <w:shd w:val="clear" w:color="auto" w:fill="FFFFFF"/>
          <w:lang w:val="zh-CN"/>
        </w:rPr>
      </w:pPr>
      <w:bookmarkStart w:id="156" w:name="_Toc152045531"/>
      <w:bookmarkStart w:id="157" w:name="_Toc152042307"/>
      <w:bookmarkStart w:id="158" w:name="_Toc179632548"/>
      <w:bookmarkStart w:id="159" w:name="_Toc144974499"/>
      <w:r>
        <w:rPr>
          <w:rFonts w:hint="eastAsia" w:cs="黑体"/>
          <w:snapToGrid w:val="0"/>
          <w:highlight w:val="none"/>
          <w:shd w:val="clear" w:color="auto" w:fill="FFFFFF"/>
          <w:lang w:val="zh-CN"/>
        </w:rPr>
        <w:t>1.2资金来源和落实情况</w:t>
      </w:r>
      <w:bookmarkEnd w:id="156"/>
      <w:bookmarkEnd w:id="157"/>
      <w:bookmarkEnd w:id="158"/>
      <w:bookmarkEnd w:id="159"/>
    </w:p>
    <w:p>
      <w:pPr>
        <w:spacing w:line="360" w:lineRule="auto"/>
        <w:ind w:firstLine="480" w:firstLineChars="200"/>
        <w:rPr>
          <w:rFonts w:hAnsi="宋体" w:cs="宋体"/>
          <w:highlight w:val="none"/>
        </w:rPr>
      </w:pPr>
      <w:r>
        <w:rPr>
          <w:rFonts w:hint="eastAsia" w:hAnsi="宋体" w:cs="宋体"/>
          <w:highlight w:val="none"/>
        </w:rPr>
        <w:t>1.2.1 资金来源：见招标公告。</w:t>
      </w:r>
    </w:p>
    <w:p>
      <w:pPr>
        <w:spacing w:line="360" w:lineRule="auto"/>
        <w:ind w:firstLine="480" w:firstLineChars="200"/>
        <w:rPr>
          <w:rFonts w:hAnsi="宋体" w:cs="宋体"/>
          <w:highlight w:val="none"/>
        </w:rPr>
      </w:pPr>
      <w:r>
        <w:rPr>
          <w:rFonts w:hint="eastAsia" w:hAnsi="宋体" w:cs="宋体"/>
          <w:highlight w:val="none"/>
        </w:rPr>
        <w:t>1.2.2 出资比例：见招标公告。</w:t>
      </w:r>
    </w:p>
    <w:p>
      <w:pPr>
        <w:spacing w:line="360" w:lineRule="auto"/>
        <w:ind w:firstLine="480" w:firstLineChars="200"/>
        <w:rPr>
          <w:rFonts w:hAnsi="宋体" w:cs="宋体"/>
          <w:highlight w:val="none"/>
        </w:rPr>
      </w:pPr>
      <w:r>
        <w:rPr>
          <w:rFonts w:hint="eastAsia" w:hAnsi="宋体" w:cs="宋体"/>
          <w:highlight w:val="none"/>
        </w:rPr>
        <w:t>1.2.3 资金落实情况：见招标公告。</w:t>
      </w:r>
    </w:p>
    <w:p>
      <w:pPr>
        <w:pStyle w:val="4"/>
        <w:spacing w:beforeLines="100" w:afterLines="100" w:line="240" w:lineRule="auto"/>
        <w:rPr>
          <w:rFonts w:cs="黑体"/>
          <w:snapToGrid w:val="0"/>
          <w:highlight w:val="none"/>
          <w:shd w:val="clear" w:color="auto" w:fill="FFFFFF"/>
          <w:lang w:val="zh-CN"/>
        </w:rPr>
      </w:pPr>
      <w:bookmarkStart w:id="160" w:name="_Toc179632549"/>
      <w:bookmarkStart w:id="161" w:name="_Toc152042308"/>
      <w:bookmarkStart w:id="162" w:name="_Toc144974500"/>
      <w:bookmarkStart w:id="163" w:name="_Toc152045532"/>
      <w:r>
        <w:rPr>
          <w:rFonts w:hint="eastAsia" w:cs="黑体"/>
          <w:snapToGrid w:val="0"/>
          <w:highlight w:val="none"/>
          <w:shd w:val="clear" w:color="auto" w:fill="FFFFFF"/>
          <w:lang w:val="zh-CN"/>
        </w:rPr>
        <w:t>1.3招标范围、交货及安装周期、交货及安装地点</w:t>
      </w:r>
      <w:r>
        <w:rPr>
          <w:rFonts w:hint="eastAsia" w:cs="黑体"/>
          <w:snapToGrid w:val="0"/>
          <w:highlight w:val="none"/>
          <w:shd w:val="clear" w:color="auto" w:fill="FFFFFF"/>
        </w:rPr>
        <w:t>和</w:t>
      </w:r>
      <w:r>
        <w:rPr>
          <w:rFonts w:hint="eastAsia" w:cs="黑体"/>
          <w:snapToGrid w:val="0"/>
          <w:highlight w:val="none"/>
          <w:shd w:val="clear" w:color="auto" w:fill="FFFFFF"/>
          <w:lang w:val="zh-CN"/>
        </w:rPr>
        <w:t>技术性能指标</w:t>
      </w:r>
      <w:bookmarkEnd w:id="160"/>
      <w:bookmarkEnd w:id="161"/>
      <w:bookmarkEnd w:id="162"/>
      <w:bookmarkEnd w:id="163"/>
    </w:p>
    <w:p>
      <w:pPr>
        <w:spacing w:line="360" w:lineRule="auto"/>
        <w:ind w:firstLine="480" w:firstLineChars="200"/>
        <w:rPr>
          <w:rFonts w:hAnsi="宋体" w:cs="宋体"/>
          <w:highlight w:val="none"/>
        </w:rPr>
      </w:pPr>
      <w:r>
        <w:rPr>
          <w:rFonts w:hint="eastAsia" w:hAnsi="宋体" w:cs="宋体"/>
          <w:highlight w:val="none"/>
        </w:rPr>
        <w:t>1.3.1 招标范围：见招标公告。</w:t>
      </w:r>
    </w:p>
    <w:p>
      <w:pPr>
        <w:spacing w:line="360" w:lineRule="auto"/>
        <w:ind w:firstLine="480" w:firstLineChars="200"/>
        <w:rPr>
          <w:rFonts w:hAnsi="宋体" w:cs="宋体"/>
          <w:highlight w:val="none"/>
        </w:rPr>
      </w:pPr>
      <w:r>
        <w:rPr>
          <w:rFonts w:hint="eastAsia" w:hAnsi="宋体" w:cs="宋体"/>
          <w:highlight w:val="none"/>
        </w:rPr>
        <w:t>1.3.2交货及安装周期：见招标公告。</w:t>
      </w:r>
    </w:p>
    <w:p>
      <w:pPr>
        <w:spacing w:line="360" w:lineRule="auto"/>
        <w:ind w:firstLine="480" w:firstLineChars="200"/>
        <w:rPr>
          <w:rFonts w:hAnsi="宋体" w:cs="宋体"/>
          <w:highlight w:val="none"/>
        </w:rPr>
      </w:pPr>
      <w:r>
        <w:rPr>
          <w:rFonts w:hint="eastAsia" w:hAnsi="宋体" w:cs="宋体"/>
          <w:highlight w:val="none"/>
        </w:rPr>
        <w:t>1.3.3交货及安装地点：见招标公告。</w:t>
      </w:r>
    </w:p>
    <w:p>
      <w:pPr>
        <w:spacing w:line="360" w:lineRule="auto"/>
        <w:ind w:firstLine="480" w:firstLineChars="200"/>
        <w:rPr>
          <w:rFonts w:hAnsi="宋体" w:cs="宋体"/>
          <w:highlight w:val="none"/>
        </w:rPr>
      </w:pPr>
      <w:r>
        <w:rPr>
          <w:rFonts w:hint="eastAsia" w:hAnsi="宋体" w:cs="宋体"/>
          <w:highlight w:val="none"/>
        </w:rPr>
        <w:t>1.3.4技术性能指标：见投标人须知前附表。</w:t>
      </w:r>
    </w:p>
    <w:p>
      <w:pPr>
        <w:pStyle w:val="4"/>
        <w:spacing w:beforeLines="100" w:afterLines="100" w:line="240" w:lineRule="auto"/>
        <w:rPr>
          <w:rFonts w:cs="黑体"/>
          <w:snapToGrid w:val="0"/>
          <w:highlight w:val="none"/>
          <w:shd w:val="clear" w:color="auto" w:fill="FFFFFF"/>
          <w:lang w:val="zh-CN"/>
        </w:rPr>
      </w:pPr>
      <w:bookmarkStart w:id="164" w:name="_Toc152042310"/>
      <w:bookmarkStart w:id="165" w:name="_Toc152045534"/>
      <w:bookmarkStart w:id="166" w:name="_Toc144974502"/>
      <w:bookmarkStart w:id="167" w:name="_Toc179632551"/>
      <w:r>
        <w:rPr>
          <w:rFonts w:hint="eastAsia" w:cs="黑体"/>
          <w:snapToGrid w:val="0"/>
          <w:highlight w:val="none"/>
          <w:shd w:val="clear" w:color="auto" w:fill="FFFFFF"/>
          <w:lang w:val="zh-CN"/>
        </w:rPr>
        <w:t>1.4投标人资格要求</w:t>
      </w:r>
      <w:bookmarkEnd w:id="164"/>
      <w:bookmarkEnd w:id="165"/>
      <w:bookmarkEnd w:id="166"/>
      <w:bookmarkEnd w:id="167"/>
    </w:p>
    <w:p>
      <w:pPr>
        <w:spacing w:line="360" w:lineRule="auto"/>
        <w:ind w:firstLine="480" w:firstLineChars="200"/>
        <w:rPr>
          <w:rFonts w:hAnsi="宋体" w:cs="宋体"/>
          <w:highlight w:val="none"/>
        </w:rPr>
      </w:pPr>
      <w:r>
        <w:rPr>
          <w:rFonts w:hint="eastAsia" w:hAnsi="宋体" w:cs="宋体"/>
          <w:highlight w:val="none"/>
        </w:rPr>
        <w:t>1.4.1投标人应具备承担本标段的资质条件、能力和信誉：</w:t>
      </w:r>
    </w:p>
    <w:p>
      <w:pPr>
        <w:spacing w:line="360" w:lineRule="auto"/>
        <w:ind w:firstLine="480" w:firstLineChars="200"/>
        <w:rPr>
          <w:rFonts w:hAnsi="宋体" w:cs="宋体"/>
          <w:highlight w:val="none"/>
        </w:rPr>
      </w:pPr>
      <w:r>
        <w:rPr>
          <w:rFonts w:hint="eastAsia" w:hAnsi="宋体" w:cs="宋体"/>
          <w:highlight w:val="none"/>
        </w:rPr>
        <w:t xml:space="preserve">（1）资质条件：见投标人须知前附表； </w:t>
      </w:r>
    </w:p>
    <w:p>
      <w:pPr>
        <w:spacing w:line="360" w:lineRule="auto"/>
        <w:ind w:firstLine="480" w:firstLineChars="200"/>
        <w:rPr>
          <w:rFonts w:hAnsi="宋体" w:cs="宋体"/>
          <w:highlight w:val="none"/>
        </w:rPr>
      </w:pPr>
      <w:r>
        <w:rPr>
          <w:rFonts w:hint="eastAsia" w:hAnsi="宋体" w:cs="宋体"/>
          <w:highlight w:val="none"/>
        </w:rPr>
        <w:t>（2）财务要求：见投标人须知前附表；</w:t>
      </w:r>
    </w:p>
    <w:p>
      <w:pPr>
        <w:spacing w:line="360" w:lineRule="auto"/>
        <w:ind w:firstLine="480" w:firstLineChars="200"/>
        <w:rPr>
          <w:rFonts w:hAnsi="宋体" w:cs="宋体"/>
          <w:highlight w:val="none"/>
        </w:rPr>
      </w:pPr>
      <w:r>
        <w:rPr>
          <w:rFonts w:hint="eastAsia" w:hAnsi="宋体" w:cs="宋体"/>
          <w:highlight w:val="none"/>
        </w:rPr>
        <w:t>（3）业绩要求：见投标人须知前附表；</w:t>
      </w:r>
    </w:p>
    <w:p>
      <w:pPr>
        <w:spacing w:line="360" w:lineRule="auto"/>
        <w:ind w:firstLine="480" w:firstLineChars="200"/>
        <w:rPr>
          <w:rFonts w:hAnsi="宋体" w:cs="宋体"/>
          <w:highlight w:val="none"/>
        </w:rPr>
      </w:pPr>
      <w:r>
        <w:rPr>
          <w:rFonts w:hint="eastAsia" w:hAnsi="宋体" w:cs="宋体"/>
          <w:highlight w:val="none"/>
        </w:rPr>
        <w:t>（4）信誉要求：见投标人须知前附表；</w:t>
      </w:r>
    </w:p>
    <w:p>
      <w:pPr>
        <w:spacing w:line="360" w:lineRule="auto"/>
        <w:ind w:firstLine="480" w:firstLineChars="200"/>
        <w:rPr>
          <w:rFonts w:hAnsi="宋体" w:cs="宋体"/>
          <w:highlight w:val="none"/>
        </w:rPr>
      </w:pPr>
      <w:r>
        <w:rPr>
          <w:rFonts w:hint="eastAsia" w:hAnsi="宋体" w:cs="宋体"/>
          <w:highlight w:val="none"/>
        </w:rPr>
        <w:t>（5）项目负责人资格：见投标人须知前附表；</w:t>
      </w:r>
    </w:p>
    <w:p>
      <w:pPr>
        <w:spacing w:line="360" w:lineRule="auto"/>
        <w:ind w:firstLine="480" w:firstLineChars="200"/>
        <w:rPr>
          <w:highlight w:val="none"/>
        </w:rPr>
      </w:pPr>
      <w:r>
        <w:rPr>
          <w:rFonts w:hint="eastAsia" w:hAnsi="宋体" w:cs="宋体"/>
          <w:highlight w:val="none"/>
        </w:rPr>
        <w:t>（6）其他要求：见投标人须知前附表。</w:t>
      </w:r>
    </w:p>
    <w:p>
      <w:pPr>
        <w:spacing w:line="360" w:lineRule="auto"/>
        <w:ind w:firstLine="480" w:firstLineChars="200"/>
        <w:rPr>
          <w:rFonts w:hAnsi="宋体" w:cs="宋体"/>
          <w:highlight w:val="none"/>
        </w:rPr>
      </w:pPr>
      <w:r>
        <w:rPr>
          <w:rFonts w:hint="eastAsia" w:hAnsi="宋体" w:cs="宋体"/>
          <w:highlight w:val="none"/>
        </w:rPr>
        <w:t>投标人为代理经销商的，对投标人的资质要求可包含对制造商的资质要求，对投标人的业绩要求可包含对投标货物的业绩要求。</w:t>
      </w:r>
    </w:p>
    <w:p>
      <w:pPr>
        <w:spacing w:line="360" w:lineRule="auto"/>
        <w:ind w:firstLine="480" w:firstLineChars="200"/>
        <w:rPr>
          <w:rFonts w:hAnsi="宋体" w:cs="宋体"/>
          <w:highlight w:val="none"/>
        </w:rPr>
      </w:pPr>
      <w:r>
        <w:rPr>
          <w:rFonts w:hint="eastAsia" w:hAnsi="宋体" w:cs="宋体"/>
          <w:highlight w:val="none"/>
        </w:rPr>
        <w:t>需要提交的相关证明材料见本章第3.5款的规定。</w:t>
      </w:r>
    </w:p>
    <w:p>
      <w:pPr>
        <w:spacing w:line="360" w:lineRule="auto"/>
        <w:ind w:firstLine="480" w:firstLineChars="200"/>
        <w:rPr>
          <w:rFonts w:hAnsi="宋体" w:cs="宋体"/>
          <w:highlight w:val="none"/>
        </w:rPr>
      </w:pPr>
      <w:r>
        <w:rPr>
          <w:rFonts w:hint="eastAsia" w:hAnsi="宋体" w:cs="宋体"/>
          <w:highlight w:val="none"/>
        </w:rPr>
        <w:t>1.4.2 投标人须知前附表规定接受联合体投标的，联合体除应符合本章第1.4.1项和投标人须知前附表的要求外，还应遵守以下规定：</w:t>
      </w:r>
    </w:p>
    <w:p>
      <w:pPr>
        <w:spacing w:line="360" w:lineRule="auto"/>
        <w:ind w:firstLine="480" w:firstLineChars="200"/>
        <w:rPr>
          <w:rFonts w:hAnsi="宋体" w:cs="宋体"/>
          <w:highlight w:val="none"/>
        </w:rPr>
      </w:pPr>
      <w:r>
        <w:rPr>
          <w:rFonts w:hint="eastAsia" w:hAnsi="宋体" w:cs="宋体"/>
          <w:highlight w:val="none"/>
        </w:rPr>
        <w:t xml:space="preserve">（1）联合体各方应按照招标文件提供的格式签订联合体协议书，明确联合体牵头人和各方权利义务，并承诺就中标项目向招标人承担连带责任； </w:t>
      </w:r>
    </w:p>
    <w:p>
      <w:pPr>
        <w:spacing w:line="360" w:lineRule="auto"/>
        <w:ind w:firstLine="480" w:firstLineChars="200"/>
        <w:rPr>
          <w:rFonts w:hAnsi="宋体" w:cs="宋体"/>
          <w:highlight w:val="none"/>
        </w:rPr>
      </w:pPr>
      <w:r>
        <w:rPr>
          <w:rFonts w:hint="eastAsia" w:hAnsi="宋体" w:cs="宋体"/>
          <w:highlight w:val="none"/>
        </w:rPr>
        <w:t>（2）联合体协议约定同一专业分工由两个以上成员共同承担的，按照承担该专业工作的资质等级最低的成员确定联合体该专业的资质；不同专业分工由不同成员分别承担的，按照各自的专业资质确定联合体的资质；</w:t>
      </w:r>
    </w:p>
    <w:p>
      <w:pPr>
        <w:spacing w:line="360" w:lineRule="auto"/>
        <w:ind w:firstLine="480" w:firstLineChars="200"/>
        <w:rPr>
          <w:rFonts w:hAnsi="宋体" w:cs="宋体"/>
          <w:highlight w:val="none"/>
        </w:rPr>
      </w:pPr>
      <w:r>
        <w:rPr>
          <w:rFonts w:hint="eastAsia" w:hAnsi="宋体" w:cs="宋体"/>
          <w:highlight w:val="none"/>
        </w:rPr>
        <w:t>（3）联合体各方不得再以自己名义单独或参加其他联合体在同一标段中投标。</w:t>
      </w:r>
    </w:p>
    <w:p>
      <w:pPr>
        <w:spacing w:line="360" w:lineRule="auto"/>
        <w:ind w:firstLine="480" w:firstLineChars="200"/>
        <w:rPr>
          <w:rFonts w:hAnsi="宋体" w:cs="宋体"/>
          <w:highlight w:val="none"/>
        </w:rPr>
      </w:pPr>
      <w:r>
        <w:rPr>
          <w:rFonts w:hint="eastAsia" w:hAnsi="宋体" w:cs="宋体"/>
          <w:highlight w:val="none"/>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360" w:lineRule="auto"/>
        <w:ind w:firstLine="480" w:firstLineChars="200"/>
        <w:rPr>
          <w:rFonts w:hAnsi="宋体" w:cs="宋体"/>
          <w:highlight w:val="none"/>
        </w:rPr>
      </w:pPr>
      <w:r>
        <w:rPr>
          <w:rFonts w:hint="eastAsia" w:hAnsi="宋体" w:cs="宋体"/>
          <w:highlight w:val="none"/>
        </w:rPr>
        <w:t>（5）尽管委任了联合体牵头人，但联合体各成员在投标、签约与履行合同过程中，仍负有连带的和各自的法律责任。</w:t>
      </w:r>
    </w:p>
    <w:p>
      <w:pPr>
        <w:spacing w:line="360" w:lineRule="auto"/>
        <w:ind w:firstLine="480" w:firstLineChars="200"/>
        <w:rPr>
          <w:rFonts w:hAnsi="宋体" w:cs="宋体"/>
          <w:highlight w:val="none"/>
        </w:rPr>
      </w:pPr>
      <w:r>
        <w:rPr>
          <w:rFonts w:hint="eastAsia" w:hAnsi="宋体" w:cs="宋体"/>
          <w:highlight w:val="none"/>
        </w:rPr>
        <w:t>1.4.3</w:t>
      </w:r>
      <w:r>
        <w:rPr>
          <w:rFonts w:hint="eastAsia" w:ascii="Times New Roman"/>
          <w:highlight w:val="none"/>
        </w:rPr>
        <w:t>投标人（包括联合体各成员）不得存在下列情形：</w:t>
      </w:r>
    </w:p>
    <w:p>
      <w:pPr>
        <w:spacing w:line="360" w:lineRule="auto"/>
        <w:ind w:firstLine="480" w:firstLineChars="200"/>
        <w:rPr>
          <w:rFonts w:hAnsi="宋体" w:cs="宋体"/>
          <w:highlight w:val="none"/>
        </w:rPr>
      </w:pPr>
      <w:r>
        <w:rPr>
          <w:rFonts w:hint="eastAsia" w:hAnsi="宋体" w:cs="宋体"/>
          <w:highlight w:val="none"/>
          <w:lang w:val="zh-CN"/>
        </w:rPr>
        <w:t>（1）为招标人不具有独立法人资格的附属机构（单位</w:t>
      </w:r>
      <w:r>
        <w:rPr>
          <w:rFonts w:hint="eastAsia" w:hAnsi="宋体" w:cs="宋体"/>
          <w:highlight w:val="none"/>
        </w:rPr>
        <w:t xml:space="preserve">）； </w:t>
      </w:r>
    </w:p>
    <w:p>
      <w:pPr>
        <w:spacing w:line="360" w:lineRule="auto"/>
        <w:ind w:firstLine="480" w:firstLineChars="200"/>
        <w:rPr>
          <w:rFonts w:hAnsi="宋体" w:cs="宋体"/>
          <w:highlight w:val="none"/>
        </w:rPr>
      </w:pPr>
      <w:r>
        <w:rPr>
          <w:rFonts w:hint="eastAsia" w:hAnsi="宋体" w:cs="宋体"/>
          <w:highlight w:val="none"/>
          <w:lang w:val="zh-CN"/>
        </w:rPr>
        <w:t>（2）与招标人存在利害关系且可能影响招标公正性；</w:t>
      </w:r>
    </w:p>
    <w:p>
      <w:pPr>
        <w:spacing w:line="360" w:lineRule="auto"/>
        <w:ind w:firstLine="480" w:firstLineChars="200"/>
        <w:rPr>
          <w:rFonts w:hAnsi="宋体" w:cs="宋体"/>
          <w:highlight w:val="none"/>
        </w:rPr>
      </w:pPr>
      <w:r>
        <w:rPr>
          <w:rFonts w:hint="eastAsia" w:hAnsi="宋体" w:cs="宋体"/>
          <w:highlight w:val="none"/>
          <w:lang w:val="zh-CN"/>
        </w:rPr>
        <w:t>（3）</w:t>
      </w:r>
      <w:r>
        <w:rPr>
          <w:rFonts w:hint="eastAsia" w:ascii="Times New Roman"/>
          <w:highlight w:val="none"/>
        </w:rPr>
        <w:t>与本标段其他投标人的单位负责人为同一人</w:t>
      </w:r>
      <w:r>
        <w:rPr>
          <w:rFonts w:hint="eastAsia" w:hAnsi="宋体" w:cs="宋体"/>
          <w:highlight w:val="none"/>
          <w:lang w:val="zh-CN"/>
        </w:rPr>
        <w:t>；</w:t>
      </w:r>
    </w:p>
    <w:p>
      <w:pPr>
        <w:spacing w:line="360" w:lineRule="auto"/>
        <w:ind w:firstLine="480" w:firstLineChars="200"/>
        <w:rPr>
          <w:rFonts w:hAnsi="宋体" w:cs="宋体"/>
          <w:highlight w:val="none"/>
          <w:lang w:val="zh-CN"/>
        </w:rPr>
      </w:pPr>
      <w:r>
        <w:rPr>
          <w:rFonts w:hint="eastAsia" w:hAnsi="宋体" w:cs="宋体"/>
          <w:highlight w:val="none"/>
          <w:lang w:val="zh-CN"/>
        </w:rPr>
        <w:t>（4）与本标段的其他投标人存在控股、管理关系；</w:t>
      </w:r>
    </w:p>
    <w:p>
      <w:pPr>
        <w:spacing w:line="360" w:lineRule="auto"/>
        <w:ind w:firstLine="480" w:firstLineChars="200"/>
        <w:rPr>
          <w:rFonts w:hAnsi="宋体" w:cs="宋体"/>
          <w:highlight w:val="none"/>
        </w:rPr>
      </w:pPr>
      <w:r>
        <w:rPr>
          <w:rFonts w:hint="eastAsia" w:hAnsi="宋体" w:cs="宋体"/>
          <w:highlight w:val="none"/>
        </w:rPr>
        <w:t xml:space="preserve">（5）为本标段前期准备提供过设计、编制技术规范和其他文件的咨询服务； </w:t>
      </w:r>
    </w:p>
    <w:p>
      <w:pPr>
        <w:spacing w:line="360" w:lineRule="auto"/>
        <w:ind w:firstLine="480" w:firstLineChars="200"/>
        <w:rPr>
          <w:rFonts w:hAnsi="宋体" w:cs="宋体"/>
          <w:highlight w:val="none"/>
          <w:lang w:val="zh-CN"/>
        </w:rPr>
      </w:pPr>
      <w:r>
        <w:rPr>
          <w:rFonts w:hint="eastAsia" w:hAnsi="宋体" w:cs="宋体"/>
          <w:highlight w:val="none"/>
        </w:rPr>
        <w:t xml:space="preserve">（6）为本工程项目的监理人，或者与本工程项目的监理人存在隶属关系或者其他利害关系； </w:t>
      </w:r>
    </w:p>
    <w:p>
      <w:pPr>
        <w:spacing w:line="360" w:lineRule="auto"/>
        <w:ind w:firstLine="480" w:firstLineChars="200"/>
        <w:rPr>
          <w:rFonts w:hAnsi="宋体" w:cs="宋体"/>
          <w:highlight w:val="none"/>
        </w:rPr>
      </w:pPr>
      <w:r>
        <w:rPr>
          <w:rFonts w:hint="eastAsia" w:hAnsi="宋体" w:cs="宋体"/>
          <w:highlight w:val="none"/>
          <w:lang w:val="zh-CN"/>
        </w:rPr>
        <w:t>（7）为本标段的代建人；</w:t>
      </w:r>
    </w:p>
    <w:p>
      <w:pPr>
        <w:spacing w:line="360" w:lineRule="auto"/>
        <w:ind w:firstLine="480" w:firstLineChars="200"/>
        <w:rPr>
          <w:rFonts w:hAnsi="宋体" w:cs="宋体"/>
          <w:highlight w:val="none"/>
        </w:rPr>
      </w:pPr>
      <w:r>
        <w:rPr>
          <w:rFonts w:hint="eastAsia" w:hAnsi="宋体" w:cs="宋体"/>
          <w:highlight w:val="none"/>
          <w:lang w:val="zh-CN"/>
        </w:rPr>
        <w:t>（8）为本标段的招标代理机构；</w:t>
      </w:r>
    </w:p>
    <w:p>
      <w:pPr>
        <w:spacing w:line="360" w:lineRule="auto"/>
        <w:ind w:firstLine="480" w:firstLineChars="200"/>
        <w:rPr>
          <w:rFonts w:hAnsi="宋体" w:cs="宋体"/>
          <w:highlight w:val="none"/>
        </w:rPr>
      </w:pPr>
      <w:r>
        <w:rPr>
          <w:rFonts w:hint="eastAsia" w:hAnsi="宋体" w:cs="宋体"/>
          <w:highlight w:val="none"/>
          <w:lang w:val="zh-CN"/>
        </w:rPr>
        <w:t>（9）与本标段的监理人或代建人或招标代理机构同为一个法定代表人；</w:t>
      </w:r>
    </w:p>
    <w:p>
      <w:pPr>
        <w:spacing w:line="360" w:lineRule="auto"/>
        <w:ind w:firstLine="480" w:firstLineChars="200"/>
        <w:rPr>
          <w:rFonts w:hAnsi="宋体" w:cs="宋体"/>
          <w:highlight w:val="none"/>
          <w:lang w:val="zh-CN"/>
        </w:rPr>
      </w:pPr>
      <w:r>
        <w:rPr>
          <w:rFonts w:hint="eastAsia" w:hAnsi="宋体" w:cs="宋体"/>
          <w:highlight w:val="none"/>
          <w:lang w:val="zh-CN"/>
        </w:rPr>
        <w:t>（10）与本标段的监理人或代建人或招标代理机构存在控股或参股关系；</w:t>
      </w:r>
    </w:p>
    <w:p>
      <w:pPr>
        <w:spacing w:line="360" w:lineRule="auto"/>
        <w:ind w:firstLine="480" w:firstLineChars="200"/>
        <w:rPr>
          <w:rFonts w:hAnsi="宋体" w:cs="宋体"/>
          <w:highlight w:val="none"/>
        </w:rPr>
      </w:pPr>
      <w:bookmarkStart w:id="168" w:name="_Toc152042311"/>
      <w:bookmarkStart w:id="169" w:name="_Toc179632552"/>
      <w:bookmarkStart w:id="170" w:name="_Toc152045535"/>
      <w:bookmarkStart w:id="171" w:name="_Toc144974503"/>
      <w:r>
        <w:rPr>
          <w:rFonts w:hint="eastAsia" w:hAnsi="宋体" w:cs="宋体"/>
          <w:highlight w:val="none"/>
          <w:lang w:val="zh-CN"/>
        </w:rPr>
        <w:t>（1</w:t>
      </w:r>
      <w:r>
        <w:rPr>
          <w:rFonts w:hint="eastAsia" w:hAnsi="宋体" w:cs="宋体"/>
          <w:highlight w:val="none"/>
        </w:rPr>
        <w:t>1</w:t>
      </w:r>
      <w:r>
        <w:rPr>
          <w:rFonts w:hint="eastAsia" w:hAnsi="宋体" w:cs="宋体"/>
          <w:highlight w:val="none"/>
          <w:lang w:val="zh-CN"/>
        </w:rPr>
        <w:t>）</w:t>
      </w:r>
      <w:r>
        <w:rPr>
          <w:rFonts w:hint="eastAsia" w:ascii="Times New Roman"/>
          <w:highlight w:val="none"/>
        </w:rPr>
        <w:t>被依法暂停或者取消投标资格，且在处罚期和处罚范围内（以有关行政管理部门的行政处罚决定或司法机关出具的有关法律文书为准）</w:t>
      </w:r>
      <w:r>
        <w:rPr>
          <w:rFonts w:hint="eastAsia" w:hAnsi="宋体" w:cs="宋体"/>
          <w:highlight w:val="none"/>
        </w:rPr>
        <w:t xml:space="preserve">； </w:t>
      </w:r>
    </w:p>
    <w:p>
      <w:pPr>
        <w:spacing w:line="360" w:lineRule="auto"/>
        <w:ind w:firstLine="480" w:firstLineChars="200"/>
        <w:rPr>
          <w:rFonts w:hAnsi="宋体" w:cs="宋体"/>
          <w:highlight w:val="none"/>
        </w:rPr>
      </w:pPr>
      <w:r>
        <w:rPr>
          <w:rFonts w:hint="eastAsia" w:hAnsi="宋体" w:cs="宋体"/>
          <w:highlight w:val="none"/>
        </w:rPr>
        <w:t>（12）在最近三年内（自投标截止之日向前追溯3年）有骗取中标或串通投标或严重违约或发生重大产品质量问题的（以相关行业主管部门的行政处罚决定或司法机关出具的有关法律文书为准），前述行政处罚已完成信用修复的，但自行政处罚作出机关或信用修复主管部门同意修复之日起满一年的，不受三年期限限制；</w:t>
      </w:r>
    </w:p>
    <w:p>
      <w:pPr>
        <w:spacing w:line="360" w:lineRule="auto"/>
        <w:ind w:firstLine="480" w:firstLineChars="200"/>
        <w:rPr>
          <w:rFonts w:hAnsi="宋体" w:cs="宋体"/>
          <w:highlight w:val="none"/>
        </w:rPr>
      </w:pPr>
      <w:r>
        <w:rPr>
          <w:rFonts w:hint="eastAsia" w:hAnsi="宋体" w:cs="宋体"/>
          <w:highlight w:val="none"/>
        </w:rPr>
        <w:t xml:space="preserve">（13）被责令停产停业，暂扣或吊销执照，或吊销资质证书； </w:t>
      </w:r>
    </w:p>
    <w:p>
      <w:pPr>
        <w:spacing w:line="360" w:lineRule="auto"/>
        <w:ind w:firstLine="480" w:firstLineChars="200"/>
        <w:rPr>
          <w:rFonts w:hAnsi="宋体" w:cs="宋体"/>
          <w:highlight w:val="none"/>
        </w:rPr>
      </w:pPr>
      <w:r>
        <w:rPr>
          <w:rFonts w:hint="eastAsia" w:hAnsi="宋体" w:cs="宋体"/>
          <w:highlight w:val="none"/>
        </w:rPr>
        <w:t>（14）进入清算程序，或被宣告破产，或其他丧失履约能力的情形；</w:t>
      </w:r>
    </w:p>
    <w:p>
      <w:pPr>
        <w:spacing w:line="360" w:lineRule="auto"/>
        <w:ind w:firstLine="480" w:firstLineChars="200"/>
        <w:rPr>
          <w:rFonts w:hAnsi="宋体" w:cs="宋体"/>
          <w:highlight w:val="none"/>
          <w:lang w:val="zh-CN"/>
        </w:rPr>
      </w:pPr>
      <w:r>
        <w:rPr>
          <w:rFonts w:hint="eastAsia" w:hAnsi="宋体" w:cs="宋体"/>
          <w:highlight w:val="none"/>
        </w:rPr>
        <w:t>（15）</w:t>
      </w:r>
      <w:r>
        <w:rPr>
          <w:rFonts w:hint="eastAsia" w:ascii="Times New Roman"/>
          <w:highlight w:val="none"/>
        </w:rPr>
        <w:t>投标人或其法定代表人、项目负责人在近三年内（自投标截止之日向前追溯3年）有行贿犯罪行为</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（16）法律法规规定的其他禁止投标的情形；</w:t>
      </w:r>
    </w:p>
    <w:p>
      <w:pPr>
        <w:spacing w:line="360" w:lineRule="auto"/>
        <w:ind w:firstLine="480" w:firstLineChars="200"/>
        <w:rPr>
          <w:rFonts w:hAnsi="宋体" w:cs="宋体"/>
          <w:highlight w:val="none"/>
        </w:rPr>
      </w:pPr>
      <w:r>
        <w:rPr>
          <w:rFonts w:hint="eastAsia" w:hAnsi="宋体" w:cs="宋体"/>
          <w:highlight w:val="none"/>
        </w:rPr>
        <w:t>（17）投标人须知前附表规定的其他情形。</w:t>
      </w:r>
    </w:p>
    <w:p>
      <w:pPr>
        <w:spacing w:line="360" w:lineRule="auto"/>
        <w:ind w:firstLine="480" w:firstLineChars="200"/>
        <w:rPr>
          <w:rFonts w:hAnsi="宋体" w:cs="宋体"/>
          <w:highlight w:val="none"/>
        </w:rPr>
      </w:pPr>
      <w:r>
        <w:rPr>
          <w:rFonts w:hint="eastAsia" w:hAnsi="宋体" w:cs="宋体"/>
          <w:highlight w:val="none"/>
        </w:rPr>
        <w:t xml:space="preserve">1.4.4 投标人（包括联合体各成员）不得存在下列不良状况或不良信用记录：  </w:t>
      </w:r>
    </w:p>
    <w:p>
      <w:pPr>
        <w:spacing w:line="360" w:lineRule="auto"/>
        <w:ind w:firstLine="480" w:firstLineChars="200"/>
        <w:rPr>
          <w:rFonts w:ascii="Times New Roman"/>
          <w:highlight w:val="none"/>
        </w:rPr>
      </w:pPr>
      <w:r>
        <w:rPr>
          <w:rFonts w:hint="eastAsia" w:ascii="Times New Roman"/>
          <w:highlight w:val="none"/>
        </w:rPr>
        <w:t>（1）在国家企业信用信息公示系统（http://www.gsxt.gov.cn/）中被列入严重违法失信企业名单；</w:t>
      </w:r>
    </w:p>
    <w:p>
      <w:pPr>
        <w:spacing w:line="360" w:lineRule="auto"/>
        <w:ind w:firstLine="480" w:firstLineChars="200"/>
        <w:rPr>
          <w:rFonts w:ascii="Times New Roman"/>
          <w:highlight w:val="none"/>
        </w:rPr>
      </w:pPr>
      <w:r>
        <w:rPr>
          <w:rFonts w:hint="eastAsia" w:ascii="Times New Roman"/>
          <w:highlight w:val="none"/>
        </w:rPr>
        <w:t>（2）在“信用中国”网站（http://www.creditchina.gov.cn/）中被列入失信被执行人名单；</w:t>
      </w:r>
    </w:p>
    <w:p>
      <w:pPr>
        <w:spacing w:line="360" w:lineRule="auto"/>
        <w:ind w:firstLine="480" w:firstLineChars="200"/>
        <w:rPr>
          <w:rFonts w:ascii="Times New Roman"/>
          <w:highlight w:val="none"/>
        </w:rPr>
      </w:pPr>
      <w:r>
        <w:rPr>
          <w:rFonts w:hint="eastAsia" w:ascii="Times New Roman"/>
          <w:highlight w:val="none"/>
        </w:rPr>
        <w:t>（3）在“信用中国”网站（http://www.creditchina.gov.cn/）中被列入重大税收违法失信主体名单；</w:t>
      </w:r>
    </w:p>
    <w:p>
      <w:pPr>
        <w:spacing w:line="360" w:lineRule="auto"/>
        <w:ind w:firstLine="480" w:firstLineChars="200"/>
        <w:rPr>
          <w:rFonts w:hAnsi="宋体" w:cs="宋体"/>
          <w:highlight w:val="none"/>
        </w:rPr>
      </w:pPr>
      <w:r>
        <w:rPr>
          <w:rFonts w:hint="eastAsia" w:ascii="Times New Roman"/>
          <w:highlight w:val="none"/>
        </w:rPr>
        <w:t>（4）投标人须知前附表规定的其他情形</w:t>
      </w:r>
      <w:r>
        <w:rPr>
          <w:rFonts w:hint="eastAsia" w:hAnsi="宋体" w:cs="宋体"/>
          <w:highlight w:val="none"/>
        </w:rPr>
        <w:t>。</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1.5费用承担</w:t>
      </w:r>
      <w:bookmarkEnd w:id="168"/>
      <w:bookmarkEnd w:id="169"/>
      <w:bookmarkEnd w:id="170"/>
      <w:bookmarkEnd w:id="171"/>
    </w:p>
    <w:p>
      <w:pPr>
        <w:spacing w:line="360" w:lineRule="auto"/>
        <w:ind w:firstLine="480" w:firstLineChars="200"/>
        <w:rPr>
          <w:rFonts w:hAnsi="宋体" w:cs="宋体"/>
          <w:highlight w:val="none"/>
        </w:rPr>
      </w:pPr>
      <w:r>
        <w:rPr>
          <w:rFonts w:hint="eastAsia" w:hAnsi="宋体" w:cs="宋体"/>
          <w:highlight w:val="none"/>
        </w:rPr>
        <w:t>投标人准备和参加投标活动发生的费用自理。</w:t>
      </w:r>
    </w:p>
    <w:p>
      <w:pPr>
        <w:pStyle w:val="4"/>
        <w:spacing w:beforeLines="100" w:afterLines="100" w:line="240" w:lineRule="auto"/>
        <w:rPr>
          <w:rFonts w:cs="黑体"/>
          <w:snapToGrid w:val="0"/>
          <w:highlight w:val="none"/>
          <w:shd w:val="clear" w:color="auto" w:fill="FFFFFF"/>
          <w:lang w:val="zh-CN"/>
        </w:rPr>
      </w:pPr>
      <w:bookmarkStart w:id="172" w:name="_Toc152042312"/>
      <w:bookmarkStart w:id="173" w:name="_Toc144974504"/>
      <w:bookmarkStart w:id="174" w:name="_Toc179632553"/>
      <w:bookmarkStart w:id="175" w:name="_Toc152045536"/>
      <w:r>
        <w:rPr>
          <w:rFonts w:hint="eastAsia" w:cs="黑体"/>
          <w:snapToGrid w:val="0"/>
          <w:highlight w:val="none"/>
          <w:shd w:val="clear" w:color="auto" w:fill="FFFFFF"/>
          <w:lang w:val="zh-CN"/>
        </w:rPr>
        <w:t>1.6保密</w:t>
      </w:r>
      <w:bookmarkEnd w:id="172"/>
      <w:bookmarkEnd w:id="173"/>
      <w:bookmarkEnd w:id="174"/>
      <w:bookmarkEnd w:id="175"/>
    </w:p>
    <w:p>
      <w:pPr>
        <w:spacing w:line="360" w:lineRule="auto"/>
        <w:ind w:firstLine="480" w:firstLineChars="200"/>
        <w:rPr>
          <w:rFonts w:hAnsi="宋体" w:cs="宋体"/>
          <w:highlight w:val="none"/>
        </w:rPr>
      </w:pPr>
      <w:bookmarkStart w:id="176" w:name="_Toc144974505"/>
      <w:bookmarkStart w:id="177" w:name="_Toc152045537"/>
      <w:bookmarkStart w:id="178" w:name="_Toc152042313"/>
      <w:bookmarkStart w:id="179" w:name="_Toc179632554"/>
      <w:r>
        <w:rPr>
          <w:rFonts w:hint="eastAsia" w:hAnsi="宋体" w:cs="宋体"/>
          <w:highlight w:val="none"/>
        </w:rPr>
        <w:t>参与招标投标活动的各方应对招标文件和投标文件中的商业和技术等秘密保密，否则应承担相应的法律责任。</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1.7语言</w:t>
      </w:r>
      <w:bookmarkEnd w:id="176"/>
      <w:r>
        <w:rPr>
          <w:rFonts w:hint="eastAsia" w:cs="黑体"/>
          <w:snapToGrid w:val="0"/>
          <w:highlight w:val="none"/>
          <w:shd w:val="clear" w:color="auto" w:fill="FFFFFF"/>
          <w:lang w:val="zh-CN"/>
        </w:rPr>
        <w:t>文字</w:t>
      </w:r>
      <w:bookmarkEnd w:id="177"/>
      <w:bookmarkEnd w:id="178"/>
      <w:bookmarkEnd w:id="179"/>
    </w:p>
    <w:p>
      <w:pPr>
        <w:spacing w:line="360" w:lineRule="auto"/>
        <w:ind w:firstLine="480" w:firstLineChars="200"/>
        <w:rPr>
          <w:rFonts w:hAnsi="宋体" w:cs="宋体"/>
          <w:highlight w:val="none"/>
        </w:rPr>
      </w:pPr>
      <w:bookmarkStart w:id="180" w:name="_Toc152045538"/>
      <w:bookmarkStart w:id="181" w:name="_Toc144974506"/>
      <w:bookmarkStart w:id="182" w:name="_Toc152042314"/>
      <w:bookmarkStart w:id="183" w:name="_Toc179632555"/>
      <w:r>
        <w:rPr>
          <w:rFonts w:hint="eastAsia" w:hAnsi="宋体" w:cs="宋体"/>
          <w:highlight w:val="none"/>
        </w:rPr>
        <w:t>招标投标文件使用的语言文字为中文。专用术语使用外文的，应附有中文注释。</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1.8计量单位</w:t>
      </w:r>
      <w:bookmarkEnd w:id="180"/>
      <w:bookmarkEnd w:id="181"/>
      <w:bookmarkEnd w:id="182"/>
      <w:bookmarkEnd w:id="183"/>
    </w:p>
    <w:p>
      <w:pPr>
        <w:spacing w:line="360" w:lineRule="auto"/>
        <w:ind w:firstLine="480" w:firstLineChars="200"/>
        <w:rPr>
          <w:rFonts w:hAnsi="宋体" w:cs="宋体"/>
          <w:highlight w:val="none"/>
        </w:rPr>
      </w:pPr>
      <w:r>
        <w:rPr>
          <w:rFonts w:hint="eastAsia" w:hAnsi="宋体" w:cs="宋体"/>
          <w:highlight w:val="none"/>
        </w:rPr>
        <w:t>所有计量均采用中华人民共和国法定计量单位。</w:t>
      </w:r>
    </w:p>
    <w:p>
      <w:pPr>
        <w:pStyle w:val="4"/>
        <w:spacing w:beforeLines="100" w:afterLines="100" w:line="240" w:lineRule="auto"/>
        <w:rPr>
          <w:rFonts w:cs="黑体"/>
          <w:snapToGrid w:val="0"/>
          <w:highlight w:val="none"/>
          <w:shd w:val="clear" w:color="auto" w:fill="FFFFFF"/>
          <w:lang w:val="zh-CN"/>
        </w:rPr>
      </w:pPr>
      <w:bookmarkStart w:id="184" w:name="_Toc179632556"/>
      <w:bookmarkStart w:id="185" w:name="_Toc152042315"/>
      <w:bookmarkStart w:id="186" w:name="_Toc152045539"/>
      <w:bookmarkStart w:id="187" w:name="_Toc144974507"/>
      <w:r>
        <w:rPr>
          <w:rFonts w:hint="eastAsia" w:cs="黑体"/>
          <w:snapToGrid w:val="0"/>
          <w:highlight w:val="none"/>
          <w:shd w:val="clear" w:color="auto" w:fill="FFFFFF"/>
          <w:lang w:val="zh-CN"/>
        </w:rPr>
        <w:t>1.9踏勘现场</w:t>
      </w:r>
      <w:bookmarkEnd w:id="184"/>
      <w:bookmarkEnd w:id="185"/>
      <w:bookmarkEnd w:id="186"/>
      <w:bookmarkEnd w:id="187"/>
    </w:p>
    <w:p>
      <w:pPr>
        <w:spacing w:line="360" w:lineRule="auto"/>
        <w:ind w:firstLine="480" w:firstLineChars="200"/>
        <w:rPr>
          <w:rFonts w:hAnsi="宋体" w:cs="宋体"/>
          <w:highlight w:val="none"/>
        </w:rPr>
      </w:pPr>
      <w:r>
        <w:rPr>
          <w:rFonts w:hint="eastAsia" w:hAnsi="宋体" w:cs="宋体"/>
          <w:highlight w:val="none"/>
        </w:rPr>
        <w:t>1.9.1 投标人须知前附表规定组织踏勘现场的，招标人</w:t>
      </w:r>
      <w:r>
        <w:rPr>
          <w:rFonts w:hint="eastAsia" w:hAnsi="宋体" w:cs="宋体"/>
          <w:bCs/>
          <w:snapToGrid w:val="0"/>
          <w:highlight w:val="none"/>
        </w:rPr>
        <w:t>按</w:t>
      </w:r>
      <w:r>
        <w:rPr>
          <w:rFonts w:hint="eastAsia" w:hAnsi="宋体" w:cs="宋体"/>
          <w:highlight w:val="none"/>
        </w:rPr>
        <w:t>投标人须知前附表规定的时间、地点组织投标人踏勘项目现场。部分投标人未按时参加踏勘现场的，不影响踏勘现场的正常进行。招标人不得组织单个或部分投标人踏勘项目现场。</w:t>
      </w:r>
    </w:p>
    <w:p>
      <w:pPr>
        <w:spacing w:line="360" w:lineRule="auto"/>
        <w:ind w:firstLine="480" w:firstLineChars="200"/>
        <w:rPr>
          <w:rFonts w:hAnsi="宋体" w:cs="宋体"/>
          <w:highlight w:val="none"/>
        </w:rPr>
      </w:pPr>
      <w:r>
        <w:rPr>
          <w:rFonts w:hint="eastAsia" w:hAnsi="宋体" w:cs="宋体"/>
          <w:highlight w:val="none"/>
        </w:rPr>
        <w:t>1.9.2 投标人踏勘现场发生的费用自理。</w:t>
      </w:r>
    </w:p>
    <w:p>
      <w:pPr>
        <w:spacing w:line="360" w:lineRule="auto"/>
        <w:ind w:firstLine="480" w:firstLineChars="200"/>
        <w:rPr>
          <w:rFonts w:hAnsi="宋体" w:cs="宋体"/>
          <w:highlight w:val="none"/>
        </w:rPr>
      </w:pPr>
      <w:r>
        <w:rPr>
          <w:rFonts w:hint="eastAsia" w:hAnsi="宋体" w:cs="宋体"/>
          <w:highlight w:val="none"/>
        </w:rPr>
        <w:t>1.9.3 除招标人的原因外，投标人自行负责在踏勘现场中所发生的人员伤亡和财产损失。</w:t>
      </w:r>
    </w:p>
    <w:p>
      <w:pPr>
        <w:spacing w:line="360" w:lineRule="auto"/>
        <w:ind w:firstLine="480" w:firstLineChars="200"/>
        <w:rPr>
          <w:rFonts w:hAnsi="宋体" w:cs="宋体"/>
          <w:highlight w:val="none"/>
        </w:rPr>
      </w:pPr>
      <w:r>
        <w:rPr>
          <w:rFonts w:hint="eastAsia" w:hAnsi="宋体" w:cs="宋体"/>
          <w:highlight w:val="none"/>
        </w:rPr>
        <w:t>1.9.4 招标人在踏勘现场中介绍的项目场地和相关的周边环境情况，供投标人在编制投标文件时参考，招标人不对投标人据此作出的判断和决策负责。</w:t>
      </w:r>
    </w:p>
    <w:p>
      <w:pPr>
        <w:spacing w:line="360" w:lineRule="auto"/>
        <w:ind w:firstLine="480" w:firstLineChars="200"/>
        <w:rPr>
          <w:rFonts w:hAnsi="宋体" w:cs="宋体"/>
          <w:highlight w:val="none"/>
        </w:rPr>
      </w:pPr>
      <w:r>
        <w:rPr>
          <w:rFonts w:hint="eastAsia" w:hAnsi="宋体" w:cs="宋体"/>
          <w:highlight w:val="none"/>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4"/>
        <w:spacing w:beforeLines="100" w:afterLines="100" w:line="240" w:lineRule="auto"/>
        <w:rPr>
          <w:rFonts w:cs="黑体"/>
          <w:snapToGrid w:val="0"/>
          <w:highlight w:val="none"/>
          <w:shd w:val="clear" w:color="auto" w:fill="FFFFFF"/>
          <w:lang w:val="zh-CN"/>
        </w:rPr>
      </w:pPr>
      <w:bookmarkStart w:id="188" w:name="_Toc152042316"/>
      <w:bookmarkStart w:id="189" w:name="_Toc179632557"/>
      <w:bookmarkStart w:id="190" w:name="_Toc152045540"/>
      <w:bookmarkStart w:id="191" w:name="_Toc144974508"/>
      <w:r>
        <w:rPr>
          <w:rFonts w:hint="eastAsia" w:cs="黑体"/>
          <w:snapToGrid w:val="0"/>
          <w:highlight w:val="none"/>
          <w:shd w:val="clear" w:color="auto" w:fill="FFFFFF"/>
          <w:lang w:val="zh-CN"/>
        </w:rPr>
        <w:t>1.10 投标预备会</w:t>
      </w:r>
      <w:bookmarkEnd w:id="188"/>
      <w:bookmarkEnd w:id="189"/>
      <w:bookmarkEnd w:id="190"/>
      <w:bookmarkEnd w:id="191"/>
    </w:p>
    <w:p>
      <w:pPr>
        <w:spacing w:line="360" w:lineRule="auto"/>
        <w:ind w:firstLine="480" w:firstLineChars="200"/>
        <w:rPr>
          <w:rFonts w:hAnsi="宋体" w:cs="宋体"/>
          <w:highlight w:val="none"/>
        </w:rPr>
      </w:pPr>
      <w:r>
        <w:rPr>
          <w:rFonts w:hint="eastAsia" w:hAnsi="宋体" w:cs="宋体"/>
          <w:highlight w:val="none"/>
        </w:rPr>
        <w:t>1.10.1 投标人须知前附表规定召开投标预备会的，招标人按照投标人须知前附表规定的时间和形式召开投标预备会，澄清投标人提出的问题。</w:t>
      </w:r>
    </w:p>
    <w:p>
      <w:pPr>
        <w:spacing w:line="360" w:lineRule="auto"/>
        <w:ind w:firstLine="480" w:firstLineChars="200"/>
        <w:rPr>
          <w:rFonts w:hAnsi="宋体" w:cs="宋体"/>
          <w:highlight w:val="none"/>
        </w:rPr>
      </w:pPr>
      <w:r>
        <w:rPr>
          <w:rFonts w:hint="eastAsia" w:hAnsi="宋体" w:cs="宋体"/>
          <w:highlight w:val="none"/>
        </w:rPr>
        <w:t>1.10.2 投标人应按照投标人须知前附表规定的时间和形式将提出的问题送达招标人，以便招标人在会议期间澄清。</w:t>
      </w:r>
    </w:p>
    <w:p>
      <w:pPr>
        <w:spacing w:line="360" w:lineRule="auto"/>
        <w:ind w:firstLine="480" w:firstLineChars="200"/>
        <w:rPr>
          <w:rFonts w:hAnsi="宋体" w:cs="宋体"/>
          <w:highlight w:val="none"/>
        </w:rPr>
      </w:pPr>
      <w:r>
        <w:rPr>
          <w:rFonts w:hint="eastAsia" w:hAnsi="宋体" w:cs="宋体"/>
          <w:highlight w:val="none"/>
        </w:rPr>
        <w:t>1.10.3 投标预备会后，招标人将对投标人所提问题的澄清，按照本章第2.2款规定的时间和形式通知所有获取招标文件的投标人。该澄清内容为招标文件的组成部分。</w:t>
      </w:r>
    </w:p>
    <w:p>
      <w:pPr>
        <w:pStyle w:val="4"/>
        <w:spacing w:beforeLines="100" w:afterLines="100" w:line="240" w:lineRule="auto"/>
        <w:rPr>
          <w:rFonts w:cs="黑体"/>
          <w:snapToGrid w:val="0"/>
          <w:highlight w:val="none"/>
          <w:shd w:val="clear" w:color="auto" w:fill="FFFFFF"/>
          <w:lang w:val="zh-CN"/>
        </w:rPr>
      </w:pPr>
      <w:bookmarkStart w:id="192" w:name="_Toc152042317"/>
      <w:bookmarkStart w:id="193" w:name="_Toc144974509"/>
      <w:bookmarkStart w:id="194" w:name="_Toc179632558"/>
      <w:bookmarkStart w:id="195" w:name="_Toc152045541"/>
      <w:r>
        <w:rPr>
          <w:rFonts w:hint="eastAsia" w:cs="黑体"/>
          <w:snapToGrid w:val="0"/>
          <w:highlight w:val="none"/>
          <w:shd w:val="clear" w:color="auto" w:fill="FFFFFF"/>
          <w:lang w:val="zh-CN"/>
        </w:rPr>
        <w:t>1.11分包</w:t>
      </w:r>
      <w:bookmarkEnd w:id="192"/>
      <w:bookmarkEnd w:id="193"/>
      <w:bookmarkEnd w:id="194"/>
      <w:bookmarkEnd w:id="195"/>
    </w:p>
    <w:p>
      <w:pPr>
        <w:spacing w:line="360" w:lineRule="auto"/>
        <w:ind w:firstLine="480" w:firstLineChars="200"/>
        <w:rPr>
          <w:rFonts w:hAnsi="宋体" w:cs="宋体"/>
          <w:highlight w:val="none"/>
        </w:rPr>
      </w:pPr>
      <w:r>
        <w:rPr>
          <w:rFonts w:hint="eastAsia" w:hAnsi="宋体" w:cs="宋体"/>
          <w:highlight w:val="none"/>
        </w:rPr>
        <w:t>1.11.1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360" w:lineRule="auto"/>
        <w:ind w:firstLine="480" w:firstLineChars="200"/>
        <w:rPr>
          <w:rFonts w:hAnsi="宋体" w:cs="宋体"/>
          <w:highlight w:val="none"/>
        </w:rPr>
      </w:pPr>
      <w:r>
        <w:rPr>
          <w:rFonts w:hint="eastAsia" w:hAnsi="宋体" w:cs="宋体"/>
          <w:highlight w:val="none"/>
        </w:rPr>
        <w:t>1.11.2 中标人不得向他人转让中标项目，接受分包的人不得再次分包。中标人应就分包项目向招标人负责，接受分包的人就分包项目承担连带责任。</w:t>
      </w:r>
    </w:p>
    <w:p>
      <w:pPr>
        <w:pStyle w:val="4"/>
        <w:spacing w:beforeLines="100" w:afterLines="100" w:line="240" w:lineRule="auto"/>
        <w:rPr>
          <w:rFonts w:cs="黑体"/>
          <w:snapToGrid w:val="0"/>
          <w:highlight w:val="none"/>
          <w:shd w:val="clear" w:color="auto" w:fill="FFFFFF"/>
          <w:lang w:val="zh-CN"/>
        </w:rPr>
      </w:pPr>
      <w:bookmarkStart w:id="196" w:name="_Toc179632559"/>
      <w:r>
        <w:rPr>
          <w:rFonts w:hint="eastAsia" w:cs="黑体"/>
          <w:snapToGrid w:val="0"/>
          <w:highlight w:val="none"/>
          <w:shd w:val="clear" w:color="auto" w:fill="FFFFFF"/>
          <w:lang w:val="zh-CN"/>
        </w:rPr>
        <w:t>1.12</w:t>
      </w:r>
      <w:bookmarkEnd w:id="196"/>
      <w:r>
        <w:rPr>
          <w:rFonts w:hint="eastAsia" w:cs="黑体"/>
          <w:snapToGrid w:val="0"/>
          <w:highlight w:val="none"/>
          <w:shd w:val="clear" w:color="auto" w:fill="FFFFFF"/>
          <w:lang w:val="zh-CN"/>
        </w:rPr>
        <w:t>响应和偏差</w:t>
      </w:r>
    </w:p>
    <w:p>
      <w:pPr>
        <w:spacing w:line="360" w:lineRule="auto"/>
        <w:ind w:firstLine="480" w:firstLineChars="200"/>
        <w:rPr>
          <w:rFonts w:hAnsi="宋体" w:cs="宋体"/>
          <w:highlight w:val="none"/>
        </w:rPr>
      </w:pPr>
      <w:r>
        <w:rPr>
          <w:rFonts w:hint="eastAsia" w:hAnsi="宋体" w:cs="宋体"/>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hAnsi="宋体" w:cs="宋体"/>
          <w:highlight w:val="none"/>
        </w:rPr>
      </w:pPr>
      <w:r>
        <w:rPr>
          <w:rFonts w:hint="eastAsia" w:hAnsi="宋体" w:cs="宋体"/>
          <w:highlight w:val="none"/>
        </w:rPr>
        <w:t>1.12.2 投标人应根据招标文件的要求提供投标货物技术性能指标的详细描述、技术支持资料及技术服务和质保期服务计划等内容已对招标文件作出响应。</w:t>
      </w:r>
    </w:p>
    <w:p>
      <w:pPr>
        <w:spacing w:line="360" w:lineRule="auto"/>
        <w:ind w:firstLine="480" w:firstLineChars="200"/>
        <w:rPr>
          <w:rFonts w:hAnsi="宋体" w:cs="宋体"/>
          <w:highlight w:val="none"/>
        </w:rPr>
      </w:pPr>
      <w:r>
        <w:rPr>
          <w:rFonts w:hint="eastAsia" w:hAnsi="宋体" w:cs="宋体"/>
          <w:highlight w:val="none"/>
        </w:rPr>
        <w:t>1.12.3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360" w:lineRule="auto"/>
        <w:ind w:firstLine="480" w:firstLineChars="200"/>
        <w:rPr>
          <w:rFonts w:hAnsi="宋体" w:cs="宋体"/>
          <w:highlight w:val="none"/>
        </w:rPr>
      </w:pPr>
      <w:r>
        <w:rPr>
          <w:rFonts w:hint="eastAsia" w:hAnsi="宋体" w:cs="宋体"/>
          <w:highlight w:val="none"/>
        </w:rPr>
        <w:t>1.12.4 投标人须知前附表规定了可以偏差的范围和最高偏差项数的，偏差应当符合投标人须知前附表规定的偏差范围和最高项数，超出偏差范围和最高偏差项数的投标将被否决。</w:t>
      </w:r>
    </w:p>
    <w:p>
      <w:pPr>
        <w:spacing w:line="360" w:lineRule="auto"/>
        <w:ind w:firstLine="480" w:firstLineChars="200"/>
        <w:rPr>
          <w:rFonts w:hAnsi="宋体" w:cs="宋体"/>
          <w:highlight w:val="none"/>
        </w:rPr>
      </w:pPr>
      <w:r>
        <w:rPr>
          <w:rFonts w:hint="eastAsia" w:hAnsi="宋体" w:cs="宋体"/>
          <w:highlight w:val="none"/>
        </w:rPr>
        <w:t>1.12.5 投标文件对招标文件的全部偏差，均应在投标文件的商务和技术偏差表中列明，除列明的内容外，视为投标人响应招标文件的全部要求。</w:t>
      </w:r>
    </w:p>
    <w:p>
      <w:pPr>
        <w:pStyle w:val="3"/>
        <w:spacing w:beforeLines="100" w:afterLines="100" w:line="240" w:lineRule="auto"/>
        <w:rPr>
          <w:rFonts w:ascii="黑体" w:hAnsi="黑体" w:eastAsia="黑体" w:cs="黑体"/>
          <w:b w:val="0"/>
          <w:bCs w:val="0"/>
          <w:highlight w:val="none"/>
        </w:rPr>
      </w:pPr>
      <w:bookmarkStart w:id="197" w:name="_Toc9056"/>
      <w:bookmarkStart w:id="198" w:name="_Toc179632560"/>
      <w:bookmarkStart w:id="199" w:name="_Toc144974510"/>
      <w:bookmarkStart w:id="200" w:name="_Toc140069407"/>
      <w:bookmarkStart w:id="201" w:name="_Toc152045542"/>
      <w:bookmarkStart w:id="202" w:name="_Toc152042318"/>
      <w:r>
        <w:rPr>
          <w:rFonts w:hint="eastAsia" w:ascii="黑体" w:hAnsi="黑体" w:eastAsia="黑体" w:cs="黑体"/>
          <w:b w:val="0"/>
          <w:bCs w:val="0"/>
          <w:highlight w:val="none"/>
        </w:rPr>
        <w:t>2. 招标文件</w:t>
      </w:r>
      <w:bookmarkEnd w:id="197"/>
      <w:bookmarkEnd w:id="198"/>
      <w:bookmarkEnd w:id="199"/>
      <w:bookmarkEnd w:id="200"/>
      <w:bookmarkEnd w:id="201"/>
      <w:bookmarkEnd w:id="202"/>
    </w:p>
    <w:p>
      <w:pPr>
        <w:pStyle w:val="4"/>
        <w:spacing w:beforeLines="100" w:afterLines="100" w:line="240" w:lineRule="auto"/>
        <w:rPr>
          <w:rFonts w:cs="黑体"/>
          <w:snapToGrid w:val="0"/>
          <w:highlight w:val="none"/>
          <w:shd w:val="clear" w:color="auto" w:fill="FFFFFF"/>
          <w:lang w:val="zh-CN"/>
        </w:rPr>
      </w:pPr>
      <w:bookmarkStart w:id="203" w:name="_Toc152045543"/>
      <w:bookmarkStart w:id="204" w:name="_Toc144974511"/>
      <w:bookmarkStart w:id="205" w:name="_Toc179632561"/>
      <w:bookmarkStart w:id="206" w:name="_Toc152042319"/>
      <w:r>
        <w:rPr>
          <w:rFonts w:hint="eastAsia" w:cs="黑体"/>
          <w:snapToGrid w:val="0"/>
          <w:highlight w:val="none"/>
          <w:shd w:val="clear" w:color="auto" w:fill="FFFFFF"/>
          <w:lang w:val="zh-CN"/>
        </w:rPr>
        <w:t>2.1招标文件的组成</w:t>
      </w:r>
      <w:bookmarkEnd w:id="203"/>
      <w:bookmarkEnd w:id="204"/>
      <w:bookmarkEnd w:id="205"/>
      <w:bookmarkEnd w:id="206"/>
    </w:p>
    <w:p>
      <w:pPr>
        <w:spacing w:line="360" w:lineRule="auto"/>
        <w:ind w:firstLine="480" w:firstLineChars="200"/>
        <w:rPr>
          <w:rFonts w:hAnsi="宋体" w:cs="宋体"/>
          <w:highlight w:val="none"/>
        </w:rPr>
      </w:pPr>
      <w:r>
        <w:rPr>
          <w:rFonts w:hint="eastAsia" w:hAnsi="宋体" w:cs="宋体"/>
          <w:highlight w:val="none"/>
        </w:rPr>
        <w:t>本招标文件包括：</w:t>
      </w:r>
    </w:p>
    <w:p>
      <w:pPr>
        <w:spacing w:line="360" w:lineRule="auto"/>
        <w:ind w:firstLine="480" w:firstLineChars="200"/>
        <w:rPr>
          <w:rFonts w:hAnsi="宋体" w:cs="宋体"/>
          <w:highlight w:val="none"/>
        </w:rPr>
      </w:pPr>
      <w:r>
        <w:rPr>
          <w:rFonts w:hint="eastAsia" w:hAnsi="宋体" w:cs="宋体"/>
          <w:highlight w:val="none"/>
        </w:rPr>
        <w:t>（1）招标公告；</w:t>
      </w:r>
    </w:p>
    <w:p>
      <w:pPr>
        <w:spacing w:line="360" w:lineRule="auto"/>
        <w:ind w:firstLine="480" w:firstLineChars="200"/>
        <w:rPr>
          <w:rFonts w:hAnsi="宋体" w:cs="宋体"/>
          <w:highlight w:val="none"/>
        </w:rPr>
      </w:pPr>
      <w:r>
        <w:rPr>
          <w:rFonts w:hint="eastAsia" w:hAnsi="宋体" w:cs="宋体"/>
          <w:highlight w:val="none"/>
        </w:rPr>
        <w:t>（2）投标人须知；</w:t>
      </w:r>
    </w:p>
    <w:p>
      <w:pPr>
        <w:spacing w:line="360" w:lineRule="auto"/>
        <w:ind w:firstLine="480" w:firstLineChars="200"/>
        <w:rPr>
          <w:rFonts w:hAnsi="宋体" w:cs="宋体"/>
          <w:highlight w:val="none"/>
        </w:rPr>
      </w:pPr>
      <w:r>
        <w:rPr>
          <w:rFonts w:hint="eastAsia" w:hAnsi="宋体" w:cs="宋体"/>
          <w:highlight w:val="none"/>
        </w:rPr>
        <w:t>（3）评标办法；</w:t>
      </w:r>
    </w:p>
    <w:p>
      <w:pPr>
        <w:spacing w:line="360" w:lineRule="auto"/>
        <w:ind w:firstLine="480" w:firstLineChars="200"/>
        <w:rPr>
          <w:rFonts w:hAnsi="宋体" w:cs="宋体"/>
          <w:highlight w:val="none"/>
        </w:rPr>
      </w:pPr>
      <w:r>
        <w:rPr>
          <w:rFonts w:hint="eastAsia" w:hAnsi="宋体" w:cs="宋体"/>
          <w:highlight w:val="none"/>
        </w:rPr>
        <w:t>（4）合同条款及格式；</w:t>
      </w:r>
    </w:p>
    <w:p>
      <w:pPr>
        <w:spacing w:line="360" w:lineRule="auto"/>
        <w:ind w:firstLine="480" w:firstLineChars="200"/>
        <w:rPr>
          <w:rFonts w:hAnsi="宋体" w:cs="宋体"/>
          <w:highlight w:val="none"/>
        </w:rPr>
      </w:pPr>
      <w:r>
        <w:rPr>
          <w:rFonts w:hint="eastAsia" w:hAnsi="宋体" w:cs="宋体"/>
          <w:highlight w:val="none"/>
        </w:rPr>
        <w:t>（5）供货要求；</w:t>
      </w:r>
    </w:p>
    <w:p>
      <w:pPr>
        <w:spacing w:line="360" w:lineRule="auto"/>
        <w:ind w:firstLine="480" w:firstLineChars="200"/>
        <w:rPr>
          <w:rFonts w:hAnsi="宋体" w:cs="宋体"/>
          <w:highlight w:val="none"/>
        </w:rPr>
      </w:pPr>
      <w:r>
        <w:rPr>
          <w:rFonts w:hint="eastAsia" w:hAnsi="宋体" w:cs="宋体"/>
          <w:highlight w:val="none"/>
        </w:rPr>
        <w:t>（6）投标文件格式；</w:t>
      </w:r>
    </w:p>
    <w:p>
      <w:pPr>
        <w:spacing w:line="360" w:lineRule="auto"/>
        <w:ind w:firstLine="480" w:firstLineChars="200"/>
        <w:rPr>
          <w:rFonts w:hAnsi="宋体" w:cs="宋体"/>
          <w:highlight w:val="none"/>
        </w:rPr>
      </w:pPr>
      <w:r>
        <w:rPr>
          <w:rFonts w:hint="eastAsia" w:hAnsi="宋体" w:cs="宋体"/>
          <w:highlight w:val="none"/>
        </w:rPr>
        <w:t>（7）投标人须知前附表规定的其他材料。</w:t>
      </w:r>
    </w:p>
    <w:p>
      <w:pPr>
        <w:spacing w:line="360" w:lineRule="auto"/>
        <w:ind w:firstLine="480" w:firstLineChars="200"/>
        <w:rPr>
          <w:rFonts w:hAnsi="宋体" w:cs="宋体"/>
          <w:highlight w:val="none"/>
        </w:rPr>
      </w:pPr>
      <w:r>
        <w:rPr>
          <w:rFonts w:hint="eastAsia" w:hAnsi="宋体" w:cs="宋体"/>
          <w:highlight w:val="none"/>
        </w:rPr>
        <w:t>根据本章第1.10款、第2.2款和第2.3款对招标文件所作的澄清、修改，构成招标文件的组成部分。</w:t>
      </w:r>
    </w:p>
    <w:p>
      <w:pPr>
        <w:spacing w:line="360" w:lineRule="auto"/>
        <w:ind w:firstLine="480" w:firstLineChars="200"/>
        <w:rPr>
          <w:rFonts w:hAnsi="宋体" w:cs="宋体"/>
          <w:highlight w:val="none"/>
        </w:rPr>
      </w:pPr>
      <w:r>
        <w:rPr>
          <w:rFonts w:hint="eastAsia" w:hAnsi="宋体" w:cs="宋体"/>
          <w:highlight w:val="none"/>
        </w:rPr>
        <w:t>当招标文件、招标文件的澄清或修改等在同一内容的表述上不一致时，以最后发出的文件为准。</w:t>
      </w:r>
    </w:p>
    <w:p>
      <w:pPr>
        <w:pStyle w:val="4"/>
        <w:spacing w:beforeLines="100" w:afterLines="100" w:line="240" w:lineRule="auto"/>
        <w:rPr>
          <w:rFonts w:cs="黑体"/>
          <w:snapToGrid w:val="0"/>
          <w:highlight w:val="none"/>
          <w:shd w:val="clear" w:color="auto" w:fill="FFFFFF"/>
          <w:lang w:val="zh-CN"/>
        </w:rPr>
      </w:pPr>
      <w:bookmarkStart w:id="207" w:name="_Toc144974512"/>
      <w:bookmarkStart w:id="208" w:name="_Toc179632562"/>
      <w:bookmarkStart w:id="209" w:name="_Toc152042320"/>
      <w:bookmarkStart w:id="210" w:name="_Toc152045544"/>
      <w:r>
        <w:rPr>
          <w:rFonts w:hint="eastAsia" w:cs="黑体"/>
          <w:snapToGrid w:val="0"/>
          <w:highlight w:val="none"/>
          <w:shd w:val="clear" w:color="auto" w:fill="FFFFFF"/>
          <w:lang w:val="zh-CN"/>
        </w:rPr>
        <w:t>2.2招标文件的澄清</w:t>
      </w:r>
      <w:bookmarkEnd w:id="207"/>
      <w:bookmarkEnd w:id="208"/>
      <w:bookmarkEnd w:id="209"/>
      <w:bookmarkEnd w:id="210"/>
    </w:p>
    <w:p>
      <w:pPr>
        <w:spacing w:line="360" w:lineRule="auto"/>
        <w:ind w:firstLine="480" w:firstLineChars="200"/>
        <w:rPr>
          <w:rFonts w:hAnsi="宋体" w:cs="宋体"/>
          <w:highlight w:val="none"/>
        </w:rPr>
      </w:pPr>
      <w:bookmarkStart w:id="211" w:name="_Toc152042321"/>
      <w:bookmarkStart w:id="212" w:name="_Toc179632563"/>
      <w:bookmarkStart w:id="213" w:name="_Toc152045545"/>
      <w:bookmarkStart w:id="214" w:name="_Toc144974513"/>
      <w:r>
        <w:rPr>
          <w:rFonts w:hint="eastAsia" w:hAnsi="宋体" w:cs="宋体"/>
          <w:highlight w:val="none"/>
        </w:rPr>
        <w:t xml:space="preserve">2.2.1 </w:t>
      </w:r>
      <w:r>
        <w:rPr>
          <w:rFonts w:hint="eastAsia" w:hAnsi="宋体" w:cs="宋体"/>
          <w:bCs/>
          <w:snapToGrid w:val="0"/>
          <w:highlight w:val="none"/>
        </w:rPr>
        <w:t>投标人应仔细阅读和检查招标文件的全部内容。如有疑问，应</w:t>
      </w:r>
      <w:r>
        <w:rPr>
          <w:rFonts w:hint="eastAsia" w:hAnsi="宋体" w:cs="宋体"/>
          <w:highlight w:val="none"/>
        </w:rPr>
        <w:t>按照</w:t>
      </w:r>
      <w:r>
        <w:rPr>
          <w:rFonts w:hint="eastAsia" w:hAnsi="宋体" w:cs="宋体"/>
          <w:bCs/>
          <w:snapToGrid w:val="0"/>
          <w:highlight w:val="none"/>
        </w:rPr>
        <w:t>投标人须知前附表规定的时间和形式向招标人发出对招标文件进行澄清的要求</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2.2.2招标人对招标文件进行澄清的，以投标人须知前附表规定的形式向所有获取招标文件的投标人发出澄清文件，澄清文件一经发出则视为送达所有获取招标文件的投标人。因投标人未及时查阅上述澄清文件而导致的后果由投标人自行承担。</w:t>
      </w:r>
    </w:p>
    <w:p>
      <w:pPr>
        <w:spacing w:line="360" w:lineRule="auto"/>
        <w:ind w:firstLine="480" w:firstLineChars="200"/>
        <w:rPr>
          <w:rFonts w:hAnsi="宋体" w:cs="宋体"/>
          <w:highlight w:val="none"/>
          <w:lang w:val="zh-CN"/>
        </w:rPr>
      </w:pPr>
      <w:r>
        <w:rPr>
          <w:rFonts w:hint="eastAsia" w:hAnsi="宋体" w:cs="宋体"/>
          <w:highlight w:val="none"/>
        </w:rPr>
        <w:t>2.2.3澄清文件发出的时间距投标截止时间不足15日的，并且澄清内容可能影响投标文件编制的，招标人将相应顺延投标截止时间。</w:t>
      </w:r>
    </w:p>
    <w:p>
      <w:pPr>
        <w:spacing w:line="360" w:lineRule="auto"/>
        <w:ind w:firstLine="480" w:firstLineChars="200"/>
        <w:rPr>
          <w:rFonts w:hAnsi="宋体" w:cs="宋体"/>
          <w:highlight w:val="none"/>
        </w:rPr>
      </w:pPr>
      <w:r>
        <w:rPr>
          <w:rFonts w:hint="eastAsia" w:hAnsi="宋体" w:cs="宋体"/>
          <w:highlight w:val="none"/>
        </w:rPr>
        <w:t>2.2.4除非招标人认为确有必要答复，否则，招标人有权拒绝回复投标人在本章第2.2.1项规定的时间后提出的任何澄清要求。</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2.3招标文件的修改</w:t>
      </w:r>
      <w:bookmarkEnd w:id="211"/>
      <w:bookmarkEnd w:id="212"/>
      <w:bookmarkEnd w:id="213"/>
      <w:bookmarkEnd w:id="214"/>
    </w:p>
    <w:p>
      <w:pPr>
        <w:spacing w:line="360" w:lineRule="auto"/>
        <w:ind w:firstLine="480" w:firstLineChars="200"/>
        <w:rPr>
          <w:rFonts w:hAnsi="宋体" w:cs="宋体"/>
          <w:highlight w:val="none"/>
        </w:rPr>
      </w:pPr>
      <w:r>
        <w:rPr>
          <w:rFonts w:hint="eastAsia" w:hAnsi="宋体" w:cs="宋体"/>
          <w:highlight w:val="none"/>
        </w:rPr>
        <w:t>2.3.1 招标人对招标文件进行修改的，以投标人须知前附表规定的形式向所有获取招标文件的投标人发出修改文件，修改文件一经发出则视为送达所有获取招标文件的投标人。因投标人未及时查阅上述修改文件而导致的后果由投标人自行承担。</w:t>
      </w:r>
    </w:p>
    <w:p>
      <w:pPr>
        <w:spacing w:line="360" w:lineRule="auto"/>
        <w:ind w:firstLine="480" w:firstLineChars="200"/>
        <w:rPr>
          <w:rFonts w:hAnsi="宋体" w:cs="宋体"/>
          <w:highlight w:val="none"/>
        </w:rPr>
      </w:pPr>
      <w:r>
        <w:rPr>
          <w:rFonts w:hint="eastAsia" w:hAnsi="宋体" w:cs="宋体"/>
          <w:highlight w:val="none"/>
        </w:rPr>
        <w:t>2.3.2 修改文件发出的时间距投标截止时间不足15日的，并且修改内容可能影响投标文件编制的，招标人将相应顺延投标截止时间。</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2.4招标文件的异议</w:t>
      </w:r>
    </w:p>
    <w:p>
      <w:pPr>
        <w:spacing w:line="360" w:lineRule="auto"/>
        <w:ind w:firstLine="480" w:firstLineChars="200"/>
        <w:rPr>
          <w:rFonts w:hAnsi="宋体" w:cs="宋体"/>
          <w:highlight w:val="none"/>
        </w:rPr>
      </w:pPr>
      <w:bookmarkStart w:id="215" w:name="_Toc152045546"/>
      <w:bookmarkStart w:id="216" w:name="_Toc144974514"/>
      <w:bookmarkStart w:id="217" w:name="_Toc179632564"/>
      <w:bookmarkStart w:id="218" w:name="_Toc152042322"/>
      <w:r>
        <w:rPr>
          <w:rFonts w:hint="eastAsia" w:hAnsi="宋体" w:cs="宋体"/>
          <w:highlight w:val="none"/>
        </w:rPr>
        <w:t>投标人或者其他利害关系人对招标文件有异议的，应在投标截止时间10日前通过电子交易系统在线</w:t>
      </w:r>
      <w:r>
        <w:rPr>
          <w:rFonts w:hint="eastAsia" w:hAnsi="宋体" w:cs="宋体"/>
          <w:bCs/>
          <w:snapToGrid w:val="0"/>
          <w:highlight w:val="none"/>
        </w:rPr>
        <w:t>提出</w:t>
      </w:r>
      <w:r>
        <w:rPr>
          <w:rFonts w:hint="eastAsia" w:hAnsi="宋体" w:cs="宋体"/>
          <w:highlight w:val="none"/>
        </w:rPr>
        <w:t>或以其他书面形式提出。招标人将在收到异议之日起3日内作出答复；作出答复前，将暂停招标投标活动。</w:t>
      </w:r>
    </w:p>
    <w:p>
      <w:pPr>
        <w:pStyle w:val="3"/>
        <w:spacing w:beforeLines="100" w:afterLines="100" w:line="240" w:lineRule="auto"/>
        <w:rPr>
          <w:rFonts w:ascii="黑体" w:hAnsi="黑体" w:eastAsia="黑体" w:cs="黑体"/>
          <w:b w:val="0"/>
          <w:bCs w:val="0"/>
          <w:highlight w:val="none"/>
        </w:rPr>
      </w:pPr>
      <w:bookmarkStart w:id="219" w:name="_Toc21235"/>
      <w:bookmarkStart w:id="220" w:name="_Toc140069408"/>
      <w:r>
        <w:rPr>
          <w:rFonts w:hint="eastAsia" w:ascii="黑体" w:hAnsi="黑体" w:eastAsia="黑体" w:cs="黑体"/>
          <w:b w:val="0"/>
          <w:bCs w:val="0"/>
          <w:highlight w:val="none"/>
        </w:rPr>
        <w:t>3. 投标文件</w:t>
      </w:r>
      <w:bookmarkEnd w:id="215"/>
      <w:bookmarkEnd w:id="216"/>
      <w:bookmarkEnd w:id="217"/>
      <w:bookmarkEnd w:id="218"/>
      <w:bookmarkEnd w:id="219"/>
      <w:bookmarkEnd w:id="220"/>
    </w:p>
    <w:p>
      <w:pPr>
        <w:pStyle w:val="4"/>
        <w:spacing w:beforeLines="100" w:afterLines="100" w:line="240" w:lineRule="auto"/>
        <w:rPr>
          <w:rFonts w:cs="黑体"/>
          <w:snapToGrid w:val="0"/>
          <w:highlight w:val="none"/>
          <w:shd w:val="clear" w:color="auto" w:fill="FFFFFF"/>
          <w:lang w:val="zh-CN"/>
        </w:rPr>
      </w:pPr>
      <w:bookmarkStart w:id="221" w:name="_Toc144974515"/>
      <w:bookmarkStart w:id="222" w:name="_Toc152045547"/>
      <w:bookmarkStart w:id="223" w:name="_Toc179632565"/>
      <w:bookmarkStart w:id="224" w:name="_Toc152042323"/>
      <w:r>
        <w:rPr>
          <w:rFonts w:hint="eastAsia" w:cs="黑体"/>
          <w:snapToGrid w:val="0"/>
          <w:highlight w:val="none"/>
          <w:shd w:val="clear" w:color="auto" w:fill="FFFFFF"/>
          <w:lang w:val="zh-CN"/>
        </w:rPr>
        <w:t>3.1投标文件的组成</w:t>
      </w:r>
      <w:bookmarkEnd w:id="221"/>
      <w:bookmarkEnd w:id="222"/>
      <w:bookmarkEnd w:id="223"/>
      <w:bookmarkEnd w:id="224"/>
    </w:p>
    <w:p>
      <w:pPr>
        <w:spacing w:line="360" w:lineRule="auto"/>
        <w:ind w:firstLine="480" w:firstLineChars="200"/>
        <w:rPr>
          <w:rFonts w:hAnsi="宋体" w:cs="宋体"/>
          <w:highlight w:val="none"/>
        </w:rPr>
      </w:pPr>
      <w:r>
        <w:rPr>
          <w:rFonts w:hint="eastAsia" w:hAnsi="宋体" w:cs="宋体"/>
          <w:highlight w:val="none"/>
        </w:rPr>
        <w:t>3.1.1 投标文件应包括下列内容：</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（1）商务文件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（2）技术文件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（3）报价文件</w:t>
      </w:r>
    </w:p>
    <w:p>
      <w:pPr>
        <w:spacing w:line="360" w:lineRule="auto"/>
        <w:ind w:firstLine="480" w:firstLineChars="200"/>
        <w:rPr>
          <w:rFonts w:hAnsi="宋体" w:cs="宋体"/>
          <w:highlight w:val="none"/>
        </w:rPr>
      </w:pPr>
      <w:r>
        <w:rPr>
          <w:rFonts w:hint="eastAsia" w:hAnsi="宋体" w:cs="宋体"/>
          <w:bCs/>
          <w:snapToGrid w:val="0"/>
          <w:highlight w:val="none"/>
        </w:rPr>
        <w:t>3.1.2 投标人在评标过程中作出的符合法律法规和招标文件规定的澄清、说明和确认，构成投标文件的组成部分。</w:t>
      </w:r>
    </w:p>
    <w:p>
      <w:pPr>
        <w:pStyle w:val="4"/>
        <w:spacing w:beforeLines="100" w:afterLines="100" w:line="240" w:lineRule="auto"/>
        <w:rPr>
          <w:rFonts w:cs="黑体"/>
          <w:snapToGrid w:val="0"/>
          <w:highlight w:val="none"/>
          <w:shd w:val="clear" w:color="auto" w:fill="FFFFFF"/>
          <w:lang w:val="zh-CN"/>
        </w:rPr>
      </w:pPr>
      <w:bookmarkStart w:id="225" w:name="_Toc144974516"/>
      <w:bookmarkStart w:id="226" w:name="_Toc152042324"/>
      <w:bookmarkStart w:id="227" w:name="_Toc152045548"/>
      <w:bookmarkStart w:id="228" w:name="_Toc179632566"/>
      <w:r>
        <w:rPr>
          <w:rFonts w:hint="eastAsia" w:cs="黑体"/>
          <w:snapToGrid w:val="0"/>
          <w:highlight w:val="none"/>
          <w:shd w:val="clear" w:color="auto" w:fill="FFFFFF"/>
          <w:lang w:val="zh-CN"/>
        </w:rPr>
        <w:t>3.2投标报价</w:t>
      </w:r>
      <w:bookmarkEnd w:id="225"/>
      <w:bookmarkEnd w:id="226"/>
      <w:bookmarkEnd w:id="227"/>
      <w:bookmarkEnd w:id="228"/>
    </w:p>
    <w:p>
      <w:pPr>
        <w:spacing w:line="360" w:lineRule="auto"/>
        <w:ind w:firstLine="480" w:firstLineChars="200"/>
        <w:rPr>
          <w:rFonts w:hAnsi="宋体" w:cs="宋体"/>
          <w:highlight w:val="none"/>
        </w:rPr>
      </w:pPr>
      <w:bookmarkStart w:id="229" w:name="_Toc152045549"/>
      <w:bookmarkStart w:id="230" w:name="_Toc144974517"/>
      <w:bookmarkStart w:id="231" w:name="_Toc152042325"/>
      <w:bookmarkStart w:id="232" w:name="_Toc179632567"/>
      <w:r>
        <w:rPr>
          <w:rFonts w:hint="eastAsia" w:hAnsi="宋体" w:cs="宋体"/>
          <w:highlight w:val="none"/>
        </w:rPr>
        <w:t>3.2.1 投标报价应包括国家规定的增值税税金，除投标人须知前附表另有规定外，增值税税金按照一般计税方法计算。投标人应按照第六章“投标文件格式”的要求在报价文件投标函中进行报价并填写分项报价表。</w:t>
      </w:r>
    </w:p>
    <w:p>
      <w:pPr>
        <w:spacing w:line="360" w:lineRule="auto"/>
        <w:ind w:firstLine="480" w:firstLineChars="200"/>
        <w:rPr>
          <w:rFonts w:hAnsi="宋体" w:cs="宋体"/>
          <w:highlight w:val="none"/>
        </w:rPr>
      </w:pPr>
      <w:r>
        <w:rPr>
          <w:rFonts w:hint="eastAsia" w:hAnsi="宋体" w:cs="宋体"/>
          <w:highlight w:val="none"/>
        </w:rPr>
        <w:t>3.2.2 投标人应充分了解本项目的总体情况以及影响投标报价的其他要素。</w:t>
      </w:r>
    </w:p>
    <w:p>
      <w:pPr>
        <w:spacing w:line="360" w:lineRule="auto"/>
        <w:ind w:firstLine="480" w:firstLineChars="200"/>
        <w:rPr>
          <w:rFonts w:hAnsi="宋体" w:cs="宋体"/>
          <w:highlight w:val="none"/>
        </w:rPr>
      </w:pPr>
      <w:r>
        <w:rPr>
          <w:rFonts w:hint="eastAsia" w:hAnsi="宋体" w:cs="宋体"/>
          <w:highlight w:val="none"/>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报价文件投标函中的投标报价，应同时修改投标文件“分项报价表”中的相应报价。此修改须符合本章第4.3款的有关要求。</w:t>
      </w:r>
    </w:p>
    <w:p>
      <w:pPr>
        <w:spacing w:line="360" w:lineRule="auto"/>
        <w:ind w:firstLine="480" w:firstLineChars="200"/>
        <w:rPr>
          <w:rFonts w:hAnsi="宋体" w:cs="宋体"/>
          <w:highlight w:val="none"/>
        </w:rPr>
      </w:pPr>
      <w:r>
        <w:rPr>
          <w:rFonts w:hint="eastAsia" w:hAnsi="宋体" w:cs="宋体"/>
          <w:highlight w:val="none"/>
        </w:rPr>
        <w:t>3.2.4招标人设有最高投标限价的，投标人的投标报价不得超过最高投标限价，最高投标限价在投标人须知前附表中载明。</w:t>
      </w:r>
    </w:p>
    <w:p>
      <w:pPr>
        <w:spacing w:line="360" w:lineRule="auto"/>
        <w:ind w:firstLine="480" w:firstLineChars="200"/>
        <w:rPr>
          <w:rFonts w:hAnsi="宋体" w:cs="宋体"/>
          <w:highlight w:val="none"/>
        </w:rPr>
      </w:pPr>
      <w:r>
        <w:rPr>
          <w:rFonts w:hint="eastAsia" w:hAnsi="宋体" w:cs="宋体"/>
          <w:highlight w:val="none"/>
        </w:rPr>
        <w:t>3.2.5 投标报价的其他要求见投标人须知前附表。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3.3投标有效期</w:t>
      </w:r>
      <w:bookmarkEnd w:id="229"/>
      <w:bookmarkEnd w:id="230"/>
      <w:bookmarkEnd w:id="231"/>
      <w:bookmarkEnd w:id="232"/>
    </w:p>
    <w:p>
      <w:pPr>
        <w:spacing w:line="360" w:lineRule="auto"/>
        <w:ind w:firstLine="480" w:firstLineChars="200"/>
        <w:rPr>
          <w:rFonts w:hAnsi="宋体" w:cs="宋体"/>
          <w:highlight w:val="none"/>
        </w:rPr>
      </w:pPr>
      <w:bookmarkStart w:id="233" w:name="_Toc152042326"/>
      <w:bookmarkStart w:id="234" w:name="_Toc144974518"/>
      <w:bookmarkStart w:id="235" w:name="_Toc152045550"/>
      <w:bookmarkStart w:id="236" w:name="_Toc179632568"/>
      <w:r>
        <w:rPr>
          <w:rFonts w:hint="eastAsia" w:hAnsi="宋体" w:cs="宋体"/>
          <w:highlight w:val="none"/>
        </w:rPr>
        <w:t>3.3.1 除投标人须知前附表另有规定外，投标有效期为120日。</w:t>
      </w:r>
    </w:p>
    <w:p>
      <w:pPr>
        <w:spacing w:line="360" w:lineRule="auto"/>
        <w:ind w:firstLine="480" w:firstLineChars="200"/>
        <w:rPr>
          <w:rFonts w:hAnsi="宋体" w:cs="宋体"/>
          <w:highlight w:val="none"/>
        </w:rPr>
      </w:pPr>
      <w:r>
        <w:rPr>
          <w:rFonts w:hint="eastAsia" w:hAnsi="宋体" w:cs="宋体"/>
          <w:highlight w:val="none"/>
        </w:rPr>
        <w:t>3.3.2 在投标有效期内，投标人撤销投标文件的，应承担招标文件和法律规定的责任。</w:t>
      </w:r>
    </w:p>
    <w:p>
      <w:pPr>
        <w:spacing w:line="360" w:lineRule="auto"/>
        <w:ind w:firstLine="480" w:firstLineChars="200"/>
        <w:rPr>
          <w:rFonts w:hAnsi="宋体" w:cs="宋体"/>
          <w:highlight w:val="none"/>
        </w:rPr>
      </w:pPr>
      <w:r>
        <w:rPr>
          <w:rFonts w:hint="eastAsia" w:hAnsi="宋体" w:cs="宋体"/>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银行转账、银行电汇）形式递交的投标保证金的银行同期活期存款利息。</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3.4投标保证金</w:t>
      </w:r>
      <w:bookmarkEnd w:id="233"/>
      <w:bookmarkEnd w:id="234"/>
      <w:bookmarkEnd w:id="235"/>
      <w:bookmarkEnd w:id="236"/>
    </w:p>
    <w:p>
      <w:pPr>
        <w:spacing w:line="360" w:lineRule="auto"/>
        <w:ind w:firstLine="480" w:firstLineChars="200"/>
        <w:rPr>
          <w:rFonts w:hAnsi="宋体" w:cs="宋体"/>
          <w:highlight w:val="none"/>
        </w:rPr>
      </w:pPr>
      <w:bookmarkStart w:id="237" w:name="_Toc144974520"/>
      <w:bookmarkStart w:id="238" w:name="_Toc152045552"/>
      <w:bookmarkStart w:id="239" w:name="_Toc152042328"/>
      <w:bookmarkStart w:id="240" w:name="_Toc179632570"/>
      <w:r>
        <w:rPr>
          <w:rFonts w:hint="eastAsia" w:hAnsi="宋体" w:cs="宋体"/>
          <w:highlight w:val="none"/>
        </w:rPr>
        <w:t>3.4.1 招标人在投标人须知前附表中要求投标人提交投标保证金的，投标人在递交投标文件的同时，应按照投标人须知前附表规定的金额、形式和第六章“投标文件格式”规定的投标保证金格式提交投标保证金，并作为其投标文件的组成部分。</w:t>
      </w:r>
    </w:p>
    <w:p>
      <w:pPr>
        <w:spacing w:line="360" w:lineRule="auto"/>
        <w:ind w:firstLine="480" w:firstLineChars="200"/>
        <w:rPr>
          <w:rFonts w:hAnsi="宋体" w:cs="宋体"/>
          <w:highlight w:val="none"/>
        </w:rPr>
      </w:pPr>
      <w:r>
        <w:rPr>
          <w:rFonts w:hint="eastAsia" w:hAnsi="宋体" w:cs="宋体"/>
          <w:highlight w:val="none"/>
        </w:rPr>
        <w:t>境内投标人以现金（银行转账、银行电汇）形式提交的投标保证金应当从其基本存款账户转出。联合体投标的，其投标保证金由牵头人递交，并应符合投标人须知前附表的规定。</w:t>
      </w:r>
    </w:p>
    <w:p>
      <w:pPr>
        <w:spacing w:line="360" w:lineRule="auto"/>
        <w:ind w:firstLine="480" w:firstLineChars="200"/>
        <w:rPr>
          <w:rFonts w:hAnsi="宋体" w:cs="宋体"/>
          <w:highlight w:val="none"/>
        </w:rPr>
      </w:pPr>
      <w:r>
        <w:rPr>
          <w:rFonts w:hint="eastAsia" w:hAnsi="宋体" w:cs="宋体"/>
          <w:highlight w:val="none"/>
        </w:rPr>
        <w:t>无论采取何种形式的投标保证金，投标保证金有效期均应与投标有效期一致。招标人如果按照本章第3.3.3项的规定延长了投标有效期，则投标保证金的有效期也相应延长。</w:t>
      </w:r>
    </w:p>
    <w:p>
      <w:pPr>
        <w:spacing w:line="360" w:lineRule="auto"/>
        <w:ind w:firstLine="480" w:firstLineChars="200"/>
        <w:rPr>
          <w:rFonts w:hAnsi="宋体" w:cs="宋体"/>
          <w:highlight w:val="none"/>
        </w:rPr>
      </w:pPr>
      <w:r>
        <w:rPr>
          <w:rFonts w:hint="eastAsia" w:hAnsi="宋体" w:cs="宋体"/>
          <w:highlight w:val="none"/>
        </w:rPr>
        <w:t>3.4.2 投标人不按照本章第3.4.1项要求提交投标保证金的，评标委员会将否决其投标。</w:t>
      </w:r>
    </w:p>
    <w:p>
      <w:pPr>
        <w:spacing w:line="360" w:lineRule="auto"/>
        <w:ind w:firstLine="480" w:firstLineChars="200"/>
        <w:rPr>
          <w:rFonts w:hAnsi="宋体" w:cs="宋体"/>
          <w:highlight w:val="none"/>
        </w:rPr>
      </w:pPr>
      <w:r>
        <w:rPr>
          <w:rFonts w:hint="eastAsia" w:hAnsi="宋体" w:cs="宋体"/>
          <w:highlight w:val="none"/>
        </w:rPr>
        <w:t xml:space="preserve">3.4.3 </w:t>
      </w:r>
      <w:r>
        <w:rPr>
          <w:rFonts w:hint="eastAsia" w:ascii="Times New Roman"/>
          <w:highlight w:val="none"/>
        </w:rPr>
        <w:t>除投标人须知前附表另有规定外，</w:t>
      </w:r>
      <w:r>
        <w:rPr>
          <w:rFonts w:hint="eastAsia" w:hAnsi="宋体" w:cs="宋体"/>
          <w:highlight w:val="none"/>
        </w:rPr>
        <w:t>招标人最迟将在中标通知书发出后5日内向中标候选人以外的其他投标人退还投标保证金，与中标人签订合同后5日内向中标人和其他中标候选人退还投标保证金。投标保证金以现金（银行转账、银行电汇）形式提交的，招标人应同时退还投标保证金的银行同期活期存款利息，且退还至投标人的基本存款账户。其他形式的投标保证金，在投标有效期届满时自动失效的，无需退还。</w:t>
      </w:r>
    </w:p>
    <w:p>
      <w:pPr>
        <w:spacing w:line="360" w:lineRule="auto"/>
        <w:ind w:firstLine="480" w:firstLineChars="200"/>
        <w:rPr>
          <w:rFonts w:hAnsi="宋体" w:cs="宋体"/>
          <w:highlight w:val="none"/>
        </w:rPr>
      </w:pPr>
      <w:r>
        <w:rPr>
          <w:rFonts w:hint="eastAsia" w:hAnsi="宋体" w:cs="宋体"/>
          <w:highlight w:val="none"/>
        </w:rPr>
        <w:t>3.4.4 有下列情形之一的，投标保证金将不予退还：</w:t>
      </w:r>
    </w:p>
    <w:p>
      <w:pPr>
        <w:spacing w:line="360" w:lineRule="auto"/>
        <w:ind w:firstLine="480" w:firstLineChars="200"/>
        <w:rPr>
          <w:rFonts w:hAnsi="宋体" w:cs="宋体"/>
          <w:highlight w:val="none"/>
        </w:rPr>
      </w:pPr>
      <w:r>
        <w:rPr>
          <w:rFonts w:hint="eastAsia" w:hAnsi="宋体" w:cs="宋体"/>
          <w:highlight w:val="none"/>
        </w:rPr>
        <w:t>（1）投标人在规定的投标有效期内撤销其投标文件；</w:t>
      </w:r>
    </w:p>
    <w:p>
      <w:pPr>
        <w:spacing w:line="360" w:lineRule="auto"/>
        <w:ind w:firstLine="480" w:firstLineChars="200"/>
        <w:rPr>
          <w:rFonts w:hAnsi="宋体" w:cs="宋体"/>
          <w:highlight w:val="none"/>
        </w:rPr>
      </w:pPr>
      <w:r>
        <w:rPr>
          <w:rFonts w:hint="eastAsia" w:hAnsi="宋体" w:cs="宋体"/>
          <w:highlight w:val="none"/>
        </w:rPr>
        <w:t>（2）中标人在收到中标通知书后，无正当理由不与招标人订立合同，或在签订合同时向招标人提出附加条件，或不按照招标文件要求提交履约保证金；</w:t>
      </w:r>
    </w:p>
    <w:p>
      <w:pPr>
        <w:spacing w:line="360" w:lineRule="auto"/>
        <w:ind w:firstLine="480" w:firstLineChars="200"/>
        <w:rPr>
          <w:rFonts w:hAnsi="宋体" w:cs="宋体"/>
          <w:highlight w:val="none"/>
        </w:rPr>
      </w:pPr>
      <w:r>
        <w:rPr>
          <w:rFonts w:hint="eastAsia" w:hAnsi="宋体" w:cs="宋体"/>
          <w:highlight w:val="none"/>
        </w:rPr>
        <w:t>（3）发生投标人须知前附表规定的其他不予退还投标保证金的情形。</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3.5资格审查资料</w:t>
      </w:r>
      <w:bookmarkEnd w:id="237"/>
      <w:bookmarkEnd w:id="238"/>
      <w:bookmarkEnd w:id="239"/>
      <w:bookmarkEnd w:id="240"/>
    </w:p>
    <w:p>
      <w:pPr>
        <w:spacing w:line="360" w:lineRule="auto"/>
        <w:ind w:firstLine="480" w:firstLineChars="200"/>
        <w:rPr>
          <w:rFonts w:hAnsi="宋体" w:cs="宋体"/>
          <w:bCs/>
          <w:snapToGrid w:val="0"/>
          <w:highlight w:val="none"/>
        </w:rPr>
      </w:pPr>
      <w:r>
        <w:rPr>
          <w:rFonts w:hint="eastAsia" w:hAnsi="宋体" w:cs="宋体"/>
          <w:bCs/>
          <w:snapToGrid w:val="0"/>
          <w:highlight w:val="none"/>
        </w:rPr>
        <w:t>3.5.1 投标人应</w:t>
      </w:r>
      <w:r>
        <w:rPr>
          <w:rFonts w:hint="eastAsia" w:hAnsi="宋体" w:cs="宋体"/>
          <w:highlight w:val="none"/>
        </w:rPr>
        <w:t>按照</w:t>
      </w:r>
      <w:r>
        <w:rPr>
          <w:rFonts w:hint="eastAsia" w:hAnsi="宋体" w:cs="宋体"/>
          <w:bCs/>
          <w:snapToGrid w:val="0"/>
          <w:highlight w:val="none"/>
        </w:rPr>
        <w:t>投标人须知前附表附录要求提供资格审查资料，内容及格式见第六章“投标文件格式”要求。</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3.5.2 投标人须知前附表规定接受联合体投标的，资格审查资料应包括联合体各方相关情况。</w:t>
      </w:r>
    </w:p>
    <w:p>
      <w:pPr>
        <w:spacing w:line="360" w:lineRule="auto"/>
        <w:ind w:firstLine="480" w:firstLineChars="200"/>
        <w:rPr>
          <w:rFonts w:hAnsi="宋体" w:cs="宋体"/>
          <w:bCs/>
          <w:snapToGrid w:val="0"/>
          <w:highlight w:val="none"/>
        </w:rPr>
      </w:pPr>
      <w:bookmarkStart w:id="241" w:name="_Toc152042329"/>
      <w:bookmarkStart w:id="242" w:name="_Toc152045553"/>
      <w:bookmarkStart w:id="243" w:name="_Toc144974521"/>
      <w:bookmarkStart w:id="244" w:name="_Toc179632571"/>
      <w:r>
        <w:rPr>
          <w:rFonts w:hint="eastAsia" w:hAnsi="宋体" w:cs="宋体"/>
          <w:bCs/>
          <w:snapToGrid w:val="0"/>
          <w:highlight w:val="none"/>
        </w:rPr>
        <w:t>3.5.3 招标人有权核查投标人在投标文件中提供的材料，若在评标期间发现投标人提供了虚假材料，其投标将被否决；若在签订合同前发现中标候选人、中标人提供了虚假材料，招标人有权取消其中标候选资格、中标资格。同时招标人将报公共资源交易监督管理部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3.6备选投标方案</w:t>
      </w:r>
      <w:bookmarkEnd w:id="241"/>
      <w:bookmarkEnd w:id="242"/>
      <w:bookmarkEnd w:id="243"/>
      <w:bookmarkEnd w:id="244"/>
    </w:p>
    <w:p>
      <w:pPr>
        <w:spacing w:line="360" w:lineRule="auto"/>
        <w:ind w:firstLine="480" w:firstLineChars="200"/>
        <w:rPr>
          <w:rFonts w:hAnsi="宋体" w:cs="宋体"/>
          <w:highlight w:val="none"/>
        </w:rPr>
      </w:pPr>
      <w:bookmarkStart w:id="245" w:name="_Toc152045554"/>
      <w:bookmarkStart w:id="246" w:name="_Toc179632572"/>
      <w:bookmarkStart w:id="247" w:name="_Toc144974522"/>
      <w:bookmarkStart w:id="248" w:name="_Toc152042330"/>
      <w:r>
        <w:rPr>
          <w:rFonts w:hint="eastAsia" w:hAnsi="宋体" w:cs="宋体"/>
          <w:highlight w:val="none"/>
        </w:rPr>
        <w:t xml:space="preserve">3.6.1 </w:t>
      </w:r>
      <w:r>
        <w:rPr>
          <w:rFonts w:hint="eastAsia" w:hAnsi="宋体" w:cs="宋体"/>
          <w:bCs/>
          <w:snapToGrid w:val="0"/>
          <w:highlight w:val="none"/>
        </w:rPr>
        <w:t>除投标人须知前附表规定允许外，投标人不得递交备选投标方案，否则其投标将被否决。</w:t>
      </w:r>
    </w:p>
    <w:p>
      <w:pPr>
        <w:spacing w:line="360" w:lineRule="auto"/>
        <w:ind w:firstLine="480" w:firstLineChars="200"/>
        <w:rPr>
          <w:rFonts w:hAnsi="宋体" w:cs="宋体"/>
          <w:highlight w:val="none"/>
        </w:rPr>
      </w:pPr>
      <w:r>
        <w:rPr>
          <w:rFonts w:hint="eastAsia" w:hAnsi="宋体" w:cs="宋体"/>
          <w:highlight w:val="none"/>
        </w:rPr>
        <w:t xml:space="preserve">3.6.2 </w:t>
      </w:r>
      <w:r>
        <w:rPr>
          <w:rFonts w:hint="eastAsia" w:hAnsi="宋体" w:cs="宋体"/>
          <w:bCs/>
          <w:snapToGrid w:val="0"/>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hAnsi="宋体" w:cs="宋体"/>
          <w:bCs/>
          <w:snapToGrid w:val="0"/>
          <w:highlight w:val="none"/>
        </w:rPr>
      </w:pPr>
      <w:r>
        <w:rPr>
          <w:rFonts w:hint="eastAsia" w:hAnsi="宋体" w:cs="宋体"/>
          <w:highlight w:val="none"/>
        </w:rPr>
        <w:t xml:space="preserve">3.6.3 </w:t>
      </w:r>
      <w:r>
        <w:rPr>
          <w:rFonts w:hint="eastAsia" w:hAnsi="宋体" w:cs="宋体"/>
          <w:bCs/>
          <w:snapToGrid w:val="0"/>
          <w:highlight w:val="none"/>
        </w:rPr>
        <w:t>投标人提供两个或两个以上投标报价，或在投标文件中提供一个报价，但同时提供两个或两个以上供货方案的，视为提供备选方案。</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3.7投标文件的编制</w:t>
      </w:r>
      <w:bookmarkEnd w:id="245"/>
      <w:bookmarkEnd w:id="246"/>
      <w:bookmarkEnd w:id="247"/>
      <w:bookmarkEnd w:id="248"/>
    </w:p>
    <w:p>
      <w:pPr>
        <w:spacing w:line="360" w:lineRule="auto"/>
        <w:ind w:firstLine="480" w:firstLineChars="200"/>
        <w:rPr>
          <w:rFonts w:hAnsi="宋体" w:cs="宋体"/>
          <w:highlight w:val="none"/>
        </w:rPr>
      </w:pPr>
      <w:r>
        <w:rPr>
          <w:rFonts w:hint="eastAsia" w:hAnsi="宋体" w:cs="宋体"/>
          <w:highlight w:val="none"/>
        </w:rPr>
        <w:t>3.7.1投标文件应按照第六章“投标文件格式”进行编写，如有必要，可以增加附页，作为投标文件的组成部分。投标函在满足招标文件实质性要求的基础上，可以提出比招标文件要求更有利于招标人的承诺。</w:t>
      </w:r>
    </w:p>
    <w:p>
      <w:pPr>
        <w:spacing w:line="360" w:lineRule="auto"/>
        <w:ind w:firstLine="480" w:firstLineChars="200"/>
        <w:rPr>
          <w:rFonts w:hAnsi="宋体" w:cs="宋体"/>
          <w:highlight w:val="none"/>
        </w:rPr>
      </w:pPr>
      <w:r>
        <w:rPr>
          <w:rFonts w:hint="eastAsia" w:hAnsi="宋体" w:cs="宋体"/>
          <w:highlight w:val="none"/>
        </w:rPr>
        <w:t>3.7.2 投标文件应当对招标文件有关交货及安装周期、投标有效期、供货要求、招标范围等实质性内容作出响应。投标文件在满足招标文件实质性要求的基础上，可以提出比招标文件要求更有利于招标人的承诺。</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3.7.3 投标文件的制作应满足以下规定：</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（1）投标文件由投标人使用电子交易系统提供的“投标文件制作工具”制作生成。“投标文件制作工具”可以通过电子交易系统下载。</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2）在第六章“投标文件格式”中要求盖单位章和（或）签字处，投标人应加盖投标人单位电子印章和（或）法定代表人的个人电子印章/电子签名章。联合体投标的，除联合体协议书外，投标文件由联合体牵头人</w:t>
      </w:r>
      <w:r>
        <w:rPr>
          <w:rFonts w:hint="eastAsia" w:hAnsi="宋体" w:cs="宋体"/>
          <w:highlight w:val="none"/>
        </w:rPr>
        <w:t>按照</w:t>
      </w:r>
      <w:r>
        <w:rPr>
          <w:rFonts w:hint="eastAsia" w:hAnsi="宋体" w:cs="宋体"/>
          <w:snapToGrid w:val="0"/>
          <w:highlight w:val="none"/>
          <w:shd w:val="clear" w:color="auto" w:fill="FFFFFF"/>
        </w:rPr>
        <w:t>上述规定加盖联合体牵头人单位电子印章和（或）法定代表人的个人电子印章/电子签名章。</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pPr>
        <w:spacing w:line="360" w:lineRule="auto"/>
        <w:ind w:firstLine="480" w:firstLineChars="200"/>
        <w:rPr>
          <w:rFonts w:hAnsi="宋体" w:cs="宋体"/>
          <w:highlight w:val="none"/>
        </w:rPr>
      </w:pPr>
      <w:r>
        <w:rPr>
          <w:rFonts w:hint="eastAsia" w:hAnsi="宋体" w:cs="宋体"/>
          <w:highlight w:val="none"/>
        </w:rPr>
        <w:t>（4）投标文件中的证明材料接受扫描件（包括电子证照等电子件）形式。</w:t>
      </w:r>
    </w:p>
    <w:p>
      <w:pPr>
        <w:spacing w:line="360" w:lineRule="auto"/>
        <w:ind w:firstLine="480" w:firstLineChars="200"/>
        <w:rPr>
          <w:rFonts w:hAnsi="宋体" w:cs="宋体"/>
          <w:highlight w:val="none"/>
        </w:rPr>
      </w:pPr>
      <w:r>
        <w:rPr>
          <w:rFonts w:hint="eastAsia" w:hAnsi="宋体" w:cs="宋体"/>
          <w:highlight w:val="none"/>
        </w:rPr>
        <w:t>（5）投标文件制作的具体方法见“投标文件制作工具”中的帮助文档。</w:t>
      </w:r>
    </w:p>
    <w:p>
      <w:pPr>
        <w:spacing w:line="360" w:lineRule="auto"/>
        <w:ind w:firstLine="480" w:firstLineChars="200"/>
        <w:rPr>
          <w:rFonts w:hAnsi="宋体" w:cs="宋体"/>
          <w:highlight w:val="none"/>
        </w:rPr>
      </w:pPr>
      <w:r>
        <w:rPr>
          <w:rFonts w:hint="eastAsia" w:hAnsi="宋体" w:cs="宋体"/>
          <w:highlight w:val="none"/>
        </w:rPr>
        <w:t>3.7.4 “投标文件制作工具”生成加密投标文件时，同时生成非加密投标文件，作为加密投标文件无法解密、导入时的补救措施。非加密投标文件递交要求见投标人须知前附表。</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3.7.5 因投标人自身原因而导致投标文件（指解密后的投标文件或启用补救措施下的非加密投标文件）无法导入电子交易系统电子开标、评标系统，该投标视为无效投标，投标人自行承担由此导致的全部责任。</w:t>
      </w:r>
    </w:p>
    <w:p>
      <w:pPr>
        <w:pStyle w:val="3"/>
        <w:spacing w:beforeLines="100" w:afterLines="100" w:line="240" w:lineRule="auto"/>
        <w:rPr>
          <w:rFonts w:ascii="黑体" w:hAnsi="黑体" w:eastAsia="黑体" w:cs="黑体"/>
          <w:b w:val="0"/>
          <w:bCs w:val="0"/>
          <w:highlight w:val="none"/>
        </w:rPr>
      </w:pPr>
      <w:bookmarkStart w:id="249" w:name="_Toc144974523"/>
      <w:bookmarkStart w:id="250" w:name="_Toc16689"/>
      <w:bookmarkStart w:id="251" w:name="_Toc179632573"/>
      <w:bookmarkStart w:id="252" w:name="_Toc152042331"/>
      <w:bookmarkStart w:id="253" w:name="_Toc152045555"/>
      <w:bookmarkStart w:id="254" w:name="_Toc140069409"/>
      <w:r>
        <w:rPr>
          <w:rFonts w:hint="eastAsia" w:ascii="黑体" w:hAnsi="黑体" w:eastAsia="黑体" w:cs="黑体"/>
          <w:b w:val="0"/>
          <w:bCs w:val="0"/>
          <w:highlight w:val="none"/>
        </w:rPr>
        <w:t>4. 投标</w:t>
      </w:r>
      <w:bookmarkEnd w:id="249"/>
      <w:bookmarkEnd w:id="250"/>
      <w:bookmarkEnd w:id="251"/>
      <w:bookmarkEnd w:id="252"/>
      <w:bookmarkEnd w:id="253"/>
      <w:bookmarkEnd w:id="254"/>
    </w:p>
    <w:p>
      <w:pPr>
        <w:pStyle w:val="4"/>
        <w:spacing w:beforeLines="100" w:afterLines="100" w:line="240" w:lineRule="auto"/>
        <w:rPr>
          <w:rFonts w:cs="黑体"/>
          <w:snapToGrid w:val="0"/>
          <w:highlight w:val="none"/>
          <w:shd w:val="clear" w:color="auto" w:fill="FFFFFF"/>
          <w:lang w:val="zh-CN"/>
        </w:rPr>
      </w:pPr>
      <w:bookmarkStart w:id="255" w:name="_Toc144974524"/>
      <w:bookmarkStart w:id="256" w:name="_Toc152045556"/>
      <w:bookmarkStart w:id="257" w:name="_Toc179632574"/>
      <w:bookmarkStart w:id="258" w:name="_Toc152042332"/>
      <w:r>
        <w:rPr>
          <w:rFonts w:hint="eastAsia" w:cs="黑体"/>
          <w:snapToGrid w:val="0"/>
          <w:highlight w:val="none"/>
          <w:shd w:val="clear" w:color="auto" w:fill="FFFFFF"/>
          <w:lang w:val="zh-CN"/>
        </w:rPr>
        <w:t>4.1投标文件的加密（密封）和标记</w:t>
      </w:r>
      <w:bookmarkEnd w:id="255"/>
      <w:bookmarkEnd w:id="256"/>
      <w:bookmarkEnd w:id="257"/>
      <w:bookmarkEnd w:id="258"/>
    </w:p>
    <w:p>
      <w:pPr>
        <w:spacing w:line="360" w:lineRule="auto"/>
        <w:ind w:firstLine="480" w:firstLineChars="200"/>
        <w:rPr>
          <w:rFonts w:hAnsi="宋体" w:cs="宋体"/>
          <w:highlight w:val="none"/>
        </w:rPr>
      </w:pPr>
      <w:r>
        <w:rPr>
          <w:rFonts w:hint="eastAsia" w:hAnsi="宋体" w:cs="宋体"/>
          <w:highlight w:val="none"/>
        </w:rPr>
        <w:t xml:space="preserve">4.1.1 </w:t>
      </w:r>
      <w:r>
        <w:rPr>
          <w:rFonts w:hint="eastAsia" w:hAnsi="宋体" w:cs="宋体"/>
          <w:bCs/>
          <w:snapToGrid w:val="0"/>
          <w:highlight w:val="none"/>
        </w:rPr>
        <w:t>投标文件应按照本章第 3.7.3 项要求制作并加密，未</w:t>
      </w:r>
      <w:r>
        <w:rPr>
          <w:rFonts w:hint="eastAsia" w:hAnsi="宋体" w:cs="宋体"/>
          <w:highlight w:val="none"/>
        </w:rPr>
        <w:t>按照</w:t>
      </w:r>
      <w:r>
        <w:rPr>
          <w:rFonts w:hint="eastAsia" w:hAnsi="宋体" w:cs="宋体"/>
          <w:bCs/>
          <w:snapToGrid w:val="0"/>
          <w:highlight w:val="none"/>
        </w:rPr>
        <w:t>要求加密的投标文件将被拒绝接收。</w:t>
      </w:r>
    </w:p>
    <w:p>
      <w:pPr>
        <w:spacing w:line="360" w:lineRule="auto"/>
        <w:ind w:firstLine="480" w:firstLineChars="200"/>
        <w:rPr>
          <w:rFonts w:hAnsi="宋体" w:cs="宋体"/>
          <w:bCs/>
          <w:snapToGrid w:val="0"/>
          <w:highlight w:val="none"/>
        </w:rPr>
      </w:pPr>
      <w:r>
        <w:rPr>
          <w:rFonts w:hint="eastAsia" w:hAnsi="宋体" w:cs="宋体"/>
          <w:highlight w:val="none"/>
        </w:rPr>
        <w:t>4.1.2非加密投标文件密封和标记要求见投标人须知前附表。非加密投标文件应在封口处加盖投标人单位章或由投标人的法定代表人或其授权的代理人签字，未按照规定封装或加写标记，招标人将不承担投标文件未被开启或提前开启的责任。</w:t>
      </w:r>
    </w:p>
    <w:p>
      <w:pPr>
        <w:pStyle w:val="4"/>
        <w:spacing w:beforeLines="100" w:afterLines="100" w:line="240" w:lineRule="auto"/>
        <w:rPr>
          <w:rFonts w:cs="黑体"/>
          <w:snapToGrid w:val="0"/>
          <w:highlight w:val="none"/>
          <w:shd w:val="clear" w:color="auto" w:fill="FFFFFF"/>
          <w:lang w:val="zh-CN"/>
        </w:rPr>
      </w:pPr>
      <w:bookmarkStart w:id="259" w:name="_Toc179632575"/>
      <w:bookmarkStart w:id="260" w:name="_Toc152042333"/>
      <w:bookmarkStart w:id="261" w:name="_Toc144974525"/>
      <w:bookmarkStart w:id="262" w:name="_Toc152045557"/>
      <w:r>
        <w:rPr>
          <w:rFonts w:hint="eastAsia" w:cs="黑体"/>
          <w:snapToGrid w:val="0"/>
          <w:highlight w:val="none"/>
          <w:shd w:val="clear" w:color="auto" w:fill="FFFFFF"/>
          <w:lang w:val="zh-CN"/>
        </w:rPr>
        <w:t>4.2投标文件的递交</w:t>
      </w:r>
      <w:bookmarkEnd w:id="259"/>
      <w:bookmarkEnd w:id="260"/>
      <w:bookmarkEnd w:id="261"/>
      <w:bookmarkEnd w:id="262"/>
    </w:p>
    <w:p>
      <w:pPr>
        <w:spacing w:line="360" w:lineRule="auto"/>
        <w:ind w:firstLine="480" w:firstLineChars="200"/>
        <w:rPr>
          <w:rFonts w:hAnsi="宋体" w:cs="宋体"/>
          <w:snapToGrid w:val="0"/>
          <w:highlight w:val="none"/>
        </w:rPr>
      </w:pPr>
      <w:r>
        <w:rPr>
          <w:rFonts w:hint="eastAsia" w:hAnsi="宋体" w:cs="宋体"/>
          <w:highlight w:val="none"/>
        </w:rPr>
        <w:t>4.2.1</w:t>
      </w:r>
      <w:r>
        <w:rPr>
          <w:rFonts w:hint="eastAsia" w:hAnsi="宋体" w:cs="宋体"/>
          <w:snapToGrid w:val="0"/>
          <w:highlight w:val="none"/>
          <w:lang w:bidi="en-US"/>
        </w:rPr>
        <w:t xml:space="preserve"> 投标人应当在第一章“招标公告”规定的投标截止时间前，将加密投标文件在电子交易系统上传。</w:t>
      </w:r>
    </w:p>
    <w:p>
      <w:pPr>
        <w:spacing w:line="360" w:lineRule="auto"/>
        <w:ind w:firstLine="480" w:firstLineChars="200"/>
        <w:rPr>
          <w:rFonts w:hAnsi="宋体" w:cs="宋体"/>
          <w:highlight w:val="none"/>
        </w:rPr>
      </w:pPr>
      <w:r>
        <w:rPr>
          <w:rFonts w:hint="eastAsia" w:hAnsi="宋体" w:cs="宋体"/>
          <w:highlight w:val="none"/>
        </w:rPr>
        <w:t>4.2.2 投标人递交非加密投标文件的地点：见投标人须知前附表。招标人收到非加密投标文件后由投标人代表登记或向投标人出具签收凭证。</w:t>
      </w:r>
    </w:p>
    <w:p>
      <w:pPr>
        <w:spacing w:line="360" w:lineRule="auto"/>
        <w:ind w:firstLine="480" w:firstLineChars="200"/>
        <w:rPr>
          <w:rFonts w:hAnsi="宋体" w:cs="宋体"/>
          <w:highlight w:val="none"/>
        </w:rPr>
      </w:pPr>
      <w:r>
        <w:rPr>
          <w:rFonts w:hint="eastAsia" w:hAnsi="宋体" w:cs="宋体"/>
          <w:highlight w:val="none"/>
        </w:rPr>
        <w:t>4.2.3 除投标人须知前附表另有规定外，投标人所递交的投标文件不予退还。</w:t>
      </w:r>
    </w:p>
    <w:p>
      <w:pPr>
        <w:spacing w:line="360" w:lineRule="auto"/>
        <w:ind w:firstLine="480" w:firstLineChars="200"/>
        <w:rPr>
          <w:rFonts w:hAnsi="宋体" w:cs="宋体"/>
          <w:bCs/>
          <w:snapToGrid w:val="0"/>
          <w:highlight w:val="none"/>
        </w:rPr>
      </w:pPr>
      <w:r>
        <w:rPr>
          <w:rFonts w:hint="eastAsia" w:hAnsi="宋体" w:cs="宋体"/>
          <w:highlight w:val="none"/>
        </w:rPr>
        <w:t xml:space="preserve">4.2.4 </w:t>
      </w:r>
      <w:r>
        <w:rPr>
          <w:rFonts w:hint="eastAsia" w:hAnsi="宋体" w:cs="宋体"/>
          <w:bCs/>
          <w:snapToGrid w:val="0"/>
          <w:highlight w:val="none"/>
        </w:rPr>
        <w:t>投标人应当在投标截止时间前完成投标文件的传输递交（以接收到电子签收凭证为准），并可以补充、修改或者撤回投标文件。投标截止时间前未完成投标文件传输的，视为撤回投标文件。未</w:t>
      </w:r>
      <w:r>
        <w:rPr>
          <w:rFonts w:hint="eastAsia" w:hAnsi="宋体" w:cs="宋体"/>
          <w:highlight w:val="none"/>
        </w:rPr>
        <w:t>按照</w:t>
      </w:r>
      <w:r>
        <w:rPr>
          <w:rFonts w:hint="eastAsia" w:hAnsi="宋体" w:cs="宋体"/>
          <w:bCs/>
          <w:snapToGrid w:val="0"/>
          <w:highlight w:val="none"/>
        </w:rPr>
        <w:t>规定加密或投标截止时间后送达的投标文件，电子交易系统应当拒收。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4.2.5 如投标人须知前附表允许递交非加密投标文件，投标人逾期送达的或者未送达指定地点的非加密投标文件，招标人不予接收，但不影响其已</w:t>
      </w:r>
      <w:r>
        <w:rPr>
          <w:rFonts w:hint="eastAsia" w:hAnsi="宋体" w:cs="宋体"/>
          <w:highlight w:val="none"/>
        </w:rPr>
        <w:t>按照</w:t>
      </w:r>
      <w:r>
        <w:rPr>
          <w:rFonts w:hint="eastAsia" w:hAnsi="宋体" w:cs="宋体"/>
          <w:bCs/>
          <w:snapToGrid w:val="0"/>
          <w:highlight w:val="none"/>
        </w:rPr>
        <w:t>招标文件要求从电子交易系统递交的加密投标文件的有效性。未从电子交易系统递交加密投标文件的，投标人递交的非加密投标文件将被视为无效。</w:t>
      </w:r>
    </w:p>
    <w:p>
      <w:pPr>
        <w:spacing w:line="360" w:lineRule="auto"/>
        <w:ind w:firstLine="480" w:firstLineChars="200"/>
        <w:rPr>
          <w:rFonts w:hAnsi="宋体" w:cs="宋体"/>
          <w:highlight w:val="none"/>
        </w:rPr>
      </w:pPr>
      <w:r>
        <w:rPr>
          <w:rFonts w:hint="eastAsia" w:hAnsi="宋体" w:cs="宋体"/>
          <w:bCs/>
          <w:snapToGrid w:val="0"/>
          <w:highlight w:val="none"/>
        </w:rPr>
        <w:t>4.2.6 投标人在本章第5.2款规定的解密开始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pPr>
        <w:pStyle w:val="4"/>
        <w:spacing w:beforeLines="100" w:afterLines="100" w:line="240" w:lineRule="auto"/>
        <w:rPr>
          <w:rFonts w:cs="黑体"/>
          <w:snapToGrid w:val="0"/>
          <w:highlight w:val="none"/>
          <w:shd w:val="clear" w:color="auto" w:fill="FFFFFF"/>
          <w:lang w:val="zh-CN"/>
        </w:rPr>
      </w:pPr>
      <w:bookmarkStart w:id="263" w:name="_Toc152042334"/>
      <w:bookmarkStart w:id="264" w:name="_Toc144974526"/>
      <w:bookmarkStart w:id="265" w:name="_Toc152045558"/>
      <w:bookmarkStart w:id="266" w:name="_Toc179632576"/>
      <w:r>
        <w:rPr>
          <w:rFonts w:hint="eastAsia" w:cs="黑体"/>
          <w:snapToGrid w:val="0"/>
          <w:highlight w:val="none"/>
          <w:shd w:val="clear" w:color="auto" w:fill="FFFFFF"/>
          <w:lang w:val="zh-CN"/>
        </w:rPr>
        <w:t>4.3投标文件的修改与撤回</w:t>
      </w:r>
      <w:bookmarkEnd w:id="263"/>
      <w:bookmarkEnd w:id="264"/>
      <w:bookmarkEnd w:id="265"/>
      <w:bookmarkEnd w:id="266"/>
    </w:p>
    <w:p>
      <w:pPr>
        <w:spacing w:line="360" w:lineRule="auto"/>
        <w:ind w:firstLine="480" w:firstLineChars="200"/>
        <w:rPr>
          <w:rFonts w:hAnsi="宋体" w:cs="宋体"/>
          <w:highlight w:val="none"/>
        </w:rPr>
      </w:pPr>
      <w:r>
        <w:rPr>
          <w:rFonts w:hint="eastAsia" w:hAnsi="宋体" w:cs="宋体"/>
          <w:highlight w:val="none"/>
        </w:rPr>
        <w:t xml:space="preserve">4.3.1 </w:t>
      </w:r>
      <w:r>
        <w:rPr>
          <w:rFonts w:hint="eastAsia" w:hAnsi="宋体" w:cs="宋体"/>
          <w:bCs/>
          <w:snapToGrid w:val="0"/>
          <w:highlight w:val="none"/>
        </w:rPr>
        <w:t>在第一章“招标公告”规定的投标截止时间前，投标人可以修改或撤回已递交的投标文件。投标人对加密投标文件进行撤回的，应在电子交易系统直接进行撤回操作；投标人对加密投标文件进行修改的，应在投标截止时间前完成上传</w:t>
      </w:r>
      <w:r>
        <w:rPr>
          <w:rFonts w:hint="eastAsia" w:hAnsi="宋体" w:cs="宋体"/>
          <w:highlight w:val="none"/>
        </w:rPr>
        <w:t>。</w:t>
      </w:r>
      <w:r>
        <w:rPr>
          <w:rFonts w:hint="eastAsia" w:hAnsi="宋体" w:cs="宋体"/>
          <w:bCs/>
          <w:snapToGrid w:val="0"/>
          <w:highlight w:val="none"/>
        </w:rPr>
        <w:t>投标人修改投标文件的，应使用“投标文件制作工具”制作成完整的投标文件，并按照本章第 3 条、第 4 条规定进行编制、加密和递交。</w:t>
      </w:r>
    </w:p>
    <w:p>
      <w:pPr>
        <w:spacing w:line="360" w:lineRule="auto"/>
        <w:ind w:firstLine="480" w:firstLineChars="200"/>
        <w:rPr>
          <w:rFonts w:hAnsi="宋体" w:cs="宋体"/>
          <w:highlight w:val="none"/>
        </w:rPr>
      </w:pPr>
      <w:r>
        <w:rPr>
          <w:rFonts w:hint="eastAsia" w:hAnsi="宋体" w:cs="宋体"/>
          <w:highlight w:val="none"/>
        </w:rPr>
        <w:t>4.3.2 投标人修改或撤回已递交的</w:t>
      </w:r>
      <w:r>
        <w:rPr>
          <w:rFonts w:hint="eastAsia" w:hAnsi="宋体" w:cs="宋体"/>
          <w:bCs/>
          <w:snapToGrid w:val="0"/>
          <w:highlight w:val="none"/>
        </w:rPr>
        <w:t>非加密</w:t>
      </w:r>
      <w:r>
        <w:rPr>
          <w:rFonts w:hint="eastAsia" w:hAnsi="宋体" w:cs="宋体"/>
          <w:highlight w:val="none"/>
        </w:rPr>
        <w:t>投标文件的，应当以书面形式通知招标人，书面通知应由法定代表人（或代理人）签字或盖单位章。招标人收到书面通知后，向投标人出具签收凭证。</w:t>
      </w:r>
    </w:p>
    <w:p>
      <w:pPr>
        <w:pStyle w:val="3"/>
        <w:spacing w:beforeLines="100" w:afterLines="100" w:line="240" w:lineRule="auto"/>
        <w:rPr>
          <w:rFonts w:ascii="黑体" w:hAnsi="黑体" w:eastAsia="黑体" w:cs="黑体"/>
          <w:b w:val="0"/>
          <w:bCs w:val="0"/>
          <w:highlight w:val="none"/>
        </w:rPr>
      </w:pPr>
      <w:bookmarkStart w:id="267" w:name="_Toc144974527"/>
      <w:bookmarkStart w:id="268" w:name="_Toc8387"/>
      <w:bookmarkStart w:id="269" w:name="_Toc152045559"/>
      <w:bookmarkStart w:id="270" w:name="_Toc152042335"/>
      <w:bookmarkStart w:id="271" w:name="_Toc140069410"/>
      <w:bookmarkStart w:id="272" w:name="_Toc179632577"/>
      <w:r>
        <w:rPr>
          <w:rFonts w:hint="eastAsia" w:ascii="黑体" w:hAnsi="黑体" w:eastAsia="黑体" w:cs="黑体"/>
          <w:b w:val="0"/>
          <w:bCs w:val="0"/>
          <w:highlight w:val="none"/>
        </w:rPr>
        <w:t>5. 开标</w:t>
      </w:r>
      <w:bookmarkEnd w:id="267"/>
      <w:bookmarkEnd w:id="268"/>
      <w:bookmarkEnd w:id="269"/>
      <w:bookmarkEnd w:id="270"/>
      <w:bookmarkEnd w:id="271"/>
      <w:bookmarkEnd w:id="272"/>
    </w:p>
    <w:p>
      <w:pPr>
        <w:pStyle w:val="4"/>
        <w:spacing w:beforeLines="100" w:afterLines="100" w:line="240" w:lineRule="auto"/>
        <w:rPr>
          <w:rFonts w:cs="黑体"/>
          <w:snapToGrid w:val="0"/>
          <w:highlight w:val="none"/>
          <w:shd w:val="clear" w:color="auto" w:fill="FFFFFF"/>
          <w:lang w:val="zh-CN"/>
        </w:rPr>
      </w:pPr>
      <w:bookmarkStart w:id="273" w:name="_Toc144974528"/>
      <w:bookmarkStart w:id="274" w:name="_Toc152045560"/>
      <w:bookmarkStart w:id="275" w:name="_Toc152042336"/>
      <w:bookmarkStart w:id="276" w:name="_Toc179632578"/>
      <w:r>
        <w:rPr>
          <w:rFonts w:hint="eastAsia" w:cs="黑体"/>
          <w:snapToGrid w:val="0"/>
          <w:highlight w:val="none"/>
          <w:shd w:val="clear" w:color="auto" w:fill="FFFFFF"/>
          <w:lang w:val="zh-CN"/>
        </w:rPr>
        <w:t>5.1开标时间和地点</w:t>
      </w:r>
      <w:bookmarkEnd w:id="273"/>
      <w:bookmarkEnd w:id="274"/>
      <w:bookmarkEnd w:id="275"/>
      <w:bookmarkEnd w:id="276"/>
    </w:p>
    <w:p>
      <w:pPr>
        <w:spacing w:line="360" w:lineRule="auto"/>
        <w:ind w:firstLine="480" w:firstLineChars="200"/>
        <w:rPr>
          <w:rFonts w:hAnsi="宋体" w:cs="宋体"/>
          <w:bCs/>
          <w:snapToGrid w:val="0"/>
          <w:highlight w:val="none"/>
        </w:rPr>
      </w:pPr>
      <w:r>
        <w:rPr>
          <w:rFonts w:hint="eastAsia" w:hAnsi="宋体" w:cs="宋体"/>
          <w:bCs/>
          <w:snapToGrid w:val="0"/>
          <w:highlight w:val="none"/>
        </w:rPr>
        <w:t>招标人在投标人须知前附表规定的开标时间和地点通过电子交易系统开标，所有投标人的法定代表人或其委托代理人应当准时参加。</w:t>
      </w:r>
    </w:p>
    <w:p>
      <w:pPr>
        <w:spacing w:line="360" w:lineRule="auto"/>
        <w:ind w:firstLine="480" w:firstLineChars="200"/>
        <w:rPr>
          <w:rFonts w:hAnsi="宋体" w:cs="宋体"/>
          <w:bCs/>
          <w:snapToGrid w:val="0"/>
          <w:highlight w:val="none"/>
        </w:rPr>
      </w:pPr>
      <w:r>
        <w:rPr>
          <w:rFonts w:hint="eastAsia" w:hAnsi="宋体" w:cs="宋体"/>
          <w:bCs/>
          <w:snapToGrid w:val="0"/>
          <w:highlight w:val="none"/>
        </w:rPr>
        <w:t>投标人若未派法定代表人或其委托代理人出席开标活动，视为该投标人默认开标结果。</w:t>
      </w:r>
    </w:p>
    <w:p>
      <w:pPr>
        <w:pStyle w:val="4"/>
        <w:spacing w:beforeLines="100" w:afterLines="100" w:line="240" w:lineRule="auto"/>
        <w:rPr>
          <w:rFonts w:cs="黑体"/>
          <w:snapToGrid w:val="0"/>
          <w:highlight w:val="none"/>
          <w:shd w:val="clear" w:color="auto" w:fill="FFFFFF"/>
          <w:lang w:val="zh-CN"/>
        </w:rPr>
      </w:pPr>
      <w:bookmarkStart w:id="277" w:name="_Toc179632579"/>
      <w:bookmarkStart w:id="278" w:name="_Toc144974529"/>
      <w:bookmarkStart w:id="279" w:name="_Toc152042337"/>
      <w:bookmarkStart w:id="280" w:name="_Toc152045561"/>
      <w:r>
        <w:rPr>
          <w:rFonts w:hint="eastAsia" w:cs="黑体"/>
          <w:snapToGrid w:val="0"/>
          <w:highlight w:val="none"/>
          <w:shd w:val="clear" w:color="auto" w:fill="FFFFFF"/>
          <w:lang w:val="zh-CN"/>
        </w:rPr>
        <w:t>5.2开标程序</w:t>
      </w:r>
      <w:bookmarkEnd w:id="277"/>
      <w:bookmarkEnd w:id="278"/>
      <w:bookmarkEnd w:id="279"/>
      <w:bookmarkEnd w:id="280"/>
    </w:p>
    <w:p>
      <w:pPr>
        <w:spacing w:line="360" w:lineRule="auto"/>
        <w:ind w:firstLine="480" w:firstLineChars="200"/>
        <w:rPr>
          <w:rFonts w:hAnsi="宋体" w:cs="宋体"/>
          <w:bCs/>
          <w:snapToGrid w:val="0"/>
          <w:highlight w:val="none"/>
        </w:rPr>
      </w:pPr>
      <w:r>
        <w:rPr>
          <w:rFonts w:hint="eastAsia" w:hAnsi="宋体" w:cs="宋体"/>
          <w:bCs/>
          <w:snapToGrid w:val="0"/>
          <w:highlight w:val="none"/>
        </w:rPr>
        <w:t>除投标人须知前附表另有规定外，主持人</w:t>
      </w:r>
      <w:r>
        <w:rPr>
          <w:rFonts w:hint="eastAsia" w:hAnsi="宋体" w:cs="宋体"/>
          <w:highlight w:val="none"/>
        </w:rPr>
        <w:t>按照</w:t>
      </w:r>
      <w:r>
        <w:rPr>
          <w:rFonts w:hint="eastAsia" w:hAnsi="宋体" w:cs="宋体"/>
          <w:bCs/>
          <w:snapToGrid w:val="0"/>
          <w:highlight w:val="none"/>
        </w:rPr>
        <w:t xml:space="preserve">下列程序进行开标： </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（1）公布在投标截止时间前通过电子交易系统完成投标文件递交的投标人名称；</w:t>
      </w:r>
    </w:p>
    <w:p>
      <w:pPr>
        <w:spacing w:line="360" w:lineRule="auto"/>
        <w:ind w:firstLine="480" w:firstLineChars="200"/>
        <w:rPr>
          <w:rFonts w:hAnsi="宋体" w:cs="宋体"/>
          <w:bCs/>
          <w:snapToGrid w:val="0"/>
          <w:highlight w:val="none"/>
        </w:rPr>
      </w:pPr>
      <w:r>
        <w:rPr>
          <w:rFonts w:hint="eastAsia" w:hAnsi="宋体" w:cs="宋体"/>
          <w:bCs/>
          <w:snapToGrid w:val="0"/>
          <w:highlight w:val="none"/>
        </w:rPr>
        <w:t>（2）由投标人推选的代表检查非加密投标文件的密封情况（如有）；</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（3）投标人在投标截止时间后在投标人须知前附表规定的解密时间内完成投标文件的解密工作；</w:t>
      </w:r>
    </w:p>
    <w:p>
      <w:pPr>
        <w:spacing w:line="360" w:lineRule="auto"/>
        <w:ind w:firstLine="480" w:firstLineChars="200"/>
        <w:rPr>
          <w:rFonts w:hAnsi="宋体" w:cs="宋体"/>
          <w:bCs/>
          <w:snapToGrid w:val="0"/>
          <w:highlight w:val="none"/>
        </w:rPr>
      </w:pPr>
      <w:r>
        <w:rPr>
          <w:rFonts w:hint="eastAsia" w:hAnsi="宋体" w:cs="宋体"/>
          <w:bCs/>
          <w:snapToGrid w:val="0"/>
          <w:highlight w:val="none"/>
        </w:rPr>
        <w:t>（4）招标人完成解密工作，导入并读取所有成功解密的投标文件，或招标人成功导入现场递交的非加密投标文件；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（5）</w:t>
      </w:r>
      <w:r>
        <w:rPr>
          <w:rFonts w:hint="eastAsia" w:ascii="Times New Roman" w:cs="宋体"/>
          <w:bCs/>
          <w:snapToGrid w:val="0"/>
          <w:szCs w:val="24"/>
          <w:highlight w:val="none"/>
        </w:rPr>
        <w:t>按照投标人须知前附表规定公布投标文件相应内容；</w:t>
      </w:r>
    </w:p>
    <w:p>
      <w:pPr>
        <w:spacing w:line="360" w:lineRule="auto"/>
        <w:ind w:firstLine="480" w:firstLineChars="200"/>
        <w:rPr>
          <w:rFonts w:hAnsi="宋体" w:cs="宋体"/>
          <w:bCs/>
          <w:snapToGrid w:val="0"/>
          <w:highlight w:val="none"/>
        </w:rPr>
      </w:pPr>
      <w:r>
        <w:rPr>
          <w:rFonts w:hint="eastAsia" w:hAnsi="宋体" w:cs="宋体"/>
          <w:bCs/>
          <w:snapToGrid w:val="0"/>
          <w:highlight w:val="none"/>
        </w:rPr>
        <w:t>（6）开标结束。</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5.3 开标异议</w:t>
      </w:r>
    </w:p>
    <w:p>
      <w:pPr>
        <w:spacing w:line="360" w:lineRule="auto"/>
        <w:ind w:firstLine="480" w:firstLineChars="200"/>
        <w:rPr>
          <w:rFonts w:hAnsi="宋体" w:cs="宋体"/>
          <w:bCs/>
          <w:snapToGrid w:val="0"/>
          <w:highlight w:val="none"/>
        </w:rPr>
      </w:pPr>
      <w:r>
        <w:rPr>
          <w:rFonts w:hint="eastAsia" w:hAnsi="宋体" w:cs="宋体"/>
          <w:bCs/>
          <w:snapToGrid w:val="0"/>
          <w:highlight w:val="none"/>
        </w:rPr>
        <w:t>投标人对开标有异议的，应当在开标过程中提出；招标人当场对异议作出答复，并记入开标记录。异议与答复应通过电子交易系统进行。</w:t>
      </w:r>
    </w:p>
    <w:p>
      <w:pPr>
        <w:pStyle w:val="3"/>
        <w:numPr>
          <w:ilvl w:val="0"/>
          <w:numId w:val="3"/>
        </w:numPr>
        <w:spacing w:beforeLines="100" w:afterLines="100" w:line="240" w:lineRule="auto"/>
        <w:rPr>
          <w:rFonts w:ascii="黑体" w:hAnsi="黑体" w:eastAsia="黑体" w:cs="黑体"/>
          <w:b w:val="0"/>
          <w:bCs w:val="0"/>
          <w:highlight w:val="none"/>
        </w:rPr>
      </w:pPr>
      <w:bookmarkStart w:id="281" w:name="_Toc140069411"/>
      <w:bookmarkStart w:id="282" w:name="_Toc24472"/>
      <w:bookmarkStart w:id="283" w:name="_Toc152042338"/>
      <w:bookmarkStart w:id="284" w:name="_Toc152045562"/>
      <w:bookmarkStart w:id="285" w:name="_Toc179632580"/>
      <w:bookmarkStart w:id="286" w:name="_Toc144974530"/>
      <w:r>
        <w:rPr>
          <w:rFonts w:hint="eastAsia" w:ascii="黑体" w:hAnsi="黑体" w:eastAsia="黑体" w:cs="黑体"/>
          <w:b w:val="0"/>
          <w:bCs w:val="0"/>
          <w:highlight w:val="none"/>
        </w:rPr>
        <w:t>评标</w:t>
      </w:r>
      <w:bookmarkEnd w:id="281"/>
      <w:bookmarkEnd w:id="282"/>
      <w:bookmarkEnd w:id="283"/>
      <w:bookmarkEnd w:id="284"/>
      <w:bookmarkEnd w:id="285"/>
      <w:bookmarkEnd w:id="286"/>
    </w:p>
    <w:p>
      <w:pPr>
        <w:pStyle w:val="4"/>
        <w:spacing w:beforeLines="100" w:afterLines="100" w:line="240" w:lineRule="auto"/>
        <w:rPr>
          <w:rFonts w:cs="黑体"/>
          <w:snapToGrid w:val="0"/>
          <w:highlight w:val="none"/>
          <w:shd w:val="clear" w:color="auto" w:fill="FFFFFF"/>
          <w:lang w:val="zh-CN"/>
        </w:rPr>
      </w:pPr>
      <w:bookmarkStart w:id="287" w:name="_Toc179632581"/>
      <w:bookmarkStart w:id="288" w:name="_Toc152045563"/>
      <w:bookmarkStart w:id="289" w:name="_Toc144974531"/>
      <w:bookmarkStart w:id="290" w:name="_Toc152042339"/>
      <w:r>
        <w:rPr>
          <w:rFonts w:hint="eastAsia" w:cs="黑体"/>
          <w:snapToGrid w:val="0"/>
          <w:highlight w:val="none"/>
          <w:shd w:val="clear" w:color="auto" w:fill="FFFFFF"/>
          <w:lang w:val="zh-CN"/>
        </w:rPr>
        <w:t>6.1评标委员会</w:t>
      </w:r>
      <w:bookmarkEnd w:id="287"/>
      <w:bookmarkEnd w:id="288"/>
      <w:bookmarkEnd w:id="289"/>
      <w:bookmarkEnd w:id="290"/>
    </w:p>
    <w:p>
      <w:pPr>
        <w:spacing w:line="360" w:lineRule="auto"/>
        <w:ind w:firstLine="480" w:firstLineChars="200"/>
        <w:rPr>
          <w:rFonts w:hAnsi="宋体" w:cs="宋体"/>
          <w:highlight w:val="none"/>
        </w:rPr>
      </w:pPr>
      <w:bookmarkStart w:id="291" w:name="_Toc179632582"/>
      <w:bookmarkStart w:id="292" w:name="_Toc152042340"/>
      <w:bookmarkStart w:id="293" w:name="_Toc144974532"/>
      <w:bookmarkStart w:id="294" w:name="_Toc152045564"/>
      <w:r>
        <w:rPr>
          <w:rFonts w:hint="eastAsia" w:hAnsi="宋体" w:cs="宋体"/>
          <w:highlight w:val="none"/>
        </w:rPr>
        <w:t>6.1.1 评标由招标人依法组建的评标委员会负责。评标委员会由招标人的代表，以及有关技术、经济等方面的专家组成。</w:t>
      </w:r>
    </w:p>
    <w:p>
      <w:pPr>
        <w:spacing w:line="360" w:lineRule="auto"/>
        <w:ind w:firstLine="480" w:firstLineChars="200"/>
        <w:rPr>
          <w:rFonts w:hAnsi="宋体" w:cs="宋体"/>
          <w:highlight w:val="none"/>
        </w:rPr>
      </w:pPr>
      <w:r>
        <w:rPr>
          <w:rFonts w:hint="eastAsia" w:hAnsi="宋体" w:cs="宋体"/>
          <w:highlight w:val="none"/>
        </w:rPr>
        <w:t>6.1.2 评标委员会成员有下列情形之一的，应当主动提出回避：</w:t>
      </w:r>
    </w:p>
    <w:p>
      <w:pPr>
        <w:spacing w:line="360" w:lineRule="auto"/>
        <w:ind w:firstLine="480" w:firstLineChars="200"/>
        <w:rPr>
          <w:rFonts w:hAnsi="宋体" w:cs="宋体"/>
          <w:highlight w:val="none"/>
        </w:rPr>
      </w:pPr>
      <w:r>
        <w:rPr>
          <w:rFonts w:hint="eastAsia" w:hAnsi="宋体" w:cs="宋体"/>
          <w:highlight w:val="none"/>
        </w:rPr>
        <w:t>（1）投标人或投标人的主要负责人的近亲属；</w:t>
      </w:r>
    </w:p>
    <w:p>
      <w:pPr>
        <w:spacing w:line="360" w:lineRule="auto"/>
        <w:ind w:firstLine="480" w:firstLineChars="200"/>
        <w:rPr>
          <w:rFonts w:hAnsi="宋体" w:cs="宋体"/>
          <w:highlight w:val="none"/>
        </w:rPr>
      </w:pPr>
      <w:r>
        <w:rPr>
          <w:rFonts w:hint="eastAsia" w:hAnsi="宋体" w:cs="宋体"/>
          <w:highlight w:val="none"/>
        </w:rPr>
        <w:t>（2）项目主管部门或者行政监督部门的人员；</w:t>
      </w:r>
    </w:p>
    <w:p>
      <w:pPr>
        <w:spacing w:line="360" w:lineRule="auto"/>
        <w:ind w:firstLine="480" w:firstLineChars="200"/>
        <w:rPr>
          <w:rFonts w:hAnsi="宋体" w:cs="宋体"/>
          <w:highlight w:val="none"/>
        </w:rPr>
      </w:pPr>
      <w:r>
        <w:rPr>
          <w:rFonts w:hint="eastAsia" w:hAnsi="宋体" w:cs="宋体"/>
          <w:highlight w:val="none"/>
        </w:rPr>
        <w:t>（3）与投标人有经济利益关系，可能影响对投标公正评审的；</w:t>
      </w:r>
    </w:p>
    <w:p>
      <w:pPr>
        <w:spacing w:line="360" w:lineRule="auto"/>
        <w:ind w:firstLine="480" w:firstLineChars="200"/>
        <w:rPr>
          <w:rFonts w:hAnsi="宋体" w:cs="宋体"/>
          <w:highlight w:val="none"/>
        </w:rPr>
      </w:pPr>
      <w:r>
        <w:rPr>
          <w:rFonts w:hint="eastAsia" w:hAnsi="宋体" w:cs="宋体"/>
          <w:highlight w:val="none"/>
        </w:rPr>
        <w:t>（4）曾因在招标、评标以及其他与招标投标有关活动中从事违法行为而受过行政处罚或刑事处罚的；</w:t>
      </w:r>
    </w:p>
    <w:p>
      <w:pPr>
        <w:spacing w:line="360" w:lineRule="auto"/>
        <w:ind w:firstLine="480" w:firstLineChars="200"/>
        <w:rPr>
          <w:rFonts w:hAnsi="宋体" w:cs="宋体"/>
          <w:highlight w:val="none"/>
        </w:rPr>
      </w:pPr>
      <w:r>
        <w:rPr>
          <w:rFonts w:hint="eastAsia" w:hAnsi="宋体" w:cs="宋体"/>
          <w:highlight w:val="none"/>
        </w:rPr>
        <w:t>（5）与投标人有其他利害关系。</w:t>
      </w:r>
    </w:p>
    <w:p>
      <w:pPr>
        <w:spacing w:line="360" w:lineRule="auto"/>
        <w:ind w:firstLine="480" w:firstLineChars="200"/>
        <w:rPr>
          <w:rFonts w:hAnsi="宋体" w:cs="宋体"/>
          <w:bCs/>
          <w:snapToGrid w:val="0"/>
          <w:highlight w:val="none"/>
        </w:rPr>
      </w:pPr>
      <w:r>
        <w:rPr>
          <w:rFonts w:hint="eastAsia" w:hAnsi="宋体" w:cs="宋体"/>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6.2评标原则</w:t>
      </w:r>
      <w:bookmarkEnd w:id="291"/>
      <w:bookmarkEnd w:id="292"/>
      <w:bookmarkEnd w:id="293"/>
      <w:bookmarkEnd w:id="294"/>
    </w:p>
    <w:p>
      <w:pPr>
        <w:spacing w:line="360" w:lineRule="auto"/>
        <w:ind w:firstLine="480" w:firstLineChars="200"/>
        <w:rPr>
          <w:rFonts w:hAnsi="宋体" w:cs="宋体"/>
          <w:highlight w:val="none"/>
        </w:rPr>
      </w:pPr>
      <w:r>
        <w:rPr>
          <w:rFonts w:hint="eastAsia" w:hAnsi="宋体" w:cs="宋体"/>
          <w:highlight w:val="none"/>
        </w:rPr>
        <w:t>评标活动遵循公平、公正、科学和择优的原则。</w:t>
      </w:r>
    </w:p>
    <w:p>
      <w:pPr>
        <w:pStyle w:val="4"/>
        <w:spacing w:beforeLines="100" w:afterLines="100" w:line="240" w:lineRule="auto"/>
        <w:rPr>
          <w:rFonts w:cs="黑体"/>
          <w:snapToGrid w:val="0"/>
          <w:highlight w:val="none"/>
          <w:shd w:val="clear" w:color="auto" w:fill="FFFFFF"/>
          <w:lang w:val="zh-CN"/>
        </w:rPr>
      </w:pPr>
      <w:bookmarkStart w:id="295" w:name="_Toc152045565"/>
      <w:bookmarkStart w:id="296" w:name="_Toc144974533"/>
      <w:bookmarkStart w:id="297" w:name="_Toc179632583"/>
      <w:bookmarkStart w:id="298" w:name="_Toc152042341"/>
      <w:r>
        <w:rPr>
          <w:rFonts w:hint="eastAsia" w:cs="黑体"/>
          <w:snapToGrid w:val="0"/>
          <w:highlight w:val="none"/>
          <w:shd w:val="clear" w:color="auto" w:fill="FFFFFF"/>
          <w:lang w:val="zh-CN"/>
        </w:rPr>
        <w:t>6.3评标</w:t>
      </w:r>
      <w:bookmarkEnd w:id="295"/>
      <w:bookmarkEnd w:id="296"/>
      <w:bookmarkEnd w:id="297"/>
      <w:bookmarkEnd w:id="298"/>
    </w:p>
    <w:p>
      <w:pPr>
        <w:spacing w:line="360" w:lineRule="auto"/>
        <w:ind w:firstLine="480" w:firstLineChars="200"/>
        <w:rPr>
          <w:rFonts w:hAnsi="宋体" w:cs="宋体"/>
          <w:highlight w:val="none"/>
        </w:rPr>
      </w:pPr>
      <w:r>
        <w:rPr>
          <w:rFonts w:hint="eastAsia" w:hAnsi="宋体" w:cs="宋体"/>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Ansi="宋体" w:cs="宋体"/>
          <w:bCs/>
          <w:snapToGrid w:val="0"/>
          <w:highlight w:val="none"/>
        </w:rPr>
      </w:pPr>
      <w:bookmarkStart w:id="299" w:name="_Toc152042342"/>
      <w:bookmarkStart w:id="300" w:name="_Toc179632584"/>
      <w:bookmarkStart w:id="301" w:name="_Toc144974534"/>
      <w:bookmarkStart w:id="302" w:name="_Toc152045566"/>
      <w:r>
        <w:rPr>
          <w:rFonts w:hint="eastAsia" w:hAnsi="宋体" w:cs="宋体"/>
          <w:highlight w:val="none"/>
        </w:rPr>
        <w:t xml:space="preserve">6.3.2 </w:t>
      </w:r>
      <w:r>
        <w:rPr>
          <w:rFonts w:hint="eastAsia" w:hAnsi="宋体" w:cs="宋体"/>
          <w:bCs/>
          <w:snapToGrid w:val="0"/>
          <w:highlight w:val="none"/>
        </w:rPr>
        <w:t>评标完成后，评标委员会应向招标人提交书面评标报告和中标候选人名单。评标委员会推荐中标候选人的数量见投标人须知前附表。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6.4中标候选人公示</w:t>
      </w:r>
    </w:p>
    <w:p>
      <w:pPr>
        <w:spacing w:line="360" w:lineRule="auto"/>
        <w:ind w:firstLine="480" w:firstLineChars="200"/>
        <w:rPr>
          <w:rFonts w:hAnsi="宋体" w:cs="宋体"/>
          <w:highlight w:val="none"/>
        </w:rPr>
      </w:pPr>
      <w:r>
        <w:rPr>
          <w:rFonts w:hint="eastAsia" w:hAnsi="宋体" w:cs="宋体"/>
          <w:highlight w:val="none"/>
        </w:rPr>
        <w:t>招标人在收到评标报告之日起3日内，按照投标人须知前附表规定的公示媒介和期限依法公示中标候选人，公示期不得少于3日。其他要求见投标人须知前附表。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6.5评标结果异议</w:t>
      </w:r>
    </w:p>
    <w:p>
      <w:pPr>
        <w:spacing w:line="360" w:lineRule="auto"/>
        <w:ind w:firstLine="480" w:firstLineChars="200"/>
        <w:rPr>
          <w:rFonts w:hAnsi="宋体" w:cs="宋体"/>
          <w:highlight w:val="none"/>
        </w:rPr>
      </w:pPr>
      <w:r>
        <w:rPr>
          <w:rFonts w:hint="eastAsia" w:hAnsi="宋体" w:cs="宋体"/>
          <w:highlight w:val="none"/>
        </w:rPr>
        <w:t>投标人或者其他利害关系人对评标结果有异议的，应在中标候选人公示期间通过电子交易系统在线</w:t>
      </w:r>
      <w:r>
        <w:rPr>
          <w:rFonts w:hint="eastAsia" w:hAnsi="宋体" w:cs="宋体"/>
          <w:bCs/>
          <w:snapToGrid w:val="0"/>
          <w:highlight w:val="none"/>
        </w:rPr>
        <w:t>提出</w:t>
      </w:r>
      <w:r>
        <w:rPr>
          <w:rFonts w:hint="eastAsia" w:hAnsi="宋体" w:cs="宋体"/>
          <w:highlight w:val="none"/>
        </w:rPr>
        <w:t>或以其他书面形式提出。招标人将在收到异议之日起3日内作出答复；作出答复前，将暂停招标投标活动。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6.6中标候选人履约能力审查</w:t>
      </w:r>
    </w:p>
    <w:p>
      <w:pPr>
        <w:spacing w:line="360" w:lineRule="auto"/>
        <w:ind w:firstLine="480" w:firstLineChars="200"/>
        <w:rPr>
          <w:rFonts w:hAnsi="宋体" w:cs="宋体"/>
          <w:highlight w:val="none"/>
        </w:rPr>
      </w:pPr>
      <w:r>
        <w:rPr>
          <w:rFonts w:hint="eastAsia" w:hAnsi="宋体" w:cs="宋体"/>
          <w:highlight w:val="none"/>
        </w:rPr>
        <w:t>中标候选人的经营、财务状况发生较大变化或存在违法行为，招标人认为可能影响其履约能力的，将在发出中标通知书前提请原评标委员会按照招标文件规定的标准和方法进行审查确认。</w:t>
      </w:r>
    </w:p>
    <w:bookmarkEnd w:id="299"/>
    <w:bookmarkEnd w:id="300"/>
    <w:bookmarkEnd w:id="301"/>
    <w:bookmarkEnd w:id="302"/>
    <w:p>
      <w:pPr>
        <w:pStyle w:val="3"/>
        <w:numPr>
          <w:ilvl w:val="0"/>
          <w:numId w:val="3"/>
        </w:numPr>
        <w:spacing w:beforeLines="100" w:afterLines="100" w:line="240" w:lineRule="auto"/>
        <w:rPr>
          <w:rFonts w:ascii="黑体" w:hAnsi="黑体" w:eastAsia="黑体" w:cs="黑体"/>
          <w:b w:val="0"/>
          <w:bCs w:val="0"/>
          <w:highlight w:val="none"/>
        </w:rPr>
      </w:pPr>
      <w:bookmarkStart w:id="303" w:name="_Toc140069412"/>
      <w:bookmarkStart w:id="304" w:name="_Toc13610"/>
      <w:bookmarkStart w:id="305" w:name="_Toc144974536"/>
      <w:bookmarkStart w:id="306" w:name="_Toc152042344"/>
      <w:bookmarkStart w:id="307" w:name="_Toc152045568"/>
      <w:bookmarkStart w:id="308" w:name="_Toc179632586"/>
      <w:r>
        <w:rPr>
          <w:rFonts w:hint="eastAsia" w:ascii="黑体" w:hAnsi="黑体" w:eastAsia="黑体" w:cs="黑体"/>
          <w:b w:val="0"/>
          <w:bCs w:val="0"/>
          <w:highlight w:val="none"/>
        </w:rPr>
        <w:t>定标</w:t>
      </w:r>
      <w:bookmarkEnd w:id="303"/>
      <w:bookmarkEnd w:id="304"/>
    </w:p>
    <w:bookmarkEnd w:id="305"/>
    <w:bookmarkEnd w:id="306"/>
    <w:bookmarkEnd w:id="307"/>
    <w:bookmarkEnd w:id="308"/>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7.1定标</w:t>
      </w:r>
    </w:p>
    <w:p>
      <w:pPr>
        <w:spacing w:line="360" w:lineRule="auto"/>
        <w:ind w:firstLine="480" w:firstLineChars="200"/>
        <w:rPr>
          <w:rFonts w:hAnsi="宋体" w:cs="宋体"/>
          <w:highlight w:val="none"/>
        </w:rPr>
      </w:pPr>
      <w:r>
        <w:rPr>
          <w:rFonts w:hint="eastAsia" w:hAnsi="宋体" w:cs="宋体"/>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7.2中标结果公示</w:t>
      </w:r>
    </w:p>
    <w:p>
      <w:pPr>
        <w:spacing w:line="360" w:lineRule="auto"/>
        <w:ind w:firstLine="480" w:firstLineChars="200"/>
        <w:rPr>
          <w:rFonts w:hAnsi="宋体" w:cs="宋体"/>
          <w:bCs/>
          <w:snapToGrid w:val="0"/>
          <w:highlight w:val="none"/>
        </w:rPr>
      </w:pPr>
      <w:r>
        <w:rPr>
          <w:rFonts w:hint="eastAsia" w:hAnsi="宋体" w:cs="宋体"/>
          <w:highlight w:val="none"/>
        </w:rPr>
        <w:t>招标人在确定中标人之日起3日内，按照投标人须知前附表规定的公示媒介依法公示中标结果。</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7.3中标通知</w:t>
      </w:r>
    </w:p>
    <w:p>
      <w:pPr>
        <w:spacing w:line="360" w:lineRule="auto"/>
        <w:ind w:firstLine="480" w:firstLineChars="200"/>
        <w:rPr>
          <w:rFonts w:hAnsi="宋体" w:cs="宋体"/>
          <w:bCs/>
          <w:snapToGrid w:val="0"/>
          <w:highlight w:val="none"/>
        </w:rPr>
      </w:pPr>
      <w:r>
        <w:rPr>
          <w:rFonts w:hint="eastAsia" w:hAnsi="宋体" w:cs="宋体"/>
          <w:highlight w:val="none"/>
        </w:rPr>
        <w:t>在本章第3.3款规定的投标有效期内，招标人按照投标人须知前附表规定的形式向中标人发出中标通知书，同时将中标结果通知未中标的投标人。</w:t>
      </w:r>
    </w:p>
    <w:p>
      <w:pPr>
        <w:pStyle w:val="3"/>
        <w:numPr>
          <w:ilvl w:val="0"/>
          <w:numId w:val="3"/>
        </w:numPr>
        <w:spacing w:beforeLines="100" w:afterLines="100" w:line="240" w:lineRule="auto"/>
        <w:rPr>
          <w:rFonts w:ascii="黑体" w:hAnsi="黑体" w:eastAsia="黑体" w:cs="黑体"/>
          <w:b w:val="0"/>
          <w:bCs w:val="0"/>
          <w:highlight w:val="none"/>
        </w:rPr>
      </w:pPr>
      <w:bookmarkStart w:id="309" w:name="_Toc1007"/>
      <w:bookmarkStart w:id="310" w:name="_Toc140069413"/>
      <w:bookmarkStart w:id="311" w:name="_Toc15926"/>
      <w:bookmarkStart w:id="312" w:name="_Toc152042345"/>
      <w:bookmarkStart w:id="313" w:name="_Toc152045569"/>
      <w:bookmarkStart w:id="314" w:name="_Toc179632587"/>
      <w:bookmarkStart w:id="315" w:name="_Toc144974537"/>
      <w:r>
        <w:rPr>
          <w:rFonts w:hint="eastAsia" w:ascii="黑体" w:hAnsi="黑体" w:eastAsia="黑体" w:cs="黑体"/>
          <w:b w:val="0"/>
          <w:bCs w:val="0"/>
          <w:highlight w:val="none"/>
        </w:rPr>
        <w:t>合同授予</w:t>
      </w:r>
      <w:bookmarkEnd w:id="309"/>
      <w:bookmarkEnd w:id="310"/>
      <w:bookmarkEnd w:id="311"/>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8.1履约保证金</w:t>
      </w:r>
      <w:bookmarkEnd w:id="312"/>
      <w:bookmarkEnd w:id="313"/>
      <w:bookmarkEnd w:id="314"/>
      <w:bookmarkEnd w:id="315"/>
    </w:p>
    <w:p>
      <w:pPr>
        <w:spacing w:line="360" w:lineRule="auto"/>
        <w:ind w:firstLine="480" w:firstLineChars="200"/>
        <w:rPr>
          <w:rFonts w:hAnsi="宋体" w:cs="宋体"/>
          <w:highlight w:val="none"/>
        </w:rPr>
      </w:pPr>
      <w:r>
        <w:rPr>
          <w:rFonts w:hint="eastAsia" w:hAnsi="宋体" w:cs="宋体"/>
          <w:highlight w:val="none"/>
        </w:rPr>
        <w:t>8.1.1 在签订合同前，中标人应按照投标人须知前附表规定的金额、形式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hAnsi="宋体" w:cs="宋体"/>
          <w:highlight w:val="none"/>
        </w:rPr>
      </w:pPr>
      <w:r>
        <w:rPr>
          <w:rFonts w:hint="eastAsia" w:hAnsi="宋体" w:cs="宋体"/>
          <w:highlight w:val="none"/>
        </w:rPr>
        <w:t>8.1.2 中标人不能按照本章第8.1.1项要求提交履约保证金的，视为放弃中标，其投标保证金不予退还，给招标人造成的损失超过投标保证金数额的，中标人还应当对超过部分予以赔偿。</w:t>
      </w:r>
    </w:p>
    <w:p>
      <w:pPr>
        <w:pStyle w:val="4"/>
        <w:spacing w:beforeLines="100" w:afterLines="100" w:line="240" w:lineRule="auto"/>
        <w:rPr>
          <w:rFonts w:cs="黑体"/>
          <w:snapToGrid w:val="0"/>
          <w:highlight w:val="none"/>
          <w:shd w:val="clear" w:color="auto" w:fill="FFFFFF"/>
          <w:lang w:val="zh-CN"/>
        </w:rPr>
      </w:pPr>
      <w:bookmarkStart w:id="316" w:name="_Toc152045570"/>
      <w:bookmarkStart w:id="317" w:name="_Toc144974538"/>
      <w:bookmarkStart w:id="318" w:name="_Toc152042346"/>
      <w:bookmarkStart w:id="319" w:name="_Toc179632588"/>
      <w:r>
        <w:rPr>
          <w:rFonts w:hint="eastAsia" w:cs="黑体"/>
          <w:snapToGrid w:val="0"/>
          <w:highlight w:val="none"/>
          <w:shd w:val="clear" w:color="auto" w:fill="FFFFFF"/>
          <w:lang w:val="zh-CN"/>
        </w:rPr>
        <w:t>8.2签订合同</w:t>
      </w:r>
      <w:bookmarkEnd w:id="316"/>
      <w:bookmarkEnd w:id="317"/>
      <w:bookmarkEnd w:id="318"/>
      <w:bookmarkEnd w:id="319"/>
    </w:p>
    <w:p>
      <w:pPr>
        <w:spacing w:line="360" w:lineRule="auto"/>
        <w:ind w:firstLine="480" w:firstLineChars="200"/>
        <w:rPr>
          <w:rFonts w:hAnsi="宋体" w:cs="宋体"/>
          <w:highlight w:val="none"/>
        </w:rPr>
      </w:pPr>
      <w:r>
        <w:rPr>
          <w:rFonts w:hint="eastAsia" w:hAnsi="宋体" w:cs="宋体"/>
          <w:highlight w:val="none"/>
        </w:rPr>
        <w:t>8.2.1 中标人和招标人应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对超过部分予以赔偿。</w:t>
      </w:r>
    </w:p>
    <w:p>
      <w:pPr>
        <w:spacing w:line="360" w:lineRule="auto"/>
        <w:ind w:firstLine="480" w:firstLineChars="200"/>
        <w:rPr>
          <w:rFonts w:hAnsi="宋体" w:cs="宋体"/>
          <w:highlight w:val="none"/>
        </w:rPr>
      </w:pPr>
      <w:r>
        <w:rPr>
          <w:rFonts w:hint="eastAsia" w:hAnsi="宋体" w:cs="宋体"/>
          <w:highlight w:val="none"/>
        </w:rPr>
        <w:t>8.2.2 发出中标通知书后，招标人无正当理由拒签合同，或者在签订合同时向中标人提出附加条件的，招标人应退还中标人的投标保证金。招标人存在前述情形的，由公共资源交易监督管理部门责令改正，可以处中标项目金额10‰以下的罚款；给中标人造成损失的，依法承担赔偿责任。</w:t>
      </w:r>
    </w:p>
    <w:p>
      <w:pPr>
        <w:spacing w:line="360" w:lineRule="auto"/>
        <w:ind w:firstLine="480" w:firstLineChars="200"/>
        <w:rPr>
          <w:rFonts w:hAnsi="宋体" w:cs="宋体"/>
          <w:highlight w:val="none"/>
        </w:rPr>
      </w:pPr>
      <w:r>
        <w:rPr>
          <w:rFonts w:hint="eastAsia" w:hAnsi="宋体" w:cs="宋体"/>
          <w:highlight w:val="none"/>
        </w:rPr>
        <w:t>8.2.3 联合体中标的，联合体各方应当共同与招标人签订合同，就中标项目向招标人承担连带责任。</w:t>
      </w:r>
    </w:p>
    <w:p>
      <w:pPr>
        <w:spacing w:line="360" w:lineRule="auto"/>
        <w:ind w:firstLine="480" w:firstLineChars="200"/>
        <w:rPr>
          <w:rFonts w:hAnsi="宋体" w:cs="宋体"/>
          <w:bCs/>
          <w:snapToGrid w:val="0"/>
          <w:highlight w:val="none"/>
        </w:rPr>
      </w:pPr>
      <w:r>
        <w:rPr>
          <w:rFonts w:hint="eastAsia" w:hAnsi="宋体" w:cs="宋体"/>
          <w:highlight w:val="none"/>
        </w:rPr>
        <w:t>8.2.4</w:t>
      </w:r>
      <w:r>
        <w:rPr>
          <w:rFonts w:hint="eastAsia" w:ascii="Times New Roman"/>
          <w:highlight w:val="none"/>
        </w:rPr>
        <w:t xml:space="preserve"> 招标人将及时主动公开合同订立信息，并积极推进合同履行及变更信息公开。</w:t>
      </w:r>
    </w:p>
    <w:p>
      <w:pPr>
        <w:pStyle w:val="3"/>
        <w:spacing w:beforeLines="100" w:afterLines="100" w:line="240" w:lineRule="auto"/>
        <w:rPr>
          <w:rFonts w:ascii="黑体" w:hAnsi="黑体" w:eastAsia="黑体" w:cs="黑体"/>
          <w:b w:val="0"/>
          <w:bCs w:val="0"/>
          <w:highlight w:val="none"/>
        </w:rPr>
      </w:pPr>
      <w:bookmarkStart w:id="320" w:name="_Toc179632592"/>
      <w:bookmarkStart w:id="321" w:name="_Toc140069414"/>
      <w:bookmarkStart w:id="322" w:name="_Toc948"/>
      <w:bookmarkStart w:id="323" w:name="_Toc152045574"/>
      <w:bookmarkStart w:id="324" w:name="_Toc20588"/>
      <w:bookmarkStart w:id="325" w:name="_Toc38879332"/>
      <w:bookmarkStart w:id="326" w:name="_Toc13907"/>
      <w:bookmarkStart w:id="327" w:name="_Toc144974542"/>
      <w:bookmarkStart w:id="328" w:name="_Toc152042350"/>
      <w:bookmarkStart w:id="329" w:name="_Toc1531"/>
      <w:r>
        <w:rPr>
          <w:rFonts w:hint="eastAsia" w:ascii="黑体" w:hAnsi="黑体" w:eastAsia="黑体" w:cs="黑体"/>
          <w:b w:val="0"/>
          <w:bCs w:val="0"/>
          <w:highlight w:val="none"/>
        </w:rPr>
        <w:t>9. 纪律和监督</w:t>
      </w:r>
      <w:bookmarkEnd w:id="320"/>
      <w:bookmarkEnd w:id="321"/>
      <w:bookmarkEnd w:id="322"/>
      <w:bookmarkEnd w:id="323"/>
      <w:bookmarkEnd w:id="324"/>
      <w:bookmarkEnd w:id="325"/>
      <w:bookmarkEnd w:id="326"/>
      <w:bookmarkEnd w:id="327"/>
      <w:bookmarkEnd w:id="328"/>
      <w:bookmarkEnd w:id="329"/>
    </w:p>
    <w:p>
      <w:pPr>
        <w:pStyle w:val="4"/>
        <w:spacing w:beforeLines="100" w:afterLines="100" w:line="240" w:lineRule="auto"/>
        <w:rPr>
          <w:rFonts w:cs="黑体"/>
          <w:snapToGrid w:val="0"/>
          <w:highlight w:val="none"/>
          <w:shd w:val="clear" w:color="auto" w:fill="FFFFFF"/>
          <w:lang w:val="zh-CN"/>
        </w:rPr>
      </w:pPr>
      <w:bookmarkStart w:id="330" w:name="_Toc152042351"/>
      <w:bookmarkStart w:id="331" w:name="_Toc152045575"/>
      <w:bookmarkStart w:id="332" w:name="_Toc179632593"/>
      <w:bookmarkStart w:id="333" w:name="_Toc144974543"/>
      <w:r>
        <w:rPr>
          <w:rFonts w:hint="eastAsia" w:cs="黑体"/>
          <w:snapToGrid w:val="0"/>
          <w:highlight w:val="none"/>
          <w:shd w:val="clear" w:color="auto" w:fill="FFFFFF"/>
          <w:lang w:val="zh-CN"/>
        </w:rPr>
        <w:t>9.1对招标人的纪律要求</w:t>
      </w:r>
      <w:bookmarkEnd w:id="330"/>
      <w:bookmarkEnd w:id="331"/>
      <w:bookmarkEnd w:id="332"/>
      <w:bookmarkEnd w:id="333"/>
    </w:p>
    <w:p>
      <w:pPr>
        <w:spacing w:line="360" w:lineRule="auto"/>
        <w:ind w:firstLine="480" w:firstLineChars="200"/>
        <w:rPr>
          <w:rFonts w:hAnsi="宋体" w:cs="宋体"/>
          <w:highlight w:val="none"/>
        </w:rPr>
      </w:pPr>
      <w:r>
        <w:rPr>
          <w:rFonts w:hint="eastAsia" w:hAnsi="宋体" w:cs="宋体"/>
          <w:highlight w:val="none"/>
        </w:rPr>
        <w:t>招标人不得泄露招标投标活动中应当保密的情况和资料，不得与投标人串通损害国家利益、社会公共利益或者他人合法权益。</w:t>
      </w:r>
    </w:p>
    <w:p>
      <w:pPr>
        <w:pStyle w:val="4"/>
        <w:spacing w:beforeLines="100" w:afterLines="100" w:line="240" w:lineRule="auto"/>
        <w:rPr>
          <w:rFonts w:cs="黑体"/>
          <w:snapToGrid w:val="0"/>
          <w:highlight w:val="none"/>
          <w:shd w:val="clear" w:color="auto" w:fill="FFFFFF"/>
          <w:lang w:val="zh-CN"/>
        </w:rPr>
      </w:pPr>
      <w:bookmarkStart w:id="334" w:name="_Toc152045576"/>
      <w:bookmarkStart w:id="335" w:name="_Toc179632594"/>
      <w:bookmarkStart w:id="336" w:name="_Toc152042352"/>
      <w:bookmarkStart w:id="337" w:name="_Toc144974544"/>
      <w:r>
        <w:rPr>
          <w:rFonts w:hint="eastAsia" w:cs="黑体"/>
          <w:snapToGrid w:val="0"/>
          <w:highlight w:val="none"/>
          <w:shd w:val="clear" w:color="auto" w:fill="FFFFFF"/>
          <w:lang w:val="zh-CN"/>
        </w:rPr>
        <w:t>9.2对投标人的纪律要求</w:t>
      </w:r>
      <w:bookmarkEnd w:id="334"/>
      <w:bookmarkEnd w:id="335"/>
      <w:bookmarkEnd w:id="336"/>
      <w:bookmarkEnd w:id="337"/>
    </w:p>
    <w:p>
      <w:pPr>
        <w:spacing w:line="360" w:lineRule="auto"/>
        <w:ind w:firstLine="480" w:firstLineChars="200"/>
        <w:rPr>
          <w:rFonts w:hAnsi="宋体" w:cs="宋体"/>
          <w:highlight w:val="none"/>
        </w:rPr>
      </w:pPr>
      <w:r>
        <w:rPr>
          <w:rFonts w:hint="eastAsia" w:hAnsi="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100" w:afterLines="100" w:line="240" w:lineRule="auto"/>
        <w:rPr>
          <w:rFonts w:cs="黑体"/>
          <w:snapToGrid w:val="0"/>
          <w:highlight w:val="none"/>
          <w:shd w:val="clear" w:color="auto" w:fill="FFFFFF"/>
          <w:lang w:val="zh-CN"/>
        </w:rPr>
      </w:pPr>
      <w:bookmarkStart w:id="338" w:name="_Toc179632595"/>
      <w:bookmarkStart w:id="339" w:name="_Toc144974545"/>
      <w:bookmarkStart w:id="340" w:name="_Toc152042353"/>
      <w:bookmarkStart w:id="341" w:name="_Toc152045577"/>
      <w:r>
        <w:rPr>
          <w:rFonts w:hint="eastAsia" w:cs="黑体"/>
          <w:snapToGrid w:val="0"/>
          <w:highlight w:val="none"/>
          <w:shd w:val="clear" w:color="auto" w:fill="FFFFFF"/>
          <w:lang w:val="zh-CN"/>
        </w:rPr>
        <w:t>9.3对评标委员会成员的纪律要求</w:t>
      </w:r>
      <w:bookmarkEnd w:id="338"/>
      <w:bookmarkEnd w:id="339"/>
      <w:bookmarkEnd w:id="340"/>
      <w:bookmarkEnd w:id="341"/>
    </w:p>
    <w:p>
      <w:pPr>
        <w:spacing w:line="360" w:lineRule="auto"/>
        <w:ind w:firstLine="480" w:firstLineChars="200"/>
        <w:rPr>
          <w:rFonts w:hAnsi="宋体" w:cs="宋体"/>
          <w:highlight w:val="none"/>
        </w:rPr>
      </w:pPr>
      <w:r>
        <w:rPr>
          <w:rFonts w:hint="eastAsia" w:hAnsi="宋体" w:cs="宋体"/>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100" w:afterLines="100" w:line="240" w:lineRule="auto"/>
        <w:rPr>
          <w:rFonts w:cs="黑体"/>
          <w:snapToGrid w:val="0"/>
          <w:highlight w:val="none"/>
          <w:shd w:val="clear" w:color="auto" w:fill="FFFFFF"/>
          <w:lang w:val="zh-CN"/>
        </w:rPr>
      </w:pPr>
      <w:bookmarkStart w:id="342" w:name="_Toc179632596"/>
      <w:bookmarkStart w:id="343" w:name="_Toc152042354"/>
      <w:bookmarkStart w:id="344" w:name="_Toc152045578"/>
      <w:bookmarkStart w:id="345" w:name="_Toc144974546"/>
      <w:r>
        <w:rPr>
          <w:rFonts w:hint="eastAsia" w:cs="黑体"/>
          <w:snapToGrid w:val="0"/>
          <w:highlight w:val="none"/>
          <w:shd w:val="clear" w:color="auto" w:fill="FFFFFF"/>
          <w:lang w:val="zh-CN"/>
        </w:rPr>
        <w:t>9.4对与评标活动有关的工作人员的纪律要求</w:t>
      </w:r>
      <w:bookmarkEnd w:id="342"/>
      <w:bookmarkEnd w:id="343"/>
      <w:bookmarkEnd w:id="344"/>
    </w:p>
    <w:p>
      <w:pPr>
        <w:spacing w:line="360" w:lineRule="auto"/>
        <w:ind w:firstLine="480" w:firstLineChars="200"/>
        <w:rPr>
          <w:rFonts w:hAnsi="宋体" w:cs="宋体"/>
          <w:highlight w:val="none"/>
        </w:rPr>
      </w:pPr>
      <w:bookmarkStart w:id="346" w:name="_Toc152042355"/>
      <w:r>
        <w:rPr>
          <w:rFonts w:hint="eastAsia" w:hAnsi="宋体" w:cs="宋体"/>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346"/>
    </w:p>
    <w:p>
      <w:pPr>
        <w:pStyle w:val="4"/>
        <w:spacing w:beforeLines="100" w:afterLines="100" w:line="240" w:lineRule="auto"/>
        <w:rPr>
          <w:rFonts w:cs="黑体"/>
          <w:snapToGrid w:val="0"/>
          <w:highlight w:val="none"/>
          <w:shd w:val="clear" w:color="auto" w:fill="FFFFFF"/>
          <w:lang w:val="zh-CN"/>
        </w:rPr>
      </w:pPr>
      <w:bookmarkStart w:id="347" w:name="_Toc152045579"/>
      <w:bookmarkStart w:id="348" w:name="_Toc179632597"/>
      <w:bookmarkStart w:id="349" w:name="_Toc152042356"/>
      <w:r>
        <w:rPr>
          <w:rFonts w:hint="eastAsia" w:cs="黑体"/>
          <w:snapToGrid w:val="0"/>
          <w:highlight w:val="none"/>
          <w:shd w:val="clear" w:color="auto" w:fill="FFFFFF"/>
          <w:lang w:val="zh-CN"/>
        </w:rPr>
        <w:t>9.5投诉</w:t>
      </w:r>
      <w:bookmarkEnd w:id="345"/>
      <w:bookmarkEnd w:id="347"/>
      <w:bookmarkEnd w:id="348"/>
      <w:bookmarkEnd w:id="349"/>
    </w:p>
    <w:p>
      <w:pPr>
        <w:spacing w:line="360" w:lineRule="auto"/>
        <w:ind w:firstLine="480" w:firstLineChars="200"/>
        <w:rPr>
          <w:rFonts w:hAnsi="宋体" w:cs="宋体"/>
          <w:highlight w:val="none"/>
        </w:rPr>
      </w:pPr>
      <w:r>
        <w:rPr>
          <w:rFonts w:hint="eastAsia" w:hAnsi="宋体" w:cs="宋体"/>
          <w:highlight w:val="none"/>
        </w:rPr>
        <w:t>9.5.1 投标人或者其他利害关系人认为招标投标活动不符合法律、行政法规规定的，可以自知道或者应当知道之日起10日内通过网上投诉系统或以其他书面形式向有关行政监督部门投诉。投诉应当有明确的请求和必要的证明材料。</w:t>
      </w:r>
    </w:p>
    <w:p>
      <w:pPr>
        <w:spacing w:line="360" w:lineRule="auto"/>
        <w:ind w:firstLine="480" w:firstLineChars="200"/>
        <w:rPr>
          <w:rFonts w:hAnsi="宋体" w:cs="宋体"/>
          <w:highlight w:val="none"/>
        </w:rPr>
      </w:pPr>
      <w:r>
        <w:rPr>
          <w:rFonts w:hint="eastAsia" w:hAnsi="宋体" w:cs="宋体"/>
          <w:highlight w:val="none"/>
        </w:rPr>
        <w:t>9.5.2 投标人或者其他利害关系人对招标文件、开标和评标结果提出投诉的，应当按照投标人须知第2.4款、第5.3款和第6.5款的规定先向招标人提出异议。异议答复期间</w:t>
      </w:r>
      <w:bookmarkStart w:id="350" w:name="_Toc12776"/>
      <w:bookmarkStart w:id="351" w:name="_Toc247527595"/>
      <w:bookmarkStart w:id="352" w:name="_Toc369531561"/>
      <w:bookmarkStart w:id="353" w:name="_Toc384308255"/>
      <w:bookmarkStart w:id="354" w:name="_Toc300834993"/>
      <w:bookmarkStart w:id="355" w:name="_Toc361508630"/>
      <w:bookmarkStart w:id="356" w:name="_Toc352691517"/>
      <w:bookmarkStart w:id="357" w:name="_Toc247513994"/>
      <w:r>
        <w:rPr>
          <w:rFonts w:hint="eastAsia" w:hAnsi="宋体" w:cs="宋体"/>
          <w:highlight w:val="none"/>
        </w:rPr>
        <w:t>不计算在第9.5.</w:t>
      </w:r>
      <w:bookmarkEnd w:id="350"/>
      <w:bookmarkEnd w:id="351"/>
      <w:bookmarkEnd w:id="352"/>
      <w:bookmarkEnd w:id="353"/>
      <w:bookmarkEnd w:id="354"/>
      <w:bookmarkEnd w:id="355"/>
      <w:bookmarkEnd w:id="356"/>
      <w:bookmarkEnd w:id="357"/>
      <w:r>
        <w:rPr>
          <w:rFonts w:hint="eastAsia" w:hAnsi="宋体" w:cs="宋体"/>
          <w:highlight w:val="none"/>
        </w:rPr>
        <w:t>1项规定的期限内。</w:t>
      </w:r>
    </w:p>
    <w:p>
      <w:pPr>
        <w:pStyle w:val="3"/>
        <w:spacing w:beforeLines="100" w:afterLines="100" w:line="240" w:lineRule="auto"/>
        <w:rPr>
          <w:rFonts w:ascii="黑体" w:hAnsi="黑体" w:eastAsia="黑体" w:cs="黑体"/>
          <w:b w:val="0"/>
          <w:bCs w:val="0"/>
          <w:highlight w:val="none"/>
        </w:rPr>
      </w:pPr>
      <w:bookmarkStart w:id="358" w:name="_Toc24351"/>
      <w:bookmarkStart w:id="359" w:name="_Toc38879333"/>
      <w:bookmarkStart w:id="360" w:name="_Toc152042357"/>
      <w:bookmarkStart w:id="361" w:name="_Toc144974547"/>
      <w:bookmarkStart w:id="362" w:name="_Toc179632598"/>
      <w:bookmarkStart w:id="363" w:name="_Toc152045580"/>
      <w:bookmarkStart w:id="364" w:name="_Toc17761"/>
      <w:bookmarkStart w:id="365" w:name="_Toc3705"/>
      <w:bookmarkStart w:id="366" w:name="_Toc140069415"/>
      <w:bookmarkStart w:id="367" w:name="_Toc2315"/>
      <w:r>
        <w:rPr>
          <w:rFonts w:hint="eastAsia" w:ascii="黑体" w:hAnsi="黑体" w:eastAsia="黑体" w:cs="黑体"/>
          <w:b w:val="0"/>
          <w:bCs w:val="0"/>
          <w:highlight w:val="none"/>
        </w:rPr>
        <w:t>10. 需要补充的其他内容</w:t>
      </w:r>
      <w:bookmarkEnd w:id="358"/>
      <w:bookmarkEnd w:id="359"/>
      <w:bookmarkEnd w:id="360"/>
      <w:bookmarkEnd w:id="361"/>
      <w:bookmarkEnd w:id="362"/>
      <w:bookmarkEnd w:id="363"/>
      <w:bookmarkEnd w:id="364"/>
      <w:bookmarkEnd w:id="365"/>
      <w:bookmarkEnd w:id="366"/>
      <w:bookmarkEnd w:id="367"/>
    </w:p>
    <w:p>
      <w:pPr>
        <w:spacing w:line="360" w:lineRule="auto"/>
        <w:ind w:firstLine="480" w:firstLineChars="200"/>
        <w:rPr>
          <w:rFonts w:ascii="Times New Roman"/>
          <w:highlight w:val="none"/>
        </w:rPr>
      </w:pPr>
      <w:r>
        <w:rPr>
          <w:rFonts w:hint="eastAsia" w:hAnsi="宋体" w:cs="宋体"/>
          <w:highlight w:val="none"/>
        </w:rPr>
        <w:t>需要补充的其他内容：见投标人须知前附表</w:t>
      </w:r>
      <w:r>
        <w:rPr>
          <w:rFonts w:hint="eastAsia" w:ascii="Times New Roman"/>
          <w:highlight w:val="none"/>
        </w:rPr>
        <w:t>。</w:t>
      </w:r>
    </w:p>
    <w:p>
      <w:pPr>
        <w:pStyle w:val="3"/>
        <w:spacing w:beforeLines="100" w:afterLines="100" w:line="240" w:lineRule="auto"/>
        <w:jc w:val="center"/>
        <w:rPr>
          <w:rFonts w:ascii="Times New Roman" w:hAnsi="Times New Roman" w:eastAsia="黑体"/>
          <w:b w:val="0"/>
          <w:highlight w:val="none"/>
        </w:rPr>
      </w:pPr>
      <w:r>
        <w:rPr>
          <w:rFonts w:ascii="Times New Roman" w:hAnsi="Times New Roman"/>
          <w:b w:val="0"/>
          <w:sz w:val="24"/>
          <w:highlight w:val="none"/>
        </w:rPr>
        <w:br w:type="page"/>
      </w:r>
      <w:bookmarkStart w:id="368" w:name="_Toc38879334"/>
      <w:bookmarkStart w:id="369" w:name="_Toc8937"/>
      <w:bookmarkStart w:id="370" w:name="_Toc4779"/>
      <w:bookmarkStart w:id="371" w:name="_Toc14838"/>
      <w:bookmarkStart w:id="372" w:name="_Toc24634"/>
      <w:bookmarkStart w:id="373" w:name="_Toc10568"/>
      <w:bookmarkStart w:id="374" w:name="_Toc9893"/>
      <w:bookmarkStart w:id="375" w:name="_Toc22334"/>
      <w:bookmarkStart w:id="376" w:name="_Toc19524"/>
      <w:bookmarkStart w:id="377" w:name="_Toc140069416"/>
      <w:r>
        <w:rPr>
          <w:rFonts w:hint="eastAsia" w:ascii="Times New Roman" w:hAnsi="Times New Roman" w:eastAsia="黑体"/>
          <w:b w:val="0"/>
          <w:highlight w:val="none"/>
        </w:rPr>
        <w:t>附件：</w:t>
      </w:r>
      <w:bookmarkEnd w:id="148"/>
      <w:bookmarkEnd w:id="149"/>
      <w:bookmarkEnd w:id="368"/>
      <w:bookmarkEnd w:id="369"/>
      <w:bookmarkEnd w:id="370"/>
      <w:bookmarkEnd w:id="371"/>
      <w:bookmarkEnd w:id="372"/>
      <w:bookmarkEnd w:id="373"/>
      <w:bookmarkEnd w:id="374"/>
      <w:bookmarkEnd w:id="375"/>
      <w:bookmarkEnd w:id="376"/>
      <w:r>
        <w:rPr>
          <w:rFonts w:hint="eastAsia" w:ascii="Times New Roman" w:hAnsi="Times New Roman" w:eastAsia="黑体"/>
          <w:b w:val="0"/>
          <w:highlight w:val="none"/>
        </w:rPr>
        <w:t>合肥市公共资源交易电子招标投标操作规程</w:t>
      </w:r>
      <w:bookmarkEnd w:id="377"/>
    </w:p>
    <w:p>
      <w:pPr>
        <w:spacing w:line="360" w:lineRule="auto"/>
        <w:ind w:firstLine="480" w:firstLineChars="200"/>
        <w:rPr>
          <w:rFonts w:hAnsi="宋体" w:cs="宋体"/>
          <w:szCs w:val="24"/>
          <w:highlight w:val="none"/>
        </w:rPr>
      </w:pPr>
      <w:r>
        <w:rPr>
          <w:rFonts w:hint="eastAsia" w:hAnsi="宋体" w:cs="宋体"/>
          <w:bCs/>
          <w:szCs w:val="24"/>
          <w:highlight w:val="none"/>
        </w:rPr>
        <w:t>第一条</w:t>
      </w:r>
      <w:r>
        <w:rPr>
          <w:rFonts w:hint="eastAsia" w:hAnsi="宋体" w:cs="宋体"/>
          <w:szCs w:val="24"/>
          <w:highlight w:val="none"/>
        </w:rPr>
        <w:t xml:space="preserve">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pPr>
        <w:spacing w:line="360" w:lineRule="auto"/>
        <w:ind w:firstLine="480" w:firstLineChars="200"/>
        <w:rPr>
          <w:rFonts w:hAnsi="宋体" w:cs="宋体"/>
          <w:szCs w:val="24"/>
          <w:highlight w:val="none"/>
        </w:rPr>
      </w:pPr>
      <w:r>
        <w:rPr>
          <w:rFonts w:hint="eastAsia" w:hAnsi="宋体" w:cs="宋体"/>
          <w:bCs/>
          <w:szCs w:val="24"/>
          <w:highlight w:val="none"/>
        </w:rPr>
        <w:t>第二条</w:t>
      </w:r>
      <w:r>
        <w:rPr>
          <w:rFonts w:hint="eastAsia" w:hAnsi="宋体" w:cs="宋体"/>
          <w:szCs w:val="24"/>
          <w:highlight w:val="none"/>
        </w:rPr>
        <w:t xml:space="preserve">  本规程适用于进入安徽合肥公共资源交易平台交易的项目。行业主管部门另有规定的，从其规定。</w:t>
      </w:r>
    </w:p>
    <w:p>
      <w:pPr>
        <w:spacing w:line="360" w:lineRule="auto"/>
        <w:ind w:firstLine="480" w:firstLineChars="200"/>
        <w:rPr>
          <w:rFonts w:hAnsi="宋体" w:cs="宋体"/>
          <w:szCs w:val="24"/>
          <w:highlight w:val="none"/>
        </w:rPr>
      </w:pPr>
      <w:r>
        <w:rPr>
          <w:rFonts w:hint="eastAsia" w:hAnsi="宋体" w:cs="宋体"/>
          <w:bCs/>
          <w:szCs w:val="24"/>
          <w:highlight w:val="none"/>
        </w:rPr>
        <w:t>第三条</w:t>
      </w:r>
      <w:r>
        <w:rPr>
          <w:rFonts w:hint="eastAsia" w:hAnsi="宋体" w:cs="宋体"/>
          <w:szCs w:val="24"/>
          <w:highlight w:val="none"/>
        </w:rPr>
        <w:t xml:space="preserve">  本规程所称的电子招标投标，是指以数据电文形式，依托电子交易系统和电子服务系统完成的全部或者部分招标投标交易活动。</w:t>
      </w:r>
    </w:p>
    <w:p>
      <w:pPr>
        <w:spacing w:line="360" w:lineRule="auto"/>
        <w:ind w:firstLine="480" w:firstLineChars="200"/>
        <w:rPr>
          <w:rFonts w:hAnsi="宋体" w:cs="宋体"/>
          <w:szCs w:val="24"/>
          <w:highlight w:val="none"/>
        </w:rPr>
      </w:pPr>
      <w:r>
        <w:rPr>
          <w:rFonts w:hint="eastAsia" w:hAnsi="宋体" w:cs="宋体"/>
          <w:bCs/>
          <w:szCs w:val="24"/>
          <w:highlight w:val="none"/>
        </w:rPr>
        <w:t>第四条</w:t>
      </w:r>
      <w:r>
        <w:rPr>
          <w:rFonts w:hint="eastAsia" w:hAnsi="宋体" w:cs="宋体"/>
          <w:szCs w:val="24"/>
          <w:highlight w:val="none"/>
        </w:rPr>
        <w:t xml:space="preserve">  电子交易系统是招标投标当事人通过数据电文形式完成招标投标交易活动的系统。</w:t>
      </w:r>
    </w:p>
    <w:p>
      <w:pPr>
        <w:spacing w:line="360" w:lineRule="auto"/>
        <w:ind w:firstLine="480" w:firstLineChars="200"/>
        <w:rPr>
          <w:rFonts w:hAnsi="宋体" w:cs="宋体"/>
          <w:szCs w:val="24"/>
          <w:highlight w:val="none"/>
        </w:rPr>
      </w:pPr>
      <w:r>
        <w:rPr>
          <w:rFonts w:hint="eastAsia" w:hAnsi="宋体" w:cs="宋体"/>
          <w:szCs w:val="24"/>
          <w:highlight w:val="none"/>
        </w:rPr>
        <w:t>电子交易系统要具备在线完成招标投标全部交易过程，编辑、生成、对接、交换和发布有关招标投标数据信息的功能，并为行政监督部门依法实施监督和受理投诉提供所需的信息通道。</w:t>
      </w:r>
    </w:p>
    <w:p>
      <w:pPr>
        <w:spacing w:line="360" w:lineRule="auto"/>
        <w:ind w:firstLine="480" w:firstLineChars="200"/>
        <w:rPr>
          <w:rFonts w:hAnsi="宋体" w:cs="宋体"/>
          <w:szCs w:val="24"/>
          <w:highlight w:val="none"/>
        </w:rPr>
      </w:pPr>
      <w:r>
        <w:rPr>
          <w:rFonts w:hint="eastAsia" w:hAnsi="宋体" w:cs="宋体"/>
          <w:bCs/>
          <w:szCs w:val="24"/>
          <w:highlight w:val="none"/>
        </w:rPr>
        <w:t>第五条</w:t>
      </w:r>
      <w:r>
        <w:rPr>
          <w:rFonts w:hint="eastAsia" w:hAnsi="宋体" w:cs="宋体"/>
          <w:szCs w:val="24"/>
          <w:highlight w:val="none"/>
        </w:rPr>
        <w:t xml:space="preserve">  电子服务系统是满足与各电子交易系统之间电子招标投标信息对接交换、资源共享需要，并为市场主体、行政监督部门和社会公众提供信息交换、整合和发布的系统。</w:t>
      </w:r>
    </w:p>
    <w:p>
      <w:pPr>
        <w:spacing w:line="360" w:lineRule="auto"/>
        <w:ind w:firstLine="480" w:firstLineChars="200"/>
        <w:rPr>
          <w:rFonts w:hAnsi="宋体" w:cs="宋体"/>
          <w:szCs w:val="24"/>
          <w:highlight w:val="none"/>
        </w:rPr>
      </w:pPr>
      <w:r>
        <w:rPr>
          <w:rFonts w:hint="eastAsia" w:hAnsi="宋体" w:cs="宋体"/>
          <w:szCs w:val="24"/>
          <w:highlight w:val="none"/>
        </w:rPr>
        <w:t>电子服务系统要具备与各电子交易系统之间招标投标相关信息对接、交换、发布、资格信誉和业绩公开、行业统计分析、连接评标专家库、提供行政监督通道等服务功能。</w:t>
      </w:r>
    </w:p>
    <w:p>
      <w:pPr>
        <w:spacing w:line="360" w:lineRule="auto"/>
        <w:ind w:firstLine="480" w:firstLineChars="200"/>
        <w:rPr>
          <w:rFonts w:hAnsi="宋体" w:cs="宋体"/>
          <w:szCs w:val="24"/>
          <w:highlight w:val="none"/>
        </w:rPr>
      </w:pPr>
      <w:r>
        <w:rPr>
          <w:rFonts w:hint="eastAsia" w:hAnsi="宋体" w:cs="宋体"/>
          <w:bCs/>
          <w:szCs w:val="24"/>
          <w:highlight w:val="none"/>
        </w:rPr>
        <w:t>第六条</w:t>
      </w:r>
      <w:r>
        <w:rPr>
          <w:rFonts w:hint="eastAsia" w:hAnsi="宋体" w:cs="宋体"/>
          <w:szCs w:val="24"/>
          <w:highlight w:val="none"/>
        </w:rPr>
        <w:t xml:space="preserve">  招标人或招标代理机构负责电子招标投标的组织实施，电子交易系统建设单位负责电子交易系统的服务保障，电子服务系统建设单位负责电子服务系统的服务保障。</w:t>
      </w:r>
    </w:p>
    <w:p>
      <w:pPr>
        <w:spacing w:line="360" w:lineRule="auto"/>
        <w:ind w:firstLine="480" w:firstLineChars="200"/>
        <w:rPr>
          <w:rFonts w:hAnsi="宋体" w:cs="宋体"/>
          <w:szCs w:val="24"/>
          <w:highlight w:val="none"/>
        </w:rPr>
      </w:pPr>
      <w:r>
        <w:rPr>
          <w:rFonts w:hint="eastAsia" w:hAnsi="宋体" w:cs="宋体"/>
          <w:bCs/>
          <w:szCs w:val="24"/>
          <w:highlight w:val="none"/>
        </w:rPr>
        <w:t>第七条</w:t>
      </w:r>
      <w:r>
        <w:rPr>
          <w:rFonts w:hint="eastAsia" w:hAnsi="宋体" w:cs="宋体"/>
          <w:szCs w:val="24"/>
          <w:highlight w:val="none"/>
        </w:rPr>
        <w:t xml:space="preserve">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pPr>
        <w:spacing w:line="360" w:lineRule="auto"/>
        <w:ind w:firstLine="480" w:firstLineChars="200"/>
        <w:rPr>
          <w:rFonts w:hAnsi="宋体" w:cs="宋体"/>
          <w:szCs w:val="24"/>
          <w:highlight w:val="none"/>
        </w:rPr>
      </w:pPr>
      <w:r>
        <w:rPr>
          <w:rFonts w:hint="eastAsia" w:hAnsi="宋体" w:cs="宋体"/>
          <w:szCs w:val="24"/>
          <w:highlight w:val="none"/>
        </w:rPr>
        <w:t>投标人应妥善保管数字证书，由于数字证书遗失、损坏、更换、续期等情况导致投标文件无法上传或解密，由投标人自行承担责任。</w:t>
      </w:r>
    </w:p>
    <w:p>
      <w:pPr>
        <w:spacing w:line="360" w:lineRule="auto"/>
        <w:ind w:firstLine="480" w:firstLineChars="200"/>
        <w:jc w:val="left"/>
        <w:rPr>
          <w:rFonts w:hAnsi="宋体" w:cs="宋体"/>
          <w:szCs w:val="24"/>
          <w:highlight w:val="none"/>
        </w:rPr>
      </w:pPr>
      <w:r>
        <w:rPr>
          <w:rFonts w:hint="eastAsia" w:hAnsi="宋体" w:cs="宋体"/>
          <w:bCs/>
          <w:szCs w:val="24"/>
          <w:highlight w:val="none"/>
        </w:rPr>
        <w:t>第八条</w:t>
      </w:r>
      <w:r>
        <w:rPr>
          <w:rFonts w:hint="eastAsia" w:hAnsi="宋体" w:cs="宋体"/>
          <w:szCs w:val="24"/>
          <w:highlight w:val="none"/>
        </w:rPr>
        <w:t xml:space="preserve">  招标人或招标代理机构应在招标公告和招标文件中明确招标项目采取电子招标投标方式，并按相关流程通过电子交易系统制作招标文件。 </w:t>
      </w:r>
    </w:p>
    <w:p>
      <w:pPr>
        <w:spacing w:line="360" w:lineRule="auto"/>
        <w:ind w:firstLine="480" w:firstLineChars="200"/>
        <w:rPr>
          <w:rFonts w:hAnsi="宋体" w:cs="宋体"/>
          <w:szCs w:val="24"/>
          <w:highlight w:val="none"/>
        </w:rPr>
      </w:pPr>
      <w:r>
        <w:rPr>
          <w:rFonts w:hint="eastAsia" w:hAnsi="宋体" w:cs="宋体"/>
          <w:bCs/>
          <w:szCs w:val="24"/>
          <w:highlight w:val="none"/>
        </w:rPr>
        <w:t>第九条</w:t>
      </w:r>
      <w:r>
        <w:rPr>
          <w:rFonts w:hint="eastAsia" w:hAnsi="宋体" w:cs="宋体"/>
          <w:szCs w:val="24"/>
          <w:highlight w:val="none"/>
        </w:rPr>
        <w:t xml:space="preserve">  招标公告、招标文件应由招标人或招标代理机构通过电子服务系统在安徽合肥公共资源交易中心网站发布，其中招标文件须加盖电子签章。</w:t>
      </w:r>
    </w:p>
    <w:p>
      <w:pPr>
        <w:spacing w:line="360" w:lineRule="auto"/>
        <w:ind w:firstLine="480" w:firstLineChars="200"/>
        <w:rPr>
          <w:rFonts w:hAnsi="宋体" w:cs="宋体"/>
          <w:szCs w:val="24"/>
          <w:highlight w:val="none"/>
        </w:rPr>
      </w:pPr>
      <w:r>
        <w:rPr>
          <w:rFonts w:hint="eastAsia" w:hAnsi="宋体" w:cs="宋体"/>
          <w:bCs/>
          <w:szCs w:val="24"/>
          <w:highlight w:val="none"/>
        </w:rPr>
        <w:t>第十条</w:t>
      </w:r>
      <w:r>
        <w:rPr>
          <w:rFonts w:hint="eastAsia" w:hAnsi="宋体" w:cs="宋体"/>
          <w:szCs w:val="24"/>
          <w:highlight w:val="none"/>
        </w:rPr>
        <w:t xml:space="preserve">  投标人登录安徽合肥公共资源交易中心电子服务系统获取招标文件。</w:t>
      </w:r>
    </w:p>
    <w:p>
      <w:pPr>
        <w:spacing w:line="360" w:lineRule="auto"/>
        <w:ind w:firstLine="480" w:firstLineChars="200"/>
        <w:rPr>
          <w:rFonts w:hAnsi="宋体" w:cs="宋体"/>
          <w:szCs w:val="24"/>
          <w:highlight w:val="none"/>
        </w:rPr>
      </w:pPr>
      <w:r>
        <w:rPr>
          <w:rFonts w:hint="eastAsia" w:hAnsi="宋体" w:cs="宋体"/>
          <w:bCs/>
          <w:szCs w:val="24"/>
          <w:highlight w:val="none"/>
        </w:rPr>
        <w:t>第十一条</w:t>
      </w:r>
      <w:r>
        <w:rPr>
          <w:rFonts w:hint="eastAsia" w:hAnsi="宋体" w:cs="宋体"/>
          <w:szCs w:val="24"/>
          <w:highlight w:val="none"/>
        </w:rPr>
        <w:t xml:space="preserve">  澄清、修改文件应由招标人或招标代理机构通过电子服务系统在安徽合肥公共资源交易中心网站发布，投标人应及时查阅相关澄清、修改信息。</w:t>
      </w:r>
    </w:p>
    <w:p>
      <w:pPr>
        <w:spacing w:line="360" w:lineRule="auto"/>
        <w:ind w:firstLine="480" w:firstLineChars="200"/>
        <w:rPr>
          <w:rFonts w:hAnsi="宋体" w:cs="宋体"/>
          <w:szCs w:val="24"/>
          <w:highlight w:val="none"/>
        </w:rPr>
      </w:pPr>
      <w:r>
        <w:rPr>
          <w:rFonts w:hint="eastAsia" w:hAnsi="宋体" w:cs="宋体"/>
          <w:bCs/>
          <w:szCs w:val="24"/>
          <w:highlight w:val="none"/>
        </w:rPr>
        <w:t>第十二条</w:t>
      </w:r>
      <w:r>
        <w:rPr>
          <w:rFonts w:hint="eastAsia" w:hAnsi="宋体" w:cs="宋体"/>
          <w:szCs w:val="24"/>
          <w:highlight w:val="none"/>
        </w:rPr>
        <w:t xml:space="preserve">  投标人应使用电子标书制作软件制作投标文件，电子标书制作软件应允许投标人离线制作投标文件，并且具备分段或整体加密、解密功能。</w:t>
      </w:r>
    </w:p>
    <w:p>
      <w:pPr>
        <w:spacing w:line="360" w:lineRule="auto"/>
        <w:ind w:firstLine="480" w:firstLineChars="200"/>
        <w:rPr>
          <w:rFonts w:hAnsi="宋体" w:cs="宋体"/>
          <w:szCs w:val="24"/>
          <w:highlight w:val="none"/>
        </w:rPr>
      </w:pPr>
      <w:r>
        <w:rPr>
          <w:rFonts w:hint="eastAsia" w:hAnsi="宋体" w:cs="宋体"/>
          <w:bCs/>
          <w:szCs w:val="24"/>
          <w:highlight w:val="none"/>
        </w:rPr>
        <w:t>第十三条</w:t>
      </w:r>
      <w:r>
        <w:rPr>
          <w:rFonts w:hint="eastAsia" w:hAnsi="宋体" w:cs="宋体"/>
          <w:szCs w:val="24"/>
          <w:highlight w:val="none"/>
        </w:rPr>
        <w:t xml:space="preserve">  投标人必须对投标文件进行电子签章并使用数字证书加密，并于招标文件规定的投标截止时间前通过电子交易系统完成上传。</w:t>
      </w:r>
    </w:p>
    <w:p>
      <w:pPr>
        <w:spacing w:line="360" w:lineRule="auto"/>
        <w:ind w:firstLine="480" w:firstLineChars="200"/>
        <w:rPr>
          <w:rFonts w:hAnsi="宋体" w:cs="宋体"/>
          <w:szCs w:val="24"/>
          <w:highlight w:val="none"/>
        </w:rPr>
      </w:pPr>
      <w:r>
        <w:rPr>
          <w:rFonts w:hint="eastAsia" w:hAnsi="宋体" w:cs="宋体"/>
          <w:szCs w:val="24"/>
          <w:highlight w:val="none"/>
        </w:rPr>
        <w:t>投标人对加密的投标文件进行撤回的，应通过电子交易系统在投标截止时间前进行撤回操作；投标人对加密的投标文件进行修改的，应在投标截止时间前完成上传。</w:t>
      </w:r>
    </w:p>
    <w:p>
      <w:pPr>
        <w:spacing w:line="360" w:lineRule="auto"/>
        <w:ind w:firstLine="480" w:firstLineChars="200"/>
        <w:rPr>
          <w:rFonts w:hAnsi="宋体" w:cs="宋体"/>
          <w:szCs w:val="24"/>
          <w:highlight w:val="none"/>
        </w:rPr>
      </w:pPr>
      <w:r>
        <w:rPr>
          <w:rFonts w:hint="eastAsia" w:hAnsi="宋体" w:cs="宋体"/>
          <w:bCs/>
          <w:szCs w:val="24"/>
          <w:highlight w:val="none"/>
        </w:rPr>
        <w:t>第十四条</w:t>
      </w:r>
      <w:r>
        <w:rPr>
          <w:rFonts w:hint="eastAsia" w:hAnsi="宋体" w:cs="宋体"/>
          <w:szCs w:val="24"/>
          <w:highlight w:val="none"/>
        </w:rPr>
        <w:t xml:space="preserve">  投标截止时间以电子交易系统显示的时间为准，逾期系统将自动关闭, 未完成上传的投标文件将被拒绝。</w:t>
      </w:r>
    </w:p>
    <w:p>
      <w:pPr>
        <w:spacing w:line="360" w:lineRule="auto"/>
        <w:ind w:firstLine="480" w:firstLineChars="200"/>
        <w:rPr>
          <w:rFonts w:hAnsi="宋体" w:cs="宋体"/>
          <w:szCs w:val="24"/>
          <w:highlight w:val="none"/>
        </w:rPr>
      </w:pPr>
      <w:r>
        <w:rPr>
          <w:rFonts w:hint="eastAsia" w:hAnsi="宋体" w:cs="宋体"/>
          <w:bCs/>
          <w:szCs w:val="24"/>
          <w:highlight w:val="none"/>
        </w:rPr>
        <w:t>第十五条</w:t>
      </w:r>
      <w:r>
        <w:rPr>
          <w:rFonts w:hint="eastAsia" w:hAnsi="宋体" w:cs="宋体"/>
          <w:szCs w:val="24"/>
          <w:highlight w:val="none"/>
        </w:rPr>
        <w:t xml:space="preserve">  投标人在投标截止时间后按招标文件规定的解密时间完成投标文件解密，加密和解密须用同一数字证书。投标人未在招标文件规定的时间内完成解密的视为其放弃投标。</w:t>
      </w:r>
    </w:p>
    <w:p>
      <w:pPr>
        <w:spacing w:line="360" w:lineRule="auto"/>
        <w:ind w:firstLine="480" w:firstLineChars="200"/>
        <w:rPr>
          <w:rFonts w:hAnsi="宋体" w:cs="宋体"/>
          <w:szCs w:val="24"/>
          <w:highlight w:val="none"/>
        </w:rPr>
      </w:pPr>
      <w:r>
        <w:rPr>
          <w:rFonts w:hint="eastAsia" w:hAnsi="宋体" w:cs="宋体"/>
          <w:szCs w:val="24"/>
          <w:highlight w:val="none"/>
        </w:rPr>
        <w:t>招标人或招标代理机构完成解密，导入并读取所有成功解密的投标文件，电子交易系统应自动记录开标过程。</w:t>
      </w:r>
    </w:p>
    <w:p>
      <w:pPr>
        <w:spacing w:line="360" w:lineRule="auto"/>
        <w:ind w:firstLine="480" w:firstLineChars="200"/>
        <w:rPr>
          <w:rFonts w:hAnsi="宋体" w:cs="宋体"/>
          <w:szCs w:val="24"/>
          <w:highlight w:val="none"/>
        </w:rPr>
      </w:pPr>
      <w:r>
        <w:rPr>
          <w:rFonts w:hint="eastAsia" w:hAnsi="宋体" w:cs="宋体"/>
          <w:szCs w:val="24"/>
          <w:highlight w:val="none"/>
        </w:rPr>
        <w:t>招标文件约定须到达指定地点或线上进行演示、答辩、磋商、谈判等情形的，投标人应按照招标文件规定的时间到达指定地点或登录电子交易系统保持在线。</w:t>
      </w:r>
    </w:p>
    <w:p>
      <w:pPr>
        <w:spacing w:line="360" w:lineRule="auto"/>
        <w:ind w:firstLine="480" w:firstLineChars="200"/>
        <w:rPr>
          <w:rFonts w:hAnsi="宋体" w:cs="宋体"/>
          <w:szCs w:val="24"/>
          <w:highlight w:val="none"/>
        </w:rPr>
      </w:pPr>
      <w:r>
        <w:rPr>
          <w:rFonts w:hint="eastAsia" w:hAnsi="宋体" w:cs="宋体"/>
          <w:bCs/>
          <w:szCs w:val="24"/>
          <w:highlight w:val="none"/>
        </w:rPr>
        <w:t>第十六条</w:t>
      </w:r>
      <w:r>
        <w:rPr>
          <w:rFonts w:hint="eastAsia" w:hAnsi="宋体" w:cs="宋体"/>
          <w:szCs w:val="24"/>
          <w:highlight w:val="none"/>
        </w:rPr>
        <w:t xml:space="preserve">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pPr>
        <w:spacing w:line="360" w:lineRule="auto"/>
        <w:ind w:firstLine="480" w:firstLineChars="200"/>
        <w:rPr>
          <w:rFonts w:hAnsi="宋体" w:cs="宋体"/>
          <w:szCs w:val="24"/>
          <w:highlight w:val="none"/>
        </w:rPr>
      </w:pPr>
      <w:r>
        <w:rPr>
          <w:rFonts w:hint="eastAsia" w:hAnsi="宋体" w:cs="宋体"/>
          <w:bCs/>
          <w:szCs w:val="24"/>
          <w:highlight w:val="none"/>
        </w:rPr>
        <w:t>第十七条</w:t>
      </w:r>
      <w:r>
        <w:rPr>
          <w:rFonts w:hint="eastAsia" w:hAnsi="宋体" w:cs="宋体"/>
          <w:szCs w:val="24"/>
          <w:highlight w:val="none"/>
        </w:rPr>
        <w:t xml:space="preserve">  招标人或招标代理机构组织评标，评标委员会依据招标文件规定的评标办法进行电子评标，并对评标结果签字或电子签名确认。</w:t>
      </w:r>
    </w:p>
    <w:p>
      <w:pPr>
        <w:spacing w:line="360" w:lineRule="auto"/>
        <w:ind w:firstLine="480" w:firstLineChars="200"/>
        <w:rPr>
          <w:rFonts w:hAnsi="宋体" w:cs="宋体"/>
          <w:szCs w:val="24"/>
          <w:highlight w:val="none"/>
        </w:rPr>
      </w:pPr>
      <w:r>
        <w:rPr>
          <w:rFonts w:hint="eastAsia" w:hAnsi="宋体" w:cs="宋体"/>
          <w:szCs w:val="24"/>
          <w:highlight w:val="none"/>
        </w:rPr>
        <w:t>多次报价应按招标文件的要求提交。</w:t>
      </w:r>
    </w:p>
    <w:p>
      <w:pPr>
        <w:spacing w:line="360" w:lineRule="auto"/>
        <w:ind w:firstLine="480" w:firstLineChars="200"/>
        <w:rPr>
          <w:rFonts w:hAnsi="宋体" w:cs="宋体"/>
          <w:szCs w:val="24"/>
          <w:highlight w:val="none"/>
        </w:rPr>
      </w:pPr>
      <w:r>
        <w:rPr>
          <w:rFonts w:hint="eastAsia" w:hAnsi="宋体" w:cs="宋体"/>
          <w:bCs/>
          <w:szCs w:val="24"/>
          <w:highlight w:val="none"/>
        </w:rPr>
        <w:t>第十八条</w:t>
      </w:r>
      <w:r>
        <w:rPr>
          <w:rFonts w:hint="eastAsia" w:hAnsi="宋体" w:cs="宋体"/>
          <w:szCs w:val="24"/>
          <w:highlight w:val="none"/>
        </w:rPr>
        <w:t xml:space="preserve">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pPr>
        <w:spacing w:line="360" w:lineRule="auto"/>
        <w:ind w:firstLine="480" w:firstLineChars="200"/>
        <w:rPr>
          <w:rFonts w:hAnsi="宋体" w:cs="宋体"/>
          <w:szCs w:val="24"/>
          <w:highlight w:val="none"/>
        </w:rPr>
      </w:pPr>
      <w:r>
        <w:rPr>
          <w:rFonts w:hint="eastAsia" w:hAnsi="宋体" w:cs="宋体"/>
          <w:bCs/>
          <w:szCs w:val="24"/>
          <w:highlight w:val="none"/>
        </w:rPr>
        <w:t>第十九条</w:t>
      </w:r>
      <w:r>
        <w:rPr>
          <w:rFonts w:hint="eastAsia" w:hAnsi="宋体" w:cs="宋体"/>
          <w:szCs w:val="24"/>
          <w:highlight w:val="none"/>
        </w:rPr>
        <w:t xml:space="preserve">  评标委员会完成评标后，应通过电子交易系统提交评标报告。招标人或招标代理机构将评标报告及时交互至电子服务系统。</w:t>
      </w:r>
    </w:p>
    <w:p>
      <w:pPr>
        <w:spacing w:line="360" w:lineRule="auto"/>
        <w:ind w:firstLine="480" w:firstLineChars="200"/>
        <w:rPr>
          <w:rFonts w:hAnsi="宋体" w:cs="宋体"/>
          <w:szCs w:val="24"/>
          <w:highlight w:val="none"/>
        </w:rPr>
      </w:pPr>
      <w:r>
        <w:rPr>
          <w:rFonts w:hint="eastAsia" w:hAnsi="宋体" w:cs="宋体"/>
          <w:bCs/>
          <w:szCs w:val="24"/>
          <w:highlight w:val="none"/>
        </w:rPr>
        <w:t>第二十条</w:t>
      </w:r>
      <w:r>
        <w:rPr>
          <w:rFonts w:hint="eastAsia" w:hAnsi="宋体" w:cs="宋体"/>
          <w:szCs w:val="24"/>
          <w:highlight w:val="none"/>
        </w:rPr>
        <w:t xml:space="preserve">  招标人或招标代理机构应通过电子服务系统在安徽合肥公共资源交易中心网站公示和公布中标候选人及中标结果。</w:t>
      </w:r>
    </w:p>
    <w:p>
      <w:pPr>
        <w:spacing w:line="360" w:lineRule="auto"/>
        <w:ind w:firstLine="480" w:firstLineChars="200"/>
        <w:rPr>
          <w:rFonts w:hAnsi="宋体" w:cs="宋体"/>
          <w:szCs w:val="24"/>
          <w:highlight w:val="none"/>
        </w:rPr>
      </w:pPr>
      <w:r>
        <w:rPr>
          <w:rFonts w:hint="eastAsia" w:hAnsi="宋体" w:cs="宋体"/>
          <w:bCs/>
          <w:szCs w:val="24"/>
          <w:highlight w:val="none"/>
        </w:rPr>
        <w:t>第二十一条</w:t>
      </w:r>
      <w:r>
        <w:rPr>
          <w:rFonts w:hint="eastAsia" w:hAnsi="宋体" w:cs="宋体"/>
          <w:szCs w:val="24"/>
          <w:highlight w:val="none"/>
        </w:rPr>
        <w:t xml:space="preserve">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pPr>
        <w:spacing w:line="360" w:lineRule="auto"/>
        <w:ind w:firstLine="480" w:firstLineChars="200"/>
        <w:rPr>
          <w:rFonts w:hAnsi="宋体" w:cs="宋体"/>
          <w:szCs w:val="24"/>
          <w:highlight w:val="none"/>
        </w:rPr>
      </w:pPr>
      <w:r>
        <w:rPr>
          <w:rFonts w:hint="eastAsia" w:hAnsi="宋体" w:cs="宋体"/>
          <w:bCs/>
          <w:szCs w:val="24"/>
          <w:highlight w:val="none"/>
        </w:rPr>
        <w:t>第二十二条</w:t>
      </w:r>
      <w:r>
        <w:rPr>
          <w:rFonts w:hint="eastAsia" w:hAnsi="宋体" w:cs="宋体"/>
          <w:szCs w:val="24"/>
          <w:highlight w:val="none"/>
        </w:rPr>
        <w:t>招标人确定中标人后，应通过电子交易系统向中标人发出中标通知书，中标通知书发出即视为送达。</w:t>
      </w:r>
    </w:p>
    <w:p>
      <w:pPr>
        <w:spacing w:line="360" w:lineRule="auto"/>
        <w:ind w:firstLine="480" w:firstLineChars="200"/>
        <w:rPr>
          <w:rFonts w:hAnsi="宋体" w:cs="宋体"/>
          <w:szCs w:val="24"/>
          <w:highlight w:val="none"/>
        </w:rPr>
      </w:pPr>
      <w:r>
        <w:rPr>
          <w:rFonts w:hint="eastAsia" w:hAnsi="宋体" w:cs="宋体"/>
          <w:bCs/>
          <w:szCs w:val="24"/>
          <w:highlight w:val="none"/>
        </w:rPr>
        <w:t>第二十三条</w:t>
      </w:r>
      <w:r>
        <w:rPr>
          <w:rFonts w:hint="eastAsia" w:hAnsi="宋体" w:cs="宋体"/>
          <w:szCs w:val="24"/>
          <w:highlight w:val="none"/>
        </w:rPr>
        <w:t xml:space="preserve">  出现下列情形导致电子服务系统或电子交易系统无法正常运行，影响招标投标过程的公平、公正和信息安全，经第三方机构认定后，各方当事人免责：</w:t>
      </w:r>
    </w:p>
    <w:p>
      <w:pPr>
        <w:spacing w:line="360" w:lineRule="auto"/>
        <w:ind w:firstLine="480" w:firstLineChars="200"/>
        <w:rPr>
          <w:rFonts w:hAnsi="宋体" w:cs="宋体"/>
          <w:szCs w:val="24"/>
          <w:highlight w:val="none"/>
        </w:rPr>
      </w:pPr>
      <w:r>
        <w:rPr>
          <w:rFonts w:hint="eastAsia" w:hAnsi="宋体" w:cs="宋体"/>
          <w:szCs w:val="24"/>
          <w:highlight w:val="none"/>
        </w:rPr>
        <w:t>（一）网络、服务器、数据库发生故障造成无法访问或使用的；</w:t>
      </w:r>
    </w:p>
    <w:p>
      <w:pPr>
        <w:spacing w:line="360" w:lineRule="auto"/>
        <w:ind w:firstLine="480" w:firstLineChars="200"/>
        <w:rPr>
          <w:rFonts w:hAnsi="宋体" w:cs="宋体"/>
          <w:szCs w:val="24"/>
          <w:highlight w:val="none"/>
        </w:rPr>
      </w:pPr>
      <w:r>
        <w:rPr>
          <w:rFonts w:hint="eastAsia" w:hAnsi="宋体" w:cs="宋体"/>
          <w:szCs w:val="24"/>
          <w:highlight w:val="none"/>
        </w:rPr>
        <w:t>（二）电力系统发生故障导致电子服务系统或电子交易系统无法运行的；</w:t>
      </w:r>
    </w:p>
    <w:p>
      <w:pPr>
        <w:spacing w:line="360" w:lineRule="auto"/>
        <w:ind w:firstLine="480" w:firstLineChars="200"/>
        <w:rPr>
          <w:rFonts w:hAnsi="宋体" w:cs="宋体"/>
          <w:szCs w:val="24"/>
          <w:highlight w:val="none"/>
        </w:rPr>
      </w:pPr>
      <w:r>
        <w:rPr>
          <w:rFonts w:hint="eastAsia" w:hAnsi="宋体" w:cs="宋体"/>
          <w:szCs w:val="24"/>
          <w:highlight w:val="none"/>
        </w:rPr>
        <w:t>（三）出现网络攻击、病毒入侵以及电子服务系统或电子交易系统安全漏洞导致无法正常提供服务的；</w:t>
      </w:r>
    </w:p>
    <w:p>
      <w:pPr>
        <w:spacing w:line="360" w:lineRule="auto"/>
        <w:ind w:firstLine="480" w:firstLineChars="200"/>
        <w:rPr>
          <w:rFonts w:hAnsi="宋体" w:cs="宋体"/>
          <w:szCs w:val="24"/>
          <w:highlight w:val="none"/>
        </w:rPr>
      </w:pPr>
      <w:r>
        <w:rPr>
          <w:rFonts w:hint="eastAsia" w:hAnsi="宋体" w:cs="宋体"/>
          <w:szCs w:val="24"/>
          <w:highlight w:val="none"/>
        </w:rPr>
        <w:t>（四）其他无法保证招标投标过程公平、公正和信息安全的情形。</w:t>
      </w:r>
    </w:p>
    <w:p>
      <w:pPr>
        <w:spacing w:line="360" w:lineRule="auto"/>
        <w:ind w:firstLine="480" w:firstLineChars="200"/>
        <w:rPr>
          <w:rFonts w:hAnsi="宋体" w:cs="宋体"/>
          <w:szCs w:val="24"/>
          <w:highlight w:val="none"/>
        </w:rPr>
      </w:pPr>
      <w:r>
        <w:rPr>
          <w:rFonts w:hint="eastAsia" w:hAnsi="宋体" w:cs="宋体"/>
          <w:bCs/>
          <w:szCs w:val="24"/>
          <w:highlight w:val="none"/>
        </w:rPr>
        <w:t>第二十四条</w:t>
      </w:r>
      <w:r>
        <w:rPr>
          <w:rFonts w:hint="eastAsia" w:hAnsi="宋体" w:cs="宋体"/>
          <w:szCs w:val="24"/>
          <w:highlight w:val="none"/>
        </w:rPr>
        <w:t xml:space="preserve">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pPr>
        <w:spacing w:line="360" w:lineRule="auto"/>
        <w:ind w:firstLine="480" w:firstLineChars="200"/>
        <w:rPr>
          <w:rFonts w:hAnsi="宋体" w:cs="宋体"/>
          <w:szCs w:val="24"/>
          <w:highlight w:val="none"/>
        </w:rPr>
      </w:pPr>
      <w:r>
        <w:rPr>
          <w:rFonts w:hint="eastAsia" w:hAnsi="宋体" w:cs="宋体"/>
          <w:szCs w:val="24"/>
          <w:highlight w:val="none"/>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pPr>
        <w:spacing w:line="360" w:lineRule="auto"/>
        <w:ind w:firstLine="480" w:firstLineChars="200"/>
        <w:rPr>
          <w:rFonts w:hAnsi="宋体" w:cs="宋体"/>
          <w:szCs w:val="24"/>
          <w:highlight w:val="none"/>
        </w:rPr>
      </w:pPr>
      <w:r>
        <w:rPr>
          <w:rFonts w:hint="eastAsia" w:hAnsi="宋体" w:cs="宋体"/>
          <w:szCs w:val="24"/>
          <w:highlight w:val="none"/>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pPr>
        <w:spacing w:line="360" w:lineRule="auto"/>
        <w:ind w:firstLine="480" w:firstLineChars="200"/>
        <w:rPr>
          <w:rFonts w:hAnsi="宋体" w:cs="宋体"/>
          <w:szCs w:val="24"/>
          <w:highlight w:val="none"/>
        </w:rPr>
      </w:pPr>
      <w:r>
        <w:rPr>
          <w:rFonts w:hint="eastAsia" w:hAnsi="宋体" w:cs="宋体"/>
          <w:bCs/>
          <w:szCs w:val="24"/>
          <w:highlight w:val="none"/>
        </w:rPr>
        <w:t>第二十五条</w:t>
      </w:r>
      <w:r>
        <w:rPr>
          <w:rFonts w:hint="eastAsia" w:hAnsi="宋体" w:cs="宋体"/>
          <w:szCs w:val="24"/>
          <w:highlight w:val="none"/>
        </w:rPr>
        <w:t xml:space="preserve">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pPr>
        <w:spacing w:line="360" w:lineRule="auto"/>
        <w:ind w:firstLine="480" w:firstLineChars="200"/>
        <w:rPr>
          <w:rFonts w:hAnsi="宋体" w:cs="宋体"/>
          <w:szCs w:val="24"/>
          <w:highlight w:val="none"/>
        </w:rPr>
      </w:pPr>
      <w:r>
        <w:rPr>
          <w:rFonts w:hint="eastAsia" w:hAnsi="宋体" w:cs="宋体"/>
          <w:bCs/>
          <w:szCs w:val="24"/>
          <w:highlight w:val="none"/>
        </w:rPr>
        <w:t>第二十六条</w:t>
      </w:r>
      <w:r>
        <w:rPr>
          <w:rFonts w:hint="eastAsia" w:hAnsi="宋体" w:cs="宋体"/>
          <w:szCs w:val="24"/>
          <w:highlight w:val="none"/>
        </w:rPr>
        <w:t xml:space="preserve">  本规程由合肥市公共资源交易监督管理局负责解释。</w:t>
      </w:r>
    </w:p>
    <w:p>
      <w:pPr>
        <w:spacing w:line="360" w:lineRule="auto"/>
        <w:ind w:firstLine="480" w:firstLineChars="200"/>
        <w:rPr>
          <w:rFonts w:hAnsi="宋体" w:cs="宋体"/>
          <w:bCs/>
          <w:szCs w:val="24"/>
          <w:highlight w:val="none"/>
        </w:rPr>
      </w:pPr>
      <w:r>
        <w:rPr>
          <w:rFonts w:hint="eastAsia" w:hAnsi="宋体" w:cs="宋体"/>
          <w:bCs/>
          <w:szCs w:val="24"/>
          <w:highlight w:val="none"/>
        </w:rPr>
        <w:t>第二十七条</w:t>
      </w:r>
      <w:r>
        <w:rPr>
          <w:rFonts w:hint="eastAsia" w:hAnsi="宋体" w:cs="宋体"/>
          <w:szCs w:val="24"/>
          <w:highlight w:val="none"/>
        </w:rPr>
        <w:t xml:space="preserve">  本规程自发布之日起施行，有效期2年。原《合肥市公共资源交易电子招标投标操作规程》（合公法〔2020〕16号）同时废止。</w:t>
      </w:r>
    </w:p>
    <w:p>
      <w:pPr>
        <w:pStyle w:val="2"/>
        <w:spacing w:beforeLines="100" w:afterLines="100" w:line="240" w:lineRule="auto"/>
        <w:jc w:val="center"/>
        <w:rPr>
          <w:b w:val="0"/>
          <w:highlight w:val="none"/>
        </w:rPr>
      </w:pPr>
      <w:r>
        <w:rPr>
          <w:rFonts w:hint="eastAsia"/>
          <w:b w:val="0"/>
          <w:highlight w:val="none"/>
        </w:rPr>
        <w:br w:type="page"/>
      </w:r>
      <w:bookmarkStart w:id="378" w:name="_Toc140069417"/>
      <w:r>
        <w:rPr>
          <w:rFonts w:hint="eastAsia"/>
          <w:b w:val="0"/>
          <w:highlight w:val="none"/>
        </w:rPr>
        <w:t>第三章  评标办法</w:t>
      </w:r>
      <w:bookmarkEnd w:id="378"/>
    </w:p>
    <w:p>
      <w:pPr>
        <w:pStyle w:val="2"/>
        <w:spacing w:beforeLines="100" w:afterLines="100" w:line="240" w:lineRule="auto"/>
        <w:jc w:val="center"/>
        <w:rPr>
          <w:b w:val="0"/>
          <w:highlight w:val="none"/>
        </w:rPr>
      </w:pPr>
      <w:bookmarkStart w:id="379" w:name="_Toc6350"/>
      <w:bookmarkStart w:id="380" w:name="_Toc4951"/>
      <w:bookmarkStart w:id="381" w:name="_Toc140069418"/>
      <w:r>
        <w:rPr>
          <w:rFonts w:hint="eastAsia" w:hAnsi="宋体" w:cs="宋体"/>
          <w:b w:val="0"/>
          <w:highlight w:val="none"/>
        </w:rPr>
        <w:t>综合评估法（一次平均）</w:t>
      </w:r>
      <w:bookmarkEnd w:id="379"/>
      <w:bookmarkEnd w:id="380"/>
      <w:bookmarkEnd w:id="381"/>
    </w:p>
    <w:p>
      <w:pPr>
        <w:spacing w:beforeLines="100" w:afterLines="100"/>
        <w:jc w:val="center"/>
        <w:outlineLvl w:val="1"/>
        <w:rPr>
          <w:rFonts w:ascii="Times New Roman" w:eastAsia="黑体"/>
          <w:sz w:val="32"/>
          <w:szCs w:val="32"/>
          <w:highlight w:val="none"/>
        </w:rPr>
      </w:pPr>
      <w:bookmarkStart w:id="382" w:name="_Toc140069419"/>
      <w:r>
        <w:rPr>
          <w:rFonts w:hint="eastAsia" w:ascii="Times New Roman" w:eastAsia="黑体"/>
          <w:sz w:val="32"/>
          <w:szCs w:val="32"/>
          <w:highlight w:val="none"/>
        </w:rPr>
        <w:t>评标办法前附表</w:t>
      </w:r>
      <w:bookmarkEnd w:id="382"/>
    </w:p>
    <w:tbl>
      <w:tblPr>
        <w:tblStyle w:val="52"/>
        <w:tblW w:w="5043"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6"/>
        <w:gridCol w:w="1393"/>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ascii="Times New Roman" w:cs="宋体"/>
                <w:bCs/>
                <w:szCs w:val="24"/>
                <w:highlight w:val="none"/>
              </w:rPr>
              <w:t>条款号</w:t>
            </w:r>
          </w:p>
        </w:tc>
        <w:tc>
          <w:tcPr>
            <w:tcW w:w="1393" w:type="dxa"/>
            <w:vAlign w:val="center"/>
          </w:tcPr>
          <w:p>
            <w:pPr>
              <w:widowControl/>
              <w:spacing w:line="360" w:lineRule="auto"/>
              <w:ind w:firstLine="120" w:firstLineChars="50"/>
              <w:jc w:val="center"/>
              <w:rPr>
                <w:rFonts w:hAnsi="宋体" w:cs="宋体"/>
                <w:bCs/>
                <w:highlight w:val="none"/>
              </w:rPr>
            </w:pPr>
            <w:r>
              <w:rPr>
                <w:rFonts w:hint="eastAsia" w:ascii="Times New Roman" w:cs="宋体"/>
                <w:bCs/>
                <w:szCs w:val="24"/>
                <w:highlight w:val="none"/>
              </w:rPr>
              <w:t>评审因素</w:t>
            </w:r>
          </w:p>
        </w:tc>
        <w:tc>
          <w:tcPr>
            <w:tcW w:w="5531" w:type="dxa"/>
            <w:vAlign w:val="center"/>
          </w:tcPr>
          <w:p>
            <w:pPr>
              <w:widowControl/>
              <w:spacing w:line="360" w:lineRule="auto"/>
              <w:ind w:firstLine="120" w:firstLineChars="50"/>
              <w:jc w:val="center"/>
              <w:rPr>
                <w:rFonts w:hAnsi="宋体" w:cs="宋体"/>
                <w:bCs/>
                <w:highlight w:val="none"/>
              </w:rPr>
            </w:pPr>
            <w:r>
              <w:rPr>
                <w:rFonts w:hint="eastAsia" w:ascii="Times New Roman" w:cs="宋体"/>
                <w:bCs/>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1.2</w:t>
            </w:r>
          </w:p>
        </w:tc>
        <w:tc>
          <w:tcPr>
            <w:tcW w:w="1393" w:type="dxa"/>
            <w:tcMar>
              <w:left w:w="75" w:type="dxa"/>
            </w:tcMar>
            <w:vAlign w:val="center"/>
          </w:tcPr>
          <w:p>
            <w:pPr>
              <w:widowControl/>
              <w:snapToGrid w:val="0"/>
              <w:spacing w:line="360" w:lineRule="auto"/>
              <w:jc w:val="center"/>
              <w:rPr>
                <w:rFonts w:hAnsi="宋体" w:cs="宋体"/>
                <w:highlight w:val="none"/>
              </w:rPr>
            </w:pPr>
            <w:r>
              <w:rPr>
                <w:rFonts w:hint="eastAsia" w:hAnsi="宋体" w:cs="宋体"/>
                <w:highlight w:val="none"/>
              </w:rPr>
              <w:t>中标候选人排序方法</w:t>
            </w:r>
          </w:p>
        </w:tc>
        <w:tc>
          <w:tcPr>
            <w:tcW w:w="5531" w:type="dxa"/>
            <w:tcMar>
              <w:left w:w="75" w:type="dxa"/>
            </w:tcMar>
            <w:vAlign w:val="center"/>
          </w:tcPr>
          <w:p>
            <w:pPr>
              <w:widowControl/>
              <w:snapToGrid w:val="0"/>
              <w:spacing w:line="360" w:lineRule="auto"/>
              <w:jc w:val="left"/>
              <w:rPr>
                <w:rFonts w:hAnsi="宋体" w:cs="宋体"/>
                <w:highlight w:val="none"/>
                <w:u w:val="single"/>
              </w:rPr>
            </w:pPr>
            <w:r>
              <w:rPr>
                <w:rFonts w:hint="eastAsia" w:hAnsi="宋体" w:cs="宋体"/>
                <w:highlight w:val="none"/>
                <w:u w:val="single"/>
              </w:rPr>
              <w:t>综合得分相等时，评标委员会应按照以下优先顺序确定中标候选人顺序：</w:t>
            </w:r>
          </w:p>
          <w:p>
            <w:pPr>
              <w:widowControl/>
              <w:snapToGrid w:val="0"/>
              <w:spacing w:line="360" w:lineRule="auto"/>
              <w:jc w:val="left"/>
              <w:rPr>
                <w:rFonts w:hAnsi="宋体" w:cs="宋体"/>
                <w:highlight w:val="none"/>
                <w:u w:val="single"/>
              </w:rPr>
            </w:pPr>
            <w:r>
              <w:rPr>
                <w:rFonts w:hint="eastAsia" w:hAnsi="宋体" w:cs="宋体"/>
                <w:highlight w:val="none"/>
                <w:u w:val="single"/>
              </w:rPr>
              <w:t>（1）商务及技术文件得分高的优先；</w:t>
            </w:r>
          </w:p>
          <w:p>
            <w:pPr>
              <w:widowControl/>
              <w:snapToGrid w:val="0"/>
              <w:spacing w:line="360" w:lineRule="auto"/>
              <w:jc w:val="left"/>
              <w:rPr>
                <w:rFonts w:hAnsi="宋体" w:cs="宋体"/>
                <w:highlight w:val="none"/>
                <w:u w:val="single"/>
              </w:rPr>
            </w:pPr>
            <w:r>
              <w:rPr>
                <w:rFonts w:hint="eastAsia" w:hAnsi="宋体" w:cs="宋体"/>
                <w:highlight w:val="none"/>
                <w:u w:val="single"/>
              </w:rPr>
              <w:t>（2）投标报价低的优先；</w:t>
            </w:r>
          </w:p>
          <w:p>
            <w:pPr>
              <w:widowControl/>
              <w:snapToGrid w:val="0"/>
              <w:spacing w:line="360" w:lineRule="auto"/>
              <w:jc w:val="left"/>
              <w:rPr>
                <w:rFonts w:hAnsi="宋体" w:cs="宋体"/>
                <w:highlight w:val="none"/>
              </w:rPr>
            </w:pPr>
            <w:r>
              <w:rPr>
                <w:rFonts w:hint="eastAsia" w:hAnsi="宋体" w:cs="宋体"/>
                <w:highlight w:val="none"/>
                <w:u w:val="single"/>
              </w:rPr>
              <w:t>（3）由评标委员会根据投标文件投票，按少数服从多数的原则确定中标候选人顺序。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1.3</w:t>
            </w:r>
          </w:p>
        </w:tc>
        <w:tc>
          <w:tcPr>
            <w:tcW w:w="1393" w:type="dxa"/>
            <w:tcMar>
              <w:left w:w="75" w:type="dxa"/>
            </w:tcMar>
            <w:vAlign w:val="center"/>
          </w:tcPr>
          <w:p>
            <w:pPr>
              <w:widowControl/>
              <w:snapToGrid w:val="0"/>
              <w:spacing w:line="360" w:lineRule="auto"/>
              <w:jc w:val="center"/>
              <w:rPr>
                <w:rFonts w:hAnsi="宋体" w:cs="宋体"/>
                <w:highlight w:val="none"/>
              </w:rPr>
            </w:pPr>
            <w:r>
              <w:rPr>
                <w:rFonts w:hint="eastAsia" w:hAnsi="宋体" w:cs="宋体"/>
                <w:highlight w:val="none"/>
              </w:rPr>
              <w:t>推荐中标候选人先后顺序</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1.3</w:t>
            </w:r>
          </w:p>
        </w:tc>
        <w:tc>
          <w:tcPr>
            <w:tcW w:w="1393"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最多可中标段数量</w:t>
            </w:r>
          </w:p>
        </w:tc>
        <w:tc>
          <w:tcPr>
            <w:tcW w:w="5531" w:type="dxa"/>
            <w:tcMar>
              <w:left w:w="75" w:type="dxa"/>
            </w:tcMar>
            <w:vAlign w:val="center"/>
          </w:tcPr>
          <w:p>
            <w:pPr>
              <w:widowControl/>
              <w:spacing w:line="360" w:lineRule="auto"/>
              <w:jc w:val="left"/>
              <w:rPr>
                <w:rFonts w:hAnsi="宋体" w:cs="宋体"/>
                <w:highlight w:val="none"/>
              </w:rPr>
            </w:pPr>
            <w:r>
              <w:rPr>
                <w:rFonts w:hint="eastAsia" w:hAnsi="宋体" w:cs="宋体"/>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keepNext/>
              <w:keepLines/>
              <w:widowControl/>
              <w:spacing w:before="340" w:after="330" w:line="360" w:lineRule="auto"/>
              <w:jc w:val="center"/>
              <w:rPr>
                <w:rFonts w:hAnsi="宋体" w:cs="宋体"/>
                <w:bCs/>
                <w:highlight w:val="none"/>
              </w:rPr>
            </w:pPr>
            <w:r>
              <w:rPr>
                <w:rFonts w:hAnsi="宋体" w:cs="宋体"/>
                <w:szCs w:val="24"/>
                <w:highlight w:val="none"/>
              </w:rPr>
              <w:t>2.1</w:t>
            </w:r>
          </w:p>
        </w:tc>
        <w:tc>
          <w:tcPr>
            <w:tcW w:w="1393" w:type="dxa"/>
            <w:tcMar>
              <w:left w:w="75" w:type="dxa"/>
            </w:tcMar>
            <w:vAlign w:val="center"/>
          </w:tcPr>
          <w:p>
            <w:pPr>
              <w:widowControl/>
              <w:spacing w:line="360" w:lineRule="auto"/>
              <w:jc w:val="center"/>
              <w:rPr>
                <w:rFonts w:hAnsi="宋体" w:cs="宋体"/>
                <w:highlight w:val="none"/>
              </w:rPr>
            </w:pPr>
            <w:r>
              <w:rPr>
                <w:rFonts w:hAnsi="宋体" w:cs="宋体"/>
                <w:szCs w:val="24"/>
                <w:highlight w:val="none"/>
              </w:rPr>
              <w:t>初步评审标准</w:t>
            </w:r>
          </w:p>
        </w:tc>
        <w:tc>
          <w:tcPr>
            <w:tcW w:w="5531" w:type="dxa"/>
            <w:tcMar>
              <w:left w:w="75" w:type="dxa"/>
            </w:tcMar>
            <w:vAlign w:val="center"/>
          </w:tcPr>
          <w:p>
            <w:pPr>
              <w:widowControl/>
              <w:spacing w:line="360" w:lineRule="auto"/>
              <w:jc w:val="left"/>
              <w:rPr>
                <w:rFonts w:hAnsi="宋体" w:cs="宋体"/>
                <w:highlight w:val="none"/>
                <w:u w:val="single"/>
              </w:rPr>
            </w:pPr>
            <w:r>
              <w:rPr>
                <w:rFonts w:hAnsi="宋体" w:cs="宋体"/>
                <w:szCs w:val="24"/>
                <w:highlight w:val="none"/>
              </w:rPr>
              <w:t>见</w:t>
            </w:r>
            <w:r>
              <w:rPr>
                <w:rFonts w:hint="eastAsia" w:hAnsi="宋体" w:cs="宋体"/>
                <w:szCs w:val="24"/>
                <w:highlight w:val="none"/>
              </w:rPr>
              <w:t>“商务及技术文件初步评审标准”表、“报价文件初步评审标准”表。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2.2.1</w:t>
            </w:r>
          </w:p>
        </w:tc>
        <w:tc>
          <w:tcPr>
            <w:tcW w:w="1393" w:type="dxa"/>
            <w:tcMar>
              <w:left w:w="75" w:type="dxa"/>
            </w:tcMar>
            <w:vAlign w:val="center"/>
          </w:tcPr>
          <w:p>
            <w:pPr>
              <w:spacing w:line="360" w:lineRule="auto"/>
              <w:jc w:val="center"/>
              <w:rPr>
                <w:rFonts w:hAnsi="宋体" w:cs="宋体"/>
                <w:highlight w:val="none"/>
              </w:rPr>
            </w:pPr>
            <w:r>
              <w:rPr>
                <w:rFonts w:hint="eastAsia" w:hAnsi="宋体" w:cs="宋体"/>
                <w:highlight w:val="none"/>
              </w:rPr>
              <w:t>分值构成</w:t>
            </w:r>
          </w:p>
          <w:p>
            <w:pPr>
              <w:spacing w:line="360" w:lineRule="auto"/>
              <w:jc w:val="center"/>
              <w:rPr>
                <w:rFonts w:hAnsi="宋体" w:cs="宋体"/>
                <w:highlight w:val="none"/>
              </w:rPr>
            </w:pPr>
            <w:r>
              <w:rPr>
                <w:rFonts w:hint="eastAsia" w:hAnsi="宋体" w:cs="宋体"/>
                <w:highlight w:val="none"/>
              </w:rPr>
              <w:t>（</w:t>
            </w:r>
            <w:r>
              <w:rPr>
                <w:rFonts w:hint="eastAsia" w:hAnsi="宋体" w:cs="宋体"/>
                <w:highlight w:val="none"/>
                <w:u w:val="single"/>
              </w:rPr>
              <w:t xml:space="preserve">100 </w:t>
            </w:r>
            <w:r>
              <w:rPr>
                <w:rFonts w:hint="eastAsia" w:hAnsi="宋体" w:cs="宋体"/>
                <w:highlight w:val="none"/>
              </w:rPr>
              <w:t>分）</w:t>
            </w:r>
          </w:p>
        </w:tc>
        <w:tc>
          <w:tcPr>
            <w:tcW w:w="5531" w:type="dxa"/>
            <w:tcMar>
              <w:left w:w="75" w:type="dxa"/>
            </w:tcMar>
            <w:vAlign w:val="center"/>
          </w:tcPr>
          <w:p>
            <w:pPr>
              <w:spacing w:line="360" w:lineRule="auto"/>
              <w:ind w:firstLine="120" w:firstLineChars="50"/>
              <w:rPr>
                <w:rFonts w:hAnsi="宋体" w:cs="宋体"/>
                <w:szCs w:val="24"/>
                <w:highlight w:val="none"/>
              </w:rPr>
            </w:pPr>
            <w:r>
              <w:rPr>
                <w:rFonts w:hint="eastAsia" w:hAnsi="宋体" w:cs="宋体"/>
                <w:szCs w:val="24"/>
                <w:highlight w:val="none"/>
              </w:rPr>
              <w:t>技术文件：</w:t>
            </w:r>
            <w:r>
              <w:rPr>
                <w:rFonts w:hint="eastAsia" w:hAnsi="宋体" w:cs="宋体"/>
                <w:szCs w:val="24"/>
                <w:highlight w:val="none"/>
                <w:u w:val="single"/>
              </w:rPr>
              <w:t xml:space="preserve"> 23 </w:t>
            </w:r>
            <w:r>
              <w:rPr>
                <w:rFonts w:hint="eastAsia" w:hAnsi="宋体" w:cs="宋体"/>
                <w:szCs w:val="24"/>
                <w:highlight w:val="none"/>
              </w:rPr>
              <w:t>分</w:t>
            </w:r>
          </w:p>
          <w:p>
            <w:pPr>
              <w:spacing w:line="360" w:lineRule="auto"/>
              <w:ind w:firstLine="120" w:firstLineChars="50"/>
              <w:rPr>
                <w:rFonts w:hAnsi="宋体" w:cs="宋体"/>
                <w:szCs w:val="24"/>
                <w:highlight w:val="none"/>
              </w:rPr>
            </w:pPr>
            <w:r>
              <w:rPr>
                <w:rFonts w:hint="eastAsia" w:hAnsi="宋体" w:cs="宋体"/>
                <w:szCs w:val="24"/>
                <w:highlight w:val="none"/>
              </w:rPr>
              <w:t>商务文件：</w:t>
            </w:r>
            <w:r>
              <w:rPr>
                <w:rFonts w:hint="eastAsia" w:hAnsi="宋体" w:cs="宋体"/>
                <w:szCs w:val="24"/>
                <w:highlight w:val="none"/>
                <w:u w:val="single"/>
              </w:rPr>
              <w:t xml:space="preserve"> 47 </w:t>
            </w:r>
            <w:r>
              <w:rPr>
                <w:rFonts w:hint="eastAsia" w:hAnsi="宋体" w:cs="宋体"/>
                <w:szCs w:val="24"/>
                <w:highlight w:val="none"/>
              </w:rPr>
              <w:t>分</w:t>
            </w:r>
          </w:p>
          <w:p>
            <w:pPr>
              <w:spacing w:line="360" w:lineRule="auto"/>
              <w:ind w:firstLine="120" w:firstLineChars="50"/>
              <w:rPr>
                <w:rFonts w:hAnsi="宋体" w:cs="宋体"/>
                <w:highlight w:val="none"/>
              </w:rPr>
            </w:pPr>
            <w:r>
              <w:rPr>
                <w:rFonts w:hint="eastAsia" w:hAnsi="宋体" w:cs="宋体"/>
                <w:szCs w:val="24"/>
                <w:highlight w:val="none"/>
              </w:rPr>
              <w:t>报价文件：</w:t>
            </w:r>
            <w:r>
              <w:rPr>
                <w:rFonts w:hint="eastAsia" w:hAnsi="宋体" w:cs="宋体"/>
                <w:szCs w:val="24"/>
                <w:highlight w:val="none"/>
                <w:u w:val="single"/>
              </w:rPr>
              <w:t xml:space="preserve"> 30 </w:t>
            </w:r>
            <w:r>
              <w:rPr>
                <w:rFonts w:hint="eastAsia" w:hAnsi="宋体" w:cs="宋体"/>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keepNext/>
              <w:keepLines/>
              <w:widowControl/>
              <w:spacing w:before="340" w:after="330" w:line="360" w:lineRule="auto"/>
              <w:jc w:val="center"/>
              <w:rPr>
                <w:rFonts w:hAnsi="宋体" w:cs="宋体"/>
                <w:bCs/>
                <w:highlight w:val="none"/>
              </w:rPr>
            </w:pPr>
            <w:r>
              <w:rPr>
                <w:rFonts w:hAnsi="宋体" w:cs="宋体"/>
                <w:szCs w:val="24"/>
                <w:highlight w:val="none"/>
              </w:rPr>
              <w:t>2.2</w:t>
            </w:r>
            <w:r>
              <w:rPr>
                <w:rFonts w:hint="eastAsia" w:hAnsi="宋体" w:cs="宋体"/>
                <w:szCs w:val="24"/>
                <w:highlight w:val="none"/>
              </w:rPr>
              <w:t>.2</w:t>
            </w:r>
          </w:p>
        </w:tc>
        <w:tc>
          <w:tcPr>
            <w:tcW w:w="1393" w:type="dxa"/>
            <w:tcMar>
              <w:left w:w="75" w:type="dxa"/>
            </w:tcMar>
            <w:vAlign w:val="center"/>
          </w:tcPr>
          <w:p>
            <w:pPr>
              <w:widowControl/>
              <w:spacing w:line="360" w:lineRule="auto"/>
              <w:jc w:val="center"/>
              <w:rPr>
                <w:rFonts w:hAnsi="宋体" w:cs="宋体"/>
                <w:highlight w:val="none"/>
              </w:rPr>
            </w:pPr>
            <w:r>
              <w:rPr>
                <w:rFonts w:hint="eastAsia" w:hAnsi="宋体" w:cs="宋体"/>
                <w:szCs w:val="24"/>
                <w:highlight w:val="none"/>
              </w:rPr>
              <w:t>评分</w:t>
            </w:r>
            <w:r>
              <w:rPr>
                <w:rFonts w:hAnsi="宋体" w:cs="宋体"/>
                <w:szCs w:val="24"/>
                <w:highlight w:val="none"/>
              </w:rPr>
              <w:t>标准</w:t>
            </w:r>
          </w:p>
        </w:tc>
        <w:tc>
          <w:tcPr>
            <w:tcW w:w="5531" w:type="dxa"/>
            <w:tcMar>
              <w:left w:w="75" w:type="dxa"/>
            </w:tcMar>
            <w:vAlign w:val="center"/>
          </w:tcPr>
          <w:p>
            <w:pPr>
              <w:widowControl/>
              <w:spacing w:line="360" w:lineRule="auto"/>
              <w:jc w:val="left"/>
              <w:rPr>
                <w:rFonts w:hAnsi="宋体" w:cs="宋体"/>
                <w:highlight w:val="none"/>
                <w:u w:val="single"/>
              </w:rPr>
            </w:pPr>
            <w:r>
              <w:rPr>
                <w:rFonts w:hAnsi="宋体" w:cs="宋体"/>
                <w:szCs w:val="24"/>
                <w:highlight w:val="none"/>
              </w:rPr>
              <w:t>见</w:t>
            </w:r>
            <w:r>
              <w:rPr>
                <w:rFonts w:hint="eastAsia" w:hAnsi="宋体" w:cs="宋体"/>
                <w:szCs w:val="24"/>
                <w:highlight w:val="none"/>
              </w:rPr>
              <w:t>“商务、技术及报价文件详细评审标准”表。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3.2.2（1）</w:t>
            </w:r>
          </w:p>
        </w:tc>
        <w:tc>
          <w:tcPr>
            <w:tcW w:w="1393" w:type="dxa"/>
            <w:tcMar>
              <w:left w:w="75" w:type="dxa"/>
            </w:tcMar>
            <w:vAlign w:val="center"/>
          </w:tcPr>
          <w:p>
            <w:pPr>
              <w:snapToGrid w:val="0"/>
              <w:spacing w:line="360" w:lineRule="auto"/>
              <w:jc w:val="center"/>
              <w:rPr>
                <w:rFonts w:hAnsi="宋体" w:cs="宋体"/>
                <w:highlight w:val="none"/>
              </w:rPr>
            </w:pPr>
            <w:r>
              <w:rPr>
                <w:rFonts w:hint="eastAsia" w:hAnsi="宋体" w:cs="宋体"/>
                <w:highlight w:val="none"/>
              </w:rPr>
              <w:t>技术文件详细评审得分计算规则</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3.7.2</w:t>
            </w:r>
          </w:p>
        </w:tc>
        <w:tc>
          <w:tcPr>
            <w:tcW w:w="1393" w:type="dxa"/>
            <w:tcMar>
              <w:left w:w="75" w:type="dxa"/>
            </w:tcMar>
            <w:vAlign w:val="center"/>
          </w:tcPr>
          <w:p>
            <w:pPr>
              <w:snapToGrid w:val="0"/>
              <w:spacing w:line="360" w:lineRule="auto"/>
              <w:jc w:val="center"/>
              <w:rPr>
                <w:rFonts w:hAnsi="宋体" w:cs="宋体"/>
                <w:highlight w:val="none"/>
              </w:rPr>
            </w:pPr>
            <w:r>
              <w:rPr>
                <w:rFonts w:hint="eastAsia" w:hAnsi="宋体" w:cs="宋体"/>
                <w:highlight w:val="none"/>
              </w:rPr>
              <w:t>否决投标的其他情形</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rPr>
              <w:t>见附件2。</w:t>
            </w:r>
          </w:p>
        </w:tc>
      </w:tr>
    </w:tbl>
    <w:p>
      <w:pPr>
        <w:spacing w:beforeLines="100" w:afterLines="100"/>
        <w:jc w:val="center"/>
        <w:outlineLvl w:val="1"/>
        <w:rPr>
          <w:rFonts w:ascii="Times New Roman" w:eastAsia="黑体"/>
          <w:sz w:val="32"/>
          <w:szCs w:val="32"/>
          <w:highlight w:val="none"/>
        </w:rPr>
      </w:pPr>
      <w:r>
        <w:rPr>
          <w:rFonts w:hint="eastAsia" w:ascii="Times New Roman" w:eastAsia="黑体"/>
          <w:sz w:val="32"/>
          <w:szCs w:val="32"/>
          <w:highlight w:val="none"/>
        </w:rPr>
        <w:br w:type="page"/>
      </w:r>
      <w:bookmarkStart w:id="383" w:name="_Toc140069420"/>
      <w:bookmarkStart w:id="384" w:name="_Toc8614"/>
      <w:r>
        <w:rPr>
          <w:rFonts w:hint="eastAsia" w:eastAsia="黑体" w:cs="宋体"/>
          <w:sz w:val="32"/>
          <w:szCs w:val="32"/>
          <w:highlight w:val="none"/>
        </w:rPr>
        <w:t>商务及技术文件初步评审标准</w:t>
      </w:r>
      <w:bookmarkEnd w:id="383"/>
      <w:bookmarkEnd w:id="384"/>
    </w:p>
    <w:tbl>
      <w:tblPr>
        <w:tblStyle w:val="52"/>
        <w:tblW w:w="5031"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808"/>
        <w:gridCol w:w="1389"/>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2" w:type="dxa"/>
            <w:gridSpan w:val="2"/>
            <w:vAlign w:val="center"/>
          </w:tcPr>
          <w:p>
            <w:pPr>
              <w:widowControl/>
              <w:spacing w:line="360" w:lineRule="auto"/>
              <w:jc w:val="center"/>
              <w:rPr>
                <w:rFonts w:hAnsi="宋体" w:cs="宋体"/>
                <w:bCs/>
                <w:highlight w:val="none"/>
              </w:rPr>
            </w:pPr>
            <w:r>
              <w:rPr>
                <w:rFonts w:hint="eastAsia" w:hAnsi="宋体" w:cs="宋体"/>
                <w:bCs/>
                <w:highlight w:val="none"/>
              </w:rPr>
              <w:t>条款号</w:t>
            </w:r>
          </w:p>
        </w:tc>
        <w:tc>
          <w:tcPr>
            <w:tcW w:w="1389" w:type="dxa"/>
            <w:vAlign w:val="center"/>
          </w:tcPr>
          <w:p>
            <w:pPr>
              <w:widowControl/>
              <w:spacing w:line="360" w:lineRule="auto"/>
              <w:ind w:firstLine="120" w:firstLineChars="50"/>
              <w:jc w:val="center"/>
              <w:rPr>
                <w:rFonts w:hAnsi="宋体" w:cs="宋体"/>
                <w:bCs/>
                <w:highlight w:val="none"/>
              </w:rPr>
            </w:pPr>
            <w:r>
              <w:rPr>
                <w:rFonts w:hint="eastAsia" w:hAnsi="宋体" w:cs="宋体"/>
                <w:bCs/>
                <w:highlight w:val="none"/>
              </w:rPr>
              <w:t>评审因素</w:t>
            </w:r>
          </w:p>
        </w:tc>
        <w:tc>
          <w:tcPr>
            <w:tcW w:w="5518" w:type="dxa"/>
            <w:vAlign w:val="center"/>
          </w:tcPr>
          <w:p>
            <w:pPr>
              <w:widowControl/>
              <w:spacing w:line="360" w:lineRule="auto"/>
              <w:ind w:firstLine="120" w:firstLineChars="50"/>
              <w:jc w:val="center"/>
              <w:rPr>
                <w:rFonts w:hAnsi="宋体" w:cs="宋体"/>
                <w:bCs/>
                <w:highlight w:val="none"/>
              </w:rPr>
            </w:pPr>
            <w:r>
              <w:rPr>
                <w:rFonts w:hint="eastAsia" w:hAnsi="宋体" w:cs="宋体"/>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2.1.1</w:t>
            </w:r>
          </w:p>
        </w:tc>
        <w:tc>
          <w:tcPr>
            <w:tcW w:w="808"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形式评审标准</w:t>
            </w: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投标人名称</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签字盖章</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投标文件格式</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符合第六章“投标文件格式”的规定</w:t>
            </w:r>
            <w:r>
              <w:rPr>
                <w:rFonts w:hint="eastAsia" w:hAnsi="宋体" w:cs="宋体"/>
                <w:szCs w:val="24"/>
                <w:highlight w:val="none"/>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联合体投标人（如有）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备选投标方案</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未出现异常情形</w:t>
            </w:r>
          </w:p>
        </w:tc>
        <w:tc>
          <w:tcPr>
            <w:tcW w:w="5518" w:type="dxa"/>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不同投标人未出现使用相同的投标文件制作机器码进行投标的情形。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未出现投标报价</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商务及技术文件中未出现有关投标报价的内容。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2.1.2</w:t>
            </w:r>
          </w:p>
        </w:tc>
        <w:tc>
          <w:tcPr>
            <w:tcW w:w="808" w:type="dxa"/>
            <w:vMerge w:val="restart"/>
            <w:vAlign w:val="center"/>
          </w:tcPr>
          <w:p>
            <w:pPr>
              <w:widowControl/>
              <w:spacing w:line="360" w:lineRule="auto"/>
              <w:jc w:val="center"/>
              <w:rPr>
                <w:rFonts w:hAnsi="宋体" w:cs="宋体"/>
                <w:highlight w:val="none"/>
              </w:rPr>
            </w:pPr>
            <w:r>
              <w:rPr>
                <w:rFonts w:hint="eastAsia" w:hAnsi="宋体" w:cs="宋体"/>
                <w:bCs/>
                <w:highlight w:val="none"/>
              </w:rPr>
              <w:t>资格评审标准</w:t>
            </w: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营业执照</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符合第二章“投标人须知”第3.5.1项规定，具备有效的营业执照，如为联合体投标，联合体各方均须提供。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资质要求</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项目负责人资格要求</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投标货物制造商的资质要求（如有）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p>
            <w:pPr>
              <w:spacing w:line="360" w:lineRule="auto"/>
              <w:rPr>
                <w:rFonts w:hAnsi="宋体" w:cs="宋体"/>
                <w:highlight w:val="none"/>
              </w:rPr>
            </w:pPr>
            <w:r>
              <w:rPr>
                <w:rFonts w:hint="eastAsia" w:hAnsi="宋体" w:cs="宋体"/>
                <w:highlight w:val="none"/>
              </w:rPr>
              <w:t>具备有效的生产/制造许可证（如要求）。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财务要求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投标人业绩要求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项目负责人业绩要求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投标货物的业绩要求（如有）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信誉要求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其他要求</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联合体投标人</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不存在禁止投标的情形</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不存在第二章“投标人须知”第1.4.3项或第1.4.4项规定的任何一种情形。</w:t>
            </w:r>
            <w:r>
              <w:rPr>
                <w:rFonts w:hint="eastAsia" w:hAnsi="宋体" w:cs="宋体"/>
                <w:bCs/>
                <w:szCs w:val="24"/>
                <w:highlight w:val="none"/>
              </w:rPr>
              <w:t>投标人</w:t>
            </w:r>
            <w:r>
              <w:rPr>
                <w:rFonts w:hint="eastAsia" w:hAnsi="宋体"/>
                <w:bCs/>
                <w:snapToGrid w:val="0"/>
                <w:szCs w:val="24"/>
                <w:highlight w:val="none"/>
              </w:rPr>
              <w:t>应按照</w:t>
            </w:r>
            <w:r>
              <w:rPr>
                <w:rFonts w:hint="eastAsia" w:hAnsi="宋体" w:cs="宋体"/>
                <w:bCs/>
                <w:szCs w:val="24"/>
                <w:highlight w:val="none"/>
              </w:rPr>
              <w:t>第六章“投标文件格式”的“诚信投标承诺书”承诺。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highlight w:val="none"/>
              </w:rPr>
            </w:pPr>
            <w:r>
              <w:rPr>
                <w:rFonts w:hint="eastAsia" w:hAnsi="宋体" w:cs="宋体"/>
                <w:highlight w:val="none"/>
              </w:rPr>
              <w:t>2.1.3</w:t>
            </w:r>
          </w:p>
        </w:tc>
        <w:tc>
          <w:tcPr>
            <w:tcW w:w="808" w:type="dxa"/>
            <w:vMerge w:val="restart"/>
            <w:vAlign w:val="center"/>
          </w:tcPr>
          <w:p>
            <w:pPr>
              <w:widowControl/>
              <w:spacing w:line="360" w:lineRule="auto"/>
              <w:jc w:val="center"/>
              <w:rPr>
                <w:rFonts w:hAnsi="宋体" w:cs="宋体"/>
                <w:highlight w:val="none"/>
              </w:rPr>
            </w:pPr>
            <w:r>
              <w:rPr>
                <w:rFonts w:hint="eastAsia" w:hAnsi="宋体" w:cs="宋体"/>
                <w:bCs/>
                <w:highlight w:val="none"/>
              </w:rPr>
              <w:t>响应性评审标准</w:t>
            </w: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投标内容</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交货及安装周期</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交货及安装地点</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技术性能指标</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投标有效期</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投标保证金</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符合第二章“投标人须知”第3.4.1项规定（符合免缴投标保证金的须满足免缴条件且须进行相应承诺）。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投标货物及技术服务和质保期服务</w:t>
            </w:r>
          </w:p>
        </w:tc>
        <w:tc>
          <w:tcPr>
            <w:tcW w:w="5518" w:type="dxa"/>
            <w:tcMar>
              <w:left w:w="75" w:type="dxa"/>
            </w:tcMar>
            <w:vAlign w:val="center"/>
          </w:tcPr>
          <w:p>
            <w:pPr>
              <w:widowControl/>
              <w:spacing w:line="360" w:lineRule="auto"/>
              <w:rPr>
                <w:rFonts w:hAnsi="宋体" w:cs="宋体"/>
                <w:highlight w:val="none"/>
              </w:rPr>
            </w:pPr>
            <w:r>
              <w:rPr>
                <w:rFonts w:hint="eastAsia" w:hAnsi="宋体" w:cs="宋体"/>
                <w:highlight w:val="none"/>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技术支持资料</w:t>
            </w:r>
          </w:p>
        </w:tc>
        <w:tc>
          <w:tcPr>
            <w:tcW w:w="5518" w:type="dxa"/>
            <w:tcMar>
              <w:left w:w="75" w:type="dxa"/>
            </w:tcMar>
            <w:vAlign w:val="center"/>
          </w:tcPr>
          <w:p>
            <w:pPr>
              <w:widowControl/>
              <w:spacing w:line="360" w:lineRule="auto"/>
              <w:rPr>
                <w:rFonts w:hAnsi="宋体" w:cs="宋体"/>
                <w:highlight w:val="none"/>
              </w:rPr>
            </w:pPr>
            <w:r>
              <w:rPr>
                <w:rFonts w:hint="eastAsia" w:hAnsi="宋体" w:cs="宋体"/>
                <w:highlight w:val="none"/>
              </w:rPr>
              <w:t>符合第二章“投标人须知”第1.12.3项规定。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其他实质性要求</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符合招标文件的其他实质性要求和条件。</w:t>
            </w:r>
          </w:p>
        </w:tc>
      </w:tr>
    </w:tbl>
    <w:p>
      <w:pPr>
        <w:widowControl/>
        <w:adjustRightInd w:val="0"/>
        <w:snapToGrid w:val="0"/>
        <w:spacing w:line="360" w:lineRule="auto"/>
        <w:ind w:firstLine="480" w:firstLineChars="200"/>
        <w:jc w:val="left"/>
        <w:rPr>
          <w:rFonts w:ascii="Times New Roman" w:cs="宋体"/>
          <w:szCs w:val="24"/>
          <w:highlight w:val="none"/>
        </w:rPr>
      </w:pPr>
      <w:r>
        <w:rPr>
          <w:rFonts w:hint="eastAsia" w:ascii="Times New Roman" w:cs="宋体"/>
          <w:szCs w:val="24"/>
          <w:highlight w:val="none"/>
        </w:rPr>
        <w:t>注：</w:t>
      </w:r>
    </w:p>
    <w:p>
      <w:pPr>
        <w:widowControl/>
        <w:adjustRightInd w:val="0"/>
        <w:snapToGrid w:val="0"/>
        <w:spacing w:line="360" w:lineRule="auto"/>
        <w:ind w:firstLine="480" w:firstLineChars="200"/>
        <w:jc w:val="left"/>
        <w:rPr>
          <w:rFonts w:ascii="Times New Roman" w:cs="宋体"/>
          <w:szCs w:val="24"/>
          <w:highlight w:val="none"/>
        </w:rPr>
      </w:pPr>
      <w:r>
        <w:rPr>
          <w:rFonts w:hint="eastAsia" w:ascii="Times New Roman" w:cs="宋体"/>
          <w:szCs w:val="24"/>
          <w:highlight w:val="none"/>
        </w:rPr>
        <w:t>1.评审因素“投标人业绩”和“项目负责人业绩”，投标人应按照第六章“投标文件格式”的要求填写相应表格，并附相应业绩证明材料。</w:t>
      </w:r>
    </w:p>
    <w:p>
      <w:pPr>
        <w:widowControl/>
        <w:adjustRightInd w:val="0"/>
        <w:snapToGrid w:val="0"/>
        <w:spacing w:line="360" w:lineRule="auto"/>
        <w:ind w:firstLine="480" w:firstLineChars="200"/>
        <w:jc w:val="center"/>
        <w:rPr>
          <w:rFonts w:ascii="Times New Roman" w:eastAsia="黑体"/>
          <w:sz w:val="32"/>
          <w:szCs w:val="32"/>
          <w:highlight w:val="none"/>
        </w:rPr>
      </w:pPr>
      <w:r>
        <w:rPr>
          <w:rFonts w:hint="eastAsia" w:ascii="Times New Roman" w:cs="宋体"/>
          <w:szCs w:val="24"/>
          <w:highlight w:val="none"/>
        </w:rPr>
        <w:t>2.评标委员会应按照第六章“投标文件格式”中“投标人业绩情况表（资格审查）”“项目负责人业绩情况表（资格审查）”列明的业绩序号先后顺序依次进行评审，且仅评审“附录3  资格审查条件（业绩最低要求）”“附录5  资格审查条件（项目负责人最低要求）”规定数量的业绩，超出规定数量部分或未在表中列明的业绩均不作为资格审查投标人业绩（或项目负责人业绩）予以评审。</w:t>
      </w:r>
      <w:r>
        <w:rPr>
          <w:rFonts w:hint="eastAsia" w:ascii="Times New Roman" w:eastAsia="黑体"/>
          <w:sz w:val="32"/>
          <w:szCs w:val="32"/>
          <w:highlight w:val="none"/>
        </w:rPr>
        <w:br w:type="page"/>
      </w:r>
      <w:bookmarkStart w:id="385" w:name="_Toc24609"/>
      <w:r>
        <w:rPr>
          <w:rFonts w:hint="eastAsia" w:eastAsia="黑体" w:cs="宋体"/>
          <w:sz w:val="32"/>
          <w:szCs w:val="32"/>
          <w:highlight w:val="none"/>
        </w:rPr>
        <w:t>报价文件初步评审标准</w:t>
      </w:r>
      <w:bookmarkEnd w:id="385"/>
    </w:p>
    <w:tbl>
      <w:tblPr>
        <w:tblStyle w:val="52"/>
        <w:tblW w:w="5029" w:type="pct"/>
        <w:tblInd w:w="1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19"/>
        <w:gridCol w:w="897"/>
        <w:gridCol w:w="2107"/>
        <w:gridCol w:w="484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1414"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r>
              <w:rPr>
                <w:rFonts w:hint="eastAsia" w:hAnsi="宋体" w:cs="宋体"/>
                <w:bCs/>
                <w:highlight w:val="none"/>
              </w:rPr>
              <w:t>条款号</w:t>
            </w:r>
          </w:p>
        </w:tc>
        <w:tc>
          <w:tcPr>
            <w:tcW w:w="2103" w:type="dxa"/>
            <w:tcBorders>
              <w:top w:val="outset" w:color="auto" w:sz="6" w:space="0"/>
              <w:left w:val="single" w:color="auto" w:sz="4" w:space="0"/>
              <w:bottom w:val="outset" w:color="auto" w:sz="6" w:space="0"/>
              <w:right w:val="single" w:color="auto" w:sz="4" w:space="0"/>
            </w:tcBorders>
            <w:vAlign w:val="center"/>
          </w:tcPr>
          <w:p>
            <w:pPr>
              <w:widowControl/>
              <w:spacing w:line="360" w:lineRule="auto"/>
              <w:ind w:firstLine="120" w:firstLineChars="50"/>
              <w:jc w:val="center"/>
              <w:rPr>
                <w:rFonts w:hAnsi="宋体" w:cs="宋体"/>
                <w:highlight w:val="none"/>
              </w:rPr>
            </w:pPr>
            <w:r>
              <w:rPr>
                <w:rFonts w:hint="eastAsia" w:hAnsi="宋体" w:cs="宋体"/>
                <w:bCs/>
                <w:highlight w:val="none"/>
              </w:rPr>
              <w:t>评审因素</w:t>
            </w:r>
          </w:p>
        </w:tc>
        <w:tc>
          <w:tcPr>
            <w:tcW w:w="4832" w:type="dxa"/>
            <w:tcBorders>
              <w:top w:val="outset" w:color="auto" w:sz="6" w:space="0"/>
              <w:left w:val="single" w:color="auto" w:sz="4" w:space="0"/>
              <w:bottom w:val="outset" w:color="auto" w:sz="6" w:space="0"/>
              <w:right w:val="outset" w:color="auto" w:sz="6" w:space="0"/>
            </w:tcBorders>
            <w:vAlign w:val="center"/>
          </w:tcPr>
          <w:p>
            <w:pPr>
              <w:widowControl/>
              <w:spacing w:line="360" w:lineRule="auto"/>
              <w:ind w:firstLine="120" w:firstLineChars="50"/>
              <w:jc w:val="center"/>
              <w:rPr>
                <w:rFonts w:hAnsi="宋体" w:cs="宋体"/>
                <w:highlight w:val="none"/>
              </w:rPr>
            </w:pPr>
            <w:r>
              <w:rPr>
                <w:rFonts w:hint="eastAsia" w:hAnsi="宋体" w:cs="宋体"/>
                <w:bCs/>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Ansi="宋体" w:cs="宋体"/>
                <w:highlight w:val="none"/>
              </w:rPr>
            </w:pPr>
            <w:r>
              <w:rPr>
                <w:rFonts w:hint="eastAsia" w:hAnsi="宋体" w:cs="宋体"/>
                <w:bCs/>
                <w:highlight w:val="none"/>
              </w:rPr>
              <w:t>2.1.1</w:t>
            </w:r>
          </w:p>
        </w:tc>
        <w:tc>
          <w:tcPr>
            <w:tcW w:w="895" w:type="dxa"/>
            <w:vMerge w:val="restart"/>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r>
              <w:rPr>
                <w:rFonts w:hint="eastAsia" w:hAnsi="宋体" w:cs="宋体"/>
                <w:bCs/>
                <w:highlight w:val="none"/>
              </w:rPr>
              <w:t>形式评审标准</w:t>
            </w: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spacing w:line="360" w:lineRule="auto"/>
              <w:jc w:val="center"/>
              <w:rPr>
                <w:rFonts w:hAnsi="宋体" w:cs="宋体"/>
                <w:highlight w:val="none"/>
              </w:rPr>
            </w:pPr>
            <w:r>
              <w:rPr>
                <w:rFonts w:hint="eastAsia" w:hAnsi="宋体" w:cs="宋体"/>
                <w:highlight w:val="none"/>
              </w:rPr>
              <w:t>投标人名称</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spacing w:line="360" w:lineRule="auto"/>
              <w:rPr>
                <w:rFonts w:hAnsi="宋体" w:cs="宋体"/>
                <w:highlight w:val="none"/>
              </w:rPr>
            </w:pPr>
            <w:r>
              <w:rPr>
                <w:rFonts w:hint="eastAsia" w:hAnsi="宋体" w:cs="宋体"/>
                <w:highlight w:val="none"/>
              </w:rPr>
              <w:t>与营业执照、资质证书一致。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投标文件格式</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（1）报价文件电子文件可以正常读取；</w:t>
            </w:r>
          </w:p>
          <w:p>
            <w:pPr>
              <w:widowControl/>
              <w:spacing w:line="360" w:lineRule="auto"/>
              <w:jc w:val="left"/>
              <w:rPr>
                <w:rFonts w:hAnsi="宋体" w:cs="宋体"/>
                <w:highlight w:val="none"/>
              </w:rPr>
            </w:pPr>
            <w:r>
              <w:rPr>
                <w:rFonts w:hint="eastAsia" w:hAnsi="宋体" w:cs="宋体"/>
                <w:highlight w:val="none"/>
              </w:rPr>
              <w:t>（2）符合第六章“投标文件格式”的规定，关键字迹清晰可辨。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备选投标方案</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签字盖章</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符合第二章“投标人须知”第3.7.3项规定。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未出现异常情形</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不同投标人未出现使用相同的投标文件制作机器码进行投标的情形。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restart"/>
            <w:tcBorders>
              <w:top w:val="single" w:color="auto" w:sz="4" w:space="0"/>
              <w:left w:val="outset" w:color="auto" w:sz="6" w:space="0"/>
              <w:bottom w:val="outset" w:color="auto" w:sz="6" w:space="0"/>
              <w:right w:val="outset" w:color="auto" w:sz="6" w:space="0"/>
            </w:tcBorders>
            <w:vAlign w:val="center"/>
          </w:tcPr>
          <w:p>
            <w:pPr>
              <w:spacing w:line="360" w:lineRule="auto"/>
              <w:jc w:val="center"/>
              <w:rPr>
                <w:rFonts w:hAnsi="宋体" w:cs="宋体"/>
                <w:highlight w:val="none"/>
              </w:rPr>
            </w:pPr>
            <w:r>
              <w:rPr>
                <w:rFonts w:hint="eastAsia" w:hAnsi="宋体" w:cs="宋体"/>
                <w:bCs/>
                <w:highlight w:val="none"/>
              </w:rPr>
              <w:t>2.1.3</w:t>
            </w:r>
          </w:p>
        </w:tc>
        <w:tc>
          <w:tcPr>
            <w:tcW w:w="895" w:type="dxa"/>
            <w:vMerge w:val="restart"/>
            <w:tcBorders>
              <w:top w:val="single" w:color="auto" w:sz="4" w:space="0"/>
              <w:left w:val="outset" w:color="auto" w:sz="6" w:space="0"/>
              <w:bottom w:val="outset" w:color="auto" w:sz="6" w:space="0"/>
              <w:right w:val="single" w:color="auto" w:sz="4" w:space="0"/>
            </w:tcBorders>
            <w:vAlign w:val="center"/>
          </w:tcPr>
          <w:p>
            <w:pPr>
              <w:spacing w:line="360" w:lineRule="auto"/>
              <w:jc w:val="center"/>
              <w:rPr>
                <w:rFonts w:hAnsi="宋体" w:cs="宋体"/>
                <w:highlight w:val="none"/>
              </w:rPr>
            </w:pPr>
            <w:r>
              <w:rPr>
                <w:rFonts w:hint="eastAsia" w:hAnsi="宋体" w:cs="宋体"/>
                <w:bCs/>
                <w:highlight w:val="none"/>
              </w:rPr>
              <w:t>响应性评审标准</w:t>
            </w:r>
          </w:p>
        </w:tc>
        <w:tc>
          <w:tcPr>
            <w:tcW w:w="2103" w:type="dxa"/>
            <w:tcBorders>
              <w:top w:val="single" w:color="auto" w:sz="4"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投标内容</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single" w:color="auto" w:sz="4" w:space="0"/>
              <w:left w:val="outset" w:color="auto" w:sz="6" w:space="0"/>
              <w:bottom w:val="outset" w:color="auto" w:sz="6" w:space="0"/>
              <w:right w:val="outset" w:color="auto" w:sz="6" w:space="0"/>
            </w:tcBorders>
            <w:vAlign w:val="center"/>
          </w:tcPr>
          <w:p>
            <w:pPr>
              <w:spacing w:line="360" w:lineRule="auto"/>
              <w:jc w:val="center"/>
              <w:rPr>
                <w:rFonts w:hAnsi="宋体" w:cs="宋体"/>
                <w:bCs/>
                <w:highlight w:val="none"/>
              </w:rPr>
            </w:pPr>
          </w:p>
        </w:tc>
        <w:tc>
          <w:tcPr>
            <w:tcW w:w="895" w:type="dxa"/>
            <w:vMerge w:val="continue"/>
            <w:tcBorders>
              <w:top w:val="single" w:color="auto" w:sz="4" w:space="0"/>
              <w:left w:val="outset" w:color="auto" w:sz="6" w:space="0"/>
              <w:bottom w:val="outset" w:color="auto" w:sz="6" w:space="0"/>
              <w:right w:val="single" w:color="auto" w:sz="4" w:space="0"/>
            </w:tcBorders>
            <w:vAlign w:val="center"/>
          </w:tcPr>
          <w:p>
            <w:pPr>
              <w:spacing w:line="360" w:lineRule="auto"/>
              <w:jc w:val="center"/>
              <w:rPr>
                <w:rFonts w:hAnsi="宋体" w:cs="宋体"/>
                <w:bCs/>
                <w:highlight w:val="none"/>
              </w:rPr>
            </w:pPr>
          </w:p>
        </w:tc>
        <w:tc>
          <w:tcPr>
            <w:tcW w:w="2103" w:type="dxa"/>
            <w:tcBorders>
              <w:top w:val="single" w:color="auto" w:sz="4" w:space="0"/>
              <w:left w:val="single" w:color="auto" w:sz="4" w:space="0"/>
              <w:bottom w:val="outset" w:color="auto" w:sz="6" w:space="0"/>
              <w:right w:val="outset" w:color="auto" w:sz="6" w:space="0"/>
            </w:tcBorders>
            <w:tcMar>
              <w:left w:w="75" w:type="dxa"/>
            </w:tcMar>
            <w:vAlign w:val="center"/>
          </w:tcPr>
          <w:p>
            <w:pPr>
              <w:spacing w:line="360" w:lineRule="auto"/>
              <w:jc w:val="center"/>
              <w:rPr>
                <w:rFonts w:hAnsi="宋体" w:cs="宋体"/>
                <w:highlight w:val="none"/>
              </w:rPr>
            </w:pPr>
            <w:r>
              <w:rPr>
                <w:rFonts w:hint="eastAsia" w:hAnsi="宋体" w:cs="宋体"/>
                <w:highlight w:val="none"/>
              </w:rPr>
              <w:t>投标报价</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left"/>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ind w:left="-65" w:leftChars="-27"/>
              <w:jc w:val="center"/>
              <w:rPr>
                <w:rFonts w:hAnsi="宋体" w:cs="宋体"/>
                <w:highlight w:val="none"/>
              </w:rPr>
            </w:pPr>
            <w:r>
              <w:rPr>
                <w:rFonts w:hint="eastAsia" w:hAnsi="宋体" w:cs="宋体"/>
                <w:highlight w:val="none"/>
              </w:rPr>
              <w:t>其他情形</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szCs w:val="24"/>
                <w:highlight w:val="none"/>
              </w:rPr>
            </w:pPr>
            <w:r>
              <w:rPr>
                <w:rFonts w:hint="eastAsia" w:hAnsi="宋体" w:cs="宋体"/>
                <w:szCs w:val="24"/>
                <w:highlight w:val="none"/>
              </w:rPr>
              <w:t>（1）投标文件中不得存在招标人不能接受的其他实质性条件；</w:t>
            </w:r>
          </w:p>
          <w:p>
            <w:pPr>
              <w:widowControl/>
              <w:spacing w:line="360" w:lineRule="auto"/>
              <w:jc w:val="left"/>
              <w:rPr>
                <w:rFonts w:hAnsi="宋体" w:cs="宋体"/>
                <w:highlight w:val="none"/>
              </w:rPr>
            </w:pPr>
            <w:r>
              <w:rPr>
                <w:rFonts w:hint="eastAsia" w:hAnsi="宋体" w:cs="宋体"/>
                <w:szCs w:val="24"/>
                <w:highlight w:val="none"/>
              </w:rPr>
              <w:t>（2）法律、法规规定的其他情形。</w:t>
            </w:r>
          </w:p>
        </w:tc>
      </w:tr>
    </w:tbl>
    <w:p>
      <w:pPr>
        <w:spacing w:beforeLines="100" w:afterLines="100"/>
        <w:jc w:val="center"/>
        <w:outlineLvl w:val="1"/>
        <w:rPr>
          <w:rFonts w:ascii="Times New Roman" w:eastAsia="黑体"/>
          <w:sz w:val="32"/>
          <w:szCs w:val="32"/>
          <w:highlight w:val="none"/>
        </w:rPr>
      </w:pPr>
      <w:r>
        <w:rPr>
          <w:rFonts w:hint="eastAsia" w:ascii="Times New Roman" w:eastAsia="黑体"/>
          <w:sz w:val="32"/>
          <w:szCs w:val="32"/>
          <w:highlight w:val="none"/>
        </w:rPr>
        <w:br w:type="page"/>
      </w:r>
      <w:bookmarkStart w:id="386" w:name="_Toc140069421"/>
      <w:bookmarkStart w:id="387" w:name="_Toc32506"/>
      <w:r>
        <w:rPr>
          <w:rFonts w:hint="eastAsia" w:eastAsia="黑体" w:cs="宋体"/>
          <w:sz w:val="32"/>
          <w:szCs w:val="32"/>
          <w:highlight w:val="none"/>
        </w:rPr>
        <w:t>商务、技术及报价文件详细评审标准</w:t>
      </w:r>
      <w:bookmarkEnd w:id="386"/>
      <w:bookmarkEnd w:id="387"/>
    </w:p>
    <w:tbl>
      <w:tblPr>
        <w:tblStyle w:val="52"/>
        <w:tblW w:w="5048"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2"/>
        <w:gridCol w:w="967"/>
        <w:gridCol w:w="1266"/>
        <w:gridCol w:w="77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37" w:type="dxa"/>
            <w:gridSpan w:val="2"/>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 xml:space="preserve"> 条款号</w:t>
            </w:r>
          </w:p>
        </w:tc>
        <w:tc>
          <w:tcPr>
            <w:tcW w:w="1264" w:type="dxa"/>
            <w:noWrap w:val="0"/>
            <w:tcMar>
              <w:left w:w="75" w:type="dxa"/>
            </w:tcMar>
            <w:vAlign w:val="center"/>
          </w:tcPr>
          <w:p>
            <w:pPr>
              <w:snapToGrid w:val="0"/>
              <w:spacing w:line="360" w:lineRule="auto"/>
              <w:jc w:val="center"/>
              <w:rPr>
                <w:rFonts w:hint="eastAsia" w:hAnsi="宋体" w:cs="宋体"/>
                <w:b/>
                <w:bCs/>
                <w:highlight w:val="none"/>
              </w:rPr>
            </w:pPr>
            <w:r>
              <w:rPr>
                <w:rFonts w:hint="eastAsia" w:hAnsi="宋体" w:cs="宋体"/>
                <w:b/>
                <w:bCs/>
                <w:highlight w:val="none"/>
              </w:rPr>
              <w:t>评审因素</w:t>
            </w:r>
          </w:p>
        </w:tc>
        <w:tc>
          <w:tcPr>
            <w:tcW w:w="777" w:type="dxa"/>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分值</w:t>
            </w:r>
          </w:p>
        </w:tc>
        <w:tc>
          <w:tcPr>
            <w:tcW w:w="4602" w:type="dxa"/>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3" w:hRule="atLeast"/>
        </w:trPr>
        <w:tc>
          <w:tcPr>
            <w:tcW w:w="771"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2.2.2（1）</w:t>
            </w:r>
          </w:p>
        </w:tc>
        <w:tc>
          <w:tcPr>
            <w:tcW w:w="966"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技术文件评分标准</w:t>
            </w:r>
          </w:p>
        </w:tc>
        <w:tc>
          <w:tcPr>
            <w:tcW w:w="1264" w:type="dxa"/>
            <w:noWrap w:val="0"/>
            <w:tcMar>
              <w:left w:w="75"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系统建设方案</w:t>
            </w:r>
          </w:p>
        </w:tc>
        <w:tc>
          <w:tcPr>
            <w:tcW w:w="777"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4602" w:type="dxa"/>
            <w:noWrap w:val="0"/>
            <w:vAlign w:val="center"/>
          </w:tcPr>
          <w:p>
            <w:pPr>
              <w:widowControl/>
              <w:jc w:val="left"/>
              <w:rPr>
                <w:rFonts w:hint="default"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bidi="ar"/>
              </w:rPr>
              <w:t>根据投标人对</w:t>
            </w:r>
            <w:r>
              <w:rPr>
                <w:rFonts w:hint="eastAsia" w:ascii="宋体" w:hAnsi="宋体" w:eastAsia="宋体" w:cs="宋体"/>
                <w:color w:val="000000"/>
                <w:sz w:val="21"/>
                <w:szCs w:val="21"/>
                <w:highlight w:val="none"/>
                <w:lang w:val="en-US" w:eastAsia="zh-CN" w:bidi="ar"/>
              </w:rPr>
              <w:t>项目</w:t>
            </w:r>
            <w:r>
              <w:rPr>
                <w:rFonts w:hint="eastAsia" w:ascii="宋体" w:hAnsi="宋体" w:eastAsia="宋体" w:cs="宋体"/>
                <w:color w:val="000000"/>
                <w:sz w:val="21"/>
                <w:szCs w:val="21"/>
                <w:highlight w:val="none"/>
                <w:lang w:bidi="ar"/>
              </w:rPr>
              <w:t>的理解，提供全面的可行性和必要性分析</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提供系统详细建设方案，包含总体架构、逻辑架构、实施技术路线、关键技术和难点、系统安全等进行详细的分析</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val="en-US" w:eastAsia="zh-CN" w:bidi="ar"/>
              </w:rPr>
              <w:t>评标委员会根据投标文件中</w:t>
            </w:r>
            <w:r>
              <w:rPr>
                <w:rFonts w:hint="eastAsia" w:ascii="宋体" w:hAnsi="宋体" w:eastAsia="宋体" w:cs="宋体"/>
                <w:sz w:val="21"/>
                <w:szCs w:val="21"/>
                <w:highlight w:val="none"/>
              </w:rPr>
              <w:t>系统建设方案</w:t>
            </w:r>
            <w:r>
              <w:rPr>
                <w:rFonts w:hint="eastAsia" w:ascii="宋体" w:hAnsi="宋体" w:eastAsia="宋体" w:cs="宋体"/>
                <w:color w:val="000000"/>
                <w:sz w:val="21"/>
                <w:szCs w:val="21"/>
                <w:highlight w:val="none"/>
                <w:lang w:val="en-US" w:eastAsia="zh-CN" w:bidi="ar"/>
              </w:rPr>
              <w:t>综合评审：</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提供方案全面细致、针对性强、能够切实体现系统要求得7＜F≤</w:t>
            </w:r>
            <w:r>
              <w:rPr>
                <w:rFonts w:hint="eastAsia" w:ascii="宋体" w:hAnsi="宋体" w:eastAsia="宋体" w:cs="宋体"/>
                <w:color w:val="000000"/>
                <w:sz w:val="21"/>
                <w:szCs w:val="21"/>
                <w:highlight w:val="none"/>
                <w:lang w:val="en-US" w:eastAsia="zh-CN" w:bidi="ar"/>
              </w:rPr>
              <w:t>10</w:t>
            </w:r>
            <w:r>
              <w:rPr>
                <w:rFonts w:hint="eastAsia" w:ascii="宋体" w:hAnsi="宋体" w:eastAsia="宋体" w:cs="宋体"/>
                <w:color w:val="000000"/>
                <w:sz w:val="21"/>
                <w:szCs w:val="21"/>
                <w:highlight w:val="none"/>
                <w:lang w:bidi="ar"/>
              </w:rPr>
              <w:t>分；</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提供方案相对全面、针对性较强、能够部分体现系统得</w:t>
            </w:r>
            <w:r>
              <w:rPr>
                <w:rFonts w:hint="eastAsia" w:ascii="宋体" w:hAnsi="宋体" w:eastAsia="宋体" w:cs="宋体"/>
                <w:color w:val="000000"/>
                <w:sz w:val="21"/>
                <w:szCs w:val="21"/>
                <w:highlight w:val="none"/>
                <w:lang w:val="en-US" w:eastAsia="zh-CN" w:bidi="ar"/>
              </w:rPr>
              <w:t>4</w:t>
            </w:r>
            <w:r>
              <w:rPr>
                <w:rFonts w:hint="eastAsia" w:ascii="宋体" w:hAnsi="宋体" w:eastAsia="宋体" w:cs="宋体"/>
                <w:color w:val="000000"/>
                <w:sz w:val="21"/>
                <w:szCs w:val="21"/>
                <w:highlight w:val="none"/>
                <w:lang w:bidi="ar"/>
              </w:rPr>
              <w:t>＜F≤7分；</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提供方案缺少内容较多、针对性差、系统较差得</w:t>
            </w:r>
            <w:r>
              <w:rPr>
                <w:rFonts w:hint="eastAsia" w:ascii="宋体" w:hAnsi="宋体" w:eastAsia="宋体" w:cs="宋体"/>
                <w:color w:val="000000"/>
                <w:sz w:val="21"/>
                <w:szCs w:val="21"/>
                <w:highlight w:val="none"/>
                <w:lang w:val="en-US" w:eastAsia="zh-CN" w:bidi="ar"/>
              </w:rPr>
              <w:t>0＜</w:t>
            </w:r>
            <w:r>
              <w:rPr>
                <w:rFonts w:hint="eastAsia" w:ascii="宋体" w:hAnsi="宋体" w:eastAsia="宋体" w:cs="宋体"/>
                <w:color w:val="000000"/>
                <w:sz w:val="21"/>
                <w:szCs w:val="21"/>
                <w:highlight w:val="none"/>
                <w:lang w:bidi="ar"/>
              </w:rPr>
              <w:t>F≤</w:t>
            </w:r>
            <w:r>
              <w:rPr>
                <w:rFonts w:hint="eastAsia" w:ascii="宋体" w:hAnsi="宋体" w:eastAsia="宋体" w:cs="宋体"/>
                <w:color w:val="000000"/>
                <w:sz w:val="21"/>
                <w:szCs w:val="21"/>
                <w:highlight w:val="none"/>
                <w:lang w:val="en-US" w:eastAsia="zh-CN" w:bidi="ar"/>
              </w:rPr>
              <w:t>4</w:t>
            </w:r>
            <w:r>
              <w:rPr>
                <w:rFonts w:hint="eastAsia" w:ascii="宋体" w:hAnsi="宋体" w:eastAsia="宋体" w:cs="宋体"/>
                <w:color w:val="000000"/>
                <w:sz w:val="21"/>
                <w:szCs w:val="21"/>
                <w:highlight w:val="none"/>
                <w:lang w:bidi="ar"/>
              </w:rPr>
              <w:t>分；</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不提供或提供材料不符合要求不得分。</w:t>
            </w:r>
          </w:p>
          <w:p>
            <w:pPr>
              <w:widowControl/>
              <w:jc w:val="left"/>
              <w:rPr>
                <w:rFonts w:hint="default"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注：F为本项得分。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3" w:hRule="atLeast"/>
        </w:trPr>
        <w:tc>
          <w:tcPr>
            <w:tcW w:w="771" w:type="dxa"/>
            <w:vMerge w:val="continue"/>
            <w:noWrap w:val="0"/>
            <w:vAlign w:val="center"/>
          </w:tcPr>
          <w:p>
            <w:pPr>
              <w:spacing w:line="360" w:lineRule="auto"/>
              <w:jc w:val="center"/>
              <w:rPr>
                <w:rFonts w:hint="eastAsia" w:hAnsi="宋体" w:cs="宋体"/>
                <w:sz w:val="21"/>
                <w:szCs w:val="21"/>
                <w:highlight w:val="none"/>
              </w:rPr>
            </w:pPr>
          </w:p>
        </w:tc>
        <w:tc>
          <w:tcPr>
            <w:tcW w:w="966" w:type="dxa"/>
            <w:vMerge w:val="continue"/>
            <w:noWrap w:val="0"/>
            <w:vAlign w:val="center"/>
          </w:tcPr>
          <w:p>
            <w:pPr>
              <w:spacing w:line="360" w:lineRule="auto"/>
              <w:jc w:val="center"/>
              <w:rPr>
                <w:rFonts w:hint="eastAsia" w:hAnsi="宋体" w:cs="宋体"/>
                <w:sz w:val="21"/>
                <w:szCs w:val="21"/>
                <w:highlight w:val="none"/>
              </w:rPr>
            </w:pPr>
          </w:p>
        </w:tc>
        <w:tc>
          <w:tcPr>
            <w:tcW w:w="1264" w:type="dxa"/>
            <w:noWrap w:val="0"/>
            <w:tcMar>
              <w:left w:w="75"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施工组织方案</w:t>
            </w:r>
          </w:p>
        </w:tc>
        <w:tc>
          <w:tcPr>
            <w:tcW w:w="777" w:type="dxa"/>
            <w:noWrap w:val="0"/>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5分</w:t>
            </w:r>
          </w:p>
        </w:tc>
        <w:tc>
          <w:tcPr>
            <w:tcW w:w="4602" w:type="dxa"/>
            <w:noWrap w:val="0"/>
            <w:vAlign w:val="center"/>
          </w:tcPr>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val="en-US" w:eastAsia="zh-CN" w:bidi="ar"/>
              </w:rPr>
              <w:t>投标文件中需</w:t>
            </w:r>
            <w:r>
              <w:rPr>
                <w:rFonts w:hint="eastAsia" w:ascii="宋体" w:hAnsi="宋体" w:eastAsia="宋体" w:cs="宋体"/>
                <w:color w:val="000000"/>
                <w:sz w:val="21"/>
                <w:szCs w:val="21"/>
                <w:highlight w:val="none"/>
                <w:lang w:bidi="ar"/>
              </w:rPr>
              <w:t>提供施工组织方案，包括：人员配置、施工资源配置、进度计划及保障措施、施工工艺、质量管理体系及措施、安全管理体系及措施、文明施工管理体系及措施等，</w:t>
            </w:r>
            <w:r>
              <w:rPr>
                <w:rFonts w:hint="eastAsia" w:ascii="宋体" w:hAnsi="宋体" w:eastAsia="宋体" w:cs="宋体"/>
                <w:color w:val="000000"/>
                <w:sz w:val="21"/>
                <w:szCs w:val="21"/>
                <w:highlight w:val="none"/>
                <w:lang w:val="en-US" w:eastAsia="zh-CN" w:bidi="ar"/>
              </w:rPr>
              <w:t>评标委员会根据投标文件中</w:t>
            </w:r>
            <w:r>
              <w:rPr>
                <w:rFonts w:hint="eastAsia" w:ascii="宋体" w:hAnsi="宋体" w:eastAsia="宋体" w:cs="宋体"/>
                <w:color w:val="000000"/>
                <w:sz w:val="21"/>
                <w:szCs w:val="21"/>
                <w:highlight w:val="none"/>
                <w:lang w:bidi="ar"/>
              </w:rPr>
              <w:t>施工组织方案</w:t>
            </w:r>
            <w:r>
              <w:rPr>
                <w:rFonts w:hint="eastAsia" w:ascii="宋体" w:hAnsi="宋体" w:eastAsia="宋体" w:cs="宋体"/>
                <w:color w:val="000000"/>
                <w:sz w:val="21"/>
                <w:szCs w:val="21"/>
                <w:highlight w:val="none"/>
                <w:lang w:val="en-US" w:eastAsia="zh-CN" w:bidi="ar"/>
              </w:rPr>
              <w:t>综合评审：</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提供方案全面细致、施工工艺合理、管理措施完善得</w:t>
            </w:r>
            <w:r>
              <w:rPr>
                <w:rFonts w:hint="eastAsia" w:ascii="宋体" w:hAnsi="宋体" w:eastAsia="宋体" w:cs="宋体"/>
                <w:color w:val="000000"/>
                <w:sz w:val="21"/>
                <w:szCs w:val="21"/>
                <w:highlight w:val="none"/>
                <w:lang w:val="en-US" w:eastAsia="zh-CN" w:bidi="ar"/>
              </w:rPr>
              <w:t>4</w:t>
            </w:r>
            <w:r>
              <w:rPr>
                <w:rFonts w:hint="eastAsia" w:ascii="宋体" w:hAnsi="宋体" w:eastAsia="宋体" w:cs="宋体"/>
                <w:color w:val="000000"/>
                <w:sz w:val="21"/>
                <w:szCs w:val="21"/>
                <w:highlight w:val="none"/>
                <w:lang w:bidi="ar"/>
              </w:rPr>
              <w:t>＜F≤</w:t>
            </w:r>
            <w:r>
              <w:rPr>
                <w:rFonts w:hint="eastAsia" w:ascii="宋体" w:hAnsi="宋体" w:eastAsia="宋体" w:cs="宋体"/>
                <w:color w:val="000000"/>
                <w:sz w:val="21"/>
                <w:szCs w:val="21"/>
                <w:highlight w:val="none"/>
                <w:lang w:val="en-US" w:eastAsia="zh-CN" w:bidi="ar"/>
              </w:rPr>
              <w:t>5</w:t>
            </w:r>
            <w:r>
              <w:rPr>
                <w:rFonts w:hint="eastAsia" w:ascii="宋体" w:hAnsi="宋体" w:eastAsia="宋体" w:cs="宋体"/>
                <w:color w:val="000000"/>
                <w:sz w:val="21"/>
                <w:szCs w:val="21"/>
                <w:highlight w:val="none"/>
                <w:lang w:bidi="ar"/>
              </w:rPr>
              <w:t>分；</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提供方案全面细致、施工工艺需要完善、管理措施需调整得</w:t>
            </w:r>
            <w:r>
              <w:rPr>
                <w:rFonts w:hint="eastAsia" w:ascii="宋体" w:hAnsi="宋体" w:eastAsia="宋体" w:cs="宋体"/>
                <w:color w:val="000000"/>
                <w:sz w:val="21"/>
                <w:szCs w:val="21"/>
                <w:highlight w:val="none"/>
                <w:lang w:val="en-US" w:eastAsia="zh-CN" w:bidi="ar"/>
              </w:rPr>
              <w:t>2</w:t>
            </w:r>
            <w:r>
              <w:rPr>
                <w:rFonts w:hint="eastAsia" w:ascii="宋体" w:hAnsi="宋体" w:eastAsia="宋体" w:cs="宋体"/>
                <w:color w:val="000000"/>
                <w:sz w:val="21"/>
                <w:szCs w:val="21"/>
                <w:highlight w:val="none"/>
                <w:lang w:bidi="ar"/>
              </w:rPr>
              <w:t>＜F≤</w:t>
            </w:r>
            <w:r>
              <w:rPr>
                <w:rFonts w:hint="eastAsia" w:ascii="宋体" w:hAnsi="宋体" w:eastAsia="宋体" w:cs="宋体"/>
                <w:color w:val="000000"/>
                <w:sz w:val="21"/>
                <w:szCs w:val="21"/>
                <w:highlight w:val="none"/>
                <w:lang w:val="en-US" w:eastAsia="zh-CN" w:bidi="ar"/>
              </w:rPr>
              <w:t>4</w:t>
            </w:r>
            <w:r>
              <w:rPr>
                <w:rFonts w:hint="eastAsia" w:ascii="宋体" w:hAnsi="宋体" w:eastAsia="宋体" w:cs="宋体"/>
                <w:color w:val="000000"/>
                <w:sz w:val="21"/>
                <w:szCs w:val="21"/>
                <w:highlight w:val="none"/>
                <w:lang w:bidi="ar"/>
              </w:rPr>
              <w:t>分；</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提供方案全面细致、施工工艺不合理、管理措施不当得</w:t>
            </w:r>
            <w:r>
              <w:rPr>
                <w:rFonts w:hint="eastAsia" w:ascii="宋体" w:hAnsi="宋体" w:eastAsia="宋体" w:cs="宋体"/>
                <w:color w:val="000000"/>
                <w:sz w:val="21"/>
                <w:szCs w:val="21"/>
                <w:highlight w:val="none"/>
                <w:lang w:val="en-US" w:eastAsia="zh-CN" w:bidi="ar"/>
              </w:rPr>
              <w:t>0</w:t>
            </w:r>
            <w:r>
              <w:rPr>
                <w:rFonts w:hint="eastAsia" w:ascii="宋体" w:hAnsi="宋体" w:eastAsia="宋体" w:cs="宋体"/>
                <w:color w:val="000000"/>
                <w:sz w:val="21"/>
                <w:szCs w:val="21"/>
                <w:highlight w:val="none"/>
                <w:lang w:bidi="ar"/>
              </w:rPr>
              <w:t>＜F≤</w:t>
            </w:r>
            <w:r>
              <w:rPr>
                <w:rFonts w:hint="eastAsia" w:ascii="宋体" w:hAnsi="宋体" w:eastAsia="宋体" w:cs="宋体"/>
                <w:color w:val="000000"/>
                <w:sz w:val="21"/>
                <w:szCs w:val="21"/>
                <w:highlight w:val="none"/>
                <w:lang w:val="en-US" w:eastAsia="zh-CN" w:bidi="ar"/>
              </w:rPr>
              <w:t>2</w:t>
            </w:r>
            <w:r>
              <w:rPr>
                <w:rFonts w:hint="eastAsia" w:ascii="宋体" w:hAnsi="宋体" w:eastAsia="宋体" w:cs="宋体"/>
                <w:color w:val="000000"/>
                <w:sz w:val="21"/>
                <w:szCs w:val="21"/>
                <w:highlight w:val="none"/>
                <w:lang w:bidi="ar"/>
              </w:rPr>
              <w:t>分；</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不提供或提供材料不符合要求不得分。</w:t>
            </w:r>
          </w:p>
          <w:p>
            <w:pPr>
              <w:widowControl/>
              <w:jc w:val="left"/>
              <w:rPr>
                <w:rFonts w:hint="eastAsia"/>
                <w:highlight w:val="none"/>
              </w:rPr>
            </w:pPr>
            <w:r>
              <w:rPr>
                <w:rFonts w:hint="eastAsia" w:ascii="宋体" w:hAnsi="宋体" w:eastAsia="宋体" w:cs="宋体"/>
                <w:color w:val="000000"/>
                <w:sz w:val="21"/>
                <w:szCs w:val="21"/>
                <w:highlight w:val="none"/>
                <w:lang w:val="en-US" w:eastAsia="zh-CN" w:bidi="ar"/>
              </w:rPr>
              <w:t>注：F为本项得分。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9" w:hRule="atLeast"/>
        </w:trPr>
        <w:tc>
          <w:tcPr>
            <w:tcW w:w="771" w:type="dxa"/>
            <w:vMerge w:val="continue"/>
            <w:noWrap w:val="0"/>
            <w:vAlign w:val="center"/>
          </w:tcPr>
          <w:p>
            <w:pPr>
              <w:spacing w:line="360" w:lineRule="auto"/>
              <w:jc w:val="center"/>
              <w:rPr>
                <w:rFonts w:hint="eastAsia" w:hAnsi="宋体" w:cs="宋体"/>
                <w:sz w:val="21"/>
                <w:szCs w:val="21"/>
                <w:highlight w:val="none"/>
              </w:rPr>
            </w:pPr>
          </w:p>
        </w:tc>
        <w:tc>
          <w:tcPr>
            <w:tcW w:w="966" w:type="dxa"/>
            <w:vMerge w:val="continue"/>
            <w:noWrap w:val="0"/>
            <w:vAlign w:val="center"/>
          </w:tcPr>
          <w:p>
            <w:pPr>
              <w:spacing w:line="360" w:lineRule="auto"/>
              <w:jc w:val="center"/>
              <w:rPr>
                <w:rFonts w:hint="eastAsia" w:hAnsi="宋体" w:cs="宋体"/>
                <w:sz w:val="21"/>
                <w:szCs w:val="21"/>
                <w:highlight w:val="none"/>
              </w:rPr>
            </w:pPr>
          </w:p>
        </w:tc>
        <w:tc>
          <w:tcPr>
            <w:tcW w:w="1264" w:type="dxa"/>
            <w:noWrap w:val="0"/>
            <w:tcMar>
              <w:left w:w="75"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售后服务与维保方案</w:t>
            </w:r>
          </w:p>
        </w:tc>
        <w:tc>
          <w:tcPr>
            <w:tcW w:w="777"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4602" w:type="dxa"/>
            <w:noWrap w:val="0"/>
            <w:vAlign w:val="top"/>
          </w:tcPr>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根据投标人的售后服务体系、出现故障后响应时间及处理流程等情况评审：</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售后服务与维保方案科学、合理、完善、详尽 ，得</w:t>
            </w:r>
            <w:r>
              <w:rPr>
                <w:rFonts w:hint="eastAsia" w:ascii="宋体" w:hAnsi="宋体" w:eastAsia="宋体" w:cs="宋体"/>
                <w:color w:val="000000"/>
                <w:sz w:val="21"/>
                <w:szCs w:val="21"/>
                <w:highlight w:val="none"/>
                <w:lang w:val="en-US" w:eastAsia="zh-CN" w:bidi="ar"/>
              </w:rPr>
              <w:t>5</w:t>
            </w:r>
            <w:r>
              <w:rPr>
                <w:rFonts w:hint="eastAsia" w:ascii="宋体" w:hAnsi="宋体" w:eastAsia="宋体" w:cs="宋体"/>
                <w:color w:val="000000"/>
                <w:sz w:val="21"/>
                <w:szCs w:val="21"/>
                <w:highlight w:val="none"/>
                <w:lang w:bidi="ar"/>
              </w:rPr>
              <w:t>＜F≤</w:t>
            </w:r>
            <w:r>
              <w:rPr>
                <w:rFonts w:hint="eastAsia" w:ascii="宋体" w:hAnsi="宋体" w:eastAsia="宋体" w:cs="宋体"/>
                <w:color w:val="000000"/>
                <w:sz w:val="21"/>
                <w:szCs w:val="21"/>
                <w:highlight w:val="none"/>
                <w:lang w:val="en-US" w:eastAsia="zh-CN" w:bidi="ar"/>
              </w:rPr>
              <w:t>6</w:t>
            </w:r>
            <w:r>
              <w:rPr>
                <w:rFonts w:hint="eastAsia" w:ascii="宋体" w:hAnsi="宋体" w:eastAsia="宋体" w:cs="宋体"/>
                <w:color w:val="000000"/>
                <w:sz w:val="21"/>
                <w:szCs w:val="21"/>
                <w:highlight w:val="none"/>
                <w:lang w:bidi="ar"/>
              </w:rPr>
              <w:t>分；</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售后服务与维保方案较科学、较合理、较完善、较详尽，得</w:t>
            </w:r>
            <w:r>
              <w:rPr>
                <w:rFonts w:hint="eastAsia" w:ascii="宋体" w:hAnsi="宋体" w:eastAsia="宋体" w:cs="宋体"/>
                <w:color w:val="000000"/>
                <w:sz w:val="21"/>
                <w:szCs w:val="21"/>
                <w:highlight w:val="none"/>
                <w:lang w:val="en-US" w:eastAsia="zh-CN" w:bidi="ar"/>
              </w:rPr>
              <w:t>3</w:t>
            </w:r>
            <w:r>
              <w:rPr>
                <w:rFonts w:hint="eastAsia" w:ascii="宋体" w:hAnsi="宋体" w:eastAsia="宋体" w:cs="宋体"/>
                <w:color w:val="000000"/>
                <w:sz w:val="21"/>
                <w:szCs w:val="21"/>
                <w:highlight w:val="none"/>
                <w:lang w:bidi="ar"/>
              </w:rPr>
              <w:t>＜F≤</w:t>
            </w:r>
            <w:r>
              <w:rPr>
                <w:rFonts w:hint="eastAsia" w:ascii="宋体" w:hAnsi="宋体" w:eastAsia="宋体" w:cs="宋体"/>
                <w:color w:val="000000"/>
                <w:sz w:val="21"/>
                <w:szCs w:val="21"/>
                <w:highlight w:val="none"/>
                <w:lang w:val="en-US" w:eastAsia="zh-CN" w:bidi="ar"/>
              </w:rPr>
              <w:t>5</w:t>
            </w:r>
            <w:r>
              <w:rPr>
                <w:rFonts w:hint="eastAsia" w:ascii="宋体" w:hAnsi="宋体" w:eastAsia="宋体" w:cs="宋体"/>
                <w:color w:val="000000"/>
                <w:sz w:val="21"/>
                <w:szCs w:val="21"/>
                <w:highlight w:val="none"/>
                <w:lang w:bidi="ar"/>
              </w:rPr>
              <w:t>分；</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售后服务与维保方案有待完善的，得</w:t>
            </w:r>
            <w:r>
              <w:rPr>
                <w:rFonts w:hint="eastAsia" w:ascii="宋体" w:hAnsi="宋体" w:eastAsia="宋体" w:cs="宋体"/>
                <w:color w:val="000000"/>
                <w:sz w:val="21"/>
                <w:szCs w:val="21"/>
                <w:highlight w:val="none"/>
                <w:lang w:val="en-US" w:eastAsia="zh-CN" w:bidi="ar"/>
              </w:rPr>
              <w:t>0</w:t>
            </w:r>
            <w:r>
              <w:rPr>
                <w:rFonts w:hint="eastAsia" w:ascii="宋体" w:hAnsi="宋体" w:eastAsia="宋体" w:cs="宋体"/>
                <w:color w:val="000000"/>
                <w:sz w:val="21"/>
                <w:szCs w:val="21"/>
                <w:highlight w:val="none"/>
                <w:lang w:bidi="ar"/>
              </w:rPr>
              <w:t>＜F≤</w:t>
            </w:r>
            <w:r>
              <w:rPr>
                <w:rFonts w:hint="eastAsia" w:ascii="宋体" w:hAnsi="宋体" w:eastAsia="宋体" w:cs="宋体"/>
                <w:color w:val="000000"/>
                <w:sz w:val="21"/>
                <w:szCs w:val="21"/>
                <w:highlight w:val="none"/>
                <w:lang w:val="en-US" w:eastAsia="zh-CN" w:bidi="ar"/>
              </w:rPr>
              <w:t>3</w:t>
            </w:r>
            <w:r>
              <w:rPr>
                <w:rFonts w:hint="eastAsia" w:ascii="宋体" w:hAnsi="宋体" w:eastAsia="宋体" w:cs="宋体"/>
                <w:color w:val="000000"/>
                <w:sz w:val="21"/>
                <w:szCs w:val="21"/>
                <w:highlight w:val="none"/>
                <w:lang w:bidi="ar"/>
              </w:rPr>
              <w:t>分。</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不提供或提供材料不符合要求不得分。</w:t>
            </w:r>
          </w:p>
          <w:p>
            <w:pPr>
              <w:widowControl/>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val="en-US" w:eastAsia="zh-CN" w:bidi="ar"/>
              </w:rPr>
              <w:t>注：F为本项得分。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1"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2.2.2（2）</w:t>
            </w:r>
          </w:p>
        </w:tc>
        <w:tc>
          <w:tcPr>
            <w:tcW w:w="966"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商务文件评分标准</w:t>
            </w:r>
          </w:p>
        </w:tc>
        <w:tc>
          <w:tcPr>
            <w:tcW w:w="1264" w:type="dxa"/>
            <w:noWrap w:val="0"/>
            <w:tcMar>
              <w:left w:w="75" w:type="dxa"/>
            </w:tcMar>
            <w:vAlign w:val="top"/>
          </w:tcPr>
          <w:p>
            <w:pPr>
              <w:spacing w:line="360" w:lineRule="auto"/>
              <w:jc w:val="center"/>
              <w:rPr>
                <w:rFonts w:hint="eastAsia" w:hAnsi="宋体" w:cs="宋体"/>
                <w:sz w:val="21"/>
                <w:szCs w:val="21"/>
                <w:highlight w:val="none"/>
              </w:rPr>
            </w:pPr>
          </w:p>
          <w:p>
            <w:pPr>
              <w:spacing w:line="360" w:lineRule="auto"/>
              <w:jc w:val="center"/>
              <w:rPr>
                <w:rFonts w:hint="eastAsia" w:hAnsi="宋体" w:cs="宋体"/>
                <w:sz w:val="21"/>
                <w:szCs w:val="21"/>
                <w:highlight w:val="none"/>
              </w:rPr>
            </w:pPr>
          </w:p>
          <w:p>
            <w:pPr>
              <w:spacing w:line="360" w:lineRule="auto"/>
              <w:jc w:val="center"/>
              <w:rPr>
                <w:rFonts w:hint="eastAsia" w:hAnsi="宋体" w:cs="宋体"/>
                <w:sz w:val="21"/>
                <w:szCs w:val="21"/>
                <w:highlight w:val="none"/>
              </w:rPr>
            </w:pPr>
            <w:r>
              <w:rPr>
                <w:rFonts w:hint="eastAsia" w:hAnsi="宋体" w:cs="宋体"/>
                <w:sz w:val="21"/>
                <w:szCs w:val="21"/>
                <w:highlight w:val="none"/>
              </w:rPr>
              <w:t>投标人资信、认证</w:t>
            </w:r>
          </w:p>
        </w:tc>
        <w:tc>
          <w:tcPr>
            <w:tcW w:w="777"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rPr>
              <w:t>6分</w:t>
            </w:r>
          </w:p>
        </w:tc>
        <w:tc>
          <w:tcPr>
            <w:tcW w:w="4602" w:type="dxa"/>
            <w:noWrap w:val="0"/>
            <w:vAlign w:val="center"/>
          </w:tcPr>
          <w:p>
            <w:pPr>
              <w:rPr>
                <w:rFonts w:hint="eastAsia" w:ascii="Times New Roman" w:hAnsi="宋体" w:cs="仿宋"/>
                <w:b w:val="0"/>
                <w:bCs/>
                <w:kern w:val="2"/>
                <w:sz w:val="21"/>
                <w:szCs w:val="21"/>
                <w:highlight w:val="none"/>
              </w:rPr>
            </w:pPr>
            <w:r>
              <w:rPr>
                <w:rFonts w:hint="eastAsia" w:ascii="Times New Roman" w:hAnsi="宋体" w:cs="仿宋"/>
                <w:b w:val="0"/>
                <w:bCs/>
                <w:kern w:val="2"/>
                <w:sz w:val="21"/>
                <w:szCs w:val="21"/>
                <w:highlight w:val="none"/>
              </w:rPr>
              <w:t>1</w:t>
            </w:r>
            <w:r>
              <w:rPr>
                <w:rFonts w:hint="eastAsia" w:ascii="Times New Roman" w:hAnsi="宋体" w:cs="仿宋"/>
                <w:b w:val="0"/>
                <w:bCs/>
                <w:kern w:val="2"/>
                <w:sz w:val="21"/>
                <w:szCs w:val="21"/>
                <w:highlight w:val="none"/>
                <w:lang w:eastAsia="zh-CN"/>
              </w:rPr>
              <w:t>.</w:t>
            </w:r>
            <w:r>
              <w:rPr>
                <w:rFonts w:hint="eastAsia" w:ascii="Times New Roman" w:hAnsi="宋体" w:cs="仿宋"/>
                <w:b w:val="0"/>
                <w:bCs/>
                <w:kern w:val="2"/>
                <w:sz w:val="21"/>
                <w:szCs w:val="21"/>
                <w:highlight w:val="none"/>
              </w:rPr>
              <w:t>投标人具有CCRC-信息安全服务认证证书（信息安全应急处理）一级证书得2分，二级证书得1分，本小项满分2分；</w:t>
            </w:r>
          </w:p>
          <w:p>
            <w:pPr>
              <w:rPr>
                <w:rFonts w:hint="eastAsia" w:ascii="Times New Roman" w:hAnsi="宋体" w:cs="仿宋"/>
                <w:b w:val="0"/>
                <w:bCs/>
                <w:kern w:val="2"/>
                <w:sz w:val="21"/>
                <w:szCs w:val="21"/>
                <w:highlight w:val="none"/>
              </w:rPr>
            </w:pPr>
            <w:r>
              <w:rPr>
                <w:rFonts w:hint="eastAsia" w:ascii="Times New Roman" w:hAnsi="宋体" w:cs="仿宋"/>
                <w:b w:val="0"/>
                <w:bCs/>
                <w:kern w:val="2"/>
                <w:sz w:val="21"/>
                <w:szCs w:val="21"/>
                <w:highlight w:val="none"/>
              </w:rPr>
              <w:t>2.投标人具有CCRC-信息安全服务认证证书（信息系统灾难备份与恢复）一级证书得2分，二级证书得1分，本小项满分2分；</w:t>
            </w:r>
          </w:p>
          <w:p>
            <w:pPr>
              <w:rPr>
                <w:rFonts w:hint="eastAsia" w:ascii="Times New Roman" w:hAnsi="宋体" w:cs="仿宋"/>
                <w:b w:val="0"/>
                <w:bCs/>
                <w:kern w:val="2"/>
                <w:sz w:val="21"/>
                <w:szCs w:val="21"/>
                <w:highlight w:val="none"/>
              </w:rPr>
            </w:pPr>
            <w:r>
              <w:rPr>
                <w:rFonts w:hint="eastAsia" w:ascii="Times New Roman" w:hAnsi="宋体" w:cs="仿宋"/>
                <w:b w:val="0"/>
                <w:bCs/>
                <w:kern w:val="2"/>
                <w:sz w:val="21"/>
                <w:szCs w:val="21"/>
                <w:highlight w:val="none"/>
              </w:rPr>
              <w:t>3投标人具有CCRC-信息安全服务资质认证证书（信息系统安全集成服务）一级证书得2分，二级证书得1分，本小项满分2分。</w:t>
            </w:r>
          </w:p>
          <w:p>
            <w:pPr>
              <w:rPr>
                <w:rFonts w:hint="eastAsia" w:hAnsi="宋体" w:cs="宋体"/>
                <w:b/>
                <w:sz w:val="21"/>
                <w:szCs w:val="21"/>
                <w:highlight w:val="none"/>
              </w:rPr>
            </w:pPr>
            <w:r>
              <w:rPr>
                <w:rFonts w:hint="eastAsia" w:ascii="Times New Roman" w:hAnsi="宋体" w:cs="仿宋"/>
                <w:b/>
                <w:kern w:val="2"/>
                <w:sz w:val="21"/>
                <w:szCs w:val="21"/>
                <w:highlight w:val="none"/>
              </w:rPr>
              <w:t>注：投标文件中提供证书作为评审依据，证书中应能体现发证机构已获认监委认证或能体现该证书可在认监委网站查询，否则须同时在投标文件中提供在认监委网站对证书发证机构的查询截图作为评审依据。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1" w:type="dxa"/>
            <w:vMerge w:val="continue"/>
            <w:noWrap w:val="0"/>
            <w:vAlign w:val="center"/>
          </w:tcPr>
          <w:p>
            <w:pPr>
              <w:snapToGrid w:val="0"/>
              <w:spacing w:line="360" w:lineRule="auto"/>
              <w:jc w:val="center"/>
              <w:rPr>
                <w:rFonts w:hint="eastAsia" w:hAnsi="宋体" w:cs="宋体"/>
                <w:bCs/>
                <w:sz w:val="21"/>
                <w:szCs w:val="21"/>
                <w:highlight w:val="none"/>
              </w:rPr>
            </w:pPr>
          </w:p>
        </w:tc>
        <w:tc>
          <w:tcPr>
            <w:tcW w:w="966" w:type="dxa"/>
            <w:vMerge w:val="continue"/>
            <w:noWrap w:val="0"/>
            <w:vAlign w:val="top"/>
          </w:tcPr>
          <w:p>
            <w:pPr>
              <w:snapToGrid w:val="0"/>
              <w:spacing w:line="360" w:lineRule="auto"/>
              <w:jc w:val="center"/>
              <w:rPr>
                <w:rFonts w:hint="eastAsia" w:hAnsi="宋体" w:cs="宋体"/>
                <w:bCs/>
                <w:sz w:val="21"/>
                <w:szCs w:val="21"/>
                <w:highlight w:val="none"/>
              </w:rPr>
            </w:pPr>
          </w:p>
        </w:tc>
        <w:tc>
          <w:tcPr>
            <w:tcW w:w="1264" w:type="dxa"/>
            <w:noWrap w:val="0"/>
            <w:tcMar>
              <w:left w:w="75" w:type="dxa"/>
            </w:tcMar>
            <w:vAlign w:val="center"/>
          </w:tcPr>
          <w:p>
            <w:pPr>
              <w:snapToGrid w:val="0"/>
              <w:spacing w:line="360" w:lineRule="auto"/>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拟委任人员资格</w:t>
            </w:r>
          </w:p>
        </w:tc>
        <w:tc>
          <w:tcPr>
            <w:tcW w:w="777"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lang w:val="en-US" w:eastAsia="zh-CN"/>
              </w:rPr>
              <w:t>6</w:t>
            </w:r>
            <w:r>
              <w:rPr>
                <w:rFonts w:hint="eastAsia" w:hAnsi="宋体" w:cs="宋体"/>
                <w:sz w:val="21"/>
                <w:szCs w:val="21"/>
                <w:highlight w:val="none"/>
              </w:rPr>
              <w:t>分</w:t>
            </w:r>
          </w:p>
        </w:tc>
        <w:tc>
          <w:tcPr>
            <w:tcW w:w="4602" w:type="dxa"/>
            <w:noWrap w:val="0"/>
            <w:vAlign w:val="center"/>
          </w:tcPr>
          <w:p>
            <w:pPr>
              <w:rPr>
                <w:rFonts w:hint="eastAsia" w:hAnsi="宋体" w:cs="仿宋"/>
                <w:kern w:val="2"/>
                <w:sz w:val="21"/>
                <w:szCs w:val="21"/>
                <w:highlight w:val="none"/>
              </w:rPr>
            </w:pPr>
            <w:r>
              <w:rPr>
                <w:rFonts w:hint="eastAsia" w:hAnsi="宋体" w:cs="仿宋"/>
                <w:kern w:val="2"/>
                <w:sz w:val="21"/>
                <w:szCs w:val="21"/>
                <w:highlight w:val="none"/>
              </w:rPr>
              <w:t>1.项目经理具有计算机网络相关专业高级</w:t>
            </w:r>
            <w:r>
              <w:rPr>
                <w:rFonts w:hint="eastAsia" w:hAnsi="宋体" w:cs="仿宋"/>
                <w:kern w:val="2"/>
                <w:sz w:val="21"/>
                <w:szCs w:val="21"/>
                <w:highlight w:val="none"/>
                <w:lang w:val="en-US" w:eastAsia="zh-CN"/>
              </w:rPr>
              <w:t>及以上</w:t>
            </w:r>
            <w:r>
              <w:rPr>
                <w:rFonts w:hint="eastAsia" w:hAnsi="宋体" w:cs="仿宋"/>
                <w:kern w:val="2"/>
                <w:sz w:val="21"/>
                <w:szCs w:val="21"/>
                <w:highlight w:val="none"/>
              </w:rPr>
              <w:t>工程师职称的得 2 分，本小项满分2分；</w:t>
            </w:r>
          </w:p>
          <w:p>
            <w:pPr>
              <w:rPr>
                <w:rFonts w:hint="eastAsia" w:hAnsi="宋体" w:cs="仿宋"/>
                <w:kern w:val="2"/>
                <w:sz w:val="21"/>
                <w:szCs w:val="21"/>
                <w:highlight w:val="none"/>
              </w:rPr>
            </w:pPr>
            <w:r>
              <w:rPr>
                <w:rFonts w:hint="eastAsia" w:hAnsi="宋体" w:cs="仿宋"/>
                <w:kern w:val="2"/>
                <w:sz w:val="21"/>
                <w:szCs w:val="21"/>
                <w:highlight w:val="none"/>
              </w:rPr>
              <w:t>2.项目组成员具备高级软件工程师、信息安全等级测评师（高级）证书，每提供一类得 2分，本小项满分4分。</w:t>
            </w:r>
          </w:p>
          <w:p>
            <w:pPr>
              <w:rPr>
                <w:rFonts w:hint="eastAsia" w:hAnsi="宋体" w:eastAsia="宋体" w:cs="仿宋"/>
                <w:kern w:val="2"/>
                <w:sz w:val="21"/>
                <w:szCs w:val="21"/>
                <w:highlight w:val="none"/>
                <w:lang w:eastAsia="zh-CN"/>
              </w:rPr>
            </w:pPr>
            <w:r>
              <w:rPr>
                <w:rFonts w:hint="eastAsia" w:hAnsi="宋体" w:cs="仿宋"/>
                <w:b/>
                <w:bCs/>
                <w:kern w:val="2"/>
                <w:sz w:val="21"/>
                <w:szCs w:val="21"/>
                <w:highlight w:val="none"/>
              </w:rPr>
              <w:t>注：上述人员不得兼任，若同一人员具有多个证书，</w:t>
            </w:r>
            <w:r>
              <w:rPr>
                <w:rFonts w:hint="eastAsia" w:hAnsi="宋体" w:cs="仿宋"/>
                <w:b/>
                <w:bCs/>
                <w:kern w:val="2"/>
                <w:sz w:val="21"/>
                <w:szCs w:val="21"/>
                <w:highlight w:val="none"/>
                <w:lang w:val="en-US" w:eastAsia="zh-CN"/>
              </w:rPr>
              <w:t>仅计分一次</w:t>
            </w:r>
            <w:r>
              <w:rPr>
                <w:rFonts w:hint="eastAsia" w:hAnsi="宋体" w:cs="仿宋"/>
                <w:b/>
                <w:bCs/>
                <w:kern w:val="2"/>
                <w:sz w:val="21"/>
                <w:szCs w:val="21"/>
                <w:highlight w:val="none"/>
              </w:rPr>
              <w:t>。投标文件中同时提供投标人为拟委任的上述人员自2023年1月1日以来任意连续3个月的社保证明材料；社保缴费证明或社保的有效证明材料至少含养老保险</w:t>
            </w:r>
            <w:r>
              <w:rPr>
                <w:rFonts w:hint="eastAsia" w:hAnsi="宋体" w:cs="仿宋"/>
                <w:b/>
                <w:bCs/>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1" w:type="dxa"/>
            <w:vMerge w:val="continue"/>
            <w:noWrap w:val="0"/>
            <w:vAlign w:val="top"/>
          </w:tcPr>
          <w:p>
            <w:pPr>
              <w:snapToGrid w:val="0"/>
              <w:spacing w:line="360" w:lineRule="auto"/>
              <w:jc w:val="center"/>
              <w:rPr>
                <w:rFonts w:hint="eastAsia" w:hAnsi="宋体" w:cs="宋体"/>
                <w:bCs/>
                <w:sz w:val="21"/>
                <w:szCs w:val="21"/>
                <w:highlight w:val="none"/>
              </w:rPr>
            </w:pPr>
          </w:p>
        </w:tc>
        <w:tc>
          <w:tcPr>
            <w:tcW w:w="966" w:type="dxa"/>
            <w:vMerge w:val="continue"/>
            <w:noWrap w:val="0"/>
            <w:vAlign w:val="top"/>
          </w:tcPr>
          <w:p>
            <w:pPr>
              <w:snapToGrid w:val="0"/>
              <w:spacing w:line="360" w:lineRule="auto"/>
              <w:jc w:val="center"/>
              <w:rPr>
                <w:rFonts w:hint="eastAsia" w:hAnsi="宋体" w:cs="宋体"/>
                <w:bCs/>
                <w:sz w:val="21"/>
                <w:szCs w:val="21"/>
                <w:highlight w:val="none"/>
              </w:rPr>
            </w:pPr>
          </w:p>
        </w:tc>
        <w:tc>
          <w:tcPr>
            <w:tcW w:w="1264" w:type="dxa"/>
            <w:noWrap w:val="0"/>
            <w:tcMar>
              <w:left w:w="75" w:type="dxa"/>
            </w:tcMar>
            <w:vAlign w:val="center"/>
          </w:tcPr>
          <w:p>
            <w:pPr>
              <w:snapToGrid w:val="0"/>
              <w:spacing w:line="360" w:lineRule="auto"/>
              <w:jc w:val="center"/>
              <w:rPr>
                <w:rFonts w:hint="eastAsia" w:hAnsi="宋体" w:cs="宋体"/>
                <w:sz w:val="21"/>
                <w:szCs w:val="21"/>
                <w:highlight w:val="none"/>
              </w:rPr>
            </w:pPr>
            <w:r>
              <w:rPr>
                <w:rFonts w:hint="eastAsia" w:hAnsi="宋体" w:cs="宋体"/>
                <w:sz w:val="21"/>
                <w:szCs w:val="21"/>
                <w:highlight w:val="none"/>
              </w:rPr>
              <w:t>投标人业绩</w:t>
            </w:r>
          </w:p>
        </w:tc>
        <w:tc>
          <w:tcPr>
            <w:tcW w:w="777"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rPr>
              <w:t>9分</w:t>
            </w:r>
          </w:p>
        </w:tc>
        <w:tc>
          <w:tcPr>
            <w:tcW w:w="4602" w:type="dxa"/>
            <w:noWrap w:val="0"/>
            <w:vAlign w:val="center"/>
          </w:tcPr>
          <w:p>
            <w:pPr>
              <w:widowControl/>
              <w:jc w:val="left"/>
              <w:rPr>
                <w:rFonts w:hint="eastAsia" w:hAnsi="宋体" w:cs="宋体"/>
                <w:b w:val="0"/>
                <w:bCs w:val="0"/>
                <w:color w:val="000000"/>
                <w:sz w:val="21"/>
                <w:szCs w:val="21"/>
                <w:highlight w:val="none"/>
                <w:lang w:bidi="ar"/>
              </w:rPr>
            </w:pPr>
            <w:r>
              <w:rPr>
                <w:rFonts w:hint="eastAsia" w:hAnsi="宋体" w:cs="宋体"/>
                <w:b w:val="0"/>
                <w:bCs w:val="0"/>
                <w:color w:val="000000"/>
                <w:sz w:val="21"/>
                <w:szCs w:val="21"/>
                <w:highlight w:val="none"/>
                <w:lang w:bidi="ar"/>
              </w:rPr>
              <w:t>自 2021年 1 月 1 日以来（以合同签订时间为准），投标人具有单个业绩合同金额不低于200万的建筑智能化（或信息化类）项目业绩（建设内容须包括以下系统中至少三项内容：综合布线系统、计算机网络系统、机房工程、视频监控系统、护理呼叫系统、排队叫号系统、信息发布系统、公共广播系统、多媒体会议系统</w:t>
            </w:r>
            <w:r>
              <w:rPr>
                <w:rFonts w:hint="eastAsia" w:hAnsi="宋体" w:cs="宋体"/>
                <w:b w:val="0"/>
                <w:bCs w:val="0"/>
                <w:color w:val="000000"/>
                <w:sz w:val="21"/>
                <w:szCs w:val="21"/>
                <w:highlight w:val="none"/>
                <w:lang w:eastAsia="zh-CN" w:bidi="ar"/>
              </w:rPr>
              <w:t>）</w:t>
            </w:r>
            <w:r>
              <w:rPr>
                <w:rFonts w:hint="eastAsia" w:hAnsi="宋体" w:cs="宋体"/>
                <w:b w:val="0"/>
                <w:bCs w:val="0"/>
                <w:color w:val="000000"/>
                <w:sz w:val="21"/>
                <w:szCs w:val="21"/>
                <w:highlight w:val="none"/>
                <w:lang w:bidi="ar"/>
              </w:rPr>
              <w:t>。每提供1个业绩得 3 分，满分 9 分。</w:t>
            </w:r>
          </w:p>
          <w:p>
            <w:pPr>
              <w:widowControl/>
              <w:jc w:val="left"/>
              <w:rPr>
                <w:rFonts w:hint="eastAsia" w:hAnsi="宋体" w:cs="宋体"/>
                <w:b/>
                <w:bCs/>
                <w:color w:val="000000"/>
                <w:sz w:val="21"/>
                <w:szCs w:val="21"/>
                <w:highlight w:val="none"/>
                <w:lang w:bidi="ar"/>
              </w:rPr>
            </w:pPr>
            <w:r>
              <w:rPr>
                <w:rFonts w:hint="eastAsia" w:hAnsi="宋体" w:cs="宋体"/>
                <w:b/>
                <w:bCs/>
                <w:color w:val="000000"/>
                <w:sz w:val="21"/>
                <w:szCs w:val="21"/>
                <w:highlight w:val="none"/>
                <w:lang w:bidi="ar"/>
              </w:rPr>
              <w:t>注：投标文件中提供该项目的合同，如上述材料无法体现</w:t>
            </w:r>
            <w:r>
              <w:rPr>
                <w:rFonts w:hint="eastAsia" w:hAnsi="宋体" w:cs="宋体"/>
                <w:b/>
                <w:bCs/>
                <w:color w:val="000000"/>
                <w:sz w:val="21"/>
                <w:szCs w:val="21"/>
                <w:highlight w:val="none"/>
                <w:lang w:val="en-US" w:eastAsia="zh-CN" w:bidi="ar"/>
              </w:rPr>
              <w:t>投标人</w:t>
            </w:r>
            <w:r>
              <w:rPr>
                <w:rFonts w:hint="eastAsia" w:hAnsi="宋体" w:cs="宋体"/>
                <w:b/>
                <w:bCs/>
                <w:color w:val="000000"/>
                <w:sz w:val="21"/>
                <w:szCs w:val="21"/>
                <w:highlight w:val="none"/>
                <w:lang w:bidi="ar"/>
              </w:rPr>
              <w:t>名称、合同签订时间等主要评审因素，须另附业主单位（合同甲方）盖章的证明材料，已经完成或正在履约的业绩均予以认可。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1" w:type="dxa"/>
            <w:vMerge w:val="continue"/>
            <w:noWrap w:val="0"/>
            <w:vAlign w:val="top"/>
          </w:tcPr>
          <w:p>
            <w:pPr>
              <w:snapToGrid w:val="0"/>
              <w:spacing w:line="360" w:lineRule="auto"/>
              <w:jc w:val="center"/>
              <w:rPr>
                <w:rFonts w:hint="eastAsia" w:hAnsi="宋体" w:cs="宋体"/>
                <w:bCs/>
                <w:sz w:val="21"/>
                <w:szCs w:val="21"/>
                <w:highlight w:val="none"/>
              </w:rPr>
            </w:pPr>
          </w:p>
        </w:tc>
        <w:tc>
          <w:tcPr>
            <w:tcW w:w="966" w:type="dxa"/>
            <w:vMerge w:val="continue"/>
            <w:noWrap w:val="0"/>
            <w:vAlign w:val="top"/>
          </w:tcPr>
          <w:p>
            <w:pPr>
              <w:snapToGrid w:val="0"/>
              <w:spacing w:line="360" w:lineRule="auto"/>
              <w:jc w:val="center"/>
              <w:rPr>
                <w:rFonts w:hint="eastAsia" w:hAnsi="宋体" w:cs="宋体"/>
                <w:bCs/>
                <w:sz w:val="21"/>
                <w:szCs w:val="21"/>
                <w:highlight w:val="none"/>
              </w:rPr>
            </w:pPr>
          </w:p>
        </w:tc>
        <w:tc>
          <w:tcPr>
            <w:tcW w:w="1264" w:type="dxa"/>
            <w:noWrap w:val="0"/>
            <w:tcMar>
              <w:left w:w="75" w:type="dxa"/>
            </w:tcMar>
            <w:vAlign w:val="center"/>
          </w:tcPr>
          <w:p>
            <w:pPr>
              <w:snapToGrid w:val="0"/>
              <w:spacing w:line="360" w:lineRule="auto"/>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产品、部件的认证证书</w:t>
            </w:r>
          </w:p>
        </w:tc>
        <w:tc>
          <w:tcPr>
            <w:tcW w:w="777"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lang w:val="en-US" w:eastAsia="zh-CN"/>
              </w:rPr>
              <w:t>8</w:t>
            </w:r>
            <w:r>
              <w:rPr>
                <w:rFonts w:hint="eastAsia" w:hAnsi="宋体" w:cs="宋体"/>
                <w:sz w:val="21"/>
                <w:szCs w:val="21"/>
                <w:highlight w:val="none"/>
              </w:rPr>
              <w:t>分</w:t>
            </w:r>
          </w:p>
        </w:tc>
        <w:tc>
          <w:tcPr>
            <w:tcW w:w="4602" w:type="dxa"/>
            <w:noWrap w:val="0"/>
            <w:vAlign w:val="center"/>
          </w:tcPr>
          <w:p>
            <w:pPr>
              <w:widowControl/>
              <w:jc w:val="left"/>
              <w:rPr>
                <w:rFonts w:hint="eastAsia" w:hAnsi="宋体" w:cs="宋体"/>
                <w:b w:val="0"/>
                <w:bCs w:val="0"/>
                <w:color w:val="000000"/>
                <w:sz w:val="21"/>
                <w:szCs w:val="21"/>
                <w:highlight w:val="none"/>
                <w:lang w:eastAsia="zh-CN" w:bidi="ar"/>
              </w:rPr>
            </w:pPr>
            <w:r>
              <w:rPr>
                <w:rFonts w:hint="eastAsia" w:hAnsi="宋体" w:cs="宋体"/>
                <w:b w:val="0"/>
                <w:bCs w:val="0"/>
                <w:color w:val="000000"/>
                <w:sz w:val="21"/>
                <w:szCs w:val="21"/>
                <w:highlight w:val="none"/>
                <w:lang w:bidi="ar"/>
              </w:rPr>
              <w:t>投标人所投产品具有</w:t>
            </w:r>
            <w:r>
              <w:rPr>
                <w:rFonts w:hint="eastAsia" w:hAnsi="宋体" w:cs="宋体"/>
                <w:b w:val="0"/>
                <w:bCs w:val="0"/>
                <w:color w:val="000000"/>
                <w:sz w:val="21"/>
                <w:szCs w:val="21"/>
                <w:highlight w:val="none"/>
                <w:lang w:val="en-US" w:eastAsia="zh-CN" w:bidi="ar"/>
              </w:rPr>
              <w:t>以下</w:t>
            </w:r>
            <w:r>
              <w:rPr>
                <w:rFonts w:hint="eastAsia" w:hAnsi="宋体" w:cs="宋体"/>
                <w:b w:val="0"/>
                <w:bCs w:val="0"/>
                <w:color w:val="000000"/>
                <w:sz w:val="21"/>
                <w:szCs w:val="21"/>
                <w:highlight w:val="none"/>
                <w:lang w:bidi="ar"/>
              </w:rPr>
              <w:t>软件著作权证书</w:t>
            </w:r>
            <w:r>
              <w:rPr>
                <w:rFonts w:hint="eastAsia" w:hAnsi="宋体" w:cs="宋体"/>
                <w:b w:val="0"/>
                <w:bCs w:val="0"/>
                <w:color w:val="000000"/>
                <w:sz w:val="21"/>
                <w:szCs w:val="21"/>
                <w:highlight w:val="none"/>
                <w:lang w:eastAsia="zh-CN" w:bidi="ar"/>
              </w:rPr>
              <w:t>：</w:t>
            </w:r>
          </w:p>
          <w:p>
            <w:pPr>
              <w:widowControl/>
              <w:numPr>
                <w:ilvl w:val="0"/>
                <w:numId w:val="0"/>
              </w:numPr>
              <w:jc w:val="left"/>
              <w:rPr>
                <w:rFonts w:hint="eastAsia" w:hAnsi="宋体" w:cs="宋体"/>
                <w:b w:val="0"/>
                <w:bCs w:val="0"/>
                <w:color w:val="000000"/>
                <w:sz w:val="21"/>
                <w:szCs w:val="21"/>
                <w:highlight w:val="none"/>
                <w:lang w:val="en-US" w:eastAsia="zh-CN" w:bidi="ar"/>
              </w:rPr>
            </w:pPr>
            <w:r>
              <w:rPr>
                <w:rFonts w:hint="eastAsia" w:ascii="宋体" w:hAnsi="宋体" w:cs="宋体"/>
                <w:b w:val="0"/>
                <w:bCs w:val="0"/>
                <w:color w:val="000000"/>
                <w:sz w:val="21"/>
                <w:szCs w:val="21"/>
                <w:highlight w:val="none"/>
                <w:lang w:val="en-US" w:eastAsia="zh-CN" w:bidi="ar"/>
              </w:rPr>
              <w:t>1、</w:t>
            </w:r>
            <w:r>
              <w:rPr>
                <w:rFonts w:hint="eastAsia" w:hAnsi="宋体" w:cs="宋体"/>
                <w:b w:val="0"/>
                <w:bCs w:val="0"/>
                <w:color w:val="000000"/>
                <w:sz w:val="21"/>
                <w:szCs w:val="21"/>
                <w:highlight w:val="none"/>
                <w:lang w:bidi="ar"/>
              </w:rPr>
              <w:t>虚拟化网络微隔离安全防护</w:t>
            </w:r>
            <w:r>
              <w:rPr>
                <w:rFonts w:hint="eastAsia" w:hAnsi="宋体" w:cs="宋体"/>
                <w:b w:val="0"/>
                <w:bCs w:val="0"/>
                <w:color w:val="000000"/>
                <w:sz w:val="21"/>
                <w:szCs w:val="21"/>
                <w:highlight w:val="none"/>
                <w:lang w:val="en-US" w:eastAsia="zh-CN" w:bidi="ar"/>
              </w:rPr>
              <w:t>类，得2分；</w:t>
            </w:r>
          </w:p>
          <w:p>
            <w:pPr>
              <w:widowControl/>
              <w:numPr>
                <w:ilvl w:val="0"/>
                <w:numId w:val="0"/>
              </w:numPr>
              <w:jc w:val="left"/>
              <w:rPr>
                <w:rFonts w:hint="eastAsia" w:hAnsi="宋体" w:cs="宋体"/>
                <w:b w:val="0"/>
                <w:bCs w:val="0"/>
                <w:color w:val="000000"/>
                <w:sz w:val="21"/>
                <w:szCs w:val="21"/>
                <w:highlight w:val="none"/>
                <w:lang w:bidi="ar"/>
              </w:rPr>
            </w:pPr>
            <w:r>
              <w:rPr>
                <w:rFonts w:hint="eastAsia" w:ascii="宋体" w:hAnsi="宋体" w:cs="宋体"/>
                <w:b w:val="0"/>
                <w:bCs w:val="0"/>
                <w:color w:val="000000"/>
                <w:sz w:val="21"/>
                <w:szCs w:val="21"/>
                <w:highlight w:val="none"/>
                <w:lang w:val="en-US" w:eastAsia="zh-CN" w:bidi="ar"/>
              </w:rPr>
              <w:t>2、</w:t>
            </w:r>
            <w:r>
              <w:rPr>
                <w:rFonts w:hint="eastAsia" w:hAnsi="宋体" w:cs="宋体"/>
                <w:b w:val="0"/>
                <w:bCs w:val="0"/>
                <w:color w:val="000000"/>
                <w:sz w:val="21"/>
                <w:szCs w:val="21"/>
                <w:highlight w:val="none"/>
                <w:lang w:bidi="ar"/>
              </w:rPr>
              <w:t>信息发布软件多级权限审核管理</w:t>
            </w:r>
            <w:r>
              <w:rPr>
                <w:rFonts w:hint="eastAsia" w:hAnsi="宋体" w:cs="宋体"/>
                <w:b w:val="0"/>
                <w:bCs w:val="0"/>
                <w:color w:val="000000"/>
                <w:sz w:val="21"/>
                <w:szCs w:val="21"/>
                <w:highlight w:val="none"/>
                <w:lang w:val="en-US" w:eastAsia="zh-CN" w:bidi="ar"/>
              </w:rPr>
              <w:t>类，得2分</w:t>
            </w:r>
            <w:r>
              <w:rPr>
                <w:rFonts w:hint="eastAsia" w:hAnsi="宋体" w:cs="宋体"/>
                <w:b w:val="0"/>
                <w:bCs w:val="0"/>
                <w:color w:val="000000"/>
                <w:sz w:val="21"/>
                <w:szCs w:val="21"/>
                <w:highlight w:val="none"/>
                <w:lang w:eastAsia="zh-CN" w:bidi="ar"/>
              </w:rPr>
              <w:t>；</w:t>
            </w:r>
          </w:p>
          <w:p>
            <w:pPr>
              <w:widowControl/>
              <w:numPr>
                <w:ilvl w:val="0"/>
                <w:numId w:val="0"/>
              </w:numPr>
              <w:jc w:val="left"/>
              <w:rPr>
                <w:rFonts w:hint="eastAsia" w:hAnsi="宋体" w:cs="宋体"/>
                <w:b w:val="0"/>
                <w:bCs w:val="0"/>
                <w:color w:val="000000"/>
                <w:sz w:val="21"/>
                <w:szCs w:val="21"/>
                <w:highlight w:val="none"/>
                <w:lang w:bidi="ar"/>
              </w:rPr>
            </w:pPr>
            <w:r>
              <w:rPr>
                <w:rFonts w:hint="eastAsia" w:ascii="宋体" w:hAnsi="宋体" w:cs="宋体"/>
                <w:b w:val="0"/>
                <w:bCs w:val="0"/>
                <w:color w:val="000000"/>
                <w:sz w:val="21"/>
                <w:szCs w:val="21"/>
                <w:highlight w:val="none"/>
                <w:lang w:val="en-US" w:eastAsia="zh-CN" w:bidi="ar"/>
              </w:rPr>
              <w:t>3、</w:t>
            </w:r>
            <w:r>
              <w:rPr>
                <w:rFonts w:hint="eastAsia" w:hAnsi="宋体" w:cs="宋体"/>
                <w:b w:val="0"/>
                <w:bCs w:val="0"/>
                <w:color w:val="000000"/>
                <w:sz w:val="21"/>
                <w:szCs w:val="21"/>
                <w:highlight w:val="none"/>
                <w:lang w:eastAsia="zh-CN" w:bidi="ar"/>
              </w:rPr>
              <w:t>智能配电箱移动端远程控制</w:t>
            </w:r>
            <w:r>
              <w:rPr>
                <w:rFonts w:hint="eastAsia" w:hAnsi="宋体" w:cs="宋体"/>
                <w:b w:val="0"/>
                <w:bCs w:val="0"/>
                <w:color w:val="000000"/>
                <w:sz w:val="21"/>
                <w:szCs w:val="21"/>
                <w:highlight w:val="none"/>
                <w:lang w:val="en-US" w:eastAsia="zh-CN" w:bidi="ar"/>
              </w:rPr>
              <w:t>类，得2分</w:t>
            </w:r>
            <w:r>
              <w:rPr>
                <w:rFonts w:hint="eastAsia" w:hAnsi="宋体" w:cs="宋体"/>
                <w:b w:val="0"/>
                <w:bCs w:val="0"/>
                <w:color w:val="000000"/>
                <w:sz w:val="21"/>
                <w:szCs w:val="21"/>
                <w:highlight w:val="none"/>
                <w:lang w:eastAsia="zh-CN" w:bidi="ar"/>
              </w:rPr>
              <w:t>；</w:t>
            </w:r>
          </w:p>
          <w:p>
            <w:pPr>
              <w:widowControl/>
              <w:numPr>
                <w:ilvl w:val="0"/>
                <w:numId w:val="0"/>
              </w:numPr>
              <w:jc w:val="left"/>
              <w:rPr>
                <w:rFonts w:hint="eastAsia" w:hAnsi="宋体" w:cs="宋体"/>
                <w:b w:val="0"/>
                <w:bCs w:val="0"/>
                <w:color w:val="000000"/>
                <w:sz w:val="21"/>
                <w:szCs w:val="21"/>
                <w:highlight w:val="none"/>
                <w:lang w:bidi="ar"/>
              </w:rPr>
            </w:pPr>
            <w:r>
              <w:rPr>
                <w:rFonts w:hint="eastAsia" w:ascii="宋体" w:hAnsi="宋体" w:cs="宋体"/>
                <w:b w:val="0"/>
                <w:bCs w:val="0"/>
                <w:color w:val="000000"/>
                <w:sz w:val="21"/>
                <w:szCs w:val="21"/>
                <w:highlight w:val="none"/>
                <w:lang w:val="en-US" w:eastAsia="zh-CN" w:bidi="ar"/>
              </w:rPr>
              <w:t>4、</w:t>
            </w:r>
            <w:r>
              <w:rPr>
                <w:rFonts w:hint="eastAsia" w:hAnsi="宋体" w:cs="宋体"/>
                <w:b w:val="0"/>
                <w:bCs w:val="0"/>
                <w:color w:val="000000"/>
                <w:sz w:val="21"/>
                <w:szCs w:val="21"/>
                <w:highlight w:val="none"/>
                <w:lang w:val="en-US" w:eastAsia="zh-CN" w:bidi="ar"/>
              </w:rPr>
              <w:t>话筒</w:t>
            </w:r>
            <w:r>
              <w:rPr>
                <w:rFonts w:hint="eastAsia" w:hAnsi="宋体" w:cs="宋体"/>
                <w:b w:val="0"/>
                <w:bCs w:val="0"/>
                <w:color w:val="000000"/>
                <w:sz w:val="21"/>
                <w:szCs w:val="21"/>
                <w:highlight w:val="none"/>
                <w:lang w:bidi="ar"/>
              </w:rPr>
              <w:t>显示屏亮度级调节</w:t>
            </w:r>
            <w:r>
              <w:rPr>
                <w:rFonts w:hint="eastAsia" w:hAnsi="宋体" w:cs="宋体"/>
                <w:b w:val="0"/>
                <w:bCs w:val="0"/>
                <w:color w:val="000000"/>
                <w:sz w:val="21"/>
                <w:szCs w:val="21"/>
                <w:highlight w:val="none"/>
                <w:lang w:val="en-US" w:eastAsia="zh-CN" w:bidi="ar"/>
              </w:rPr>
              <w:t>及</w:t>
            </w:r>
            <w:r>
              <w:rPr>
                <w:rFonts w:hint="eastAsia" w:hAnsi="宋体" w:cs="宋体"/>
                <w:b w:val="0"/>
                <w:bCs w:val="0"/>
                <w:color w:val="000000"/>
                <w:sz w:val="21"/>
                <w:szCs w:val="21"/>
                <w:highlight w:val="none"/>
                <w:lang w:bidi="ar"/>
              </w:rPr>
              <w:t>一键全区报警嵌入式控制</w:t>
            </w:r>
            <w:r>
              <w:rPr>
                <w:rFonts w:hint="eastAsia" w:hAnsi="宋体" w:cs="宋体"/>
                <w:b w:val="0"/>
                <w:bCs w:val="0"/>
                <w:color w:val="000000"/>
                <w:sz w:val="21"/>
                <w:szCs w:val="21"/>
                <w:highlight w:val="none"/>
                <w:lang w:val="en-US" w:eastAsia="zh-CN" w:bidi="ar"/>
              </w:rPr>
              <w:t>类，得2分；</w:t>
            </w:r>
          </w:p>
          <w:p>
            <w:pPr>
              <w:widowControl/>
              <w:jc w:val="left"/>
              <w:rPr>
                <w:rFonts w:hint="eastAsia" w:hAnsi="宋体" w:eastAsia="宋体" w:cs="宋体"/>
                <w:b/>
                <w:bCs/>
                <w:color w:val="000000"/>
                <w:sz w:val="21"/>
                <w:szCs w:val="21"/>
                <w:highlight w:val="none"/>
                <w:lang w:eastAsia="zh-CN" w:bidi="ar"/>
              </w:rPr>
            </w:pPr>
            <w:r>
              <w:rPr>
                <w:rFonts w:hint="eastAsia" w:hAnsi="宋体" w:cs="宋体"/>
                <w:b/>
                <w:bCs/>
                <w:color w:val="000000"/>
                <w:sz w:val="21"/>
                <w:szCs w:val="21"/>
                <w:highlight w:val="none"/>
                <w:lang w:bidi="ar"/>
              </w:rPr>
              <w:t>注:提供</w:t>
            </w:r>
            <w:r>
              <w:rPr>
                <w:rFonts w:hint="eastAsia" w:hAnsi="宋体" w:cs="宋体"/>
                <w:b/>
                <w:bCs/>
                <w:color w:val="000000"/>
                <w:sz w:val="21"/>
                <w:szCs w:val="21"/>
                <w:highlight w:val="none"/>
                <w:lang w:val="en-US" w:eastAsia="zh-CN" w:bidi="ar"/>
              </w:rPr>
              <w:t>有效</w:t>
            </w:r>
            <w:r>
              <w:rPr>
                <w:rFonts w:hint="eastAsia" w:hAnsi="宋体" w:cs="宋体"/>
                <w:b/>
                <w:bCs/>
                <w:color w:val="000000"/>
                <w:sz w:val="21"/>
                <w:szCs w:val="21"/>
                <w:highlight w:val="none"/>
                <w:lang w:bidi="ar"/>
              </w:rPr>
              <w:t>证书作为评审依据</w:t>
            </w:r>
            <w:r>
              <w:rPr>
                <w:rFonts w:hint="eastAsia" w:hAnsi="宋体" w:cs="宋体"/>
                <w:b/>
                <w:bCs/>
                <w:color w:val="000000"/>
                <w:sz w:val="21"/>
                <w:szCs w:val="21"/>
                <w:highlight w:val="none"/>
                <w:lang w:eastAsia="zh-CN" w:bidi="ar"/>
              </w:rPr>
              <w:t>，</w:t>
            </w:r>
            <w:r>
              <w:rPr>
                <w:rFonts w:hint="eastAsia" w:hAnsi="宋体" w:cs="宋体"/>
                <w:b/>
                <w:bCs/>
                <w:color w:val="000000"/>
                <w:sz w:val="21"/>
                <w:szCs w:val="21"/>
                <w:highlight w:val="none"/>
                <w:lang w:val="en-US" w:eastAsia="zh-CN" w:bidi="ar"/>
              </w:rPr>
              <w:t>同一类软件著作权证书仅计一次。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771" w:type="dxa"/>
            <w:vMerge w:val="continue"/>
            <w:noWrap w:val="0"/>
            <w:vAlign w:val="top"/>
          </w:tcPr>
          <w:p>
            <w:pPr>
              <w:snapToGrid w:val="0"/>
              <w:spacing w:line="360" w:lineRule="auto"/>
              <w:jc w:val="center"/>
              <w:rPr>
                <w:rFonts w:hint="eastAsia" w:hAnsi="宋体" w:cs="宋体"/>
                <w:bCs/>
                <w:sz w:val="21"/>
                <w:szCs w:val="21"/>
                <w:highlight w:val="none"/>
              </w:rPr>
            </w:pPr>
          </w:p>
        </w:tc>
        <w:tc>
          <w:tcPr>
            <w:tcW w:w="966" w:type="dxa"/>
            <w:vMerge w:val="continue"/>
            <w:noWrap w:val="0"/>
            <w:vAlign w:val="top"/>
          </w:tcPr>
          <w:p>
            <w:pPr>
              <w:snapToGrid w:val="0"/>
              <w:spacing w:line="360" w:lineRule="auto"/>
              <w:jc w:val="center"/>
              <w:rPr>
                <w:rFonts w:hint="eastAsia" w:hAnsi="宋体" w:cs="宋体"/>
                <w:bCs/>
                <w:sz w:val="21"/>
                <w:szCs w:val="21"/>
                <w:highlight w:val="none"/>
              </w:rPr>
            </w:pPr>
          </w:p>
        </w:tc>
        <w:tc>
          <w:tcPr>
            <w:tcW w:w="1264" w:type="dxa"/>
            <w:noWrap w:val="0"/>
            <w:tcMar>
              <w:left w:w="75" w:type="dxa"/>
            </w:tcMar>
            <w:vAlign w:val="center"/>
          </w:tcPr>
          <w:p>
            <w:pPr>
              <w:snapToGrid w:val="0"/>
              <w:spacing w:line="360" w:lineRule="auto"/>
              <w:jc w:val="center"/>
              <w:rPr>
                <w:rFonts w:hint="eastAsia" w:hAnsi="宋体" w:cs="宋体"/>
                <w:sz w:val="21"/>
                <w:szCs w:val="21"/>
                <w:highlight w:val="none"/>
              </w:rPr>
            </w:pPr>
            <w:r>
              <w:rPr>
                <w:rFonts w:hint="eastAsia" w:hAnsi="宋体" w:cs="宋体"/>
                <w:sz w:val="21"/>
                <w:szCs w:val="21"/>
                <w:highlight w:val="none"/>
              </w:rPr>
              <w:t>技术评审</w:t>
            </w:r>
          </w:p>
        </w:tc>
        <w:tc>
          <w:tcPr>
            <w:tcW w:w="777"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rPr>
              <w:t>20分</w:t>
            </w:r>
          </w:p>
        </w:tc>
        <w:tc>
          <w:tcPr>
            <w:tcW w:w="4602" w:type="dxa"/>
            <w:noWrap w:val="0"/>
            <w:vAlign w:val="center"/>
          </w:tcPr>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下列设备完全满足或优于招标文件技术参数要求，并提供证明材料的，全部满足得20分，每有一项不满足的扣1分，扣完为止；其中每条的满足指“1、2、3、……”完整条目的符合性。</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一、红外球机</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支持红外灯补光，具有不少于10颗红外补光灯。支持红外灯照明角度应能随设备成像视角同步自动调节，照明范围可覆盖整个监控画面；红外灯开启时，设备应能根据被摄物的距离自动或手动调节红外灯亮度。在IE浏览器下，应具有红外灯变倍匹配设置选项。红外灯应具有10级灯光亮度可调，应具有手动/定时开关的功能</w:t>
            </w:r>
            <w:r>
              <w:rPr>
                <w:rFonts w:hint="eastAsia" w:ascii="宋体" w:hAnsi="宋体" w:eastAsia="宋体" w:cs="Times New Roman"/>
                <w:kern w:val="2"/>
                <w:sz w:val="21"/>
                <w:szCs w:val="21"/>
                <w:highlight w:val="none"/>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、应能通过客户端设置不少于16个不同的检测场景，在每个场景内可设置不少于8个智能分析区域，内置双核 GPU 芯片，1个EMMC芯片，1个NPU(神经网络处理)芯片，1个IVE(硬件加速算子)，1个 NNIE（神经网络加速引擎）；</w:t>
            </w:r>
          </w:p>
          <w:p>
            <w:pPr>
              <w:numPr>
                <w:ilvl w:val="0"/>
                <w:numId w:val="0"/>
              </w:numPr>
              <w:spacing w:line="240" w:lineRule="auto"/>
              <w:rPr>
                <w:rFonts w:hint="eastAsia"/>
                <w:b/>
                <w:bCs/>
                <w:highlight w:val="none"/>
              </w:rPr>
            </w:pPr>
            <w:r>
              <w:rPr>
                <w:rFonts w:hint="eastAsia" w:ascii="宋体" w:hAnsi="宋体" w:eastAsia="宋体" w:cs="Times New Roman"/>
                <w:b/>
                <w:bCs/>
                <w:kern w:val="2"/>
                <w:sz w:val="21"/>
                <w:szCs w:val="21"/>
                <w:highlight w:val="none"/>
                <w:lang w:val="en-US" w:eastAsia="zh-CN" w:bidi="ar-SA"/>
              </w:rPr>
              <w:t>注：</w:t>
            </w:r>
            <w:r>
              <w:rPr>
                <w:rFonts w:hint="eastAsia" w:ascii="宋体" w:hAnsi="宋体" w:eastAsia="宋体" w:cs="Times New Roman"/>
                <w:b/>
                <w:bCs/>
                <w:kern w:val="2"/>
                <w:sz w:val="21"/>
                <w:szCs w:val="21"/>
                <w:highlight w:val="none"/>
              </w:rPr>
              <w:t>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二</w:t>
            </w:r>
            <w:r>
              <w:rPr>
                <w:rFonts w:hint="eastAsia" w:ascii="宋体" w:hAnsi="宋体" w:eastAsia="宋体" w:cs="Times New Roman"/>
                <w:kern w:val="2"/>
                <w:sz w:val="21"/>
                <w:szCs w:val="21"/>
                <w:highlight w:val="none"/>
              </w:rPr>
              <w:t>、人脸识别一体机</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、应能设置人脸检测区域，具有人脸全景图片抓拍和人脸特写图片抓拍功能；具有人脸检测、人脸跟踪、人脸抓拍功能 ，人脸抓拍数量1~ 10 张可设；支待人脸检测的最小人脸尺寸设置，最小可设置13 X 13 像素；应能对同时出现在静态图片中的至少16 个人脸目标进行检测并实时叠加人脸框框出人脸；</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支持人脸抓拍，可将人脸抓拍图片分别存储为场景大图和人脸小图，场景大图和人脸小图可关联存储；支持对人脸以最优策略、最快速度等方式进行抓拍；支持部分人脸被遮挡时进行抓拍功能；支持人脸抓拍照片上报时间不超过2s；</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3</w:t>
            </w:r>
            <w:r>
              <w:rPr>
                <w:rFonts w:hint="eastAsia" w:ascii="宋体" w:hAnsi="宋体" w:eastAsia="宋体" w:cs="Times New Roman"/>
                <w:kern w:val="2"/>
                <w:sz w:val="21"/>
                <w:szCs w:val="21"/>
                <w:highlight w:val="none"/>
              </w:rPr>
              <w:t>、人脸抓拍捕获率≥99%（人脸正对摄像机，且人脸尺寸不小于13像素），人员奔跑抓拍捕获率≥99%（奔跑时人脸正对摄像机，人员奔跑速度不大于20km/h）；</w:t>
            </w:r>
          </w:p>
          <w:p>
            <w:pPr>
              <w:numPr>
                <w:ilvl w:val="0"/>
                <w:numId w:val="0"/>
              </w:numPr>
              <w:spacing w:line="240" w:lineRule="auto"/>
              <w:rPr>
                <w:rFonts w:hint="eastAsia"/>
                <w:highlight w:val="none"/>
              </w:rPr>
            </w:pPr>
            <w:r>
              <w:rPr>
                <w:rFonts w:hint="eastAsia" w:ascii="宋体" w:hAnsi="宋体" w:eastAsia="宋体" w:cs="Times New Roman"/>
                <w:b/>
                <w:bCs/>
                <w:kern w:val="2"/>
                <w:sz w:val="21"/>
                <w:szCs w:val="21"/>
                <w:highlight w:val="none"/>
                <w:lang w:val="en-US" w:eastAsia="zh-CN" w:bidi="ar-SA"/>
              </w:rPr>
              <w:t>注：</w:t>
            </w:r>
            <w:r>
              <w:rPr>
                <w:rFonts w:hint="eastAsia" w:ascii="宋体" w:hAnsi="宋体" w:eastAsia="宋体" w:cs="Times New Roman"/>
                <w:b/>
                <w:bCs/>
                <w:kern w:val="2"/>
                <w:sz w:val="21"/>
                <w:szCs w:val="21"/>
                <w:highlight w:val="none"/>
              </w:rPr>
              <w:t>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三</w:t>
            </w:r>
            <w:r>
              <w:rPr>
                <w:rFonts w:hint="eastAsia" w:ascii="宋体" w:hAnsi="宋体" w:eastAsia="宋体" w:cs="Times New Roman"/>
                <w:kern w:val="2"/>
                <w:sz w:val="21"/>
                <w:szCs w:val="21"/>
                <w:highlight w:val="none"/>
              </w:rPr>
              <w:t>、车辆抓拍一体机</w:t>
            </w:r>
          </w:p>
          <w:p>
            <w:pPr>
              <w:spacing w:line="240" w:lineRule="auto"/>
              <w:rPr>
                <w:rFonts w:hint="eastAsia"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w:t>
            </w:r>
            <w:r>
              <w:rPr>
                <w:rFonts w:hint="eastAsia" w:ascii="宋体" w:hAnsi="宋体" w:eastAsia="宋体" w:cs="Times New Roman"/>
                <w:kern w:val="2"/>
                <w:sz w:val="21"/>
                <w:szCs w:val="21"/>
                <w:highlight w:val="none"/>
                <w:lang w:val="en-US" w:eastAsia="zh-CN"/>
              </w:rPr>
              <w:t>具有混合目标（机动车、非机动车、人体、人脸）抓拍功能，并提供混合目标对应的全景图片抓怕和特写图片抓拍功能，同一静止场景相同图像质量下，在H.265编码方式时，开启智能编码功能和不开启智能编码相比，码率节约90%；</w:t>
            </w:r>
          </w:p>
          <w:p>
            <w:pPr>
              <w:numPr>
                <w:ilvl w:val="0"/>
                <w:numId w:val="0"/>
              </w:numPr>
              <w:spacing w:line="240" w:lineRule="auto"/>
              <w:rPr>
                <w:rFonts w:hint="eastAsia"/>
                <w:highlight w:val="none"/>
                <w:lang w:val="en-US" w:eastAsia="zh-CN"/>
              </w:rPr>
            </w:pPr>
            <w:r>
              <w:rPr>
                <w:rFonts w:hint="eastAsia" w:ascii="宋体" w:hAnsi="宋体" w:eastAsia="宋体" w:cs="Times New Roman"/>
                <w:b/>
                <w:bCs/>
                <w:kern w:val="2"/>
                <w:sz w:val="21"/>
                <w:szCs w:val="21"/>
                <w:highlight w:val="none"/>
                <w:lang w:val="en-US" w:eastAsia="zh-CN" w:bidi="ar-SA"/>
              </w:rPr>
              <w:t>注：</w:t>
            </w:r>
            <w:r>
              <w:rPr>
                <w:rFonts w:hint="eastAsia" w:ascii="宋体" w:hAnsi="宋体" w:eastAsia="宋体" w:cs="Times New Roman"/>
                <w:b/>
                <w:bCs/>
                <w:kern w:val="2"/>
                <w:sz w:val="21"/>
                <w:szCs w:val="21"/>
                <w:highlight w:val="none"/>
              </w:rPr>
              <w:t>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四</w:t>
            </w:r>
            <w:r>
              <w:rPr>
                <w:rFonts w:hint="eastAsia" w:ascii="宋体" w:hAnsi="宋体" w:eastAsia="宋体" w:cs="Times New Roman"/>
                <w:kern w:val="2"/>
                <w:sz w:val="21"/>
                <w:szCs w:val="21"/>
                <w:highlight w:val="none"/>
              </w:rPr>
              <w:t>、网络存储服务器</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、可一键添加不同网段的前端摄像机，支持接入NVR设备，并选择通道进行添加，设备应能预录报警触发前不少于60s的视（音）频，在手机APP端，支持报警输入触发一键撤防功能，且撤防的报警类型可选；</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、支持以1/16、1/8、1/4、1/2、1、2、4、8、16、32、64、128、256、512倍速回放录像；</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3</w:t>
            </w:r>
            <w:r>
              <w:rPr>
                <w:rFonts w:hint="eastAsia" w:ascii="宋体" w:hAnsi="宋体" w:eastAsia="宋体" w:cs="Times New Roman"/>
                <w:kern w:val="2"/>
                <w:sz w:val="21"/>
                <w:szCs w:val="21"/>
                <w:highlight w:val="none"/>
              </w:rPr>
              <w:t>、当插入USB设备时，界面应可自动弹窗提示，可对重要的数据进行备份，录像文件应支持备份为MP4、SDV、AVI三种格式可选；支持将数据备份至采用NTFS文件系统格式的设备，具备备份认证功能，启用后必须输入密码才能进行数据备份；</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4</w:t>
            </w:r>
            <w:r>
              <w:rPr>
                <w:rFonts w:hint="eastAsia" w:ascii="宋体" w:hAnsi="宋体" w:eastAsia="宋体" w:cs="Times New Roman"/>
                <w:kern w:val="2"/>
                <w:sz w:val="21"/>
                <w:szCs w:val="21"/>
                <w:highlight w:val="none"/>
              </w:rPr>
              <w:t>、支持录像转码功能，通过浏览器下载录像时，可将高分辨率的录像转码为低分辨率的录像，支持不少于16个车道抓拍数据同时记录；支持按车牌号、车辆品牌、车身颜色、车辆类型、路口、车道、行驶方向、上传状态、起止时间等条件检索车辆抓拍图片与录像；</w:t>
            </w:r>
          </w:p>
          <w:p>
            <w:pPr>
              <w:numPr>
                <w:ilvl w:val="0"/>
                <w:numId w:val="0"/>
              </w:numPr>
              <w:spacing w:line="240" w:lineRule="auto"/>
              <w:rPr>
                <w:rFonts w:hint="eastAsia"/>
                <w:highlight w:val="none"/>
              </w:rPr>
            </w:pPr>
            <w:r>
              <w:rPr>
                <w:rFonts w:hint="eastAsia" w:ascii="宋体" w:hAnsi="宋体" w:eastAsia="宋体" w:cs="Times New Roman"/>
                <w:b/>
                <w:bCs/>
                <w:kern w:val="2"/>
                <w:sz w:val="21"/>
                <w:szCs w:val="21"/>
                <w:highlight w:val="none"/>
                <w:lang w:val="en-US" w:eastAsia="zh-CN" w:bidi="ar-SA"/>
              </w:rPr>
              <w:t>注：</w:t>
            </w:r>
            <w:r>
              <w:rPr>
                <w:rFonts w:hint="eastAsia" w:ascii="宋体" w:hAnsi="宋体" w:eastAsia="宋体" w:cs="Times New Roman"/>
                <w:b/>
                <w:bCs/>
                <w:kern w:val="2"/>
                <w:sz w:val="21"/>
                <w:szCs w:val="21"/>
                <w:highlight w:val="none"/>
              </w:rPr>
              <w:t>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五</w:t>
            </w:r>
            <w:r>
              <w:rPr>
                <w:rFonts w:hint="eastAsia" w:ascii="宋体" w:hAnsi="宋体" w:eastAsia="宋体" w:cs="Times New Roman"/>
                <w:kern w:val="2"/>
                <w:sz w:val="21"/>
                <w:szCs w:val="21"/>
                <w:highlight w:val="none"/>
              </w:rPr>
              <w:t>、55寸液晶拼接屏</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、泄露电流：可触及接地零部件，接触电流限制≤3.5mA；</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、屏幕漏光度小于0.01cd/㎡，具有抗强光性能可抵抗太阳光等强光干扰,照度在95KLux能正常工作；</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3</w:t>
            </w:r>
            <w:r>
              <w:rPr>
                <w:rFonts w:hint="eastAsia" w:ascii="宋体" w:hAnsi="宋体" w:eastAsia="宋体" w:cs="Times New Roman"/>
                <w:kern w:val="2"/>
                <w:sz w:val="21"/>
                <w:szCs w:val="21"/>
                <w:highlight w:val="none"/>
              </w:rPr>
              <w:t>、屏体内置智能开机延时模块，实现显示单元逐一延迟开机启动，有效防止同时开机造成大的电流冲击，引起显示单元损坏；</w:t>
            </w:r>
          </w:p>
          <w:p>
            <w:pPr>
              <w:spacing w:line="240" w:lineRule="auto"/>
              <w:rPr>
                <w:rFonts w:hint="eastAsia" w:ascii="宋体" w:hAnsi="宋体" w:eastAsia="宋体" w:cs="Times New Roman"/>
                <w:kern w:val="2"/>
                <w:sz w:val="21"/>
                <w:szCs w:val="21"/>
                <w:highlight w:val="none"/>
                <w:lang w:eastAsia="zh-CN"/>
              </w:rPr>
            </w:pPr>
            <w:r>
              <w:rPr>
                <w:rFonts w:hint="eastAsia" w:ascii="宋体" w:hAnsi="宋体" w:eastAsia="宋体" w:cs="Times New Roman"/>
                <w:kern w:val="2"/>
                <w:sz w:val="21"/>
                <w:szCs w:val="21"/>
                <w:highlight w:val="none"/>
                <w:lang w:val="en-US" w:eastAsia="zh-CN"/>
              </w:rPr>
              <w:t>20</w:t>
            </w:r>
            <w:r>
              <w:rPr>
                <w:rFonts w:hint="eastAsia" w:ascii="宋体" w:hAnsi="宋体" w:eastAsia="宋体" w:cs="Times New Roman"/>
                <w:kern w:val="2"/>
                <w:sz w:val="21"/>
                <w:szCs w:val="21"/>
                <w:highlight w:val="none"/>
              </w:rPr>
              <w:t>、屏幕阻接地端子与可触及金属部件之间的阻抗＜0.1Ω，接地电阻符合安全要求</w:t>
            </w:r>
            <w:r>
              <w:rPr>
                <w:rFonts w:hint="eastAsia" w:ascii="宋体" w:hAnsi="宋体" w:eastAsia="宋体" w:cs="Times New Roman"/>
                <w:kern w:val="2"/>
                <w:sz w:val="21"/>
                <w:szCs w:val="21"/>
                <w:highlight w:val="none"/>
                <w:lang w:eastAsia="zh-CN"/>
              </w:rPr>
              <w:t>；</w:t>
            </w:r>
          </w:p>
          <w:p>
            <w:pPr>
              <w:numPr>
                <w:ilvl w:val="0"/>
                <w:numId w:val="0"/>
              </w:numPr>
              <w:spacing w:line="240" w:lineRule="auto"/>
              <w:rPr>
                <w:rFonts w:hint="eastAsia"/>
                <w:highlight w:val="none"/>
                <w:lang w:eastAsia="zh-CN"/>
              </w:rPr>
            </w:pPr>
            <w:r>
              <w:rPr>
                <w:rFonts w:hint="eastAsia" w:ascii="宋体" w:hAnsi="宋体" w:eastAsia="宋体" w:cs="Times New Roman"/>
                <w:b/>
                <w:bCs/>
                <w:kern w:val="2"/>
                <w:sz w:val="21"/>
                <w:szCs w:val="21"/>
                <w:highlight w:val="none"/>
                <w:lang w:val="en-US" w:eastAsia="zh-CN" w:bidi="ar-SA"/>
              </w:rPr>
              <w:t>注：</w:t>
            </w:r>
            <w:r>
              <w:rPr>
                <w:rFonts w:hint="eastAsia" w:ascii="宋体" w:hAnsi="宋体" w:eastAsia="宋体" w:cs="Times New Roman"/>
                <w:b/>
                <w:bCs/>
                <w:kern w:val="2"/>
                <w:sz w:val="21"/>
                <w:szCs w:val="21"/>
                <w:highlight w:val="none"/>
              </w:rPr>
              <w:t>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六</w:t>
            </w:r>
            <w:r>
              <w:rPr>
                <w:rFonts w:hint="eastAsia" w:ascii="宋体" w:hAnsi="宋体" w:eastAsia="宋体" w:cs="Times New Roman"/>
                <w:kern w:val="2"/>
                <w:sz w:val="21"/>
                <w:szCs w:val="21"/>
                <w:highlight w:val="none"/>
              </w:rPr>
              <w:t>、解码拼控一体机</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、解码能力最大支持整机解码通道不少于144路；支持不少于6 路12MP（4000×3072）、12路8MP（3840×2160）、18路5MP（2560×2048）、24路4MP（2560×1440）、33路3MP（2048×1536) 、48路1080P（1920×1080）、96路720P（1280×720）、144路960H（960×576）视频解码；</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、视频输入信号经过设备解码输出后与原信号间的时间延迟应不高于170ms，支持拼接LCD拼接屏、LED小间距 ；应支持拼接、开窗、叠加、漫游、跨屏等功能；</w:t>
            </w:r>
          </w:p>
          <w:p>
            <w:pPr>
              <w:spacing w:line="240" w:lineRule="auto"/>
              <w:rPr>
                <w:rFonts w:hint="eastAsia" w:ascii="宋体" w:hAnsi="宋体" w:eastAsia="宋体" w:cs="Times New Roman"/>
                <w:kern w:val="2"/>
                <w:sz w:val="21"/>
                <w:szCs w:val="21"/>
                <w:highlight w:val="none"/>
                <w:lang w:eastAsia="zh-CN"/>
              </w:rPr>
            </w:pPr>
            <w:r>
              <w:rPr>
                <w:rFonts w:hint="eastAsia" w:ascii="宋体" w:hAnsi="宋体" w:eastAsia="宋体" w:cs="Times New Roman"/>
                <w:kern w:val="2"/>
                <w:sz w:val="21"/>
                <w:szCs w:val="21"/>
                <w:highlight w:val="none"/>
                <w:lang w:val="en-US" w:eastAsia="zh-CN"/>
              </w:rPr>
              <w:t>3</w:t>
            </w:r>
            <w:r>
              <w:rPr>
                <w:rFonts w:hint="eastAsia" w:ascii="宋体" w:hAnsi="宋体" w:eastAsia="宋体" w:cs="Times New Roman"/>
                <w:kern w:val="2"/>
                <w:sz w:val="21"/>
                <w:szCs w:val="21"/>
                <w:highlight w:val="none"/>
              </w:rPr>
              <w:t>、支持叠加图层不小于80层</w:t>
            </w:r>
            <w:r>
              <w:rPr>
                <w:rFonts w:hint="eastAsia" w:ascii="宋体" w:hAnsi="宋体" w:eastAsia="宋体" w:cs="Times New Roman"/>
                <w:kern w:val="2"/>
                <w:sz w:val="21"/>
                <w:szCs w:val="21"/>
                <w:highlight w:val="none"/>
                <w:lang w:eastAsia="zh-CN"/>
              </w:rPr>
              <w:t>。</w:t>
            </w:r>
          </w:p>
          <w:p>
            <w:pPr>
              <w:numPr>
                <w:ilvl w:val="0"/>
                <w:numId w:val="0"/>
              </w:numPr>
              <w:spacing w:line="240" w:lineRule="auto"/>
              <w:rPr>
                <w:rFonts w:hint="eastAsia"/>
                <w:highlight w:val="none"/>
                <w:lang w:eastAsia="zh-CN"/>
              </w:rPr>
            </w:pPr>
            <w:r>
              <w:rPr>
                <w:rFonts w:hint="eastAsia" w:ascii="宋体" w:hAnsi="宋体" w:eastAsia="宋体" w:cs="Times New Roman"/>
                <w:b/>
                <w:bCs/>
                <w:kern w:val="2"/>
                <w:sz w:val="21"/>
                <w:szCs w:val="21"/>
                <w:highlight w:val="none"/>
                <w:lang w:val="en-US" w:eastAsia="zh-CN" w:bidi="ar-SA"/>
              </w:rPr>
              <w:t>注：</w:t>
            </w:r>
            <w:r>
              <w:rPr>
                <w:rFonts w:hint="eastAsia" w:ascii="宋体" w:hAnsi="宋体" w:eastAsia="宋体" w:cs="Times New Roman"/>
                <w:b/>
                <w:bCs/>
                <w:kern w:val="2"/>
                <w:sz w:val="21"/>
                <w:szCs w:val="21"/>
                <w:highlight w:val="none"/>
              </w:rPr>
              <w:t>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七</w:t>
            </w:r>
            <w:r>
              <w:rPr>
                <w:rFonts w:hint="eastAsia" w:ascii="宋体" w:hAnsi="宋体" w:eastAsia="宋体" w:cs="Times New Roman"/>
                <w:kern w:val="2"/>
                <w:sz w:val="21"/>
                <w:szCs w:val="21"/>
                <w:highlight w:val="none"/>
              </w:rPr>
              <w:t>、内网核心交换机</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、支持≥</w:t>
            </w:r>
            <w:r>
              <w:rPr>
                <w:rFonts w:hint="eastAsia" w:ascii="宋体" w:hAnsi="宋体" w:eastAsia="宋体" w:cs="Times New Roman"/>
                <w:kern w:val="2"/>
                <w:sz w:val="21"/>
                <w:szCs w:val="21"/>
                <w:highlight w:val="none"/>
                <w:lang w:val="en-US" w:eastAsia="zh-CN"/>
              </w:rPr>
              <w:t>16</w:t>
            </w:r>
            <w:r>
              <w:rPr>
                <w:rFonts w:hint="eastAsia" w:ascii="宋体" w:hAnsi="宋体" w:eastAsia="宋体" w:cs="Times New Roman"/>
                <w:kern w:val="2"/>
                <w:sz w:val="21"/>
                <w:szCs w:val="21"/>
                <w:highlight w:val="none"/>
              </w:rPr>
              <w:t>台横向虚拟化功能，实现多个物理设备虚拟为一个逻辑设备进行管理的虚拟化功能。同时支持纵向虚拟化功能，接入交换机作为核心交换机的端口扩展板卡进行配置统一管理,支持≥128台设备虚拟成一台设备；</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、支持 OSPFv2、OSPFv3、RIPv2、RIPng、ISISv4、ISISv6、BGP、BGP4+协议的国密（SM3）安全认证功能、生成树协议国密（SM4）安全认证功能、SSH 国密安全认证功能；</w:t>
            </w:r>
          </w:p>
          <w:p>
            <w:pPr>
              <w:spacing w:line="240" w:lineRule="auto"/>
              <w:rPr>
                <w:rFonts w:hint="eastAsia"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3、了满足网络未来的发展趋势，要求设备支持SDN功能，支持SDN控制器的统一管理，支持通过 SDN 控制器平台一键替换“按钮”即可完成故障设备替换；</w:t>
            </w:r>
          </w:p>
          <w:p>
            <w:pPr>
              <w:spacing w:line="240" w:lineRule="auto"/>
              <w:rPr>
                <w:rFonts w:hint="eastAsia"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4、支持环网G.8032协议，实现ms级业务倒换，支持VXLAN L2层转发功能；为减少设备运维的难度，要求设备包括使用 U 盘，DHCP，LLDP 等方式进行开局；</w:t>
            </w:r>
          </w:p>
          <w:p>
            <w:pPr>
              <w:spacing w:line="240" w:lineRule="auto"/>
              <w:rPr>
                <w:rFonts w:hint="eastAsia"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5、为提高网络终端管理的便捷性，要求支持终端扫描功能，能针对接入终端进行扫描，支持包括终端类型、终端 IP、终端 MAC、终端操作系统等；</w:t>
            </w:r>
          </w:p>
          <w:p>
            <w:pPr>
              <w:spacing w:line="240" w:lineRule="auto"/>
              <w:rPr>
                <w:rFonts w:hint="eastAsia"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6、为确保网络的安全性，要求设备支持终端脆弱性扫描功能；</w:t>
            </w:r>
          </w:p>
          <w:p>
            <w:pPr>
              <w:numPr>
                <w:ilvl w:val="0"/>
                <w:numId w:val="0"/>
              </w:numPr>
              <w:spacing w:line="240" w:lineRule="auto"/>
              <w:rPr>
                <w:rFonts w:hint="eastAsia"/>
                <w:highlight w:val="none"/>
                <w:lang w:eastAsia="zh-CN"/>
              </w:rPr>
            </w:pPr>
            <w:r>
              <w:rPr>
                <w:rFonts w:hint="eastAsia" w:ascii="宋体" w:hAnsi="宋体" w:eastAsia="宋体" w:cs="Times New Roman"/>
                <w:b/>
                <w:bCs/>
                <w:kern w:val="2"/>
                <w:sz w:val="21"/>
                <w:szCs w:val="21"/>
                <w:highlight w:val="none"/>
                <w:lang w:val="en-US" w:eastAsia="zh-CN" w:bidi="ar-SA"/>
              </w:rPr>
              <w:t>注：</w:t>
            </w:r>
            <w:r>
              <w:rPr>
                <w:rFonts w:hint="eastAsia" w:ascii="宋体" w:hAnsi="宋体" w:eastAsia="宋体" w:cs="Times New Roman"/>
                <w:b/>
                <w:bCs/>
                <w:kern w:val="2"/>
                <w:sz w:val="21"/>
                <w:szCs w:val="21"/>
                <w:highlight w:val="none"/>
              </w:rPr>
              <w:t>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八</w:t>
            </w:r>
            <w:r>
              <w:rPr>
                <w:rFonts w:hint="eastAsia" w:ascii="宋体" w:hAnsi="宋体" w:eastAsia="宋体" w:cs="Times New Roman"/>
                <w:kern w:val="2"/>
                <w:sz w:val="21"/>
                <w:szCs w:val="21"/>
                <w:highlight w:val="none"/>
              </w:rPr>
              <w:t>、外网核心交换机</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、支持≥8台横向虚拟化功能，实现多个物理设备虚拟为一个逻辑设备进行管理的虚拟化功能，同时支持纵向虚拟化功能，接入交换机作为核心交换机的端口扩展板卡进行配置统一管理, 支持≥128台设备虚拟成一台设备。</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、支持CPU 保护功能，如ICMP Flood拦截、SYN Flood攻击拦截等，CPU根据不同协议进行限速保护，支持MSTP协议国密算法加密，RIP、OSPF协议支持国密认证算法，支持配置文件国密算法加密，防护设备配置环境信息泄漏；</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3</w:t>
            </w:r>
            <w:r>
              <w:rPr>
                <w:rFonts w:hint="eastAsia" w:ascii="宋体" w:hAnsi="宋体" w:eastAsia="宋体" w:cs="Times New Roman"/>
                <w:kern w:val="2"/>
                <w:sz w:val="21"/>
                <w:szCs w:val="21"/>
                <w:highlight w:val="none"/>
              </w:rPr>
              <w:t>、为了满足网络未来的发展趋势，要求设备支持SDN功能，支持Netconf协议，支持SDN控制器的统一管理，支持环网G.8032协议，实现ms级业务倒换，支持二层VXLAN网关，支持ZTP,可实现零配置，零IP开局；</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4</w:t>
            </w:r>
            <w:r>
              <w:rPr>
                <w:rFonts w:hint="eastAsia" w:ascii="宋体" w:hAnsi="宋体" w:eastAsia="宋体" w:cs="Times New Roman"/>
                <w:kern w:val="2"/>
                <w:sz w:val="21"/>
                <w:szCs w:val="21"/>
                <w:highlight w:val="none"/>
              </w:rPr>
              <w:t>、支持远程运维平台管理，设备可通过运维平台实现远程访问设备WEB管理界面。同时为保证远程访问设备WEB的安全性，要求远程访问隧道基于HTTPS。</w:t>
            </w:r>
          </w:p>
          <w:p>
            <w:pPr>
              <w:spacing w:line="240" w:lineRule="auto"/>
              <w:rPr>
                <w:rFonts w:hint="eastAsia" w:ascii="宋体" w:hAnsi="宋体" w:eastAsia="宋体" w:cs="Times New Roman"/>
                <w:b/>
                <w:bCs/>
                <w:kern w:val="2"/>
                <w:sz w:val="21"/>
                <w:szCs w:val="21"/>
                <w:highlight w:val="none"/>
                <w:lang w:eastAsia="zh-CN"/>
              </w:rPr>
            </w:pPr>
            <w:r>
              <w:rPr>
                <w:rFonts w:hint="eastAsia" w:ascii="宋体" w:hAnsi="宋体" w:eastAsia="宋体" w:cs="Times New Roman"/>
                <w:b/>
                <w:bCs/>
                <w:kern w:val="2"/>
                <w:sz w:val="21"/>
                <w:szCs w:val="21"/>
                <w:highlight w:val="none"/>
              </w:rPr>
              <w:t>注：提供产品官网截图</w:t>
            </w:r>
            <w:r>
              <w:rPr>
                <w:rFonts w:hint="eastAsia" w:ascii="宋体" w:hAnsi="宋体" w:eastAsia="宋体" w:cs="Times New Roman"/>
                <w:b/>
                <w:bCs/>
                <w:kern w:val="2"/>
                <w:sz w:val="21"/>
                <w:szCs w:val="21"/>
                <w:highlight w:val="none"/>
                <w:lang w:val="en-US" w:eastAsia="zh-CN"/>
              </w:rPr>
              <w:t>及链接</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九</w:t>
            </w:r>
            <w:r>
              <w:rPr>
                <w:rFonts w:hint="eastAsia" w:ascii="宋体" w:hAnsi="宋体" w:eastAsia="宋体" w:cs="Times New Roman"/>
                <w:kern w:val="2"/>
                <w:sz w:val="21"/>
                <w:szCs w:val="21"/>
                <w:highlight w:val="none"/>
              </w:rPr>
              <w:t>、下一代防火墙</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、具备视频IoT管控，支持识别海康、大华、宇视的IPC/NVR/CDR等终端，具备识别ONVIF协议终端，支持弱口令、高危端口检测等，并且满足GB/T 28181-2016公共安全视频监控联网系统信息传输、交换、控制技术要求；</w:t>
            </w:r>
          </w:p>
          <w:p>
            <w:pPr>
              <w:spacing w:line="240" w:lineRule="auto"/>
              <w:rPr>
                <w:rFonts w:hint="eastAsia" w:ascii="宋体" w:hAnsi="宋体" w:eastAsia="宋体" w:cs="Times New Roman"/>
                <w:b/>
                <w:bCs/>
                <w:kern w:val="2"/>
                <w:sz w:val="21"/>
                <w:szCs w:val="21"/>
                <w:highlight w:val="none"/>
                <w:lang w:eastAsia="zh-CN"/>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、产品具备容器化服务能力、孪生模式、WEB或者手机app监控设备情报、Mini policy等功能；</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3</w:t>
            </w:r>
            <w:r>
              <w:rPr>
                <w:rFonts w:hint="eastAsia" w:ascii="宋体" w:hAnsi="宋体" w:eastAsia="宋体" w:cs="Times New Roman"/>
                <w:kern w:val="2"/>
                <w:sz w:val="21"/>
                <w:szCs w:val="21"/>
                <w:highlight w:val="none"/>
              </w:rPr>
              <w:t>、</w:t>
            </w:r>
            <w:r>
              <w:rPr>
                <w:rFonts w:hint="eastAsia" w:ascii="宋体" w:hAnsi="宋体" w:eastAsia="宋体" w:cs="Times New Roman"/>
                <w:kern w:val="2"/>
                <w:sz w:val="21"/>
                <w:szCs w:val="21"/>
                <w:highlight w:val="none"/>
                <w:lang w:val="en-US" w:eastAsia="zh-CN"/>
              </w:rPr>
              <w:t>符合</w:t>
            </w:r>
            <w:r>
              <w:rPr>
                <w:rFonts w:hint="eastAsia" w:ascii="宋体" w:hAnsi="宋体" w:eastAsia="宋体" w:cs="Times New Roman"/>
                <w:kern w:val="2"/>
                <w:sz w:val="21"/>
                <w:szCs w:val="21"/>
                <w:highlight w:val="none"/>
              </w:rPr>
              <w:t>国家无线电监测中心浪涌（冲击）抗扰度4KV检验</w:t>
            </w:r>
            <w:r>
              <w:rPr>
                <w:rFonts w:hint="eastAsia" w:ascii="宋体" w:hAnsi="宋体" w:eastAsia="宋体" w:cs="Times New Roman"/>
                <w:kern w:val="2"/>
                <w:sz w:val="21"/>
                <w:szCs w:val="21"/>
                <w:highlight w:val="none"/>
                <w:lang w:val="en-US" w:eastAsia="zh-CN"/>
              </w:rPr>
              <w:t>标准</w:t>
            </w:r>
            <w:r>
              <w:rPr>
                <w:rFonts w:hint="eastAsia" w:ascii="宋体" w:hAnsi="宋体" w:eastAsia="宋体" w:cs="Times New Roman"/>
                <w:kern w:val="2"/>
                <w:sz w:val="21"/>
                <w:szCs w:val="21"/>
                <w:highlight w:val="none"/>
              </w:rPr>
              <w:t>；</w:t>
            </w:r>
          </w:p>
          <w:p>
            <w:pPr>
              <w:spacing w:line="240" w:lineRule="auto"/>
              <w:rPr>
                <w:rFonts w:hint="eastAsia" w:ascii="宋体" w:hAnsi="宋体" w:eastAsia="宋体" w:cs="Times New Roman"/>
                <w:b/>
                <w:bCs/>
                <w:kern w:val="2"/>
                <w:sz w:val="21"/>
                <w:szCs w:val="21"/>
                <w:highlight w:val="none"/>
              </w:rPr>
            </w:pPr>
            <w:r>
              <w:rPr>
                <w:rFonts w:hint="eastAsia" w:ascii="宋体" w:hAnsi="宋体" w:eastAsia="宋体" w:cs="Times New Roman"/>
                <w:b/>
                <w:bCs/>
                <w:kern w:val="2"/>
                <w:sz w:val="21"/>
                <w:szCs w:val="21"/>
                <w:highlight w:val="none"/>
              </w:rPr>
              <w:t>注：提供具有CMA或CNAS标识的第三方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十、诊室门口显示屏</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整机外壳采用金属材质，抗撞防刮抗腐蚀，表面无尖锐边缘或凸起，保证安全使用；防火等级：为保证产品使用安全，箱体内部的线材均采用符合低烟无卤标准JB/T10491-2004,关键原材料采用防火材料，防火等级达到国际最高标准BS476等级；</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内容管理：支持自动生成播放流水日志文件备案功能，便于客户查询记录，无须任何手动操作；页面自动跳转：当处于主页面时，10s不进行操作画面会自动跳转到节目播放页面;当处于子页面时60s不进行操作画面会自动跳转到主页面；</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3</w:t>
            </w:r>
            <w:r>
              <w:rPr>
                <w:rFonts w:hint="eastAsia" w:ascii="宋体" w:hAnsi="宋体" w:eastAsia="宋体" w:cs="Times New Roman"/>
                <w:kern w:val="2"/>
                <w:sz w:val="21"/>
                <w:szCs w:val="21"/>
                <w:highlight w:val="none"/>
              </w:rPr>
              <w:t>、视觉舒适度：( VIcO指数）范围在0-1级,满足CSA035.2-2017标准；</w:t>
            </w:r>
          </w:p>
          <w:p>
            <w:pPr>
              <w:spacing w:line="240" w:lineRule="auto"/>
              <w:rPr>
                <w:rFonts w:hint="eastAsia" w:ascii="宋体" w:hAnsi="宋体" w:eastAsia="宋体" w:cs="Times New Roman"/>
                <w:b/>
                <w:bCs/>
                <w:kern w:val="2"/>
                <w:sz w:val="21"/>
                <w:szCs w:val="21"/>
                <w:highlight w:val="none"/>
                <w:lang w:eastAsia="zh-CN"/>
              </w:rPr>
            </w:pPr>
            <w:r>
              <w:rPr>
                <w:rFonts w:hint="eastAsia" w:ascii="宋体" w:hAnsi="宋体" w:eastAsia="宋体" w:cs="Times New Roman"/>
                <w:b/>
                <w:bCs/>
                <w:kern w:val="2"/>
                <w:sz w:val="21"/>
                <w:szCs w:val="21"/>
                <w:highlight w:val="none"/>
              </w:rPr>
              <w:t>注：提供具有CMA或CNAS标识的第三方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val="en-US"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十</w:t>
            </w:r>
            <w:r>
              <w:rPr>
                <w:rFonts w:hint="eastAsia" w:ascii="宋体" w:hAnsi="宋体" w:eastAsia="宋体" w:cs="Times New Roman"/>
                <w:kern w:val="2"/>
                <w:sz w:val="21"/>
                <w:szCs w:val="21"/>
                <w:highlight w:val="none"/>
                <w:lang w:val="en-US" w:eastAsia="zh-CN"/>
              </w:rPr>
              <w:t>一</w:t>
            </w:r>
            <w:r>
              <w:rPr>
                <w:rFonts w:hint="eastAsia" w:ascii="宋体" w:hAnsi="宋体" w:eastAsia="宋体" w:cs="Times New Roman"/>
                <w:kern w:val="2"/>
                <w:sz w:val="21"/>
                <w:szCs w:val="21"/>
                <w:highlight w:val="none"/>
              </w:rPr>
              <w:t>、门诊中庭LED显示大屏</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对比度：＞8000:1使图像更加清晰醒目，色彩更加鲜明艳丽，细节表现突出及灰度层次感强，显示效果更加出色，显示屏需具有播放防卡死功能，播放过程中视频、图片等播放文件出现卡死现象，软件能快速停止当前播放文件，切换到下一个媒体播放且可满足用户开机自定义画面，开机LOGO定制功能；显示屏需通过光生物安全及蓝光检测、高低温工作试验、高低温存储试验、温升试验、盐雾、紫外老化、噪音；</w:t>
            </w:r>
          </w:p>
          <w:p>
            <w:pPr>
              <w:spacing w:line="240" w:lineRule="auto"/>
              <w:rPr>
                <w:rFonts w:hint="eastAsia"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2、为保障显示屏的用电安全，显示屏需具有安全监测模块，可对电路线缆温度、环境温度、漏电（剩余电流）等进行实时监测，可对电流、电压、温度、过载等数据设置报警值，超过限值自动报警；</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3</w:t>
            </w:r>
            <w:r>
              <w:rPr>
                <w:rFonts w:hint="eastAsia" w:ascii="宋体" w:hAnsi="宋体" w:eastAsia="宋体" w:cs="Times New Roman"/>
                <w:kern w:val="2"/>
                <w:sz w:val="21"/>
                <w:szCs w:val="21"/>
                <w:highlight w:val="none"/>
              </w:rPr>
              <w:t>、为保障显示屏的播放效果，显示屏可在1/1500秒专业相机拍摄情况下，画面无频闪线、无晃动，完全满足现场直播镜头切换无闪烁无黑场需求，且具有动态检测技术有效消除杂色和干扰，显示屏可连续工作200小时，无电路、机械、操作系统等故障，设备画面可正常显示，颜色正常无衰减；</w:t>
            </w:r>
          </w:p>
          <w:p>
            <w:pPr>
              <w:spacing w:line="240" w:lineRule="auto"/>
              <w:rPr>
                <w:rFonts w:hint="eastAsia" w:ascii="宋体" w:hAnsi="宋体" w:eastAsia="宋体" w:cs="Times New Roman"/>
                <w:b/>
                <w:bCs/>
                <w:kern w:val="2"/>
                <w:sz w:val="21"/>
                <w:szCs w:val="21"/>
                <w:highlight w:val="none"/>
                <w:lang w:eastAsia="zh-CN"/>
              </w:rPr>
            </w:pPr>
            <w:r>
              <w:rPr>
                <w:rFonts w:hint="eastAsia" w:ascii="宋体" w:hAnsi="宋体" w:eastAsia="宋体" w:cs="Times New Roman"/>
                <w:b/>
                <w:bCs/>
                <w:kern w:val="2"/>
                <w:sz w:val="21"/>
                <w:szCs w:val="21"/>
                <w:highlight w:val="none"/>
              </w:rPr>
              <w:t>注：提供具有CMA或CNAS标识的第三方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十</w:t>
            </w:r>
            <w:r>
              <w:rPr>
                <w:rFonts w:hint="eastAsia" w:ascii="宋体" w:hAnsi="宋体" w:eastAsia="宋体" w:cs="Times New Roman"/>
                <w:kern w:val="2"/>
                <w:sz w:val="21"/>
                <w:szCs w:val="21"/>
                <w:highlight w:val="none"/>
                <w:lang w:val="en-US" w:eastAsia="zh-CN"/>
              </w:rPr>
              <w:t>二</w:t>
            </w:r>
            <w:r>
              <w:rPr>
                <w:rFonts w:hint="eastAsia" w:ascii="宋体" w:hAnsi="宋体" w:eastAsia="宋体" w:cs="Times New Roman"/>
                <w:kern w:val="2"/>
                <w:sz w:val="21"/>
                <w:szCs w:val="21"/>
                <w:highlight w:val="none"/>
              </w:rPr>
              <w:t>、电源</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、待机功耗：输出负载为电源空载或电源整机待机时，功耗≤0.25W；</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、设备开机瞬间爬升至稳定状态期间过冲幅度＜5%，过冲电压小于输出电压标准最大值；电压爬升期间不可出现掉电现象；</w:t>
            </w:r>
          </w:p>
          <w:p>
            <w:pPr>
              <w:spacing w:line="240" w:lineRule="auto"/>
              <w:rPr>
                <w:rFonts w:hint="eastAsia" w:ascii="宋体" w:hAnsi="宋体" w:eastAsia="宋体" w:cs="Times New Roman"/>
                <w:b/>
                <w:bCs/>
                <w:kern w:val="2"/>
                <w:sz w:val="21"/>
                <w:szCs w:val="21"/>
                <w:highlight w:val="none"/>
                <w:lang w:eastAsia="zh-CN"/>
              </w:rPr>
            </w:pPr>
            <w:r>
              <w:rPr>
                <w:rFonts w:hint="eastAsia" w:ascii="宋体" w:hAnsi="宋体" w:eastAsia="宋体" w:cs="Times New Roman"/>
                <w:b/>
                <w:bCs/>
                <w:kern w:val="2"/>
                <w:sz w:val="21"/>
                <w:szCs w:val="21"/>
                <w:highlight w:val="none"/>
              </w:rPr>
              <w:t>注：提供具有CMA或CNAS标识的第三方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十</w:t>
            </w:r>
            <w:r>
              <w:rPr>
                <w:rFonts w:hint="eastAsia" w:ascii="宋体" w:hAnsi="宋体" w:eastAsia="宋体" w:cs="Times New Roman"/>
                <w:kern w:val="2"/>
                <w:sz w:val="21"/>
                <w:szCs w:val="21"/>
                <w:highlight w:val="none"/>
                <w:lang w:val="en-US" w:eastAsia="zh-CN"/>
              </w:rPr>
              <w:t>三</w:t>
            </w:r>
            <w:r>
              <w:rPr>
                <w:rFonts w:hint="eastAsia" w:ascii="宋体" w:hAnsi="宋体" w:eastAsia="宋体" w:cs="Times New Roman"/>
                <w:kern w:val="2"/>
                <w:sz w:val="21"/>
                <w:szCs w:val="21"/>
                <w:highlight w:val="none"/>
              </w:rPr>
              <w:t>、播控软件</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1、根据用户需求选择不同用户需求，软件支持简体中文、繁体中文、英文等不低于10种语言；</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2、支持用户分级管理，可设置用户的使用权限，支持管理员、普通用户、受限用户三种权限，可设置只读模式；</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3</w:t>
            </w:r>
            <w:r>
              <w:rPr>
                <w:rFonts w:hint="eastAsia" w:ascii="宋体" w:hAnsi="宋体" w:eastAsia="宋体" w:cs="Times New Roman"/>
                <w:kern w:val="2"/>
                <w:sz w:val="21"/>
                <w:szCs w:val="21"/>
                <w:highlight w:val="none"/>
              </w:rPr>
              <w:t>、具备可视化管理功能，且不依赖第三方硬件而具备对显示屏、拼接控制器、LED播放控制器、矩阵、智能配电箱等设备进行统一监测管理的功能；</w:t>
            </w:r>
          </w:p>
          <w:p>
            <w:pPr>
              <w:spacing w:line="240" w:lineRule="auto"/>
              <w:rPr>
                <w:rFonts w:hint="eastAsia" w:ascii="宋体" w:hAnsi="宋体" w:eastAsia="宋体" w:cs="Times New Roman"/>
                <w:b/>
                <w:bCs/>
                <w:kern w:val="2"/>
                <w:sz w:val="21"/>
                <w:szCs w:val="21"/>
                <w:highlight w:val="none"/>
                <w:lang w:eastAsia="zh-CN"/>
              </w:rPr>
            </w:pPr>
            <w:r>
              <w:rPr>
                <w:rFonts w:hint="eastAsia" w:ascii="宋体" w:hAnsi="宋体" w:eastAsia="宋体" w:cs="Times New Roman"/>
                <w:b/>
                <w:bCs/>
                <w:kern w:val="2"/>
                <w:sz w:val="21"/>
                <w:szCs w:val="21"/>
                <w:highlight w:val="none"/>
              </w:rPr>
              <w:t>注：提供具有CMA或CNAS标识的第三方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十</w:t>
            </w:r>
            <w:r>
              <w:rPr>
                <w:rFonts w:hint="eastAsia" w:ascii="宋体" w:hAnsi="宋体" w:eastAsia="宋体" w:cs="Times New Roman"/>
                <w:kern w:val="2"/>
                <w:sz w:val="21"/>
                <w:szCs w:val="21"/>
                <w:highlight w:val="none"/>
                <w:lang w:val="en-US" w:eastAsia="zh-CN"/>
              </w:rPr>
              <w:t>四</w:t>
            </w:r>
            <w:r>
              <w:rPr>
                <w:rFonts w:hint="eastAsia" w:ascii="宋体" w:hAnsi="宋体" w:eastAsia="宋体" w:cs="Times New Roman"/>
                <w:kern w:val="2"/>
                <w:sz w:val="21"/>
                <w:szCs w:val="21"/>
                <w:highlight w:val="none"/>
              </w:rPr>
              <w:t>、电源时序器</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1、配置彩屏显示窗口，可以实时显示当前电压、日期时间等信息，内置时钟芯片，可根据日期时间设定，实现定时开关机功能；</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、内置不低于10组设备开关场景数据保存/调用；</w:t>
            </w:r>
          </w:p>
          <w:p>
            <w:pPr>
              <w:spacing w:line="240" w:lineRule="auto"/>
              <w:rPr>
                <w:rFonts w:hint="eastAsia" w:ascii="宋体" w:hAnsi="宋体" w:eastAsia="宋体" w:cs="Times New Roman"/>
                <w:b/>
                <w:bCs/>
                <w:kern w:val="2"/>
                <w:sz w:val="21"/>
                <w:szCs w:val="21"/>
                <w:highlight w:val="none"/>
                <w:lang w:eastAsia="zh-CN"/>
              </w:rPr>
            </w:pPr>
            <w:r>
              <w:rPr>
                <w:rFonts w:hint="eastAsia" w:ascii="宋体" w:hAnsi="宋体" w:eastAsia="宋体" w:cs="Times New Roman"/>
                <w:b/>
                <w:bCs/>
                <w:kern w:val="2"/>
                <w:sz w:val="21"/>
                <w:szCs w:val="21"/>
                <w:highlight w:val="none"/>
              </w:rPr>
              <w:t>注：提供具有CMA或CNAS标识的第三方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十</w:t>
            </w:r>
            <w:r>
              <w:rPr>
                <w:rFonts w:hint="eastAsia" w:ascii="宋体" w:hAnsi="宋体" w:eastAsia="宋体" w:cs="Times New Roman"/>
                <w:kern w:val="2"/>
                <w:sz w:val="21"/>
                <w:szCs w:val="21"/>
                <w:highlight w:val="none"/>
                <w:lang w:val="en-US" w:eastAsia="zh-CN"/>
              </w:rPr>
              <w:t>六</w:t>
            </w:r>
            <w:r>
              <w:rPr>
                <w:rFonts w:hint="eastAsia" w:ascii="宋体" w:hAnsi="宋体" w:eastAsia="宋体" w:cs="Times New Roman"/>
                <w:kern w:val="2"/>
                <w:sz w:val="21"/>
                <w:szCs w:val="21"/>
                <w:highlight w:val="none"/>
              </w:rPr>
              <w:t>、公共广播主机</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、具有ESD静电防护功能，采用主动式保护电路设计配置，可以强化主板每个接口的静电防护能力，并延长组件的使用寿命；</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、内置电源监视模块，可对服务器内核心输出电源的电压情况进行监视；</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3</w:t>
            </w:r>
            <w:r>
              <w:rPr>
                <w:rFonts w:hint="eastAsia" w:ascii="宋体" w:hAnsi="宋体" w:eastAsia="宋体" w:cs="Times New Roman"/>
                <w:kern w:val="2"/>
                <w:sz w:val="21"/>
                <w:szCs w:val="21"/>
                <w:highlight w:val="none"/>
              </w:rPr>
              <w:t>、支持多种APM电源管理模式，支持多种模式唤醒：如铃声唤醒.远程网络唤醒.预约RTC唤醒等模式，实现多种使用环境下不同的操作；</w:t>
            </w:r>
          </w:p>
          <w:p>
            <w:pPr>
              <w:spacing w:line="240" w:lineRule="auto"/>
              <w:rPr>
                <w:rFonts w:hint="eastAsia" w:ascii="宋体" w:hAnsi="宋体" w:eastAsia="宋体" w:cs="Times New Roman"/>
                <w:b/>
                <w:bCs/>
                <w:kern w:val="2"/>
                <w:sz w:val="21"/>
                <w:szCs w:val="21"/>
                <w:highlight w:val="none"/>
                <w:lang w:eastAsia="zh-CN"/>
              </w:rPr>
            </w:pPr>
            <w:r>
              <w:rPr>
                <w:rFonts w:hint="eastAsia" w:ascii="宋体" w:hAnsi="宋体" w:eastAsia="宋体" w:cs="Times New Roman"/>
                <w:b/>
                <w:bCs/>
                <w:kern w:val="2"/>
                <w:sz w:val="21"/>
                <w:szCs w:val="21"/>
                <w:highlight w:val="none"/>
              </w:rPr>
              <w:t>注：提供具有CMA或CNAS标识的第三方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十五</w:t>
            </w:r>
            <w:r>
              <w:rPr>
                <w:rFonts w:hint="eastAsia" w:ascii="宋体" w:hAnsi="宋体" w:eastAsia="宋体" w:cs="Times New Roman"/>
                <w:kern w:val="2"/>
                <w:sz w:val="21"/>
                <w:szCs w:val="21"/>
                <w:highlight w:val="none"/>
              </w:rPr>
              <w:t>、广播系统服务软件</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支持对实时任务进行播放控制和查看，可调节0-100级音量大小、上一首、下一首及点击音频可进行歌曲切换，播放或停止任务，可以以建立任务的形式对指定的终端按特定的时间进行音频、文本、采集的播放。定时任务界面可查看定时方案以及所有定时任务，另外还有对定时任务进行添加、试听、停止、编辑、删除等操作；</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、话筒配置支持一键报警操作，通过配置话筒报警任务，可对任务进行添加、编辑和删除，任务音量、播放模式、音源类型和音频文件可自由选择；</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3</w:t>
            </w:r>
            <w:r>
              <w:rPr>
                <w:rFonts w:hint="eastAsia" w:ascii="宋体" w:hAnsi="宋体" w:eastAsia="宋体" w:cs="Times New Roman"/>
                <w:kern w:val="2"/>
                <w:sz w:val="21"/>
                <w:szCs w:val="21"/>
                <w:highlight w:val="none"/>
              </w:rPr>
              <w:t>、支持音源优先级设置，可对紧急求助、报警呼叫、监听、对讲、寻呼、文字广播、定时任务、终端点播、实时采播、实时文件播放、定时采播、定时打铃等优先级进行自由排序并进行保存；具备“音源优先级自由排序”认证。</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4</w:t>
            </w:r>
            <w:r>
              <w:rPr>
                <w:rFonts w:hint="eastAsia" w:ascii="宋体" w:hAnsi="宋体" w:eastAsia="宋体" w:cs="Times New Roman"/>
                <w:kern w:val="2"/>
                <w:sz w:val="21"/>
                <w:szCs w:val="21"/>
                <w:highlight w:val="none"/>
              </w:rPr>
              <w:t>、具有操作日志管理功能，记录用户进行操作的记录，可以选择新增、修改、删除、授权、导出、导入、强退、生成代码、清空数据、设备上线、设备离线、报警信息、话筒寻呼等操作类型进行日志的搜索，可进行多选，具有登录日志管理功能，记录用户登录的记录，可根据登录地址、登录名称、登录状态、登录时间等信息进行日志的搜索，也可进行删除、清空、解锁、导出等操作；</w:t>
            </w:r>
          </w:p>
          <w:p>
            <w:pPr>
              <w:spacing w:line="240" w:lineRule="auto"/>
              <w:rPr>
                <w:rFonts w:hint="eastAsia" w:ascii="宋体" w:hAnsi="宋体" w:eastAsia="宋体" w:cs="Times New Roman"/>
                <w:b/>
                <w:bCs/>
                <w:kern w:val="2"/>
                <w:sz w:val="21"/>
                <w:szCs w:val="21"/>
                <w:highlight w:val="none"/>
                <w:lang w:eastAsia="zh-CN"/>
              </w:rPr>
            </w:pPr>
            <w:r>
              <w:rPr>
                <w:rFonts w:hint="eastAsia" w:ascii="宋体" w:hAnsi="宋体" w:eastAsia="宋体" w:cs="Times New Roman"/>
                <w:b/>
                <w:bCs/>
                <w:kern w:val="2"/>
                <w:sz w:val="21"/>
                <w:szCs w:val="21"/>
                <w:highlight w:val="none"/>
              </w:rPr>
              <w:t>注：提供具有CMA或CNAS标识的第三方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十六</w:t>
            </w:r>
            <w:r>
              <w:rPr>
                <w:rFonts w:hint="eastAsia" w:ascii="宋体" w:hAnsi="宋体" w:eastAsia="宋体" w:cs="Times New Roman"/>
                <w:kern w:val="2"/>
                <w:sz w:val="21"/>
                <w:szCs w:val="21"/>
                <w:highlight w:val="none"/>
              </w:rPr>
              <w:t>、IP分区呼叫话筒</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、具有≥40个自定义触摸按键，支持一键呼叫广播功能，一键寻呼静音，可以直接操作呼叫任意终端；</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、支持双路混音/多路混音功能，配置高灵敏度长咪杆，具有灯环指示；采用嵌入式计算机技术和DSP音频处理技术设计，支持IEEE802.3at标准的POE供电；</w:t>
            </w:r>
          </w:p>
          <w:p>
            <w:pPr>
              <w:spacing w:line="240" w:lineRule="auto"/>
              <w:rPr>
                <w:rFonts w:hint="eastAsia"/>
                <w:highlight w:val="none"/>
              </w:rPr>
            </w:pPr>
            <w:r>
              <w:rPr>
                <w:rFonts w:hint="eastAsia" w:ascii="宋体" w:hAnsi="宋体" w:eastAsia="宋体" w:cs="Times New Roman"/>
                <w:kern w:val="2"/>
                <w:sz w:val="21"/>
                <w:szCs w:val="21"/>
                <w:highlight w:val="none"/>
                <w:lang w:val="en-US" w:eastAsia="zh-CN"/>
              </w:rPr>
              <w:t>3、具有不同的亮度级调节和一键全区报警按钮，点击时可以触发平台预设好的全区报警任务，可再次点击报警按钮关闭报警任务，也可通过触屏关闭；</w:t>
            </w:r>
          </w:p>
          <w:p>
            <w:pPr>
              <w:spacing w:line="240" w:lineRule="auto"/>
              <w:rPr>
                <w:rFonts w:hint="eastAsia" w:ascii="宋体" w:hAnsi="宋体" w:eastAsia="宋体" w:cs="Times New Roman"/>
                <w:b/>
                <w:bCs/>
                <w:kern w:val="2"/>
                <w:sz w:val="21"/>
                <w:szCs w:val="21"/>
                <w:highlight w:val="none"/>
                <w:lang w:eastAsia="zh-CN"/>
              </w:rPr>
            </w:pPr>
            <w:r>
              <w:rPr>
                <w:rFonts w:hint="eastAsia" w:ascii="宋体" w:hAnsi="宋体" w:eastAsia="宋体" w:cs="Times New Roman"/>
                <w:b/>
                <w:bCs/>
                <w:kern w:val="2"/>
                <w:sz w:val="21"/>
                <w:szCs w:val="21"/>
                <w:highlight w:val="none"/>
              </w:rPr>
              <w:t>注：提供具有CMA或CNAS标识的第三方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十七</w:t>
            </w:r>
            <w:r>
              <w:rPr>
                <w:rFonts w:hint="eastAsia" w:ascii="宋体" w:hAnsi="宋体" w:eastAsia="宋体" w:cs="Times New Roman"/>
                <w:kern w:val="2"/>
                <w:sz w:val="21"/>
                <w:szCs w:val="21"/>
                <w:highlight w:val="none"/>
              </w:rPr>
              <w:t>、网络功放（260W）</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1、配置≥4.3英寸全彩色显示屏，具有不少于四个物理按键，支持上下翻页、确认和返回等功能，配合屏幕操作使用；</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、支持文字广播，可直接将文字转换为音频文件，并通过平台实现对终端的播放：</w:t>
            </w:r>
          </w:p>
          <w:p>
            <w:pPr>
              <w:spacing w:line="240" w:lineRule="auto"/>
              <w:rPr>
                <w:rFonts w:hint="eastAsia" w:ascii="宋体" w:hAnsi="宋体" w:eastAsia="宋体" w:cs="Times New Roman"/>
                <w:b/>
                <w:bCs/>
                <w:kern w:val="2"/>
                <w:sz w:val="21"/>
                <w:szCs w:val="21"/>
                <w:highlight w:val="none"/>
                <w:lang w:eastAsia="zh-CN"/>
              </w:rPr>
            </w:pPr>
            <w:r>
              <w:rPr>
                <w:rFonts w:hint="eastAsia" w:ascii="宋体" w:hAnsi="宋体" w:eastAsia="宋体" w:cs="Times New Roman"/>
                <w:b/>
                <w:bCs/>
                <w:kern w:val="2"/>
                <w:sz w:val="21"/>
                <w:szCs w:val="21"/>
                <w:highlight w:val="none"/>
              </w:rPr>
              <w:t>注：提供具有CMA或CNAS标识的第三方</w:t>
            </w:r>
            <w:r>
              <w:rPr>
                <w:rFonts w:hint="eastAsia" w:ascii="宋体" w:hAnsi="宋体" w:eastAsia="宋体" w:cs="Times New Roman"/>
                <w:b/>
                <w:bCs/>
                <w:kern w:val="2"/>
                <w:sz w:val="21"/>
                <w:szCs w:val="21"/>
                <w:highlight w:val="none"/>
                <w:lang w:val="en-US" w:eastAsia="zh-CN"/>
              </w:rPr>
              <w:t>机构的</w:t>
            </w:r>
            <w:r>
              <w:rPr>
                <w:rFonts w:hint="eastAsia" w:ascii="宋体" w:hAnsi="宋体" w:eastAsia="宋体" w:cs="Times New Roman"/>
                <w:b/>
                <w:bCs/>
                <w:kern w:val="2"/>
                <w:sz w:val="21"/>
                <w:szCs w:val="21"/>
                <w:highlight w:val="none"/>
              </w:rPr>
              <w:t>检验报告</w:t>
            </w:r>
            <w:r>
              <w:rPr>
                <w:rFonts w:hint="eastAsia" w:ascii="宋体" w:hAnsi="宋体" w:eastAsia="宋体" w:cs="Times New Roman"/>
                <w:b/>
                <w:bCs/>
                <w:kern w:val="2"/>
                <w:sz w:val="21"/>
                <w:szCs w:val="21"/>
                <w:highlight w:val="none"/>
                <w:lang w:eastAsia="zh-CN"/>
              </w:rPr>
              <w:t>。</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十八</w:t>
            </w:r>
            <w:r>
              <w:rPr>
                <w:rFonts w:hint="eastAsia" w:ascii="宋体" w:hAnsi="宋体" w:eastAsia="宋体" w:cs="Times New Roman"/>
                <w:kern w:val="2"/>
                <w:sz w:val="21"/>
                <w:szCs w:val="21"/>
                <w:highlight w:val="none"/>
              </w:rPr>
              <w:t>、电池</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、蓄电池必须拥有端极柱密封技术，防止因电池端子漏液发生短路起火；</w:t>
            </w:r>
          </w:p>
          <w:p>
            <w:pPr>
              <w:spacing w:line="240" w:lineRule="auto"/>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为提高电池的完整一体性，降低电池漏液概率及提高电池气密性和密封反应效率，蓄电池槽和蓄电池盖须采用热封工艺密封，以确保蓄电池是一个完整的有机整体，为保证产品稳定可靠性，蓄电池须具备8、9烈度抗震性能；</w:t>
            </w:r>
          </w:p>
          <w:p>
            <w:pPr>
              <w:spacing w:line="240" w:lineRule="auto"/>
              <w:rPr>
                <w:rFonts w:hint="eastAsia"/>
                <w:highlight w:val="none"/>
                <w:lang w:val="en-US" w:eastAsia="zh-CN"/>
              </w:rPr>
            </w:pPr>
            <w:r>
              <w:rPr>
                <w:rFonts w:hint="eastAsia" w:ascii="宋体" w:hAnsi="宋体" w:eastAsia="宋体" w:cs="Times New Roman"/>
                <w:b/>
                <w:bCs/>
                <w:kern w:val="2"/>
                <w:sz w:val="21"/>
                <w:szCs w:val="21"/>
                <w:highlight w:val="none"/>
                <w:lang w:val="en-US" w:eastAsia="zh-CN"/>
              </w:rPr>
              <w:t>注：提供</w:t>
            </w:r>
            <w:r>
              <w:rPr>
                <w:rFonts w:hint="eastAsia" w:ascii="宋体" w:hAnsi="宋体" w:eastAsia="宋体" w:cs="Times New Roman"/>
                <w:b/>
                <w:bCs/>
                <w:kern w:val="2"/>
                <w:sz w:val="21"/>
                <w:szCs w:val="21"/>
                <w:highlight w:val="none"/>
              </w:rPr>
              <w:t>具有CMA或CNAS标识的</w:t>
            </w:r>
            <w:r>
              <w:rPr>
                <w:rFonts w:hint="eastAsia" w:ascii="宋体" w:hAnsi="宋体" w:eastAsia="宋体" w:cs="Times New Roman"/>
                <w:b/>
                <w:bCs/>
                <w:kern w:val="2"/>
                <w:sz w:val="21"/>
                <w:szCs w:val="21"/>
                <w:highlight w:val="none"/>
                <w:lang w:val="en-US" w:eastAsia="zh-CN"/>
              </w:rPr>
              <w:t>第三方机构检测报告或第三方认证证书。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771" w:type="dxa"/>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2.2.2（3）</w:t>
            </w:r>
          </w:p>
        </w:tc>
        <w:tc>
          <w:tcPr>
            <w:tcW w:w="966" w:type="dxa"/>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报价文件评分标准</w:t>
            </w:r>
          </w:p>
        </w:tc>
        <w:tc>
          <w:tcPr>
            <w:tcW w:w="1264" w:type="dxa"/>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投标报价</w:t>
            </w:r>
          </w:p>
        </w:tc>
        <w:tc>
          <w:tcPr>
            <w:tcW w:w="777" w:type="dxa"/>
            <w:noWrap w:val="0"/>
            <w:vAlign w:val="center"/>
          </w:tcPr>
          <w:p>
            <w:pPr>
              <w:spacing w:line="360" w:lineRule="auto"/>
              <w:ind w:firstLine="210" w:firstLineChars="100"/>
              <w:jc w:val="left"/>
              <w:rPr>
                <w:rFonts w:hint="eastAsia" w:hAnsi="宋体" w:cs="宋体"/>
                <w:sz w:val="21"/>
                <w:szCs w:val="21"/>
                <w:highlight w:val="none"/>
              </w:rPr>
            </w:pPr>
            <w:r>
              <w:rPr>
                <w:rFonts w:hint="eastAsia" w:hAnsi="宋体" w:cs="宋体"/>
                <w:sz w:val="21"/>
                <w:szCs w:val="21"/>
                <w:highlight w:val="none"/>
                <w:lang w:val="en-US" w:eastAsia="zh-CN"/>
              </w:rPr>
              <w:t>3</w:t>
            </w:r>
            <w:r>
              <w:rPr>
                <w:rFonts w:hint="eastAsia" w:hAnsi="宋体" w:cs="宋体"/>
                <w:sz w:val="21"/>
                <w:szCs w:val="21"/>
                <w:highlight w:val="none"/>
              </w:rPr>
              <w:t>0分</w:t>
            </w:r>
          </w:p>
        </w:tc>
        <w:tc>
          <w:tcPr>
            <w:tcW w:w="4602" w:type="dxa"/>
            <w:noWrap w:val="0"/>
            <w:vAlign w:val="center"/>
          </w:tcPr>
          <w:p>
            <w:pPr>
              <w:spacing w:line="440" w:lineRule="exact"/>
              <w:rPr>
                <w:rFonts w:hAnsi="宋体"/>
                <w:kern w:val="2"/>
                <w:sz w:val="21"/>
                <w:szCs w:val="21"/>
                <w:highlight w:val="none"/>
              </w:rPr>
            </w:pPr>
            <w:r>
              <w:rPr>
                <w:rFonts w:hint="eastAsia" w:hAnsi="宋体"/>
                <w:kern w:val="2"/>
                <w:sz w:val="21"/>
                <w:szCs w:val="21"/>
                <w:highlight w:val="none"/>
              </w:rPr>
              <w:t>（1）确定评标价</w:t>
            </w:r>
            <w:r>
              <w:rPr>
                <w:rFonts w:hint="eastAsia" w:hAnsi="宋体"/>
                <w:kern w:val="2"/>
                <w:sz w:val="21"/>
                <w:szCs w:val="21"/>
                <w:highlight w:val="none"/>
              </w:rPr>
              <w:br w:type="textWrapping"/>
            </w:r>
            <w:r>
              <w:rPr>
                <w:rFonts w:hint="eastAsia" w:hAnsi="宋体"/>
                <w:kern w:val="2"/>
                <w:sz w:val="21"/>
                <w:szCs w:val="21"/>
                <w:highlight w:val="none"/>
              </w:rPr>
              <w:t>评标价=投标函文字报价；</w:t>
            </w:r>
            <w:r>
              <w:rPr>
                <w:rFonts w:hint="eastAsia" w:hAnsi="宋体"/>
                <w:kern w:val="2"/>
                <w:sz w:val="21"/>
                <w:szCs w:val="21"/>
                <w:highlight w:val="none"/>
              </w:rPr>
              <w:br w:type="textWrapping"/>
            </w:r>
            <w:r>
              <w:rPr>
                <w:rFonts w:hint="eastAsia" w:hAnsi="宋体"/>
                <w:kern w:val="2"/>
                <w:sz w:val="21"/>
                <w:szCs w:val="21"/>
                <w:highlight w:val="none"/>
              </w:rPr>
              <w:t xml:space="preserve"> （2）评标价平均值计算</w:t>
            </w:r>
          </w:p>
          <w:p>
            <w:pPr>
              <w:spacing w:line="440" w:lineRule="exact"/>
              <w:rPr>
                <w:rFonts w:hAnsi="宋体"/>
                <w:kern w:val="2"/>
                <w:sz w:val="21"/>
                <w:szCs w:val="21"/>
                <w:highlight w:val="none"/>
              </w:rPr>
            </w:pPr>
            <w:r>
              <w:rPr>
                <w:rFonts w:hint="eastAsia" w:hAnsi="宋体"/>
                <w:kern w:val="2"/>
                <w:sz w:val="21"/>
                <w:szCs w:val="21"/>
                <w:highlight w:val="none"/>
              </w:rPr>
              <w:t xml:space="preserve"> ①当通过报价文件初步评审的投标人数量≤5家时，取通过报价文件初步评审且商务及技术文件得分大于等于招标项目标段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p>
          <w:p>
            <w:pPr>
              <w:spacing w:line="440" w:lineRule="exact"/>
              <w:rPr>
                <w:rFonts w:hAnsi="宋体"/>
                <w:kern w:val="2"/>
                <w:sz w:val="21"/>
                <w:szCs w:val="21"/>
                <w:highlight w:val="none"/>
              </w:rPr>
            </w:pPr>
            <w:r>
              <w:rPr>
                <w:rFonts w:hint="eastAsia" w:hAnsi="宋体"/>
                <w:kern w:val="2"/>
                <w:sz w:val="21"/>
                <w:szCs w:val="21"/>
                <w:highlight w:val="none"/>
              </w:rPr>
              <w:t>注：如出现无法计算评标价平均值的情况，评标委员会将否决所有投标。</w:t>
            </w:r>
            <w:r>
              <w:rPr>
                <w:rFonts w:hint="eastAsia" w:hAnsi="宋体"/>
                <w:kern w:val="2"/>
                <w:sz w:val="21"/>
                <w:szCs w:val="21"/>
                <w:highlight w:val="none"/>
              </w:rPr>
              <w:br w:type="textWrapping"/>
            </w:r>
            <w:r>
              <w:rPr>
                <w:rFonts w:hint="eastAsia" w:hAnsi="宋体"/>
                <w:kern w:val="2"/>
                <w:sz w:val="21"/>
                <w:szCs w:val="21"/>
                <w:highlight w:val="none"/>
              </w:rPr>
              <w:t>②当通过报价文件初步评审的投标人数量＞5家时：</w:t>
            </w:r>
          </w:p>
          <w:p>
            <w:pPr>
              <w:spacing w:line="440" w:lineRule="exact"/>
              <w:rPr>
                <w:rFonts w:hAnsi="宋体"/>
                <w:kern w:val="2"/>
                <w:sz w:val="21"/>
                <w:szCs w:val="21"/>
                <w:highlight w:val="none"/>
              </w:rPr>
            </w:pPr>
            <w:r>
              <w:rPr>
                <w:rFonts w:hint="eastAsia" w:hAnsi="宋体"/>
                <w:kern w:val="2"/>
                <w:sz w:val="21"/>
                <w:szCs w:val="21"/>
                <w:highlight w:val="none"/>
              </w:rPr>
              <w:t>a.其中通过报价文件初步评审且商务及技术文件得分大于等于招标项目标段商务及技术文件总分*70%的投标人数量＞5家，取通过报价文件初步评审且商务及技术文件得分大于等于招标项目标段商务及技术文件总分*70%的投标人评标价进行算术平均得出评标价平均值。</w:t>
            </w:r>
          </w:p>
          <w:p>
            <w:pPr>
              <w:spacing w:line="440" w:lineRule="exact"/>
              <w:rPr>
                <w:rFonts w:hAnsi="宋体"/>
                <w:kern w:val="2"/>
                <w:sz w:val="21"/>
                <w:szCs w:val="21"/>
                <w:highlight w:val="none"/>
              </w:rPr>
            </w:pPr>
            <w:r>
              <w:rPr>
                <w:rFonts w:hint="eastAsia" w:hAnsi="宋体"/>
                <w:kern w:val="2"/>
                <w:sz w:val="21"/>
                <w:szCs w:val="21"/>
                <w:highlight w:val="none"/>
              </w:rPr>
              <w:t>b.其中通过报价文件初步评审且商务及技术文件得分大于等于招标项目标段商务及技术文件总分*70%的投标人数量≤5家时，取通过报价文件初步评审且商务及技术文件得分大于等于招标项目标段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r>
              <w:rPr>
                <w:rFonts w:hint="eastAsia" w:hAnsi="宋体"/>
                <w:kern w:val="2"/>
                <w:sz w:val="21"/>
                <w:szCs w:val="21"/>
                <w:highlight w:val="none"/>
              </w:rPr>
              <w:br w:type="textWrapping"/>
            </w:r>
            <w:r>
              <w:rPr>
                <w:rFonts w:hint="eastAsia" w:hAnsi="宋体"/>
                <w:kern w:val="2"/>
                <w:sz w:val="21"/>
                <w:szCs w:val="21"/>
                <w:highlight w:val="none"/>
              </w:rPr>
              <w:t>注：如出现无法计算评标价平均值的情况，评标委员会将否决所有投标。</w:t>
            </w:r>
          </w:p>
          <w:p>
            <w:pPr>
              <w:spacing w:line="440" w:lineRule="exact"/>
              <w:rPr>
                <w:rFonts w:hAnsi="宋体"/>
                <w:kern w:val="2"/>
                <w:sz w:val="21"/>
                <w:szCs w:val="21"/>
                <w:highlight w:val="none"/>
              </w:rPr>
            </w:pPr>
            <w:r>
              <w:rPr>
                <w:rFonts w:hint="eastAsia" w:hAnsi="宋体"/>
                <w:kern w:val="2"/>
                <w:sz w:val="21"/>
                <w:szCs w:val="21"/>
                <w:highlight w:val="none"/>
              </w:rPr>
              <w:t>3）确定评标基准价</w:t>
            </w:r>
          </w:p>
          <w:p>
            <w:pPr>
              <w:spacing w:line="440" w:lineRule="exact"/>
              <w:rPr>
                <w:rFonts w:hAnsi="宋体"/>
                <w:kern w:val="2"/>
                <w:sz w:val="21"/>
                <w:szCs w:val="21"/>
                <w:highlight w:val="none"/>
              </w:rPr>
            </w:pPr>
            <w:r>
              <w:rPr>
                <w:rFonts w:hint="eastAsia" w:hAnsi="宋体"/>
                <w:kern w:val="2"/>
                <w:sz w:val="21"/>
                <w:szCs w:val="21"/>
                <w:highlight w:val="none"/>
              </w:rPr>
              <w:t>评标基准价=评标价平均值*C值</w:t>
            </w:r>
          </w:p>
          <w:p>
            <w:pPr>
              <w:spacing w:line="440" w:lineRule="exact"/>
              <w:rPr>
                <w:rFonts w:hAnsi="宋体"/>
                <w:kern w:val="2"/>
                <w:sz w:val="21"/>
                <w:szCs w:val="21"/>
                <w:highlight w:val="none"/>
              </w:rPr>
            </w:pPr>
            <w:r>
              <w:rPr>
                <w:rFonts w:hint="eastAsia" w:hAnsi="宋体"/>
                <w:kern w:val="2"/>
                <w:sz w:val="21"/>
                <w:szCs w:val="21"/>
                <w:highlight w:val="none"/>
              </w:rPr>
              <w:t>C值确定如下：</w:t>
            </w:r>
          </w:p>
          <w:p>
            <w:pPr>
              <w:spacing w:line="440" w:lineRule="exact"/>
              <w:rPr>
                <w:rFonts w:hAnsi="宋体"/>
                <w:kern w:val="2"/>
                <w:sz w:val="21"/>
                <w:szCs w:val="21"/>
                <w:highlight w:val="none"/>
              </w:rPr>
            </w:pPr>
            <w:r>
              <w:rPr>
                <w:rFonts w:hint="eastAsia" w:hAnsi="宋体"/>
                <w:kern w:val="2"/>
                <w:sz w:val="21"/>
                <w:szCs w:val="21"/>
                <w:highlight w:val="none"/>
              </w:rPr>
              <w:t>将在投标截止时间后系统成功接收投标文件的投标人总数（无论是否成功解密）除以5，根据余数对应取C值，见下表（多标段按各自标段在投标截止时间后系统成功接收投标文件的投标人总数（无论是否成功解密）计算选取）</w:t>
            </w:r>
          </w:p>
          <w:tbl>
            <w:tblPr>
              <w:tblStyle w:val="52"/>
              <w:tblW w:w="48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7"/>
              <w:gridCol w:w="2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2093" w:type="pct"/>
                  <w:tcBorders>
                    <w:top w:val="single" w:color="000000" w:sz="4" w:space="0"/>
                    <w:left w:val="single" w:color="000000" w:sz="4" w:space="0"/>
                    <w:bottom w:val="single" w:color="000000" w:sz="4" w:space="0"/>
                    <w:right w:val="single" w:color="000000" w:sz="4" w:space="0"/>
                    <w:tl2br w:val="single" w:color="auto" w:sz="4" w:space="0"/>
                  </w:tcBorders>
                  <w:noWrap w:val="0"/>
                  <w:vAlign w:val="center"/>
                </w:tcPr>
                <w:p>
                  <w:pPr>
                    <w:spacing w:line="440" w:lineRule="exact"/>
                    <w:ind w:firstLine="1155" w:firstLineChars="550"/>
                    <w:rPr>
                      <w:rFonts w:hAnsi="宋体"/>
                      <w:kern w:val="2"/>
                      <w:sz w:val="21"/>
                      <w:szCs w:val="21"/>
                      <w:highlight w:val="none"/>
                    </w:rPr>
                  </w:pPr>
                  <w:r>
                    <w:rPr>
                      <w:rFonts w:hint="eastAsia" w:hAnsi="宋体"/>
                      <w:kern w:val="2"/>
                      <w:sz w:val="21"/>
                      <w:szCs w:val="21"/>
                      <w:highlight w:val="none"/>
                    </w:rPr>
                    <w:t>对应的C值</w:t>
                  </w:r>
                </w:p>
                <w:p>
                  <w:pPr>
                    <w:spacing w:line="440" w:lineRule="exact"/>
                    <w:rPr>
                      <w:rFonts w:hAnsi="宋体"/>
                      <w:kern w:val="2"/>
                      <w:sz w:val="21"/>
                      <w:szCs w:val="21"/>
                      <w:highlight w:val="none"/>
                    </w:rPr>
                  </w:pPr>
                  <w:r>
                    <w:rPr>
                      <w:rFonts w:hint="eastAsia" w:hAnsi="宋体"/>
                      <w:kern w:val="2"/>
                      <w:sz w:val="21"/>
                      <w:szCs w:val="21"/>
                      <w:highlight w:val="none"/>
                    </w:rPr>
                    <w:t>余数</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C值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1</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2</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3</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4</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0.99</w:t>
                  </w:r>
                </w:p>
              </w:tc>
            </w:tr>
          </w:tbl>
          <w:p>
            <w:pPr>
              <w:spacing w:line="440" w:lineRule="exact"/>
              <w:rPr>
                <w:rFonts w:hAnsi="宋体"/>
                <w:kern w:val="2"/>
                <w:sz w:val="21"/>
                <w:szCs w:val="21"/>
                <w:highlight w:val="none"/>
              </w:rPr>
            </w:pPr>
            <w:r>
              <w:rPr>
                <w:rFonts w:hint="eastAsia" w:hAnsi="宋体"/>
                <w:kern w:val="2"/>
                <w:sz w:val="21"/>
                <w:szCs w:val="21"/>
                <w:highlight w:val="none"/>
              </w:rPr>
              <w:t>在评标过程中，评标委员会应对评标基准价进行复核，存在计算错误的应予以修正并在评标报告中作出说明。除此之外，评标基准价在整个评标期间保持不变，不随任何因素发生变化。</w:t>
            </w:r>
          </w:p>
          <w:p>
            <w:pPr>
              <w:spacing w:line="440" w:lineRule="exact"/>
              <w:rPr>
                <w:rFonts w:hAnsi="宋体"/>
                <w:kern w:val="2"/>
                <w:sz w:val="21"/>
                <w:szCs w:val="21"/>
                <w:highlight w:val="none"/>
              </w:rPr>
            </w:pPr>
            <w:r>
              <w:rPr>
                <w:rFonts w:hint="eastAsia" w:hAnsi="宋体"/>
                <w:kern w:val="2"/>
                <w:sz w:val="21"/>
                <w:szCs w:val="21"/>
                <w:highlight w:val="none"/>
              </w:rPr>
              <w:t>（4）评标价的偏差率计算</w:t>
            </w:r>
          </w:p>
          <w:p>
            <w:pPr>
              <w:spacing w:line="440" w:lineRule="exact"/>
              <w:rPr>
                <w:rFonts w:hAnsi="宋体"/>
                <w:kern w:val="2"/>
                <w:sz w:val="21"/>
                <w:szCs w:val="21"/>
                <w:highlight w:val="none"/>
              </w:rPr>
            </w:pPr>
            <w:r>
              <w:rPr>
                <w:rFonts w:hint="eastAsia" w:hAnsi="宋体"/>
                <w:kern w:val="2"/>
                <w:sz w:val="21"/>
                <w:szCs w:val="21"/>
                <w:highlight w:val="none"/>
              </w:rPr>
              <w:t>偏差率=100%×（投标人评标价-评标基准价）/评标基准价</w:t>
            </w:r>
          </w:p>
          <w:p>
            <w:pPr>
              <w:spacing w:line="440" w:lineRule="exact"/>
              <w:rPr>
                <w:rFonts w:hAnsi="宋体"/>
                <w:kern w:val="2"/>
                <w:sz w:val="21"/>
                <w:szCs w:val="21"/>
                <w:highlight w:val="none"/>
              </w:rPr>
            </w:pPr>
            <w:r>
              <w:rPr>
                <w:rFonts w:hint="eastAsia" w:hAnsi="宋体"/>
                <w:kern w:val="2"/>
                <w:sz w:val="21"/>
                <w:szCs w:val="21"/>
                <w:highlight w:val="none"/>
              </w:rPr>
              <w:t>偏差率保留两位小数（小数点后第三位“四舍五入”），即为*.**%。</w:t>
            </w:r>
          </w:p>
          <w:p>
            <w:pPr>
              <w:spacing w:line="440" w:lineRule="exact"/>
              <w:rPr>
                <w:rFonts w:hAnsi="宋体"/>
                <w:kern w:val="2"/>
                <w:sz w:val="21"/>
                <w:szCs w:val="21"/>
                <w:highlight w:val="none"/>
              </w:rPr>
            </w:pPr>
            <w:r>
              <w:rPr>
                <w:rFonts w:hint="eastAsia" w:hAnsi="宋体"/>
                <w:kern w:val="2"/>
                <w:sz w:val="21"/>
                <w:szCs w:val="21"/>
                <w:highlight w:val="none"/>
              </w:rPr>
              <w:t>（5）评标价得分计算</w:t>
            </w:r>
          </w:p>
          <w:p>
            <w:pPr>
              <w:spacing w:line="440" w:lineRule="exact"/>
              <w:rPr>
                <w:rFonts w:hAnsi="宋体"/>
                <w:kern w:val="2"/>
                <w:sz w:val="21"/>
                <w:szCs w:val="21"/>
                <w:highlight w:val="none"/>
              </w:rPr>
            </w:pPr>
            <w:r>
              <w:rPr>
                <w:rFonts w:hint="eastAsia" w:hAnsi="宋体"/>
                <w:kern w:val="2"/>
                <w:sz w:val="21"/>
                <w:szCs w:val="21"/>
                <w:highlight w:val="none"/>
              </w:rPr>
              <w:t>①当投标人评标价＞评标基准价，评标价得分=F-偏差率*100*E1</w:t>
            </w:r>
          </w:p>
          <w:p>
            <w:pPr>
              <w:spacing w:line="440" w:lineRule="exact"/>
              <w:rPr>
                <w:rFonts w:hAnsi="宋体"/>
                <w:kern w:val="2"/>
                <w:sz w:val="21"/>
                <w:szCs w:val="21"/>
                <w:highlight w:val="none"/>
              </w:rPr>
            </w:pPr>
            <w:r>
              <w:rPr>
                <w:rFonts w:hint="eastAsia" w:hAnsi="宋体"/>
                <w:kern w:val="2"/>
                <w:sz w:val="21"/>
                <w:szCs w:val="21"/>
                <w:highlight w:val="none"/>
              </w:rPr>
              <w:t>②当投标人评标价≤评标基准价，评标价得分=F+偏差率*100*E2</w:t>
            </w:r>
          </w:p>
          <w:p>
            <w:pPr>
              <w:spacing w:line="440" w:lineRule="exact"/>
              <w:rPr>
                <w:rFonts w:hAnsi="宋体"/>
                <w:kern w:val="2"/>
                <w:sz w:val="21"/>
                <w:szCs w:val="21"/>
                <w:highlight w:val="none"/>
              </w:rPr>
            </w:pPr>
            <w:r>
              <w:rPr>
                <w:rFonts w:hint="eastAsia" w:hAnsi="宋体"/>
                <w:kern w:val="2"/>
                <w:sz w:val="21"/>
                <w:szCs w:val="21"/>
                <w:highlight w:val="none"/>
              </w:rPr>
              <w:t>其中:F=</w:t>
            </w:r>
            <w:r>
              <w:rPr>
                <w:rFonts w:hint="eastAsia" w:hAnsi="宋体"/>
                <w:kern w:val="2"/>
                <w:sz w:val="21"/>
                <w:szCs w:val="21"/>
                <w:highlight w:val="none"/>
                <w:lang w:val="en-US" w:eastAsia="zh-CN"/>
              </w:rPr>
              <w:t>3</w:t>
            </w:r>
            <w:r>
              <w:rPr>
                <w:rFonts w:hint="eastAsia" w:hAnsi="宋体"/>
                <w:kern w:val="2"/>
                <w:sz w:val="21"/>
                <w:szCs w:val="21"/>
                <w:highlight w:val="none"/>
              </w:rPr>
              <w:t>0，E1=0.5，E2=0.3。</w:t>
            </w:r>
          </w:p>
          <w:p>
            <w:pPr>
              <w:widowControl/>
              <w:spacing w:line="360" w:lineRule="auto"/>
              <w:jc w:val="left"/>
              <w:rPr>
                <w:rFonts w:hint="eastAsia" w:hAnsi="宋体" w:cs="宋体"/>
                <w:spacing w:val="-2"/>
                <w:sz w:val="21"/>
                <w:szCs w:val="21"/>
                <w:highlight w:val="none"/>
              </w:rPr>
            </w:pPr>
            <w:r>
              <w:rPr>
                <w:rFonts w:hint="eastAsia" w:hAnsi="宋体"/>
                <w:kern w:val="2"/>
                <w:sz w:val="21"/>
                <w:szCs w:val="21"/>
                <w:highlight w:val="none"/>
              </w:rPr>
              <w:t>当评标价得分为负时，均按0分计算。评标价得分保留小数点后两位，小数点后三位“四舍五入”。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380" w:type="dxa"/>
            <w:gridSpan w:val="5"/>
            <w:noWrap w:val="0"/>
            <w:vAlign w:val="center"/>
          </w:tcPr>
          <w:p>
            <w:pPr>
              <w:widowControl/>
              <w:snapToGrid w:val="0"/>
              <w:spacing w:line="360" w:lineRule="auto"/>
              <w:jc w:val="left"/>
              <w:rPr>
                <w:rFonts w:hint="eastAsia" w:hAnsi="宋体" w:cs="宋体"/>
                <w:b/>
                <w:highlight w:val="none"/>
              </w:rPr>
            </w:pPr>
            <w:r>
              <w:rPr>
                <w:rFonts w:hint="eastAsia" w:hAnsi="宋体" w:cs="宋体"/>
                <w:b/>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380" w:type="dxa"/>
            <w:gridSpan w:val="5"/>
            <w:noWrap w:val="0"/>
            <w:vAlign w:val="center"/>
          </w:tcPr>
          <w:p>
            <w:pPr>
              <w:pStyle w:val="4"/>
              <w:keepNext w:val="0"/>
              <w:keepLines w:val="0"/>
              <w:spacing w:line="240" w:lineRule="auto"/>
              <w:rPr>
                <w:rFonts w:hint="eastAsia" w:ascii="宋体" w:hAnsi="宋体" w:eastAsia="宋体" w:cs="宋体"/>
                <w:b/>
                <w:snapToGrid w:val="0"/>
                <w:kern w:val="0"/>
                <w:szCs w:val="20"/>
                <w:highlight w:val="none"/>
                <w:lang w:val="en-US" w:eastAsia="zh-CN"/>
              </w:rPr>
            </w:pPr>
            <w:r>
              <w:rPr>
                <w:rFonts w:hint="eastAsia" w:ascii="宋体" w:hAnsi="宋体" w:eastAsia="宋体" w:cs="宋体"/>
                <w:b/>
                <w:snapToGrid w:val="0"/>
                <w:kern w:val="0"/>
                <w:szCs w:val="20"/>
                <w:highlight w:val="none"/>
                <w:lang w:val="en-US" w:eastAsia="zh-CN"/>
              </w:rPr>
              <w:t>1、中标人投标文件中提供的各项资质材料均真实有效，合同签订后3个工作日内按招标人要求提供检测报告原件（非扫描件加盖公章）及相关其它证明材料查验，如逾期不能按要求提供或经审查、验证不能通过，招标人有权解除合同，中标人自愿承担一切相关责任；</w:t>
            </w:r>
          </w:p>
          <w:p>
            <w:pPr>
              <w:pStyle w:val="4"/>
              <w:keepNext w:val="0"/>
              <w:keepLines w:val="0"/>
              <w:spacing w:line="240" w:lineRule="auto"/>
              <w:rPr>
                <w:rFonts w:hint="eastAsia" w:ascii="宋体" w:hAnsi="宋体" w:eastAsia="宋体" w:cs="宋体"/>
                <w:b/>
                <w:snapToGrid w:val="0"/>
                <w:kern w:val="0"/>
                <w:szCs w:val="20"/>
                <w:highlight w:val="none"/>
                <w:lang w:val="en-US" w:eastAsia="zh-CN"/>
              </w:rPr>
            </w:pPr>
            <w:r>
              <w:rPr>
                <w:rFonts w:hint="eastAsia" w:ascii="宋体" w:hAnsi="宋体" w:eastAsia="宋体" w:cs="宋体"/>
                <w:b/>
                <w:snapToGrid w:val="0"/>
                <w:kern w:val="0"/>
                <w:szCs w:val="20"/>
                <w:highlight w:val="none"/>
                <w:lang w:val="en-US" w:eastAsia="zh-CN"/>
              </w:rPr>
              <w:t>2、产品供货完成后，招标人将对所供货物进行抽样检查和功能演示。如果核验不符合招标文件和投标文件要求，招标人有权要求中标人进行更换，如中标人不能及时更换或经更换后，产品仍然不能满足要求，招标人有权解除合同，履约保证金不予退还，由此造成的一切损失，由中标人自行承担，招标人同时将上报公共资源交易监督管理部门从严处理。</w:t>
            </w:r>
          </w:p>
        </w:tc>
      </w:tr>
    </w:tbl>
    <w:p>
      <w:pPr>
        <w:spacing w:line="360" w:lineRule="auto"/>
        <w:jc w:val="center"/>
        <w:outlineLvl w:val="0"/>
        <w:rPr>
          <w:rFonts w:hAnsi="宋体" w:cs="宋体"/>
          <w:highlight w:val="none"/>
        </w:rPr>
      </w:pPr>
      <w:r>
        <w:rPr>
          <w:rFonts w:hint="eastAsia" w:ascii="Times New Roman" w:eastAsia="黑体"/>
          <w:sz w:val="32"/>
          <w:szCs w:val="32"/>
          <w:highlight w:val="none"/>
        </w:rPr>
        <w:br w:type="page"/>
      </w:r>
      <w:bookmarkStart w:id="388" w:name="_Toc32641"/>
      <w:bookmarkStart w:id="389" w:name="_Toc140069422"/>
      <w:r>
        <w:rPr>
          <w:rFonts w:hint="eastAsia" w:ascii="黑体" w:hAnsi="黑体" w:eastAsia="黑体" w:cs="黑体"/>
          <w:highlight w:val="none"/>
        </w:rPr>
        <w:t>附件1：技术文件详细评审得分计算规则</w:t>
      </w:r>
      <w:bookmarkEnd w:id="388"/>
      <w:bookmarkEnd w:id="389"/>
    </w:p>
    <w:p>
      <w:pPr>
        <w:spacing w:line="360" w:lineRule="auto"/>
        <w:ind w:firstLine="480" w:firstLineChars="200"/>
        <w:rPr>
          <w:rFonts w:hAnsi="宋体" w:cs="宋体"/>
          <w:bCs/>
          <w:highlight w:val="none"/>
        </w:rPr>
      </w:pPr>
      <w:r>
        <w:rPr>
          <w:rFonts w:hint="eastAsia" w:hAnsi="宋体" w:cs="宋体"/>
          <w:bCs/>
          <w:highlight w:val="none"/>
        </w:rPr>
        <w:t>针对评标办法正文“3.2商务及技术文件详细评审”中“技术文件详细评审得分计算”规则，</w:t>
      </w:r>
      <w:r>
        <w:rPr>
          <w:rFonts w:hint="eastAsia" w:ascii="Times New Roman"/>
          <w:bCs/>
          <w:szCs w:val="24"/>
          <w:highlight w:val="none"/>
        </w:rPr>
        <w:t>具体如下，计算保留小数点后两位，小数点后第三位“四舍五入”：</w:t>
      </w:r>
    </w:p>
    <w:p>
      <w:pPr>
        <w:spacing w:line="360" w:lineRule="auto"/>
        <w:ind w:firstLine="480" w:firstLineChars="200"/>
        <w:rPr>
          <w:rFonts w:ascii="Times New Roman"/>
          <w:szCs w:val="24"/>
          <w:highlight w:val="none"/>
        </w:rPr>
      </w:pPr>
      <w:r>
        <w:rPr>
          <w:rFonts w:hint="eastAsia" w:ascii="Times New Roman"/>
          <w:szCs w:val="24"/>
          <w:highlight w:val="none"/>
        </w:rPr>
        <w:t>技术文件详细评审得分计算如下：</w:t>
      </w:r>
    </w:p>
    <w:p>
      <w:pPr>
        <w:spacing w:line="360" w:lineRule="auto"/>
        <w:ind w:firstLine="480" w:firstLineChars="200"/>
        <w:rPr>
          <w:rFonts w:ascii="Times New Roman"/>
          <w:szCs w:val="24"/>
          <w:highlight w:val="none"/>
        </w:rPr>
      </w:pPr>
      <w:r>
        <w:rPr>
          <w:rFonts w:hint="eastAsia" w:ascii="Times New Roman"/>
          <w:szCs w:val="24"/>
          <w:highlight w:val="none"/>
        </w:rPr>
        <w:t>①首先，根据评委技术文件详细评审打分汇总（以下简称“技术打分”），计算偏差率</w:t>
      </w:r>
    </w:p>
    <w:p>
      <w:pPr>
        <w:spacing w:line="360" w:lineRule="auto"/>
        <w:ind w:firstLine="480" w:firstLineChars="200"/>
        <w:rPr>
          <w:rFonts w:ascii="Times New Roman"/>
          <w:szCs w:val="24"/>
          <w:highlight w:val="none"/>
        </w:rPr>
      </w:pPr>
      <w:r>
        <w:rPr>
          <w:rFonts w:hint="eastAsia" w:ascii="Times New Roman"/>
          <w:szCs w:val="24"/>
          <w:highlight w:val="none"/>
        </w:rPr>
        <w:t>根据评委对其评审的各投标人的技术打分进行排序，计算该评委最高与次高技术打分的纵向偏差率（该评委最高与次高技术打分的差值占该评委最高技术打分的百分比）；</w:t>
      </w:r>
    </w:p>
    <w:p>
      <w:pPr>
        <w:spacing w:line="360" w:lineRule="auto"/>
        <w:ind w:firstLine="480" w:firstLineChars="200"/>
        <w:rPr>
          <w:rFonts w:ascii="Times New Roman"/>
          <w:szCs w:val="24"/>
          <w:highlight w:val="none"/>
        </w:rPr>
      </w:pPr>
      <w:r>
        <w:rPr>
          <w:rFonts w:hint="eastAsia" w:ascii="Times New Roman"/>
          <w:szCs w:val="24"/>
          <w:highlight w:val="none"/>
        </w:rPr>
        <w:t>针对上述评委确定的最高技术打分的投标人，计算该投标人最高技术打分与其他评委对该投标人平均技术打分（技术打分的算术平均值）的横向偏差率（该投标人最高技术打分与其他评委对该投标人平均技术打分的差值占其他评委对该投标人平均技术打分的百分比；出现同一评委不同投标人的最高技术打分相同时，分别计算确定）；</w:t>
      </w:r>
    </w:p>
    <w:p>
      <w:pPr>
        <w:spacing w:line="360" w:lineRule="auto"/>
        <w:ind w:firstLine="480" w:firstLineChars="200"/>
        <w:rPr>
          <w:rFonts w:ascii="Times New Roman"/>
          <w:szCs w:val="24"/>
          <w:highlight w:val="none"/>
        </w:rPr>
      </w:pPr>
      <w:r>
        <w:rPr>
          <w:rFonts w:hint="eastAsia" w:ascii="Times New Roman"/>
          <w:szCs w:val="24"/>
          <w:highlight w:val="none"/>
        </w:rPr>
        <w:t>当纵向偏差率达到或超过20%，同时横向偏差率达到或超过15%时，该评委的技术打分不纳入投标人得分计算。当出现2名或以上评委技术打分同时出现上述情况时，纵向偏差率最大的评委技术打分不纳入投标人得分计算；如纵向偏差率最大的相同时，以横向偏差率最大的评委技术打分不纳入投标人得分计算；如横向偏差率最大的也相同时，则计算该情形评委最高与次次高技术打分的偏差率，该偏差率最大的评委技术打分不纳入投标人得分计算；若最终仍然无法判断的，由评标委员会随机确定1位该情形评委技术打分不纳入投标人得分计算。</w:t>
      </w:r>
    </w:p>
    <w:p>
      <w:pPr>
        <w:spacing w:line="360" w:lineRule="auto"/>
        <w:ind w:firstLine="480" w:firstLineChars="200"/>
        <w:rPr>
          <w:rFonts w:ascii="Times New Roman"/>
          <w:szCs w:val="24"/>
          <w:highlight w:val="none"/>
        </w:rPr>
      </w:pPr>
      <w:r>
        <w:rPr>
          <w:rFonts w:hint="eastAsia" w:ascii="Times New Roman"/>
          <w:szCs w:val="24"/>
          <w:highlight w:val="none"/>
        </w:rPr>
        <w:t>注：技术打分相同的，一并纳入同情形偏差率计算（见示例标示）。上述差值按照绝对值计算；</w:t>
      </w:r>
    </w:p>
    <w:p>
      <w:pPr>
        <w:spacing w:line="360" w:lineRule="auto"/>
        <w:ind w:firstLine="480" w:firstLineChars="200"/>
        <w:rPr>
          <w:rFonts w:ascii="Times New Roman"/>
          <w:szCs w:val="24"/>
          <w:highlight w:val="none"/>
        </w:rPr>
      </w:pPr>
      <w:r>
        <w:rPr>
          <w:rFonts w:hint="eastAsia" w:ascii="Times New Roman"/>
          <w:szCs w:val="24"/>
          <w:highlight w:val="none"/>
        </w:rPr>
        <w:t>示例：如某项目的投标人共6家，共有5位评委参与评审，评委进行技术打分分值见下表，现列举其中1位评委相关计算，具体如下：</w:t>
      </w:r>
    </w:p>
    <w:tbl>
      <w:tblPr>
        <w:tblStyle w:val="52"/>
        <w:tblW w:w="8566" w:type="dxa"/>
        <w:tblInd w:w="118" w:type="dxa"/>
        <w:tblLayout w:type="fixed"/>
        <w:tblCellMar>
          <w:top w:w="0" w:type="dxa"/>
          <w:left w:w="108" w:type="dxa"/>
          <w:bottom w:w="0" w:type="dxa"/>
          <w:right w:w="108" w:type="dxa"/>
        </w:tblCellMar>
      </w:tblPr>
      <w:tblGrid>
        <w:gridCol w:w="1253"/>
        <w:gridCol w:w="129"/>
        <w:gridCol w:w="1358"/>
        <w:gridCol w:w="1550"/>
        <w:gridCol w:w="1475"/>
        <w:gridCol w:w="1450"/>
        <w:gridCol w:w="1351"/>
      </w:tblGrid>
      <w:tr>
        <w:tblPrEx>
          <w:tblCellMar>
            <w:top w:w="0" w:type="dxa"/>
            <w:left w:w="108" w:type="dxa"/>
            <w:bottom w:w="0" w:type="dxa"/>
            <w:right w:w="108" w:type="dxa"/>
          </w:tblCellMar>
        </w:tblPrEx>
        <w:trPr>
          <w:trHeight w:val="387" w:hRule="atLeast"/>
        </w:trPr>
        <w:tc>
          <w:tcPr>
            <w:tcW w:w="8566" w:type="dxa"/>
            <w:gridSpan w:val="7"/>
            <w:tcBorders>
              <w:top w:val="single" w:color="000000" w:sz="8" w:space="0"/>
              <w:left w:val="single" w:color="000000" w:sz="8" w:space="0"/>
              <w:bottom w:val="single" w:color="auto" w:sz="4" w:space="0"/>
              <w:right w:val="single" w:color="000000" w:sz="8" w:space="0"/>
            </w:tcBorders>
            <w:shd w:val="clear" w:color="auto" w:fill="BEBEBE"/>
            <w:noWrap/>
            <w:vAlign w:val="center"/>
          </w:tcPr>
          <w:p>
            <w:pPr>
              <w:widowControl/>
              <w:adjustRightInd w:val="0"/>
              <w:snapToGrid w:val="0"/>
              <w:jc w:val="center"/>
              <w:textAlignment w:val="center"/>
              <w:rPr>
                <w:rFonts w:ascii="Times New Roman" w:cs="宋体"/>
                <w:bCs/>
                <w:sz w:val="18"/>
                <w:szCs w:val="18"/>
                <w:highlight w:val="none"/>
              </w:rPr>
            </w:pPr>
            <w:r>
              <w:rPr>
                <w:rFonts w:hint="eastAsia" w:ascii="Times New Roman" w:cs="宋体"/>
                <w:bCs/>
                <w:sz w:val="20"/>
                <w:highlight w:val="none"/>
              </w:rPr>
              <w:t>技术打分分值</w:t>
            </w:r>
          </w:p>
        </w:tc>
      </w:tr>
      <w:tr>
        <w:tblPrEx>
          <w:tblCellMar>
            <w:top w:w="0" w:type="dxa"/>
            <w:left w:w="108" w:type="dxa"/>
            <w:bottom w:w="0" w:type="dxa"/>
            <w:right w:w="108" w:type="dxa"/>
          </w:tblCellMar>
        </w:tblPrEx>
        <w:trPr>
          <w:trHeight w:val="387" w:hRule="atLeast"/>
        </w:trPr>
        <w:tc>
          <w:tcPr>
            <w:tcW w:w="1253" w:type="dxa"/>
            <w:tcBorders>
              <w:top w:val="single" w:color="000000" w:sz="8" w:space="0"/>
              <w:left w:val="single" w:color="000000" w:sz="8" w:space="0"/>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评委名称</w:t>
            </w:r>
          </w:p>
        </w:tc>
        <w:tc>
          <w:tcPr>
            <w:tcW w:w="1487" w:type="dxa"/>
            <w:gridSpan w:val="2"/>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评委1</w:t>
            </w:r>
          </w:p>
        </w:tc>
        <w:tc>
          <w:tcPr>
            <w:tcW w:w="1550"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评委2</w:t>
            </w:r>
          </w:p>
        </w:tc>
        <w:tc>
          <w:tcPr>
            <w:tcW w:w="1475"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评委3</w:t>
            </w:r>
          </w:p>
        </w:tc>
        <w:tc>
          <w:tcPr>
            <w:tcW w:w="1450"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评委4</w:t>
            </w:r>
          </w:p>
        </w:tc>
        <w:tc>
          <w:tcPr>
            <w:tcW w:w="1351"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评委5</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投标人1</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30.0分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投标人2</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textAlignment w:val="center"/>
              <w:rPr>
                <w:rFonts w:ascii="Times New Roman" w:cs="宋体"/>
                <w:sz w:val="18"/>
                <w:szCs w:val="18"/>
                <w:highlight w:val="none"/>
              </w:rPr>
            </w:pPr>
            <w:r>
              <w:rPr>
                <w:rFonts w:hint="eastAsia" w:ascii="Times New Roman" w:cs="宋体"/>
                <w:sz w:val="18"/>
                <w:szCs w:val="18"/>
                <w:highlight w:val="none"/>
              </w:rPr>
              <w:t>（次次高分）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投标人3</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26.0分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23.0分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投标人4</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23.0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20.0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投标人5</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投标人6</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30.0分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r>
      <w:tr>
        <w:tblPrEx>
          <w:tblCellMar>
            <w:top w:w="0" w:type="dxa"/>
            <w:left w:w="108" w:type="dxa"/>
            <w:bottom w:w="0" w:type="dxa"/>
            <w:right w:w="108" w:type="dxa"/>
          </w:tblCellMar>
        </w:tblPrEx>
        <w:trPr>
          <w:trHeight w:val="415" w:hRule="atLeast"/>
        </w:trPr>
        <w:tc>
          <w:tcPr>
            <w:tcW w:w="8566" w:type="dxa"/>
            <w:gridSpan w:val="7"/>
            <w:tcBorders>
              <w:top w:val="single" w:color="auto" w:sz="4" w:space="0"/>
              <w:left w:val="single" w:color="000000" w:sz="4" w:space="0"/>
              <w:bottom w:val="single" w:color="auto" w:sz="4" w:space="0"/>
              <w:right w:val="single" w:color="000000" w:sz="4" w:space="0"/>
            </w:tcBorders>
            <w:shd w:val="clear" w:color="auto" w:fill="BEBEBE"/>
            <w:noWrap/>
            <w:vAlign w:val="center"/>
          </w:tcPr>
          <w:p>
            <w:pPr>
              <w:widowControl/>
              <w:adjustRightInd w:val="0"/>
              <w:snapToGrid w:val="0"/>
              <w:jc w:val="center"/>
              <w:textAlignment w:val="center"/>
              <w:rPr>
                <w:rFonts w:ascii="Times New Roman" w:cs="宋体"/>
                <w:bCs/>
                <w:sz w:val="20"/>
                <w:highlight w:val="none"/>
              </w:rPr>
            </w:pPr>
            <w:r>
              <w:rPr>
                <w:rFonts w:hint="eastAsia" w:ascii="Times New Roman" w:cs="宋体"/>
                <w:bCs/>
                <w:sz w:val="20"/>
                <w:highlight w:val="none"/>
              </w:rPr>
              <w:t>列举评委1纵向偏差率计算</w:t>
            </w:r>
          </w:p>
        </w:tc>
      </w:tr>
      <w:tr>
        <w:tblPrEx>
          <w:tblCellMar>
            <w:top w:w="0" w:type="dxa"/>
            <w:left w:w="108" w:type="dxa"/>
            <w:bottom w:w="0" w:type="dxa"/>
            <w:right w:w="108" w:type="dxa"/>
          </w:tblCellMar>
        </w:tblPrEx>
        <w:trPr>
          <w:trHeight w:val="472" w:hRule="atLeast"/>
        </w:trPr>
        <w:tc>
          <w:tcPr>
            <w:tcW w:w="27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20"/>
                <w:highlight w:val="none"/>
              </w:rPr>
              <w:t>评委1的纵向偏差率</w:t>
            </w:r>
          </w:p>
        </w:tc>
        <w:tc>
          <w:tcPr>
            <w:tcW w:w="5826"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textAlignment w:val="center"/>
              <w:rPr>
                <w:rFonts w:ascii="Times New Roman" w:cs="宋体"/>
                <w:sz w:val="18"/>
                <w:szCs w:val="18"/>
                <w:highlight w:val="none"/>
              </w:rPr>
            </w:pPr>
            <w:r>
              <w:rPr>
                <w:rFonts w:hint="eastAsia" w:ascii="Times New Roman" w:cs="宋体"/>
                <w:sz w:val="20"/>
                <w:highlight w:val="none"/>
              </w:rPr>
              <w:t>【（28.0-26.0）÷28.0】×100%=7.14%</w:t>
            </w:r>
          </w:p>
        </w:tc>
      </w:tr>
      <w:tr>
        <w:tblPrEx>
          <w:tblCellMar>
            <w:top w:w="0" w:type="dxa"/>
            <w:left w:w="108" w:type="dxa"/>
            <w:bottom w:w="0" w:type="dxa"/>
            <w:right w:w="108" w:type="dxa"/>
          </w:tblCellMar>
        </w:tblPrEx>
        <w:trPr>
          <w:trHeight w:val="412" w:hRule="atLeast"/>
        </w:trPr>
        <w:tc>
          <w:tcPr>
            <w:tcW w:w="8566" w:type="dxa"/>
            <w:gridSpan w:val="7"/>
            <w:tcBorders>
              <w:top w:val="single" w:color="auto" w:sz="4" w:space="0"/>
              <w:left w:val="single" w:color="auto" w:sz="4" w:space="0"/>
              <w:bottom w:val="single" w:color="auto" w:sz="4" w:space="0"/>
              <w:right w:val="single" w:color="auto" w:sz="4" w:space="0"/>
            </w:tcBorders>
            <w:shd w:val="clear" w:color="auto" w:fill="BEBEBE"/>
            <w:noWrap/>
            <w:vAlign w:val="center"/>
          </w:tcPr>
          <w:p>
            <w:pPr>
              <w:widowControl/>
              <w:adjustRightInd w:val="0"/>
              <w:snapToGrid w:val="0"/>
              <w:jc w:val="center"/>
              <w:textAlignment w:val="center"/>
              <w:rPr>
                <w:rFonts w:ascii="Times New Roman" w:cs="宋体"/>
                <w:bCs/>
                <w:sz w:val="20"/>
                <w:highlight w:val="none"/>
              </w:rPr>
            </w:pPr>
            <w:r>
              <w:rPr>
                <w:rFonts w:hint="eastAsia" w:ascii="Times New Roman" w:cs="宋体"/>
                <w:bCs/>
                <w:sz w:val="20"/>
                <w:highlight w:val="none"/>
              </w:rPr>
              <w:t>列举评委1横向偏差率计算</w:t>
            </w:r>
          </w:p>
        </w:tc>
      </w:tr>
      <w:tr>
        <w:tblPrEx>
          <w:tblCellMar>
            <w:top w:w="0" w:type="dxa"/>
            <w:left w:w="108" w:type="dxa"/>
            <w:bottom w:w="0" w:type="dxa"/>
            <w:right w:w="108" w:type="dxa"/>
          </w:tblCellMar>
        </w:tblPrEx>
        <w:trPr>
          <w:trHeight w:val="1017" w:hRule="atLeast"/>
        </w:trPr>
        <w:tc>
          <w:tcPr>
            <w:tcW w:w="1382" w:type="dxa"/>
            <w:gridSpan w:val="2"/>
            <w:vMerge w:val="restart"/>
            <w:tcBorders>
              <w:top w:val="single" w:color="auto" w:sz="4" w:space="0"/>
              <w:left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cs="宋体"/>
                <w:sz w:val="20"/>
                <w:highlight w:val="none"/>
              </w:rPr>
            </w:pPr>
            <w:r>
              <w:rPr>
                <w:rFonts w:hint="eastAsia" w:ascii="Times New Roman" w:cs="宋体"/>
                <w:sz w:val="20"/>
                <w:highlight w:val="none"/>
              </w:rPr>
              <w:t>评委1的</w:t>
            </w:r>
          </w:p>
          <w:p>
            <w:pPr>
              <w:widowControl/>
              <w:adjustRightInd w:val="0"/>
              <w:snapToGrid w:val="0"/>
              <w:spacing w:line="360" w:lineRule="auto"/>
              <w:jc w:val="center"/>
              <w:textAlignment w:val="center"/>
              <w:rPr>
                <w:rFonts w:ascii="Times New Roman" w:cs="宋体"/>
                <w:sz w:val="20"/>
                <w:highlight w:val="none"/>
              </w:rPr>
            </w:pPr>
            <w:r>
              <w:rPr>
                <w:rFonts w:hint="eastAsia" w:ascii="Times New Roman" w:cs="宋体"/>
                <w:sz w:val="20"/>
                <w:highlight w:val="none"/>
              </w:rPr>
              <w:t>横向偏差</w:t>
            </w:r>
          </w:p>
        </w:tc>
        <w:tc>
          <w:tcPr>
            <w:tcW w:w="718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left"/>
              <w:textAlignment w:val="center"/>
              <w:rPr>
                <w:rFonts w:ascii="Times New Roman" w:cs="宋体"/>
                <w:sz w:val="20"/>
                <w:highlight w:val="none"/>
              </w:rPr>
            </w:pPr>
            <w:r>
              <w:rPr>
                <w:rFonts w:hint="eastAsia" w:ascii="Times New Roman" w:cs="宋体"/>
                <w:sz w:val="20"/>
                <w:highlight w:val="none"/>
              </w:rPr>
              <w:t>对投标人1计算横向偏差={28.0-[（30.0+22.0+25.0+20.0）÷4]}÷[（30.0+22.0+25.0+20.0）÷4]×100%={28.0-24.25}÷[24.25]×100%=15.46%</w:t>
            </w:r>
          </w:p>
        </w:tc>
      </w:tr>
      <w:tr>
        <w:tblPrEx>
          <w:tblCellMar>
            <w:top w:w="0" w:type="dxa"/>
            <w:left w:w="108" w:type="dxa"/>
            <w:bottom w:w="0" w:type="dxa"/>
            <w:right w:w="108" w:type="dxa"/>
          </w:tblCellMar>
        </w:tblPrEx>
        <w:trPr>
          <w:trHeight w:val="905" w:hRule="atLeast"/>
        </w:trPr>
        <w:tc>
          <w:tcPr>
            <w:tcW w:w="1382" w:type="dxa"/>
            <w:gridSpan w:val="2"/>
            <w:vMerge w:val="continue"/>
            <w:tcBorders>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cs="宋体"/>
                <w:sz w:val="20"/>
                <w:highlight w:val="none"/>
              </w:rPr>
            </w:pPr>
          </w:p>
        </w:tc>
        <w:tc>
          <w:tcPr>
            <w:tcW w:w="718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left"/>
              <w:textAlignment w:val="center"/>
              <w:rPr>
                <w:rFonts w:ascii="Times New Roman" w:cs="宋体"/>
                <w:sz w:val="20"/>
                <w:highlight w:val="none"/>
              </w:rPr>
            </w:pPr>
            <w:r>
              <w:rPr>
                <w:rFonts w:hint="eastAsia" w:ascii="Times New Roman" w:cs="宋体"/>
                <w:sz w:val="20"/>
                <w:highlight w:val="none"/>
              </w:rPr>
              <w:t>对投标人2计算横向偏差={28.0-[（28.0+28.0+24.0+22.0）÷4]}÷[（28.0+28.0+24.0+22.0）÷4]×100%={28.0-25.50}÷[25.50]×100%=9.80%</w:t>
            </w:r>
          </w:p>
        </w:tc>
      </w:tr>
    </w:tbl>
    <w:p>
      <w:pPr>
        <w:spacing w:line="360" w:lineRule="auto"/>
        <w:ind w:firstLine="480" w:firstLineChars="200"/>
        <w:rPr>
          <w:rFonts w:ascii="Times New Roman"/>
          <w:szCs w:val="24"/>
          <w:highlight w:val="none"/>
        </w:rPr>
      </w:pPr>
      <w:r>
        <w:rPr>
          <w:rFonts w:hint="eastAsia" w:ascii="Times New Roman"/>
          <w:szCs w:val="24"/>
          <w:highlight w:val="none"/>
        </w:rPr>
        <w:t>②其次，根据评委技术文件详细评审打分汇总（以下简称“技术打分”），计算打分差值</w:t>
      </w:r>
    </w:p>
    <w:p>
      <w:pPr>
        <w:spacing w:line="360" w:lineRule="auto"/>
        <w:ind w:firstLine="480" w:firstLineChars="200"/>
        <w:rPr>
          <w:rFonts w:ascii="Times New Roman"/>
          <w:szCs w:val="24"/>
          <w:highlight w:val="none"/>
        </w:rPr>
      </w:pPr>
      <w:r>
        <w:rPr>
          <w:rFonts w:ascii="Times New Roman"/>
          <w:szCs w:val="24"/>
          <w:highlight w:val="none"/>
        </w:rPr>
        <w:t>a.</w:t>
      </w:r>
      <w:r>
        <w:rPr>
          <w:rFonts w:hint="eastAsia" w:ascii="Times New Roman"/>
          <w:szCs w:val="24"/>
          <w:highlight w:val="none"/>
        </w:rPr>
        <w:t>当未出现上述①中评委的技术打分不纳入投标人得分计算的情形时，根据评委对其评审的各投标人的技术打分进行排序，计算该评委最高与最低技术打分的差值；</w:t>
      </w:r>
    </w:p>
    <w:p>
      <w:pPr>
        <w:spacing w:line="360" w:lineRule="auto"/>
        <w:ind w:firstLine="480" w:firstLineChars="200"/>
        <w:rPr>
          <w:rFonts w:ascii="Times New Roman"/>
          <w:szCs w:val="24"/>
          <w:highlight w:val="none"/>
        </w:rPr>
      </w:pPr>
      <w:r>
        <w:rPr>
          <w:rFonts w:hint="eastAsia" w:ascii="Times New Roman"/>
          <w:szCs w:val="24"/>
          <w:highlight w:val="none"/>
        </w:rPr>
        <w:t>所有评委中技术打分差值最大的，其技术打分不纳入投标人得分计算。当出现技术打分差值最大的评委为2名或以上时，则计算该情形的评委次最高与最低技术打分的差值，次差值最大的评委的技术打分不纳入投标人得分计算；如次差值也相同时，则计算该情形的评委次次最高与最低技术打分的差值，次次差值最大的评委的技术打分不纳入投标人得分计算；以此类推。若最终仍然无法判断的，由评标委员会随机确定1位该情形评委的技术打分不纳入投标人得分计算。</w:t>
      </w:r>
    </w:p>
    <w:p>
      <w:pPr>
        <w:spacing w:line="360" w:lineRule="auto"/>
        <w:ind w:firstLine="480" w:firstLineChars="200"/>
        <w:rPr>
          <w:rFonts w:ascii="Times New Roman"/>
          <w:szCs w:val="24"/>
          <w:highlight w:val="none"/>
        </w:rPr>
      </w:pPr>
      <w:r>
        <w:rPr>
          <w:rFonts w:hint="eastAsia" w:ascii="Times New Roman"/>
          <w:szCs w:val="24"/>
          <w:highlight w:val="none"/>
        </w:rPr>
        <w:t>注：技术打分相同的，一并纳入同情形差值计算（见示例标示）。</w:t>
      </w:r>
    </w:p>
    <w:p>
      <w:pPr>
        <w:spacing w:line="360" w:lineRule="auto"/>
        <w:ind w:firstLine="480" w:firstLineChars="200"/>
        <w:rPr>
          <w:rFonts w:ascii="Times New Roman"/>
          <w:szCs w:val="24"/>
          <w:highlight w:val="none"/>
        </w:rPr>
      </w:pPr>
      <w:r>
        <w:rPr>
          <w:rFonts w:ascii="Times New Roman"/>
          <w:szCs w:val="24"/>
          <w:highlight w:val="none"/>
        </w:rPr>
        <w:t>b.</w:t>
      </w:r>
      <w:r>
        <w:rPr>
          <w:rFonts w:hint="eastAsia" w:ascii="Times New Roman"/>
          <w:szCs w:val="24"/>
          <w:highlight w:val="none"/>
        </w:rPr>
        <w:t>当出现上述①中评委的技术打分不纳入投标人得分计算的情形时，不再计算技术打分最大差值，直接进入下一步计算。</w:t>
      </w:r>
    </w:p>
    <w:p>
      <w:pPr>
        <w:spacing w:line="360" w:lineRule="auto"/>
        <w:ind w:firstLine="480" w:firstLineChars="200"/>
        <w:rPr>
          <w:rFonts w:ascii="Times New Roman"/>
          <w:szCs w:val="24"/>
          <w:highlight w:val="none"/>
        </w:rPr>
      </w:pPr>
      <w:r>
        <w:rPr>
          <w:rFonts w:hint="eastAsia" w:ascii="Times New Roman"/>
          <w:szCs w:val="24"/>
          <w:highlight w:val="none"/>
        </w:rPr>
        <w:t>③再次，计算技术文件详细评审得分</w:t>
      </w:r>
    </w:p>
    <w:p>
      <w:pPr>
        <w:spacing w:line="360" w:lineRule="auto"/>
        <w:ind w:firstLine="480" w:firstLineChars="200"/>
        <w:rPr>
          <w:rFonts w:ascii="Times New Roman"/>
          <w:szCs w:val="24"/>
          <w:highlight w:val="none"/>
        </w:rPr>
      </w:pPr>
      <w:r>
        <w:rPr>
          <w:rFonts w:hint="eastAsia" w:ascii="Times New Roman"/>
          <w:szCs w:val="24"/>
          <w:highlight w:val="none"/>
        </w:rPr>
        <w:t>依据上述①②的判断，按照剩余各评委的技术文件详细评审（本章第2.2.2（1）目）中对应的各评分（评审）因素的打分，去掉一个最高分和一个最低分后计算算术平均值，为该评分（评审）因素的得分；</w:t>
      </w:r>
    </w:p>
    <w:p>
      <w:pPr>
        <w:spacing w:line="360" w:lineRule="auto"/>
        <w:ind w:firstLine="480" w:firstLineChars="200"/>
        <w:rPr>
          <w:rFonts w:ascii="Times New Roman"/>
          <w:szCs w:val="24"/>
          <w:highlight w:val="none"/>
        </w:rPr>
      </w:pPr>
      <w:r>
        <w:rPr>
          <w:rFonts w:hint="eastAsia" w:ascii="Times New Roman"/>
          <w:szCs w:val="24"/>
          <w:highlight w:val="none"/>
        </w:rPr>
        <w:t>投标人第2.2.2（1）目得分A为该目中对应各评分（评审）因素得分的和；</w:t>
      </w:r>
    </w:p>
    <w:p>
      <w:pPr>
        <w:spacing w:line="360" w:lineRule="auto"/>
        <w:ind w:firstLine="480" w:firstLineChars="200"/>
        <w:rPr>
          <w:rFonts w:ascii="Times New Roman"/>
          <w:szCs w:val="24"/>
          <w:highlight w:val="none"/>
        </w:rPr>
      </w:pPr>
      <w:r>
        <w:rPr>
          <w:rFonts w:hint="eastAsia" w:ascii="Times New Roman"/>
          <w:szCs w:val="24"/>
          <w:highlight w:val="none"/>
        </w:rPr>
        <w:t>投标人技术文件详细评审得分=A。</w:t>
      </w:r>
    </w:p>
    <w:p>
      <w:pPr>
        <w:snapToGrid w:val="0"/>
        <w:spacing w:line="360" w:lineRule="auto"/>
        <w:ind w:firstLine="480" w:firstLineChars="200"/>
        <w:rPr>
          <w:rFonts w:hAnsi="宋体" w:cs="宋体"/>
          <w:highlight w:val="none"/>
        </w:rPr>
      </w:pPr>
    </w:p>
    <w:p>
      <w:pPr>
        <w:snapToGrid w:val="0"/>
        <w:spacing w:line="360" w:lineRule="auto"/>
        <w:ind w:firstLine="480" w:firstLineChars="200"/>
        <w:jc w:val="center"/>
        <w:outlineLvl w:val="0"/>
        <w:rPr>
          <w:rFonts w:hAnsi="宋体" w:cs="宋体"/>
          <w:highlight w:val="none"/>
        </w:rPr>
      </w:pPr>
      <w:r>
        <w:rPr>
          <w:rFonts w:hint="eastAsia" w:hAnsi="宋体" w:cs="宋体"/>
          <w:highlight w:val="none"/>
        </w:rPr>
        <w:br w:type="page"/>
      </w:r>
      <w:bookmarkStart w:id="390" w:name="_Toc140069423"/>
      <w:r>
        <w:rPr>
          <w:rFonts w:hint="eastAsia" w:ascii="黑体" w:hAnsi="黑体" w:eastAsia="黑体" w:cs="黑体"/>
          <w:highlight w:val="none"/>
        </w:rPr>
        <w:t>附件2：否决投标的其他情形</w:t>
      </w:r>
      <w:bookmarkEnd w:id="390"/>
    </w:p>
    <w:p>
      <w:pPr>
        <w:pStyle w:val="19"/>
        <w:spacing w:line="360" w:lineRule="auto"/>
        <w:ind w:firstLine="420" w:firstLineChars="200"/>
        <w:rPr>
          <w:rFonts w:hAnsi="宋体" w:cs="宋体"/>
          <w:highlight w:val="none"/>
        </w:rPr>
      </w:pPr>
      <w:r>
        <w:rPr>
          <w:rFonts w:hint="eastAsia" w:hAnsi="宋体" w:cs="宋体"/>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9"/>
        <w:spacing w:line="360" w:lineRule="auto"/>
        <w:ind w:firstLine="420" w:firstLineChars="200"/>
        <w:outlineLvl w:val="0"/>
        <w:rPr>
          <w:rFonts w:hAnsi="宋体" w:cs="宋体"/>
          <w:highlight w:val="none"/>
        </w:rPr>
      </w:pPr>
      <w:bookmarkStart w:id="391" w:name="_Toc21810"/>
      <w:bookmarkStart w:id="392" w:name="_Toc140069424"/>
      <w:r>
        <w:rPr>
          <w:rFonts w:hint="eastAsia" w:hAnsi="宋体" w:cs="宋体"/>
          <w:highlight w:val="none"/>
        </w:rPr>
        <w:t>（1）有下列情形之一的，属于投标人相互串通投标：</w:t>
      </w:r>
      <w:bookmarkEnd w:id="391"/>
      <w:bookmarkEnd w:id="392"/>
    </w:p>
    <w:p>
      <w:pPr>
        <w:pStyle w:val="19"/>
        <w:spacing w:line="360" w:lineRule="auto"/>
        <w:ind w:firstLine="420" w:firstLineChars="200"/>
        <w:rPr>
          <w:rFonts w:hAnsi="宋体" w:cs="宋体"/>
          <w:highlight w:val="none"/>
        </w:rPr>
      </w:pPr>
      <w:r>
        <w:rPr>
          <w:rFonts w:hint="eastAsia" w:hAnsi="宋体" w:cs="宋体"/>
          <w:highlight w:val="none"/>
        </w:rPr>
        <w:t>①投标人之间协商投标报价等投标文件的实质性内容；</w:t>
      </w:r>
    </w:p>
    <w:p>
      <w:pPr>
        <w:pStyle w:val="19"/>
        <w:spacing w:line="360" w:lineRule="auto"/>
        <w:ind w:firstLine="420" w:firstLineChars="200"/>
        <w:rPr>
          <w:rFonts w:hAnsi="宋体" w:cs="宋体"/>
          <w:highlight w:val="none"/>
        </w:rPr>
      </w:pPr>
      <w:r>
        <w:rPr>
          <w:rFonts w:hint="eastAsia" w:hAnsi="宋体" w:cs="宋体"/>
          <w:highlight w:val="none"/>
        </w:rPr>
        <w:t>②投标人之间约定中标人；</w:t>
      </w:r>
    </w:p>
    <w:p>
      <w:pPr>
        <w:pStyle w:val="19"/>
        <w:spacing w:line="360" w:lineRule="auto"/>
        <w:ind w:firstLine="420" w:firstLineChars="200"/>
        <w:rPr>
          <w:rFonts w:hAnsi="宋体" w:cs="宋体"/>
          <w:highlight w:val="none"/>
        </w:rPr>
      </w:pPr>
      <w:r>
        <w:rPr>
          <w:rFonts w:hint="eastAsia" w:hAnsi="宋体" w:cs="宋体"/>
          <w:highlight w:val="none"/>
        </w:rPr>
        <w:t>③投标人之间约定部分投标人放弃投标或中标；</w:t>
      </w:r>
    </w:p>
    <w:p>
      <w:pPr>
        <w:pStyle w:val="19"/>
        <w:spacing w:line="360" w:lineRule="auto"/>
        <w:ind w:firstLine="420" w:firstLineChars="200"/>
        <w:rPr>
          <w:rFonts w:hAnsi="宋体" w:cs="宋体"/>
          <w:highlight w:val="none"/>
        </w:rPr>
      </w:pPr>
      <w:r>
        <w:rPr>
          <w:rFonts w:hint="eastAsia" w:hAnsi="宋体" w:cs="宋体"/>
          <w:highlight w:val="none"/>
        </w:rPr>
        <w:t>④属于同一集团、协会、商会等组织成员的投标人按照该组织要求协同投标；</w:t>
      </w:r>
    </w:p>
    <w:p>
      <w:pPr>
        <w:pStyle w:val="19"/>
        <w:spacing w:line="360" w:lineRule="auto"/>
        <w:ind w:firstLine="420" w:firstLineChars="200"/>
        <w:rPr>
          <w:rFonts w:hAnsi="宋体" w:cs="宋体"/>
          <w:highlight w:val="none"/>
        </w:rPr>
      </w:pPr>
      <w:r>
        <w:rPr>
          <w:rFonts w:hint="eastAsia" w:hAnsi="宋体" w:cs="宋体"/>
          <w:highlight w:val="none"/>
        </w:rPr>
        <w:t>⑤投标人之间为谋取中标或排斥特定投标人而采取的其他联合行动。</w:t>
      </w:r>
    </w:p>
    <w:p>
      <w:pPr>
        <w:pStyle w:val="19"/>
        <w:spacing w:line="360" w:lineRule="auto"/>
        <w:ind w:firstLine="420" w:firstLineChars="200"/>
        <w:outlineLvl w:val="0"/>
        <w:rPr>
          <w:rFonts w:hAnsi="宋体" w:cs="宋体"/>
          <w:highlight w:val="none"/>
        </w:rPr>
      </w:pPr>
      <w:bookmarkStart w:id="393" w:name="_Toc140069425"/>
      <w:bookmarkStart w:id="394" w:name="_Toc1679"/>
      <w:r>
        <w:rPr>
          <w:rFonts w:hint="eastAsia" w:hAnsi="宋体" w:cs="宋体"/>
          <w:highlight w:val="none"/>
        </w:rPr>
        <w:t>（2）有下列情形之一的，视为投标人相互串通投标：</w:t>
      </w:r>
      <w:bookmarkEnd w:id="393"/>
      <w:bookmarkEnd w:id="394"/>
    </w:p>
    <w:p>
      <w:pPr>
        <w:pStyle w:val="19"/>
        <w:spacing w:line="360" w:lineRule="auto"/>
        <w:ind w:firstLine="420" w:firstLineChars="200"/>
        <w:rPr>
          <w:rFonts w:hAnsi="宋体" w:cs="宋体"/>
          <w:highlight w:val="none"/>
        </w:rPr>
      </w:pPr>
      <w:r>
        <w:rPr>
          <w:rFonts w:hint="eastAsia" w:hAnsi="宋体" w:cs="宋体"/>
          <w:highlight w:val="none"/>
        </w:rPr>
        <w:t>①不同投标人的投标文件由同一单位或个人编制；</w:t>
      </w:r>
    </w:p>
    <w:p>
      <w:pPr>
        <w:pStyle w:val="19"/>
        <w:spacing w:line="360" w:lineRule="auto"/>
        <w:ind w:firstLine="420" w:firstLineChars="200"/>
        <w:rPr>
          <w:rFonts w:hAnsi="宋体" w:cs="宋体"/>
          <w:highlight w:val="none"/>
        </w:rPr>
      </w:pPr>
      <w:r>
        <w:rPr>
          <w:rFonts w:hint="eastAsia" w:hAnsi="宋体" w:cs="宋体"/>
          <w:highlight w:val="none"/>
        </w:rPr>
        <w:t>②不同投标人委托同一单位或个人办理投标事宜；</w:t>
      </w:r>
    </w:p>
    <w:p>
      <w:pPr>
        <w:pStyle w:val="19"/>
        <w:spacing w:line="360" w:lineRule="auto"/>
        <w:ind w:firstLine="420" w:firstLineChars="200"/>
        <w:rPr>
          <w:rFonts w:hAnsi="宋体" w:cs="宋体"/>
          <w:highlight w:val="none"/>
        </w:rPr>
      </w:pPr>
      <w:r>
        <w:rPr>
          <w:rFonts w:hint="eastAsia" w:hAnsi="宋体" w:cs="宋体"/>
          <w:highlight w:val="none"/>
        </w:rPr>
        <w:t>③不同投标人的投标文件载明的项目管理成员为同一人；</w:t>
      </w:r>
    </w:p>
    <w:p>
      <w:pPr>
        <w:pStyle w:val="19"/>
        <w:spacing w:line="360" w:lineRule="auto"/>
        <w:ind w:firstLine="420" w:firstLineChars="200"/>
        <w:rPr>
          <w:rFonts w:hAnsi="宋体" w:cs="宋体"/>
          <w:highlight w:val="none"/>
        </w:rPr>
      </w:pPr>
      <w:r>
        <w:rPr>
          <w:rFonts w:hint="eastAsia" w:hAnsi="宋体" w:cs="宋体"/>
          <w:highlight w:val="none"/>
        </w:rPr>
        <w:t>④不同投标人的投标文件异常一致或投标报价呈规律性差异；</w:t>
      </w:r>
    </w:p>
    <w:p>
      <w:pPr>
        <w:pStyle w:val="19"/>
        <w:spacing w:line="360" w:lineRule="auto"/>
        <w:ind w:firstLine="420" w:firstLineChars="200"/>
        <w:rPr>
          <w:rFonts w:hAnsi="宋体" w:cs="宋体"/>
          <w:highlight w:val="none"/>
        </w:rPr>
      </w:pPr>
      <w:r>
        <w:rPr>
          <w:rFonts w:hint="eastAsia" w:hAnsi="宋体" w:cs="宋体"/>
          <w:highlight w:val="none"/>
        </w:rPr>
        <w:t>⑤不同投标人的投标文件相互混装；</w:t>
      </w:r>
    </w:p>
    <w:p>
      <w:pPr>
        <w:pStyle w:val="19"/>
        <w:spacing w:line="360" w:lineRule="auto"/>
        <w:ind w:firstLine="420" w:firstLineChars="200"/>
        <w:rPr>
          <w:rFonts w:hAnsi="宋体" w:cs="宋体"/>
          <w:highlight w:val="none"/>
        </w:rPr>
      </w:pPr>
      <w:r>
        <w:rPr>
          <w:rFonts w:hint="eastAsia" w:hAnsi="宋体" w:cs="宋体"/>
          <w:highlight w:val="none"/>
        </w:rPr>
        <w:t>⑥不同投标人的投标保证金从同一单位或个人的账户转出。</w:t>
      </w:r>
    </w:p>
    <w:p>
      <w:pPr>
        <w:pStyle w:val="19"/>
        <w:spacing w:line="360" w:lineRule="auto"/>
        <w:ind w:firstLine="420" w:firstLineChars="200"/>
        <w:outlineLvl w:val="0"/>
        <w:rPr>
          <w:rFonts w:hAnsi="宋体" w:cs="宋体"/>
          <w:highlight w:val="none"/>
        </w:rPr>
      </w:pPr>
      <w:bookmarkStart w:id="395" w:name="_Toc176"/>
      <w:bookmarkStart w:id="396" w:name="_Toc140069426"/>
      <w:r>
        <w:rPr>
          <w:rFonts w:hint="eastAsia" w:hAnsi="宋体" w:cs="宋体"/>
          <w:highlight w:val="none"/>
        </w:rPr>
        <w:t>（3）有下列情形之一的，属于招标人与投标人串通投标：</w:t>
      </w:r>
      <w:bookmarkEnd w:id="395"/>
      <w:bookmarkEnd w:id="396"/>
    </w:p>
    <w:p>
      <w:pPr>
        <w:pStyle w:val="19"/>
        <w:spacing w:line="360" w:lineRule="auto"/>
        <w:ind w:firstLine="420" w:firstLineChars="200"/>
        <w:rPr>
          <w:rFonts w:hAnsi="宋体" w:cs="宋体"/>
          <w:highlight w:val="none"/>
        </w:rPr>
      </w:pPr>
      <w:r>
        <w:rPr>
          <w:rFonts w:hint="eastAsia" w:hAnsi="宋体" w:cs="宋体"/>
          <w:highlight w:val="none"/>
        </w:rPr>
        <w:t>①招标人在开标前开启投标文件并将有关信息泄露给其他投标人；</w:t>
      </w:r>
    </w:p>
    <w:p>
      <w:pPr>
        <w:pStyle w:val="19"/>
        <w:spacing w:line="360" w:lineRule="auto"/>
        <w:ind w:firstLine="420" w:firstLineChars="200"/>
        <w:rPr>
          <w:rFonts w:hAnsi="宋体" w:cs="宋体"/>
          <w:highlight w:val="none"/>
        </w:rPr>
      </w:pPr>
      <w:r>
        <w:rPr>
          <w:rFonts w:hint="eastAsia" w:hAnsi="宋体" w:cs="宋体"/>
          <w:highlight w:val="none"/>
        </w:rPr>
        <w:t>②招标人直接或间接向投标人泄露标底、评标委员会成员等信息；</w:t>
      </w:r>
    </w:p>
    <w:p>
      <w:pPr>
        <w:pStyle w:val="19"/>
        <w:spacing w:line="360" w:lineRule="auto"/>
        <w:ind w:firstLine="420" w:firstLineChars="200"/>
        <w:rPr>
          <w:rFonts w:hAnsi="宋体" w:cs="宋体"/>
          <w:highlight w:val="none"/>
        </w:rPr>
      </w:pPr>
      <w:r>
        <w:rPr>
          <w:rFonts w:hint="eastAsia" w:hAnsi="宋体" w:cs="宋体"/>
          <w:highlight w:val="none"/>
        </w:rPr>
        <w:t>③招标人明示或暗示投标人压低或抬高投标报价；</w:t>
      </w:r>
    </w:p>
    <w:p>
      <w:pPr>
        <w:pStyle w:val="19"/>
        <w:spacing w:line="360" w:lineRule="auto"/>
        <w:ind w:firstLine="420" w:firstLineChars="200"/>
        <w:rPr>
          <w:rFonts w:hAnsi="宋体" w:cs="宋体"/>
          <w:highlight w:val="none"/>
        </w:rPr>
      </w:pPr>
      <w:r>
        <w:rPr>
          <w:rFonts w:hint="eastAsia" w:hAnsi="宋体" w:cs="宋体"/>
          <w:highlight w:val="none"/>
        </w:rPr>
        <w:t>④招标人授意投标人撤换、修改投标文件；</w:t>
      </w:r>
    </w:p>
    <w:p>
      <w:pPr>
        <w:pStyle w:val="19"/>
        <w:spacing w:line="360" w:lineRule="auto"/>
        <w:ind w:firstLine="420" w:firstLineChars="200"/>
        <w:rPr>
          <w:rFonts w:hAnsi="宋体" w:cs="宋体"/>
          <w:highlight w:val="none"/>
        </w:rPr>
      </w:pPr>
      <w:r>
        <w:rPr>
          <w:rFonts w:hint="eastAsia" w:hAnsi="宋体" w:cs="宋体"/>
          <w:highlight w:val="none"/>
        </w:rPr>
        <w:t>⑤招标人明示或暗示投标人为特定投标人中标提供方便；</w:t>
      </w:r>
    </w:p>
    <w:p>
      <w:pPr>
        <w:pStyle w:val="19"/>
        <w:spacing w:line="360" w:lineRule="auto"/>
        <w:ind w:firstLine="420" w:firstLineChars="200"/>
        <w:rPr>
          <w:rFonts w:hAnsi="宋体" w:cs="宋体"/>
          <w:highlight w:val="none"/>
        </w:rPr>
      </w:pPr>
      <w:r>
        <w:rPr>
          <w:rFonts w:hint="eastAsia" w:hAnsi="宋体" w:cs="宋体"/>
          <w:highlight w:val="none"/>
        </w:rPr>
        <w:t>⑥招标人与投标人为谋求特定投标人中标而采取的其他串通行为。</w:t>
      </w:r>
    </w:p>
    <w:p>
      <w:pPr>
        <w:pStyle w:val="19"/>
        <w:spacing w:line="360" w:lineRule="auto"/>
        <w:ind w:firstLine="420" w:firstLineChars="200"/>
        <w:outlineLvl w:val="0"/>
        <w:rPr>
          <w:rFonts w:hAnsi="宋体" w:cs="宋体"/>
          <w:highlight w:val="none"/>
        </w:rPr>
      </w:pPr>
      <w:bookmarkStart w:id="397" w:name="_Toc13009"/>
      <w:bookmarkStart w:id="398" w:name="_Toc140069427"/>
      <w:r>
        <w:rPr>
          <w:rFonts w:hint="eastAsia" w:hAnsi="宋体" w:cs="宋体"/>
          <w:highlight w:val="none"/>
        </w:rPr>
        <w:t>（4）投标人有下列情形之一的，属于弄虚作假的行为：</w:t>
      </w:r>
      <w:bookmarkEnd w:id="397"/>
      <w:bookmarkEnd w:id="398"/>
    </w:p>
    <w:p>
      <w:pPr>
        <w:pStyle w:val="19"/>
        <w:spacing w:line="360" w:lineRule="auto"/>
        <w:ind w:firstLine="420" w:firstLineChars="200"/>
        <w:rPr>
          <w:rFonts w:hAnsi="宋体" w:cs="宋体"/>
          <w:highlight w:val="none"/>
        </w:rPr>
      </w:pPr>
      <w:r>
        <w:rPr>
          <w:rFonts w:hint="eastAsia" w:hAnsi="宋体" w:cs="宋体"/>
          <w:highlight w:val="none"/>
        </w:rPr>
        <w:t>①使用通过受让或租借等方式获取的资格、资质证书投标；</w:t>
      </w:r>
    </w:p>
    <w:p>
      <w:pPr>
        <w:pStyle w:val="19"/>
        <w:spacing w:line="360" w:lineRule="auto"/>
        <w:ind w:firstLine="420" w:firstLineChars="200"/>
        <w:rPr>
          <w:rFonts w:hAnsi="宋体" w:cs="宋体"/>
          <w:highlight w:val="none"/>
        </w:rPr>
      </w:pPr>
      <w:r>
        <w:rPr>
          <w:rFonts w:hint="eastAsia" w:hAnsi="宋体" w:cs="宋体"/>
          <w:highlight w:val="none"/>
        </w:rPr>
        <w:t>②使用伪造、变造的许可证件；</w:t>
      </w:r>
    </w:p>
    <w:p>
      <w:pPr>
        <w:pStyle w:val="19"/>
        <w:spacing w:line="360" w:lineRule="auto"/>
        <w:ind w:firstLine="420" w:firstLineChars="200"/>
        <w:rPr>
          <w:rFonts w:hAnsi="宋体" w:cs="宋体"/>
          <w:highlight w:val="none"/>
        </w:rPr>
      </w:pPr>
      <w:r>
        <w:rPr>
          <w:rFonts w:hint="eastAsia" w:hAnsi="宋体" w:cs="宋体"/>
          <w:highlight w:val="none"/>
        </w:rPr>
        <w:t>③提供虚假的财务状况或业绩；</w:t>
      </w:r>
    </w:p>
    <w:p>
      <w:pPr>
        <w:pStyle w:val="19"/>
        <w:spacing w:line="360" w:lineRule="auto"/>
        <w:ind w:firstLine="420" w:firstLineChars="200"/>
        <w:rPr>
          <w:rFonts w:hAnsi="宋体" w:cs="宋体"/>
          <w:highlight w:val="none"/>
        </w:rPr>
      </w:pPr>
      <w:r>
        <w:rPr>
          <w:rFonts w:hint="eastAsia" w:hAnsi="宋体" w:cs="宋体"/>
          <w:highlight w:val="none"/>
        </w:rPr>
        <w:t>④提供虚假的项目负责人或主要技术人员简历、劳动关系证明；</w:t>
      </w:r>
    </w:p>
    <w:p>
      <w:pPr>
        <w:pStyle w:val="19"/>
        <w:spacing w:line="360" w:lineRule="auto"/>
        <w:ind w:firstLine="420" w:firstLineChars="200"/>
        <w:rPr>
          <w:rFonts w:hAnsi="宋体" w:cs="宋体"/>
          <w:highlight w:val="none"/>
        </w:rPr>
      </w:pPr>
      <w:r>
        <w:rPr>
          <w:rFonts w:hint="eastAsia" w:hAnsi="宋体" w:cs="宋体"/>
          <w:highlight w:val="none"/>
        </w:rPr>
        <w:t>⑤提供虚假的信用状况；</w:t>
      </w:r>
    </w:p>
    <w:p>
      <w:pPr>
        <w:pStyle w:val="19"/>
        <w:spacing w:line="360" w:lineRule="auto"/>
        <w:ind w:firstLine="420" w:firstLineChars="200"/>
        <w:rPr>
          <w:rFonts w:hAnsi="宋体" w:cs="宋体"/>
          <w:highlight w:val="none"/>
        </w:rPr>
      </w:pPr>
      <w:r>
        <w:rPr>
          <w:rFonts w:hint="eastAsia" w:hAnsi="宋体" w:cs="宋体"/>
          <w:highlight w:val="none"/>
        </w:rPr>
        <w:t>⑥其他弄虚作假的行为。</w:t>
      </w:r>
    </w:p>
    <w:p>
      <w:pPr>
        <w:keepNext/>
        <w:keepLines/>
        <w:spacing w:line="360" w:lineRule="auto"/>
        <w:outlineLvl w:val="1"/>
        <w:rPr>
          <w:rFonts w:hAnsi="宋体" w:cs="宋体"/>
          <w:highlight w:val="none"/>
        </w:rPr>
      </w:pPr>
      <w:r>
        <w:rPr>
          <w:rFonts w:hint="eastAsia" w:eastAsia="黑体" w:cs="宋体"/>
          <w:sz w:val="28"/>
          <w:highlight w:val="none"/>
        </w:rPr>
        <w:br w:type="page"/>
      </w:r>
      <w:bookmarkStart w:id="399" w:name="_Toc140069428"/>
      <w:bookmarkStart w:id="400" w:name="_Toc6479"/>
      <w:r>
        <w:rPr>
          <w:rFonts w:hint="eastAsia" w:ascii="黑体" w:hAnsi="黑体" w:eastAsia="黑体" w:cs="黑体"/>
          <w:sz w:val="32"/>
          <w:szCs w:val="32"/>
          <w:highlight w:val="none"/>
        </w:rPr>
        <w:t>1.评标方法</w:t>
      </w:r>
      <w:bookmarkEnd w:id="399"/>
      <w:bookmarkEnd w:id="400"/>
    </w:p>
    <w:p>
      <w:pPr>
        <w:snapToGrid w:val="0"/>
        <w:spacing w:line="360" w:lineRule="auto"/>
        <w:ind w:firstLine="480" w:firstLineChars="200"/>
        <w:rPr>
          <w:rFonts w:hAnsi="宋体" w:cs="宋体"/>
          <w:highlight w:val="none"/>
        </w:rPr>
      </w:pPr>
      <w:r>
        <w:rPr>
          <w:rFonts w:hint="eastAsia" w:hAnsi="宋体" w:cs="宋体"/>
          <w:highlight w:val="none"/>
        </w:rPr>
        <w:t>1.1本次评标采用综合评估法（一次平均）。</w:t>
      </w:r>
    </w:p>
    <w:p>
      <w:pPr>
        <w:snapToGrid w:val="0"/>
        <w:spacing w:line="360" w:lineRule="auto"/>
        <w:ind w:firstLine="480" w:firstLineChars="200"/>
        <w:rPr>
          <w:rFonts w:hAnsi="宋体" w:cs="宋体"/>
          <w:highlight w:val="none"/>
        </w:rPr>
      </w:pPr>
      <w:r>
        <w:rPr>
          <w:rFonts w:hint="eastAsia" w:hAnsi="宋体" w:cs="宋体"/>
          <w:highlight w:val="none"/>
        </w:rPr>
        <w:t>1.2评标委员会对所有按规定递交并成功导入评标系统的投标文件进行评审，评标委员会对投标文件依次进行商务技术文件及报价文件初步评审、商务技术文件及报价文件详细评审，并按综合得分由高到低顺序推荐中标候选人</w:t>
      </w:r>
      <w:r>
        <w:rPr>
          <w:rFonts w:hint="eastAsia" w:ascii="Times New Roman" w:cs="宋体"/>
          <w:szCs w:val="24"/>
          <w:highlight w:val="none"/>
        </w:rPr>
        <w:t>，综合得分相等时，</w:t>
      </w:r>
      <w:r>
        <w:rPr>
          <w:rFonts w:hint="eastAsia" w:ascii="Times New Roman"/>
          <w:szCs w:val="24"/>
          <w:highlight w:val="none"/>
        </w:rPr>
        <w:t>中标候选人排序方法见评标办法前附表；</w:t>
      </w:r>
      <w:r>
        <w:rPr>
          <w:rFonts w:hint="eastAsia" w:ascii="Times New Roman" w:cs="宋体"/>
          <w:szCs w:val="24"/>
          <w:highlight w:val="none"/>
        </w:rPr>
        <w:t>或根据招标人授权直接确定中标人。不得推荐为中标候选人、确定为中标人的情形见本章第</w:t>
      </w:r>
      <w:r>
        <w:rPr>
          <w:rFonts w:hint="eastAsia" w:ascii="Times New Roman"/>
          <w:szCs w:val="24"/>
          <w:highlight w:val="none"/>
        </w:rPr>
        <w:t>3.7款、第3.8.1项</w:t>
      </w:r>
      <w:r>
        <w:rPr>
          <w:rFonts w:hint="eastAsia" w:ascii="Times New Roman" w:cs="宋体"/>
          <w:szCs w:val="24"/>
          <w:highlight w:val="none"/>
        </w:rPr>
        <w:t>。</w:t>
      </w:r>
    </w:p>
    <w:p>
      <w:pPr>
        <w:snapToGrid w:val="0"/>
        <w:spacing w:line="360" w:lineRule="auto"/>
        <w:ind w:firstLine="480" w:firstLineChars="200"/>
        <w:rPr>
          <w:rFonts w:hAnsi="宋体" w:cs="宋体"/>
          <w:highlight w:val="none"/>
        </w:rPr>
      </w:pPr>
      <w:r>
        <w:rPr>
          <w:rFonts w:hint="eastAsia" w:hAnsi="宋体" w:cs="宋体"/>
          <w:highlight w:val="none"/>
        </w:rPr>
        <w:t>1.3本次推荐中标候选人的先后顺序及最多可中标段数量见评标办法前附表。被推荐为第一中标候选人的标段个数已达到最多允许中标的标段个数的投标人，在后续标段不再被推荐为中标候选人，但仍参与评审。</w:t>
      </w:r>
    </w:p>
    <w:p>
      <w:pPr>
        <w:snapToGrid w:val="0"/>
        <w:spacing w:line="360" w:lineRule="auto"/>
        <w:ind w:firstLine="480" w:firstLineChars="200"/>
        <w:rPr>
          <w:rFonts w:hAnsi="宋体" w:cs="宋体"/>
          <w:highlight w:val="none"/>
        </w:rPr>
      </w:pPr>
      <w:r>
        <w:rPr>
          <w:rFonts w:hint="eastAsia" w:hAnsi="宋体" w:cs="宋体"/>
          <w:highlight w:val="none"/>
        </w:rPr>
        <w:t>1.4评标结束后如有某标段的第一中标候选人发生变化的情况，不影响其他标段排序。</w:t>
      </w:r>
    </w:p>
    <w:p>
      <w:pPr>
        <w:snapToGrid w:val="0"/>
        <w:spacing w:line="360" w:lineRule="auto"/>
        <w:ind w:firstLine="480" w:firstLineChars="200"/>
        <w:rPr>
          <w:rFonts w:hAnsi="宋体" w:cs="宋体"/>
          <w:highlight w:val="none"/>
        </w:rPr>
      </w:pPr>
      <w:r>
        <w:rPr>
          <w:rFonts w:hint="eastAsia" w:hAnsi="宋体" w:cs="宋体"/>
          <w:highlight w:val="none"/>
        </w:rPr>
        <w:t>1.5招标人应当根据项目的实际情况，在评标办法正文及前附表中列明所有否决投标的情形；第三章“评标办法”没有列明的否决投标的情形，一律不得作为评审依据。</w:t>
      </w:r>
    </w:p>
    <w:p>
      <w:pPr>
        <w:keepNext/>
        <w:keepLines/>
        <w:spacing w:line="360" w:lineRule="auto"/>
        <w:outlineLvl w:val="1"/>
        <w:rPr>
          <w:rFonts w:ascii="黑体" w:hAnsi="黑体" w:eastAsia="黑体" w:cs="黑体"/>
          <w:sz w:val="32"/>
          <w:szCs w:val="32"/>
          <w:highlight w:val="none"/>
        </w:rPr>
      </w:pPr>
      <w:bookmarkStart w:id="401" w:name="_Toc5088"/>
      <w:bookmarkStart w:id="402" w:name="_Toc31234"/>
      <w:bookmarkStart w:id="403" w:name="_Toc140069429"/>
      <w:r>
        <w:rPr>
          <w:rFonts w:hint="eastAsia" w:ascii="黑体" w:hAnsi="黑体" w:eastAsia="黑体" w:cs="黑体"/>
          <w:sz w:val="32"/>
          <w:szCs w:val="32"/>
          <w:highlight w:val="none"/>
        </w:rPr>
        <w:t>2.评审标准</w:t>
      </w:r>
      <w:bookmarkEnd w:id="401"/>
      <w:bookmarkEnd w:id="402"/>
      <w:bookmarkEnd w:id="403"/>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2.1初步评审标准</w:t>
      </w:r>
    </w:p>
    <w:p>
      <w:pPr>
        <w:snapToGrid w:val="0"/>
        <w:spacing w:line="360" w:lineRule="auto"/>
        <w:ind w:firstLine="480" w:firstLineChars="200"/>
        <w:rPr>
          <w:rFonts w:hAnsi="宋体" w:cs="宋体"/>
          <w:highlight w:val="none"/>
        </w:rPr>
      </w:pPr>
      <w:r>
        <w:rPr>
          <w:rFonts w:hint="eastAsia" w:hAnsi="宋体" w:cs="宋体"/>
          <w:highlight w:val="none"/>
        </w:rPr>
        <w:t>2.1.1 形式评审标准：见评标办法前附表。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2.1.2 资格评审标准：见评标办法前附表。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2.1.3 响应性评审标准：见评标办法前附表。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2.2</w:t>
      </w:r>
      <w:r>
        <w:rPr>
          <w:rFonts w:hint="eastAsia" w:cs="黑体"/>
          <w:snapToGrid w:val="0"/>
          <w:highlight w:val="none"/>
          <w:shd w:val="clear" w:color="auto" w:fill="FFFFFF"/>
        </w:rPr>
        <w:t>详细评审</w:t>
      </w:r>
      <w:r>
        <w:rPr>
          <w:rFonts w:hint="eastAsia" w:cs="黑体"/>
          <w:snapToGrid w:val="0"/>
          <w:highlight w:val="none"/>
          <w:shd w:val="clear" w:color="auto" w:fill="FFFFFF"/>
          <w:lang w:val="zh-CN"/>
        </w:rPr>
        <w:t>标准</w:t>
      </w:r>
    </w:p>
    <w:p>
      <w:pPr>
        <w:snapToGrid w:val="0"/>
        <w:spacing w:line="360" w:lineRule="auto"/>
        <w:ind w:firstLine="480" w:firstLineChars="200"/>
        <w:rPr>
          <w:rFonts w:hAnsi="宋体" w:cs="宋体"/>
          <w:highlight w:val="none"/>
        </w:rPr>
      </w:pPr>
      <w:r>
        <w:rPr>
          <w:rFonts w:hint="eastAsia" w:hAnsi="宋体" w:cs="宋体"/>
          <w:highlight w:val="none"/>
        </w:rPr>
        <w:t>2.2.1</w:t>
      </w:r>
      <w:r>
        <w:rPr>
          <w:rFonts w:hint="eastAsia" w:ascii="Times New Roman" w:cs="宋体"/>
          <w:szCs w:val="24"/>
          <w:highlight w:val="none"/>
        </w:rPr>
        <w:t>商务、技术和报价文件</w:t>
      </w:r>
      <w:r>
        <w:rPr>
          <w:rFonts w:hint="eastAsia" w:hAnsi="宋体" w:cs="宋体"/>
          <w:highlight w:val="none"/>
        </w:rPr>
        <w:t>分值构成：见评标办法前附表。</w:t>
      </w:r>
    </w:p>
    <w:p>
      <w:pPr>
        <w:snapToGrid w:val="0"/>
        <w:spacing w:line="360" w:lineRule="auto"/>
        <w:ind w:firstLine="480" w:firstLineChars="200"/>
        <w:rPr>
          <w:rFonts w:hAnsi="宋体" w:cs="宋体"/>
          <w:highlight w:val="none"/>
        </w:rPr>
      </w:pPr>
      <w:r>
        <w:rPr>
          <w:rFonts w:hint="eastAsia" w:hAnsi="宋体" w:cs="宋体"/>
          <w:highlight w:val="none"/>
        </w:rPr>
        <w:t>2.2.2评分标准</w:t>
      </w:r>
    </w:p>
    <w:p>
      <w:pPr>
        <w:snapToGrid w:val="0"/>
        <w:spacing w:line="360" w:lineRule="auto"/>
        <w:ind w:firstLine="480" w:firstLineChars="200"/>
        <w:rPr>
          <w:rFonts w:hAnsi="宋体" w:cs="宋体"/>
          <w:highlight w:val="none"/>
        </w:rPr>
      </w:pPr>
      <w:r>
        <w:rPr>
          <w:rFonts w:hint="eastAsia" w:hAnsi="宋体" w:cs="宋体"/>
          <w:highlight w:val="none"/>
        </w:rPr>
        <w:t>（1）技术</w:t>
      </w:r>
      <w:r>
        <w:rPr>
          <w:rFonts w:hint="eastAsia" w:ascii="Times New Roman" w:cs="宋体"/>
          <w:szCs w:val="24"/>
          <w:highlight w:val="none"/>
        </w:rPr>
        <w:t>文件评分</w:t>
      </w:r>
      <w:r>
        <w:rPr>
          <w:rFonts w:hint="eastAsia" w:hAnsi="宋体" w:cs="宋体"/>
          <w:highlight w:val="none"/>
        </w:rPr>
        <w:t>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（2）商务</w:t>
      </w:r>
      <w:r>
        <w:rPr>
          <w:rFonts w:hint="eastAsia" w:ascii="Times New Roman" w:cs="宋体"/>
          <w:szCs w:val="24"/>
          <w:highlight w:val="none"/>
        </w:rPr>
        <w:t>文件评分</w:t>
      </w:r>
      <w:r>
        <w:rPr>
          <w:rFonts w:hint="eastAsia" w:hAnsi="宋体" w:cs="宋体"/>
          <w:highlight w:val="none"/>
        </w:rPr>
        <w:t>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（3）报价文件评分标准：见评标办法前附表。</w:t>
      </w:r>
    </w:p>
    <w:p>
      <w:pPr>
        <w:keepNext/>
        <w:keepLines/>
        <w:spacing w:line="360" w:lineRule="auto"/>
        <w:outlineLvl w:val="1"/>
        <w:rPr>
          <w:rFonts w:ascii="黑体" w:hAnsi="黑体" w:eastAsia="黑体" w:cs="黑体"/>
          <w:sz w:val="32"/>
          <w:szCs w:val="32"/>
          <w:highlight w:val="none"/>
        </w:rPr>
      </w:pPr>
      <w:bookmarkStart w:id="404" w:name="_Toc140069430"/>
      <w:bookmarkStart w:id="405" w:name="_Toc27642"/>
      <w:bookmarkStart w:id="406" w:name="_Toc27368"/>
      <w:r>
        <w:rPr>
          <w:rFonts w:hint="eastAsia" w:ascii="黑体" w:hAnsi="黑体" w:eastAsia="黑体" w:cs="黑体"/>
          <w:sz w:val="32"/>
          <w:szCs w:val="32"/>
          <w:highlight w:val="none"/>
        </w:rPr>
        <w:t>3.评标程序</w:t>
      </w:r>
      <w:bookmarkEnd w:id="404"/>
      <w:bookmarkEnd w:id="405"/>
      <w:bookmarkEnd w:id="406"/>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3.1商务及技术文件初步评审</w:t>
      </w:r>
    </w:p>
    <w:p>
      <w:pPr>
        <w:spacing w:line="360" w:lineRule="auto"/>
        <w:ind w:firstLine="480" w:firstLineChars="200"/>
        <w:rPr>
          <w:rFonts w:hAnsi="宋体" w:cs="宋体"/>
          <w:highlight w:val="none"/>
        </w:rPr>
      </w:pPr>
      <w:r>
        <w:rPr>
          <w:rFonts w:hint="eastAsia" w:hAnsi="宋体" w:cs="宋体"/>
          <w:highlight w:val="none"/>
        </w:rPr>
        <w:t>评标委员会依据本章第2.1.1项、第2.1.2项、第2.1.3项规定的评审标准对商务及技术文件进行初步评审。有一项不符合评审标准的，评标委员会应否决其投标。</w:t>
      </w:r>
    </w:p>
    <w:p>
      <w:pPr>
        <w:pStyle w:val="4"/>
        <w:spacing w:beforeLines="100" w:afterLines="100" w:line="240" w:lineRule="auto"/>
        <w:rPr>
          <w:rFonts w:cs="黑体"/>
          <w:snapToGrid w:val="0"/>
          <w:highlight w:val="none"/>
          <w:shd w:val="clear" w:color="auto" w:fill="FFFFFF"/>
          <w:lang w:val="zh-CN"/>
        </w:rPr>
      </w:pPr>
      <w:bookmarkStart w:id="407" w:name="_Toc501460719"/>
      <w:r>
        <w:rPr>
          <w:rFonts w:hint="eastAsia" w:cs="黑体"/>
          <w:snapToGrid w:val="0"/>
          <w:highlight w:val="none"/>
          <w:shd w:val="clear" w:color="auto" w:fill="FFFFFF"/>
          <w:lang w:val="zh-CN"/>
        </w:rPr>
        <w:t>3.2商务及技术文件详细评审</w:t>
      </w:r>
      <w:bookmarkEnd w:id="407"/>
    </w:p>
    <w:p>
      <w:pPr>
        <w:spacing w:line="360" w:lineRule="auto"/>
        <w:ind w:firstLine="480" w:firstLineChars="200"/>
        <w:rPr>
          <w:rFonts w:hAnsi="宋体" w:cs="宋体"/>
          <w:highlight w:val="none"/>
        </w:rPr>
      </w:pPr>
      <w:r>
        <w:rPr>
          <w:rFonts w:hint="eastAsia" w:hAnsi="宋体" w:cs="宋体"/>
          <w:highlight w:val="none"/>
        </w:rPr>
        <w:t>3.2.1</w:t>
      </w:r>
      <w:r>
        <w:rPr>
          <w:rFonts w:hint="eastAsia" w:ascii="Times New Roman" w:cs="宋体"/>
          <w:szCs w:val="24"/>
          <w:highlight w:val="none"/>
        </w:rPr>
        <w:t>评标委员会按照本章第2.2款规定的量化因素和分值对商务及技术文件进行打分，并计算出各投标人商务及技术文件综合评估得分。</w:t>
      </w:r>
    </w:p>
    <w:p>
      <w:pPr>
        <w:spacing w:line="360" w:lineRule="auto"/>
        <w:ind w:firstLine="480" w:firstLineChars="200"/>
        <w:rPr>
          <w:rFonts w:hAnsi="宋体" w:cs="宋体"/>
          <w:highlight w:val="none"/>
        </w:rPr>
      </w:pPr>
      <w:r>
        <w:rPr>
          <w:rFonts w:hint="eastAsia" w:hAnsi="宋体" w:cs="宋体"/>
          <w:highlight w:val="none"/>
        </w:rPr>
        <w:t>（1）按照本章第</w:t>
      </w:r>
      <w:r>
        <w:rPr>
          <w:rFonts w:hint="eastAsia" w:ascii="Times New Roman"/>
          <w:szCs w:val="24"/>
          <w:highlight w:val="none"/>
        </w:rPr>
        <w:t>2.2.2（1）</w:t>
      </w:r>
      <w:r>
        <w:rPr>
          <w:rFonts w:hint="eastAsia" w:hAnsi="宋体" w:cs="宋体"/>
          <w:highlight w:val="none"/>
        </w:rPr>
        <w:t>目规定的评审因素和分值</w:t>
      </w:r>
      <w:r>
        <w:rPr>
          <w:rFonts w:hint="eastAsia" w:ascii="Times New Roman" w:cs="宋体"/>
          <w:szCs w:val="24"/>
          <w:highlight w:val="none"/>
        </w:rPr>
        <w:t>计算出</w:t>
      </w:r>
      <w:r>
        <w:rPr>
          <w:rFonts w:hint="eastAsia" w:hAnsi="宋体" w:cs="宋体"/>
          <w:highlight w:val="none"/>
        </w:rPr>
        <w:t>技术文件得分A；</w:t>
      </w:r>
    </w:p>
    <w:p>
      <w:pPr>
        <w:spacing w:line="360" w:lineRule="auto"/>
        <w:ind w:firstLine="480" w:firstLineChars="200"/>
        <w:rPr>
          <w:rFonts w:hAnsi="宋体" w:cs="宋体"/>
          <w:highlight w:val="none"/>
        </w:rPr>
      </w:pPr>
      <w:r>
        <w:rPr>
          <w:rFonts w:hint="eastAsia" w:hAnsi="宋体" w:cs="宋体"/>
          <w:highlight w:val="none"/>
        </w:rPr>
        <w:t>（2）按照本章第</w:t>
      </w:r>
      <w:r>
        <w:rPr>
          <w:rFonts w:hint="eastAsia" w:ascii="Times New Roman"/>
          <w:szCs w:val="24"/>
          <w:highlight w:val="none"/>
        </w:rPr>
        <w:t>2.2.2（2）</w:t>
      </w:r>
      <w:r>
        <w:rPr>
          <w:rFonts w:hint="eastAsia" w:hAnsi="宋体" w:cs="宋体"/>
          <w:highlight w:val="none"/>
        </w:rPr>
        <w:t>目规定的评审因素和分值</w:t>
      </w:r>
      <w:r>
        <w:rPr>
          <w:rFonts w:hint="eastAsia" w:ascii="Times New Roman" w:cs="宋体"/>
          <w:szCs w:val="24"/>
          <w:highlight w:val="none"/>
        </w:rPr>
        <w:t>计算出</w:t>
      </w:r>
      <w:r>
        <w:rPr>
          <w:rFonts w:hint="eastAsia" w:hAnsi="宋体" w:cs="宋体"/>
          <w:highlight w:val="none"/>
        </w:rPr>
        <w:t>商务文件得分B</w:t>
      </w:r>
      <w:bookmarkStart w:id="408" w:name="_Toc152042382"/>
      <w:bookmarkStart w:id="409" w:name="_Toc247514029"/>
      <w:bookmarkStart w:id="410" w:name="_Toc152045605"/>
      <w:bookmarkStart w:id="411" w:name="_Toc361508653"/>
      <w:bookmarkStart w:id="412" w:name="_Toc144974572"/>
      <w:bookmarkStart w:id="413" w:name="_Toc247527630"/>
      <w:bookmarkStart w:id="414" w:name="_Toc384308279"/>
      <w:bookmarkStart w:id="415" w:name="_Toc18141"/>
      <w:bookmarkStart w:id="416" w:name="_Toc369531584"/>
      <w:bookmarkStart w:id="417" w:name="_Toc300835015"/>
      <w:bookmarkStart w:id="418" w:name="_Toc352691540"/>
      <w:r>
        <w:rPr>
          <w:rFonts w:hint="eastAsia" w:hAnsi="宋体" w:cs="宋体"/>
          <w:highlight w:val="none"/>
        </w:rPr>
        <w:t>。</w:t>
      </w:r>
    </w:p>
    <w:bookmarkEnd w:id="408"/>
    <w:bookmarkEnd w:id="409"/>
    <w:bookmarkEnd w:id="410"/>
    <w:bookmarkEnd w:id="411"/>
    <w:bookmarkEnd w:id="412"/>
    <w:bookmarkEnd w:id="413"/>
    <w:bookmarkEnd w:id="414"/>
    <w:bookmarkEnd w:id="415"/>
    <w:bookmarkEnd w:id="416"/>
    <w:bookmarkEnd w:id="417"/>
    <w:bookmarkEnd w:id="418"/>
    <w:p>
      <w:pPr>
        <w:snapToGrid w:val="0"/>
        <w:spacing w:line="360" w:lineRule="auto"/>
        <w:ind w:firstLine="480" w:firstLineChars="200"/>
        <w:rPr>
          <w:rFonts w:hAnsi="宋体" w:cs="宋体"/>
          <w:highlight w:val="none"/>
        </w:rPr>
      </w:pPr>
      <w:r>
        <w:rPr>
          <w:rFonts w:hint="eastAsia" w:hAnsi="宋体" w:cs="宋体"/>
          <w:highlight w:val="none"/>
        </w:rPr>
        <w:t>3.2.2 得分计算的确定</w:t>
      </w:r>
    </w:p>
    <w:p>
      <w:pPr>
        <w:spacing w:line="360" w:lineRule="auto"/>
        <w:ind w:firstLine="480" w:firstLineChars="200"/>
        <w:rPr>
          <w:rFonts w:ascii="Times New Roman"/>
          <w:szCs w:val="24"/>
          <w:highlight w:val="none"/>
        </w:rPr>
      </w:pPr>
      <w:r>
        <w:rPr>
          <w:rFonts w:hint="eastAsia" w:ascii="Times New Roman"/>
          <w:szCs w:val="24"/>
          <w:highlight w:val="none"/>
        </w:rPr>
        <w:t>（1）技术文件详细评审得分计算</w:t>
      </w:r>
    </w:p>
    <w:p>
      <w:pPr>
        <w:spacing w:line="360" w:lineRule="auto"/>
        <w:ind w:firstLine="480" w:firstLineChars="200"/>
        <w:rPr>
          <w:rFonts w:ascii="Times New Roman"/>
          <w:szCs w:val="24"/>
          <w:highlight w:val="none"/>
        </w:rPr>
      </w:pPr>
      <w:r>
        <w:rPr>
          <w:rFonts w:hint="eastAsia" w:ascii="Times New Roman"/>
          <w:szCs w:val="24"/>
          <w:highlight w:val="none"/>
        </w:rPr>
        <w:t>本章第2.2.2（1）目属于技术文件详细评审内容，技术文件详细评审得分计算规则见评标办法前附表。</w:t>
      </w:r>
    </w:p>
    <w:p>
      <w:pPr>
        <w:spacing w:line="360" w:lineRule="auto"/>
        <w:ind w:firstLine="480" w:firstLineChars="200"/>
        <w:rPr>
          <w:rFonts w:ascii="Times New Roman"/>
          <w:szCs w:val="24"/>
          <w:highlight w:val="none"/>
        </w:rPr>
      </w:pPr>
      <w:r>
        <w:rPr>
          <w:rFonts w:hint="eastAsia" w:ascii="Times New Roman"/>
          <w:szCs w:val="24"/>
          <w:highlight w:val="none"/>
        </w:rPr>
        <w:t>（2）商务文件详细评审得分计算</w:t>
      </w:r>
    </w:p>
    <w:p>
      <w:pPr>
        <w:spacing w:line="360" w:lineRule="auto"/>
        <w:ind w:firstLine="480" w:firstLineChars="200"/>
        <w:rPr>
          <w:rFonts w:ascii="Times New Roman"/>
          <w:szCs w:val="24"/>
          <w:highlight w:val="none"/>
        </w:rPr>
      </w:pPr>
      <w:r>
        <w:rPr>
          <w:rFonts w:hint="eastAsia" w:ascii="Times New Roman"/>
          <w:szCs w:val="24"/>
          <w:highlight w:val="none"/>
        </w:rPr>
        <w:t>本章第2.2.2（2）目属于商务文件详细评审内容，投标人第2.2.2（2）目的得分以评标委员会各成员对该目的打分平均值确定。</w:t>
      </w:r>
    </w:p>
    <w:p>
      <w:pPr>
        <w:snapToGrid w:val="0"/>
        <w:spacing w:line="360" w:lineRule="auto"/>
        <w:ind w:firstLine="480" w:firstLineChars="200"/>
        <w:rPr>
          <w:rFonts w:hAnsi="宋体" w:cs="宋体"/>
          <w:highlight w:val="none"/>
        </w:rPr>
      </w:pPr>
      <w:r>
        <w:rPr>
          <w:rFonts w:hint="eastAsia" w:hAnsi="宋体" w:cs="宋体"/>
          <w:highlight w:val="none"/>
        </w:rPr>
        <w:t>3.2.3评委对技术文件打分在招标文件第2.2.2（1）目规定评审总分的90%以上（含）、60%以下（含）的投标人，评委应提出充足的理由，该理由在评标委员会集体讨论并确认后记入评标报告，否则该评委应当且仅就评分理由重新提出充足的理由。</w:t>
      </w:r>
    </w:p>
    <w:p>
      <w:pPr>
        <w:spacing w:line="360" w:lineRule="auto"/>
        <w:ind w:firstLine="480" w:firstLineChars="200"/>
        <w:rPr>
          <w:rFonts w:hAnsi="宋体" w:cs="宋体"/>
          <w:highlight w:val="none"/>
        </w:rPr>
      </w:pPr>
      <w:r>
        <w:rPr>
          <w:rFonts w:hint="eastAsia" w:hAnsi="宋体" w:cs="宋体"/>
          <w:highlight w:val="none"/>
        </w:rPr>
        <w:t>3.2.4投标人商务及技术文件综合得分=A+B。</w:t>
      </w:r>
    </w:p>
    <w:p>
      <w:pPr>
        <w:pStyle w:val="4"/>
        <w:spacing w:beforeLines="100" w:afterLines="100" w:line="240" w:lineRule="auto"/>
        <w:rPr>
          <w:rFonts w:cs="黑体"/>
          <w:snapToGrid w:val="0"/>
          <w:highlight w:val="none"/>
          <w:shd w:val="clear" w:color="auto" w:fill="FFFFFF"/>
          <w:lang w:val="zh-CN"/>
        </w:rPr>
      </w:pPr>
      <w:bookmarkStart w:id="419" w:name="_Toc26657036"/>
      <w:bookmarkStart w:id="420" w:name="_Toc14808"/>
      <w:r>
        <w:rPr>
          <w:rFonts w:hint="eastAsia" w:cs="黑体"/>
          <w:snapToGrid w:val="0"/>
          <w:highlight w:val="none"/>
          <w:shd w:val="clear" w:color="auto" w:fill="FFFFFF"/>
          <w:lang w:val="zh-CN"/>
        </w:rPr>
        <w:t>3.3报价文件</w:t>
      </w:r>
      <w:bookmarkEnd w:id="419"/>
      <w:r>
        <w:rPr>
          <w:rFonts w:hint="eastAsia" w:cs="黑体"/>
          <w:snapToGrid w:val="0"/>
          <w:highlight w:val="none"/>
          <w:shd w:val="clear" w:color="auto" w:fill="FFFFFF"/>
          <w:lang w:val="zh-CN"/>
        </w:rPr>
        <w:t>公布</w:t>
      </w:r>
      <w:bookmarkEnd w:id="420"/>
    </w:p>
    <w:p>
      <w:pPr>
        <w:spacing w:line="360" w:lineRule="auto"/>
        <w:ind w:firstLine="480" w:firstLineChars="200"/>
        <w:rPr>
          <w:highlight w:val="none"/>
        </w:rPr>
      </w:pPr>
      <w:r>
        <w:rPr>
          <w:rFonts w:hint="eastAsia"/>
          <w:highlight w:val="none"/>
        </w:rPr>
        <w:t>商务及技术文件评审结束后，招标人公布所有投标人的</w:t>
      </w:r>
      <w:r>
        <w:rPr>
          <w:rFonts w:hint="eastAsia" w:ascii="Times New Roman" w:cs="宋体"/>
          <w:szCs w:val="24"/>
          <w:highlight w:val="none"/>
        </w:rPr>
        <w:t>投标报价</w:t>
      </w:r>
      <w:r>
        <w:rPr>
          <w:rFonts w:hint="eastAsia"/>
          <w:highlight w:val="none"/>
        </w:rPr>
        <w:t>。</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3.4报价文件初步评审</w:t>
      </w:r>
    </w:p>
    <w:p>
      <w:pPr>
        <w:snapToGrid w:val="0"/>
        <w:spacing w:line="360" w:lineRule="auto"/>
        <w:ind w:firstLine="480" w:firstLineChars="200"/>
        <w:rPr>
          <w:rFonts w:hAnsi="宋体" w:cs="宋体"/>
          <w:highlight w:val="none"/>
        </w:rPr>
      </w:pPr>
      <w:r>
        <w:rPr>
          <w:rFonts w:hint="eastAsia" w:hAnsi="宋体" w:cs="宋体"/>
          <w:highlight w:val="none"/>
        </w:rPr>
        <w:t>3.4.1 评标委员会依据本章第2.1.1款、第2.1.3款规定的评审标准对报价文件进行初步评审。有一项不符合评审标准的，评标委员会应否决其投标。</w:t>
      </w:r>
    </w:p>
    <w:p>
      <w:pPr>
        <w:snapToGrid w:val="0"/>
        <w:spacing w:line="360" w:lineRule="auto"/>
        <w:ind w:firstLine="480" w:firstLineChars="200"/>
        <w:rPr>
          <w:rFonts w:hAnsi="宋体" w:cs="宋体"/>
          <w:highlight w:val="none"/>
        </w:rPr>
      </w:pPr>
      <w:r>
        <w:rPr>
          <w:rFonts w:hint="eastAsia" w:hAnsi="宋体" w:cs="宋体"/>
          <w:highlight w:val="none"/>
        </w:rPr>
        <w:t xml:space="preserve">3.4.2 投标报价有算术错误及其他错误的，评标委员会按照以下原则对投标报价进行修正，并要求投标人澄清确认。投标人拒不澄清确认的，评标委员会应当否决其投标： </w:t>
      </w:r>
    </w:p>
    <w:p>
      <w:pPr>
        <w:snapToGrid w:val="0"/>
        <w:spacing w:line="360" w:lineRule="auto"/>
        <w:ind w:firstLine="480" w:firstLineChars="200"/>
        <w:rPr>
          <w:rFonts w:hAnsi="宋体" w:cs="宋体"/>
          <w:highlight w:val="none"/>
        </w:rPr>
      </w:pPr>
      <w:r>
        <w:rPr>
          <w:rFonts w:hint="eastAsia" w:hAnsi="宋体" w:cs="宋体"/>
          <w:highlight w:val="none"/>
        </w:rPr>
        <w:t>（1）投标文件中的大写金额与小写金额不一致的，以大写金额为准；</w:t>
      </w:r>
    </w:p>
    <w:p>
      <w:pPr>
        <w:snapToGrid w:val="0"/>
        <w:spacing w:line="360" w:lineRule="auto"/>
        <w:ind w:firstLine="480" w:firstLineChars="200"/>
        <w:rPr>
          <w:rFonts w:hAnsi="宋体" w:cs="宋体"/>
          <w:highlight w:val="none"/>
        </w:rPr>
      </w:pPr>
      <w:r>
        <w:rPr>
          <w:rFonts w:hint="eastAsia" w:hAnsi="宋体" w:cs="宋体"/>
          <w:highlight w:val="none"/>
        </w:rPr>
        <w:t>（2）总价金额与单价金额不一致的，以单价金额为准，但单价金额小数点有明显错误的除外；</w:t>
      </w:r>
    </w:p>
    <w:p>
      <w:pPr>
        <w:snapToGrid w:val="0"/>
        <w:spacing w:line="360" w:lineRule="auto"/>
        <w:ind w:firstLine="480" w:firstLineChars="200"/>
        <w:rPr>
          <w:rFonts w:hAnsi="宋体" w:cs="宋体"/>
          <w:highlight w:val="none"/>
        </w:rPr>
      </w:pPr>
      <w:r>
        <w:rPr>
          <w:rFonts w:hint="eastAsia" w:hAnsi="宋体" w:cs="宋体"/>
          <w:highlight w:val="none"/>
        </w:rPr>
        <w:t>（3）投标报价为各分项报价金额之和，投标报价与分项报价的合价不一致的，应以各分项合价累计数为准，修正投标报价；</w:t>
      </w:r>
    </w:p>
    <w:p>
      <w:pPr>
        <w:snapToGrid w:val="0"/>
        <w:spacing w:line="360" w:lineRule="auto"/>
        <w:ind w:firstLine="480" w:firstLineChars="200"/>
        <w:rPr>
          <w:rFonts w:hAnsi="宋体" w:cs="宋体"/>
          <w:highlight w:val="none"/>
        </w:rPr>
      </w:pPr>
      <w:r>
        <w:rPr>
          <w:rFonts w:hint="eastAsia" w:hAnsi="宋体" w:cs="宋体"/>
          <w:highlight w:val="none"/>
        </w:rPr>
        <w:t>（4）如果分项报价中存在缺漏项，则视为缺漏项价格已包含在其他分项报价之中。</w:t>
      </w:r>
    </w:p>
    <w:p>
      <w:pPr>
        <w:snapToGrid w:val="0"/>
        <w:spacing w:line="360" w:lineRule="auto"/>
        <w:ind w:firstLine="480" w:firstLineChars="200"/>
        <w:rPr>
          <w:rFonts w:hAnsi="宋体" w:cs="宋体"/>
          <w:highlight w:val="none"/>
        </w:rPr>
      </w:pPr>
      <w:r>
        <w:rPr>
          <w:rFonts w:hint="eastAsia" w:hAnsi="宋体" w:cs="宋体"/>
          <w:highlight w:val="none"/>
        </w:rPr>
        <w:t>3.4.3投标人投标报价明显缺乏竞争性的，评标委员会可以否决所有投标。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3.5报价文件详细评审</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1</w:t>
      </w:r>
      <w:r>
        <w:rPr>
          <w:rFonts w:hint="eastAsia" w:ascii="Times New Roman" w:cs="宋体"/>
          <w:szCs w:val="24"/>
          <w:highlight w:val="none"/>
        </w:rPr>
        <w:t>评标委员会按照本章第2.2.2（3）目规定的评审因素和分值计算出投标报价得分C。</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2</w:t>
      </w:r>
      <w:r>
        <w:rPr>
          <w:rFonts w:hint="eastAsia" w:ascii="Times New Roman" w:cs="宋体"/>
          <w:szCs w:val="24"/>
          <w:highlight w:val="none"/>
        </w:rPr>
        <w:t>评分分值计算保留小数点后两位，小数点后第三位“四舍五入”。</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3</w:t>
      </w:r>
      <w:r>
        <w:rPr>
          <w:rFonts w:hint="eastAsia" w:ascii="Times New Roman" w:cs="宋体"/>
          <w:szCs w:val="24"/>
          <w:highlight w:val="none"/>
        </w:rPr>
        <w:t>投标人综合得分=A+B+C。</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4</w:t>
      </w:r>
      <w:r>
        <w:rPr>
          <w:rFonts w:hint="eastAsia" w:ascii="Times New Roman" w:cs="宋体"/>
          <w:szCs w:val="24"/>
          <w:highlight w:val="none"/>
        </w:rPr>
        <w:t>评标委员会发现投标人的报价明显低于其他投标报价，使得其投标报价可能低于其个别成本的，应当要求该投标人作出说明并提供相应的证明材料。投标人不能合理说明或者不能提供相应证明材料的，评标委员会应当认定该投标人以低于成本报价竞标，否决其投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3.6投标文件的澄清、说明或补正</w:t>
      </w:r>
    </w:p>
    <w:p>
      <w:pPr>
        <w:adjustRightInd w:val="0"/>
        <w:snapToGrid w:val="0"/>
        <w:spacing w:line="360" w:lineRule="auto"/>
        <w:ind w:firstLine="480" w:firstLineChars="200"/>
        <w:rPr>
          <w:rFonts w:hAnsi="宋体" w:cs="宋体"/>
          <w:highlight w:val="none"/>
        </w:rPr>
      </w:pPr>
      <w:r>
        <w:rPr>
          <w:rFonts w:hint="eastAsia" w:hAnsi="宋体" w:cs="宋体"/>
          <w:highlight w:val="none"/>
        </w:rPr>
        <w:t>3.6.1 在评标过程中，评标委员会可以要求投标人对投标文件中含义不明确、对同类问题表述不一致或者有明显文字和计算错误的内容作必要的澄清、说明或补正。评标委员会不接受投标人主动提出的澄清、说明或补正。</w:t>
      </w:r>
    </w:p>
    <w:p>
      <w:pPr>
        <w:spacing w:line="360" w:lineRule="auto"/>
        <w:ind w:firstLine="480" w:firstLineChars="200"/>
        <w:rPr>
          <w:rFonts w:hAnsi="宋体" w:cs="宋体"/>
          <w:highlight w:val="none"/>
        </w:rPr>
      </w:pPr>
      <w:r>
        <w:rPr>
          <w:rFonts w:hint="eastAsia" w:hAnsi="宋体" w:cs="宋体"/>
          <w:highlight w:val="none"/>
        </w:rPr>
        <w:t>3.6.2 澄清、说明或补正不得超出投标文件的范围且不得改变投标文件的实质性内容，并构成投标文件的组成部分。</w:t>
      </w:r>
    </w:p>
    <w:p>
      <w:pPr>
        <w:spacing w:line="360" w:lineRule="auto"/>
        <w:ind w:firstLine="480" w:firstLineChars="200"/>
        <w:rPr>
          <w:rFonts w:hAnsi="宋体" w:cs="宋体"/>
          <w:highlight w:val="none"/>
        </w:rPr>
      </w:pPr>
      <w:r>
        <w:rPr>
          <w:rFonts w:hint="eastAsia" w:hAnsi="宋体" w:cs="宋体"/>
          <w:highlight w:val="none"/>
        </w:rPr>
        <w:t>3.6.3 评标委员会对投标人提交的澄清、说明或补正有疑问的，可以要求投标人进一步澄清、说明或补正，直至满足评标委员会的要求。</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3.7否决投标的情形</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3.7.1 投标人不符合本章第3.1款、第3.4款的，评标委员会应否决其投标。</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3.7.2 否决投标的其他情形，见评标办法前附表。</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3.7.3 投标人未通过本章第3.5.4项评审的，评标委员会应否决其投标。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3.8评标结果</w:t>
      </w:r>
    </w:p>
    <w:p>
      <w:pPr>
        <w:spacing w:line="360" w:lineRule="auto"/>
        <w:ind w:firstLine="480" w:firstLineChars="200"/>
        <w:rPr>
          <w:rFonts w:hAnsi="宋体" w:cs="宋体"/>
          <w:szCs w:val="24"/>
          <w:highlight w:val="none"/>
        </w:rPr>
      </w:pPr>
      <w:r>
        <w:rPr>
          <w:rFonts w:hint="eastAsia" w:hAnsi="宋体" w:cs="宋体"/>
          <w:szCs w:val="24"/>
          <w:highlight w:val="none"/>
        </w:rPr>
        <w:t>3.8.1评标委员会对拟推荐的中标候选人进行查询，存在投标人须知第1.4.4项规定情形的，不得推荐为中标候选人，查询要求如下：</w:t>
      </w:r>
    </w:p>
    <w:p>
      <w:pPr>
        <w:spacing w:line="360" w:lineRule="auto"/>
        <w:ind w:firstLine="480" w:firstLineChars="200"/>
        <w:rPr>
          <w:rFonts w:hAnsi="宋体" w:cs="宋体"/>
          <w:szCs w:val="24"/>
          <w:highlight w:val="none"/>
        </w:rPr>
      </w:pPr>
      <w:r>
        <w:rPr>
          <w:rFonts w:hint="eastAsia" w:hAnsi="宋体" w:cs="宋体"/>
          <w:szCs w:val="24"/>
          <w:highlight w:val="none"/>
        </w:rPr>
        <w:t>（1）评标委员会仅通过“国家企业信用信息公示系统”查询拟推荐中标候选人是否被列入严重违法失信名单，并将查询截图及查询结果在评标报告中予以记录；</w:t>
      </w:r>
    </w:p>
    <w:p>
      <w:pPr>
        <w:spacing w:line="360" w:lineRule="auto"/>
        <w:ind w:firstLine="480" w:firstLineChars="200"/>
        <w:rPr>
          <w:rFonts w:hAnsi="宋体" w:cs="宋体"/>
          <w:szCs w:val="24"/>
          <w:highlight w:val="none"/>
        </w:rPr>
      </w:pPr>
      <w:r>
        <w:rPr>
          <w:rFonts w:hint="eastAsia" w:hAnsi="宋体" w:cs="宋体"/>
          <w:szCs w:val="24"/>
          <w:highlight w:val="none"/>
        </w:rPr>
        <w:t>（2）评标委员会仅通过“信用中国”查询拟推荐中标候选人是否被列为失信被执行人、确定为重大税收违法失信主体，并将查询截图及查询结果在评标报告中予以记录；</w:t>
      </w:r>
    </w:p>
    <w:p>
      <w:pPr>
        <w:spacing w:line="360" w:lineRule="auto"/>
        <w:ind w:firstLine="480" w:firstLineChars="200"/>
        <w:rPr>
          <w:rFonts w:hAnsi="宋体" w:cs="宋体"/>
          <w:szCs w:val="24"/>
          <w:highlight w:val="none"/>
        </w:rPr>
      </w:pPr>
      <w:r>
        <w:rPr>
          <w:rFonts w:hint="eastAsia" w:hAnsi="宋体" w:cs="宋体"/>
          <w:szCs w:val="24"/>
          <w:highlight w:val="none"/>
        </w:rPr>
        <w:t>（3）其他要求见投标人须知前附表第1.4.4（4）目。</w:t>
      </w:r>
    </w:p>
    <w:p>
      <w:pPr>
        <w:spacing w:line="360" w:lineRule="auto"/>
        <w:ind w:firstLine="480" w:firstLineChars="200"/>
        <w:rPr>
          <w:rFonts w:hAnsi="宋体" w:cs="宋体"/>
          <w:szCs w:val="24"/>
          <w:highlight w:val="none"/>
        </w:rPr>
      </w:pPr>
      <w:r>
        <w:rPr>
          <w:rFonts w:hint="eastAsia" w:hAnsi="宋体" w:cs="宋体"/>
          <w:szCs w:val="24"/>
          <w:highlight w:val="none"/>
        </w:rPr>
        <w:t>除第二章投标人须知前附表授权直接确定中标人外，评标委员会按照评标办法的规定推荐中标候选人，并标明排列排序。</w:t>
      </w:r>
    </w:p>
    <w:p>
      <w:pPr>
        <w:spacing w:line="360" w:lineRule="auto"/>
        <w:ind w:firstLine="480" w:firstLineChars="200"/>
        <w:rPr>
          <w:rFonts w:ascii="Times New Roman" w:cs="宋体"/>
          <w:szCs w:val="24"/>
          <w:highlight w:val="none"/>
        </w:rPr>
      </w:pPr>
      <w:r>
        <w:rPr>
          <w:rFonts w:hint="eastAsia" w:hAnsi="宋体" w:cs="宋体"/>
          <w:szCs w:val="24"/>
          <w:highlight w:val="none"/>
        </w:rPr>
        <w:t>3.8.2 评标委员会完成评标后，应当向招标人提交评标报告</w:t>
      </w:r>
      <w:r>
        <w:rPr>
          <w:rFonts w:hint="eastAsia" w:ascii="Times New Roman"/>
          <w:szCs w:val="24"/>
          <w:highlight w:val="none"/>
        </w:rPr>
        <w:t>。</w:t>
      </w:r>
    </w:p>
    <w:p>
      <w:pPr>
        <w:pStyle w:val="2"/>
        <w:spacing w:beforeLines="100" w:afterLines="100" w:line="240" w:lineRule="auto"/>
        <w:jc w:val="center"/>
        <w:rPr>
          <w:b w:val="0"/>
          <w:highlight w:val="none"/>
        </w:rPr>
      </w:pPr>
      <w:r>
        <w:rPr>
          <w:rFonts w:hint="eastAsia"/>
          <w:b w:val="0"/>
          <w:highlight w:val="none"/>
        </w:rPr>
        <w:br w:type="page"/>
      </w:r>
      <w:bookmarkStart w:id="421" w:name="_Toc96"/>
      <w:bookmarkStart w:id="422" w:name="_Toc140069431"/>
      <w:bookmarkStart w:id="423" w:name="_Toc15390"/>
      <w:bookmarkStart w:id="424" w:name="_Toc29954"/>
      <w:bookmarkStart w:id="425" w:name="_Toc24965147"/>
      <w:bookmarkStart w:id="426" w:name="_Toc501460735"/>
      <w:bookmarkStart w:id="427" w:name="_Toc247527636"/>
      <w:bookmarkStart w:id="428" w:name="_Toc26721536"/>
      <w:bookmarkStart w:id="429" w:name="_Toc17100667"/>
      <w:bookmarkStart w:id="430" w:name="_Toc15753903"/>
      <w:bookmarkStart w:id="431" w:name="_Toc369531601"/>
      <w:bookmarkStart w:id="432" w:name="_Toc247514035"/>
      <w:bookmarkStart w:id="433" w:name="_Toc26700477"/>
      <w:bookmarkStart w:id="434" w:name="_Toc300835032"/>
      <w:bookmarkStart w:id="435" w:name="_Toc26700647"/>
      <w:bookmarkStart w:id="436" w:name="_Toc26721381"/>
      <w:bookmarkStart w:id="437" w:name="_Toc30942"/>
      <w:r>
        <w:rPr>
          <w:rFonts w:hint="eastAsia" w:hAnsi="宋体" w:cs="宋体"/>
          <w:b w:val="0"/>
          <w:bCs w:val="0"/>
          <w:highlight w:val="none"/>
        </w:rPr>
        <w:t>第四章  合同条款及格式</w:t>
      </w:r>
      <w:bookmarkEnd w:id="421"/>
      <w:bookmarkEnd w:id="422"/>
      <w:bookmarkEnd w:id="423"/>
      <w:bookmarkEnd w:id="424"/>
    </w:p>
    <w:p>
      <w:pPr>
        <w:pStyle w:val="3"/>
        <w:spacing w:before="0" w:after="0" w:line="360" w:lineRule="auto"/>
        <w:jc w:val="center"/>
        <w:rPr>
          <w:rFonts w:ascii="Times New Roman" w:hAnsi="Times New Roman"/>
          <w:b w:val="0"/>
          <w:highlight w:val="none"/>
        </w:rPr>
      </w:pPr>
      <w:bookmarkStart w:id="438" w:name="_Toc24489"/>
      <w:bookmarkStart w:id="439" w:name="_Toc18101"/>
      <w:bookmarkStart w:id="440" w:name="_Toc15928646"/>
      <w:bookmarkStart w:id="441" w:name="_Toc140069432"/>
      <w:bookmarkStart w:id="442" w:name="_Toc17575"/>
      <w:bookmarkStart w:id="443" w:name="_Toc26781085"/>
      <w:bookmarkStart w:id="444" w:name="_Toc501460683"/>
      <w:r>
        <w:rPr>
          <w:rFonts w:ascii="Times New Roman" w:hAnsi="Times New Roman"/>
          <w:b w:val="0"/>
          <w:highlight w:val="none"/>
        </w:rPr>
        <w:t>第一节通用合同条款</w:t>
      </w:r>
      <w:bookmarkEnd w:id="438"/>
      <w:bookmarkEnd w:id="439"/>
      <w:bookmarkEnd w:id="440"/>
      <w:bookmarkEnd w:id="441"/>
      <w:bookmarkEnd w:id="442"/>
      <w:bookmarkEnd w:id="443"/>
      <w:bookmarkEnd w:id="444"/>
    </w:p>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360" w:lineRule="auto"/>
        <w:ind w:firstLine="105"/>
        <w:outlineLvl w:val="2"/>
        <w:rPr>
          <w:rFonts w:ascii="黑体" w:hAnsi="黑体" w:eastAsia="黑体" w:cs="黑体"/>
          <w:bCs/>
          <w:sz w:val="28"/>
          <w:szCs w:val="28"/>
          <w:highlight w:val="none"/>
        </w:rPr>
      </w:pPr>
      <w:r>
        <w:rPr>
          <w:rFonts w:hint="eastAsia" w:ascii="黑体" w:hAnsi="黑体" w:eastAsia="黑体" w:cs="黑体"/>
          <w:sz w:val="28"/>
          <w:szCs w:val="28"/>
          <w:highlight w:val="none"/>
        </w:rPr>
        <w:t>1. 一般约定</w:t>
      </w:r>
    </w:p>
    <w:p>
      <w:pPr>
        <w:spacing w:line="360" w:lineRule="auto"/>
        <w:ind w:firstLine="137"/>
        <w:outlineLvl w:val="3"/>
        <w:rPr>
          <w:rFonts w:ascii="黑体" w:hAnsi="黑体" w:eastAsia="黑体" w:cs="黑体"/>
          <w:highlight w:val="none"/>
        </w:rPr>
      </w:pPr>
      <w:bookmarkStart w:id="445" w:name="_Toc246996255"/>
      <w:bookmarkStart w:id="446" w:name="_Toc247085770"/>
      <w:bookmarkStart w:id="447" w:name="_Toc296602500"/>
      <w:bookmarkStart w:id="448" w:name="_Toc3381"/>
      <w:bookmarkStart w:id="449" w:name="_Toc501460736"/>
      <w:bookmarkStart w:id="450" w:name="_Toc246996998"/>
      <w:bookmarkStart w:id="451" w:name="_Toc369531602"/>
      <w:r>
        <w:rPr>
          <w:rFonts w:hint="eastAsia" w:ascii="黑体" w:hAnsi="黑体" w:eastAsia="黑体" w:cs="黑体"/>
          <w:highlight w:val="none"/>
        </w:rPr>
        <w:t>1.1 词语定义</w:t>
      </w:r>
      <w:bookmarkEnd w:id="445"/>
      <w:bookmarkEnd w:id="446"/>
      <w:bookmarkEnd w:id="447"/>
      <w:bookmarkEnd w:id="448"/>
      <w:bookmarkEnd w:id="449"/>
      <w:bookmarkEnd w:id="450"/>
      <w:bookmarkEnd w:id="451"/>
    </w:p>
    <w:p>
      <w:pPr>
        <w:spacing w:line="360" w:lineRule="auto"/>
        <w:ind w:firstLine="480" w:firstLineChars="200"/>
        <w:rPr>
          <w:rFonts w:hAnsi="宋体" w:cs="宋体"/>
          <w:highlight w:val="none"/>
        </w:rPr>
      </w:pPr>
      <w:r>
        <w:rPr>
          <w:rFonts w:hint="eastAsia" w:hAnsi="宋体" w:cs="宋体"/>
          <w:highlight w:val="none"/>
        </w:rPr>
        <w:t>除专用合同条款另有约定外，合同中的下列词语应具有本款所赋予的含义。</w:t>
      </w:r>
    </w:p>
    <w:p>
      <w:pPr>
        <w:spacing w:line="360" w:lineRule="auto"/>
        <w:ind w:firstLine="480" w:firstLineChars="200"/>
        <w:rPr>
          <w:rFonts w:hAnsi="宋体" w:cs="宋体"/>
          <w:highlight w:val="none"/>
        </w:rPr>
      </w:pPr>
      <w:r>
        <w:rPr>
          <w:rFonts w:hint="eastAsia" w:hAnsi="宋体" w:cs="宋体"/>
          <w:highlight w:val="none"/>
        </w:rPr>
        <w:t>1.1.1 合同</w:t>
      </w:r>
    </w:p>
    <w:p>
      <w:pPr>
        <w:spacing w:line="360" w:lineRule="auto"/>
        <w:ind w:firstLine="480" w:firstLineChars="200"/>
        <w:rPr>
          <w:rFonts w:hAnsi="宋体" w:cs="宋体"/>
          <w:highlight w:val="none"/>
        </w:rPr>
      </w:pPr>
      <w:r>
        <w:rPr>
          <w:rFonts w:hint="eastAsia" w:hAnsi="宋体" w:cs="宋体"/>
          <w:highlight w:val="none"/>
        </w:rPr>
        <w:t>1.1.1.1 合同文件（或称合同）：指合同协议书、中标通知书、投标函、商务和技术偏离表、专用合同条款、通用合同条款、供货要求、分项报价表、中标货物技术性能指标的详细描述、技术服务和质保期服务计划，以及其他构成合同组成部分的文件。</w:t>
      </w:r>
    </w:p>
    <w:p>
      <w:pPr>
        <w:spacing w:line="360" w:lineRule="auto"/>
        <w:ind w:firstLine="480" w:firstLineChars="200"/>
        <w:rPr>
          <w:rFonts w:hAnsi="宋体" w:cs="宋体"/>
          <w:highlight w:val="none"/>
        </w:rPr>
      </w:pPr>
      <w:r>
        <w:rPr>
          <w:rFonts w:hint="eastAsia" w:hAnsi="宋体" w:cs="宋体"/>
          <w:highlight w:val="none"/>
        </w:rPr>
        <w:t>1.1.1.2 合同协议书：指买方和卖方共同签署的合同协议书。</w:t>
      </w:r>
    </w:p>
    <w:p>
      <w:pPr>
        <w:spacing w:line="360" w:lineRule="auto"/>
        <w:ind w:firstLine="480" w:firstLineChars="200"/>
        <w:rPr>
          <w:rFonts w:hAnsi="宋体" w:cs="宋体"/>
          <w:highlight w:val="none"/>
        </w:rPr>
      </w:pPr>
      <w:r>
        <w:rPr>
          <w:rFonts w:hint="eastAsia" w:hAnsi="宋体" w:cs="宋体"/>
          <w:highlight w:val="none"/>
        </w:rPr>
        <w:t>1.1.1.3 中标通知书：指买方通知卖方中标的函件。</w:t>
      </w:r>
    </w:p>
    <w:p>
      <w:pPr>
        <w:spacing w:line="360" w:lineRule="auto"/>
        <w:ind w:firstLine="480" w:firstLineChars="200"/>
        <w:rPr>
          <w:rFonts w:hAnsi="宋体" w:cs="宋体"/>
          <w:highlight w:val="none"/>
        </w:rPr>
      </w:pPr>
      <w:r>
        <w:rPr>
          <w:rFonts w:hint="eastAsia" w:hAnsi="宋体" w:cs="宋体"/>
          <w:highlight w:val="none"/>
        </w:rPr>
        <w:t>1.1.1.4 投标函：指由卖方填写并签署的，名为“投标函”的函件。</w:t>
      </w:r>
    </w:p>
    <w:p>
      <w:pPr>
        <w:spacing w:line="360" w:lineRule="auto"/>
        <w:ind w:firstLine="480" w:firstLineChars="200"/>
        <w:rPr>
          <w:rFonts w:hAnsi="宋体" w:cs="宋体"/>
          <w:highlight w:val="none"/>
        </w:rPr>
      </w:pPr>
      <w:r>
        <w:rPr>
          <w:rFonts w:hint="eastAsia" w:hAnsi="宋体" w:cs="宋体"/>
          <w:highlight w:val="none"/>
        </w:rPr>
        <w:t>1.1.1.5 商务和技术偏离表：指卖方投标文件中的商务和技术偏离表。</w:t>
      </w:r>
    </w:p>
    <w:p>
      <w:pPr>
        <w:spacing w:line="360" w:lineRule="auto"/>
        <w:ind w:firstLine="480" w:firstLineChars="200"/>
        <w:rPr>
          <w:rFonts w:hAnsi="宋体" w:cs="宋体"/>
          <w:highlight w:val="none"/>
        </w:rPr>
      </w:pPr>
      <w:r>
        <w:rPr>
          <w:rFonts w:hint="eastAsia" w:hAnsi="宋体" w:cs="宋体"/>
          <w:highlight w:val="none"/>
        </w:rPr>
        <w:t>1.1.1.6 供货要求：指合同文件中名为“供货要求”的文件。</w:t>
      </w:r>
    </w:p>
    <w:p>
      <w:pPr>
        <w:spacing w:line="360" w:lineRule="auto"/>
        <w:ind w:firstLine="480" w:firstLineChars="200"/>
        <w:rPr>
          <w:rFonts w:hAnsi="宋体" w:cs="宋体"/>
          <w:highlight w:val="none"/>
        </w:rPr>
      </w:pPr>
      <w:r>
        <w:rPr>
          <w:rFonts w:hint="eastAsia" w:hAnsi="宋体" w:cs="宋体"/>
          <w:highlight w:val="none"/>
        </w:rPr>
        <w:t>1.1.1.7 中标货物技术性能指标的详细描述：指卖方投标文件中的投标货物技术性能指标的详细描述。</w:t>
      </w:r>
    </w:p>
    <w:p>
      <w:pPr>
        <w:spacing w:line="360" w:lineRule="auto"/>
        <w:ind w:firstLine="480" w:firstLineChars="200"/>
        <w:rPr>
          <w:rFonts w:hAnsi="宋体" w:cs="宋体"/>
          <w:highlight w:val="none"/>
        </w:rPr>
      </w:pPr>
      <w:r>
        <w:rPr>
          <w:rFonts w:hint="eastAsia" w:hAnsi="宋体" w:cs="宋体"/>
          <w:highlight w:val="none"/>
        </w:rPr>
        <w:t>1.1.1.8 技术服务和质保期服务计划：指卖方投标文件中的技术服务和质保期服务计划。</w:t>
      </w:r>
    </w:p>
    <w:p>
      <w:pPr>
        <w:spacing w:line="360" w:lineRule="auto"/>
        <w:ind w:firstLine="480" w:firstLineChars="200"/>
        <w:rPr>
          <w:rFonts w:hAnsi="宋体" w:cs="宋体"/>
          <w:highlight w:val="none"/>
        </w:rPr>
      </w:pPr>
      <w:r>
        <w:rPr>
          <w:rFonts w:hint="eastAsia" w:hAnsi="宋体" w:cs="宋体"/>
          <w:highlight w:val="none"/>
        </w:rPr>
        <w:t>1.1.1.9 分项报价表：指卖方投标文件中的分项报价表。</w:t>
      </w:r>
    </w:p>
    <w:p>
      <w:pPr>
        <w:spacing w:line="360" w:lineRule="auto"/>
        <w:ind w:firstLine="480" w:firstLineChars="200"/>
        <w:rPr>
          <w:rFonts w:hAnsi="宋体" w:cs="宋体"/>
          <w:highlight w:val="none"/>
        </w:rPr>
      </w:pPr>
      <w:r>
        <w:rPr>
          <w:rFonts w:hint="eastAsia" w:hAnsi="宋体" w:cs="宋体"/>
          <w:highlight w:val="none"/>
        </w:rPr>
        <w:t>1.1.1.10 其他合同文件：指经合同双方当事人确认构成合同文件的其他文件。</w:t>
      </w:r>
    </w:p>
    <w:p>
      <w:pPr>
        <w:spacing w:line="360" w:lineRule="auto"/>
        <w:ind w:firstLine="480" w:firstLineChars="200"/>
        <w:rPr>
          <w:rFonts w:hAnsi="宋体" w:cs="宋体"/>
          <w:bCs/>
          <w:highlight w:val="none"/>
        </w:rPr>
      </w:pPr>
      <w:r>
        <w:rPr>
          <w:rFonts w:hint="eastAsia" w:hAnsi="宋体" w:cs="宋体"/>
          <w:bCs/>
          <w:highlight w:val="none"/>
        </w:rPr>
        <w:t>1.1.2 合同当事人</w:t>
      </w:r>
    </w:p>
    <w:p>
      <w:pPr>
        <w:spacing w:line="360" w:lineRule="auto"/>
        <w:ind w:firstLine="480" w:firstLineChars="200"/>
        <w:rPr>
          <w:rFonts w:hAnsi="宋体" w:cs="宋体"/>
          <w:bCs/>
          <w:highlight w:val="none"/>
        </w:rPr>
      </w:pPr>
      <w:r>
        <w:rPr>
          <w:rFonts w:hint="eastAsia" w:hAnsi="宋体" w:cs="宋体"/>
          <w:bCs/>
          <w:highlight w:val="none"/>
        </w:rPr>
        <w:t>1.1.2.1 合同当事人：指买方和（或）卖方。</w:t>
      </w:r>
    </w:p>
    <w:p>
      <w:pPr>
        <w:spacing w:line="360" w:lineRule="auto"/>
        <w:ind w:firstLine="480" w:firstLineChars="200"/>
        <w:rPr>
          <w:rFonts w:hAnsi="宋体" w:cs="宋体"/>
          <w:bCs/>
          <w:highlight w:val="none"/>
        </w:rPr>
      </w:pPr>
      <w:r>
        <w:rPr>
          <w:rFonts w:hint="eastAsia" w:hAnsi="宋体" w:cs="宋体"/>
          <w:bCs/>
          <w:highlight w:val="none"/>
        </w:rPr>
        <w:t>1.1.2.2 买方：指与卖方签订合同协议书，购买合同货物和技术服务和质保期服务的当事人，及其合法继承人。</w:t>
      </w:r>
    </w:p>
    <w:p>
      <w:pPr>
        <w:spacing w:line="360" w:lineRule="auto"/>
        <w:ind w:firstLine="480" w:firstLineChars="200"/>
        <w:rPr>
          <w:rFonts w:hAnsi="宋体" w:cs="宋体"/>
          <w:bCs/>
          <w:highlight w:val="none"/>
        </w:rPr>
      </w:pPr>
      <w:r>
        <w:rPr>
          <w:rFonts w:hint="eastAsia" w:hAnsi="宋体" w:cs="宋体"/>
          <w:bCs/>
          <w:highlight w:val="none"/>
        </w:rPr>
        <w:t>1.1.2.3 卖方：指与买方签订合同协议书，提供合同货物和技术服务和质保期服务的当事人，及其合法继承人。</w:t>
      </w:r>
    </w:p>
    <w:p>
      <w:pPr>
        <w:spacing w:line="360" w:lineRule="auto"/>
        <w:ind w:firstLine="480" w:firstLineChars="200"/>
        <w:rPr>
          <w:rFonts w:hAnsi="宋体" w:cs="宋体"/>
          <w:bCs/>
          <w:highlight w:val="none"/>
        </w:rPr>
      </w:pPr>
      <w:r>
        <w:rPr>
          <w:rFonts w:hint="eastAsia" w:hAnsi="宋体" w:cs="宋体"/>
          <w:bCs/>
          <w:highlight w:val="none"/>
        </w:rPr>
        <w:t>1.1.3 合同价格</w:t>
      </w:r>
    </w:p>
    <w:p>
      <w:pPr>
        <w:spacing w:line="360" w:lineRule="auto"/>
        <w:ind w:firstLine="480" w:firstLineChars="200"/>
        <w:rPr>
          <w:rFonts w:hAnsi="宋体" w:cs="宋体"/>
          <w:bCs/>
          <w:highlight w:val="none"/>
        </w:rPr>
      </w:pPr>
      <w:r>
        <w:rPr>
          <w:rFonts w:hint="eastAsia" w:hAnsi="宋体" w:cs="宋体"/>
          <w:bCs/>
          <w:highlight w:val="none"/>
        </w:rPr>
        <w:t>1.1.3.1 签约合同价：是签订合同时合同协议书中写明的合同总金额。</w:t>
      </w:r>
    </w:p>
    <w:p>
      <w:pPr>
        <w:spacing w:line="360" w:lineRule="auto"/>
        <w:ind w:firstLine="480" w:firstLineChars="200"/>
        <w:rPr>
          <w:rFonts w:hAnsi="宋体" w:cs="宋体"/>
          <w:bCs/>
          <w:highlight w:val="none"/>
        </w:rPr>
      </w:pPr>
      <w:r>
        <w:rPr>
          <w:rFonts w:hint="eastAsia" w:hAnsi="宋体" w:cs="宋体"/>
          <w:bCs/>
          <w:highlight w:val="none"/>
        </w:rPr>
        <w:t>1.1.3.2 合同价格：指卖方按合同约定履行了全部合同义务后，买方应付给卖方的金额。</w:t>
      </w:r>
    </w:p>
    <w:p>
      <w:pPr>
        <w:spacing w:line="360" w:lineRule="auto"/>
        <w:ind w:firstLine="480" w:firstLineChars="200"/>
        <w:rPr>
          <w:rFonts w:hAnsi="宋体" w:cs="宋体"/>
          <w:highlight w:val="none"/>
        </w:rPr>
      </w:pPr>
      <w:r>
        <w:rPr>
          <w:rFonts w:hint="eastAsia" w:hAnsi="宋体" w:cs="宋体"/>
          <w:highlight w:val="none"/>
        </w:rPr>
        <w:t>1.1.4 合同货物：指卖方按合同约定应向买方提供的设备、装置、备品、备件、易损易耗件、配套使用的软件或其他辅助电子应用程序及技术资料，或其中任何一部分。</w:t>
      </w:r>
    </w:p>
    <w:p>
      <w:pPr>
        <w:spacing w:line="360" w:lineRule="auto"/>
        <w:ind w:firstLine="480" w:firstLineChars="200"/>
        <w:rPr>
          <w:rFonts w:hAnsi="宋体" w:cs="宋体"/>
          <w:highlight w:val="none"/>
        </w:rPr>
      </w:pPr>
      <w:r>
        <w:rPr>
          <w:rFonts w:hint="eastAsia" w:hAnsi="宋体" w:cs="宋体"/>
          <w:highlight w:val="none"/>
        </w:rPr>
        <w:t>1.1.5 技术资料：指各种纸质及电子载体的与合同货物的设计、检验、安装、调试、考核、操作、维修以及保养等有关的技术指标、规格、图纸和说明文件。</w:t>
      </w:r>
    </w:p>
    <w:p>
      <w:pPr>
        <w:spacing w:line="360" w:lineRule="auto"/>
        <w:ind w:firstLine="480" w:firstLineChars="200"/>
        <w:rPr>
          <w:rFonts w:hAnsi="宋体" w:cs="宋体"/>
          <w:highlight w:val="none"/>
        </w:rPr>
      </w:pPr>
      <w:r>
        <w:rPr>
          <w:rFonts w:hint="eastAsia" w:hAnsi="宋体" w:cs="宋体"/>
          <w:highlight w:val="none"/>
        </w:rPr>
        <w:t>1.1.6 安装：指对合同货物进行的组装、连接以</w:t>
      </w:r>
      <w:bookmarkStart w:id="452" w:name="_Toc15914"/>
      <w:r>
        <w:rPr>
          <w:rFonts w:hint="eastAsia" w:hAnsi="宋体" w:cs="宋体"/>
          <w:highlight w:val="none"/>
        </w:rPr>
        <w:t>及根据需要将合同货物固定在施</w:t>
      </w:r>
      <w:bookmarkEnd w:id="452"/>
      <w:r>
        <w:rPr>
          <w:rFonts w:hint="eastAsia" w:hAnsi="宋体" w:cs="宋体"/>
          <w:highlight w:val="none"/>
        </w:rPr>
        <w:t>工场地内一定的位置上，使其就位并与相关设备、工程实现连接。</w:t>
      </w:r>
    </w:p>
    <w:p>
      <w:pPr>
        <w:spacing w:line="360" w:lineRule="auto"/>
        <w:ind w:firstLine="480" w:firstLineChars="200"/>
        <w:rPr>
          <w:rFonts w:hAnsi="宋体" w:cs="宋体"/>
          <w:highlight w:val="none"/>
        </w:rPr>
      </w:pPr>
      <w:r>
        <w:rPr>
          <w:rFonts w:hint="eastAsia" w:hAnsi="宋体" w:cs="宋体"/>
          <w:highlight w:val="none"/>
        </w:rPr>
        <w:t>1.1.7 调试：指在合同货物安装完成后，对合同货物所进行的调校和测试。</w:t>
      </w:r>
    </w:p>
    <w:p>
      <w:pPr>
        <w:spacing w:line="360" w:lineRule="auto"/>
        <w:ind w:firstLine="480" w:firstLineChars="200"/>
        <w:rPr>
          <w:rFonts w:hAnsi="宋体" w:cs="宋体"/>
          <w:highlight w:val="none"/>
        </w:rPr>
      </w:pPr>
      <w:r>
        <w:rPr>
          <w:rFonts w:hint="eastAsia" w:hAnsi="宋体" w:cs="宋体"/>
          <w:highlight w:val="none"/>
        </w:rPr>
        <w:t>1.1.8 考核：指在合同货物调试完成后，对合同货物进行的用于确定其是否达到合同约定的技术性能考核指标的考核。</w:t>
      </w:r>
    </w:p>
    <w:p>
      <w:pPr>
        <w:spacing w:line="360" w:lineRule="auto"/>
        <w:ind w:firstLine="480" w:firstLineChars="200"/>
        <w:rPr>
          <w:rFonts w:hAnsi="宋体" w:cs="宋体"/>
          <w:highlight w:val="none"/>
        </w:rPr>
      </w:pPr>
      <w:r>
        <w:rPr>
          <w:rFonts w:hint="eastAsia" w:hAnsi="宋体" w:cs="宋体"/>
          <w:highlight w:val="none"/>
        </w:rPr>
        <w:t>1.1.9 验收：指合同货物通过考核达到合同约定的技术性能考核指标后，买方作出接受合同货物的确认。</w:t>
      </w:r>
    </w:p>
    <w:p>
      <w:pPr>
        <w:spacing w:line="360" w:lineRule="auto"/>
        <w:ind w:firstLine="480" w:firstLineChars="200"/>
        <w:rPr>
          <w:rFonts w:hAnsi="宋体" w:cs="宋体"/>
          <w:highlight w:val="none"/>
        </w:rPr>
      </w:pPr>
      <w:r>
        <w:rPr>
          <w:rFonts w:hint="eastAsia" w:hAnsi="宋体" w:cs="宋体"/>
          <w:highlight w:val="none"/>
        </w:rPr>
        <w:t>1.1.10 技术服务：指卖方按合同约定，在合同货物验收前，向买方提供的安装、调试、培训等，或者在由买方负责的安装、调试、考核中对买方进行的技术指导、协助、监督和培训等。</w:t>
      </w:r>
    </w:p>
    <w:p>
      <w:pPr>
        <w:spacing w:line="360" w:lineRule="auto"/>
        <w:ind w:firstLine="480" w:firstLineChars="200"/>
        <w:rPr>
          <w:rFonts w:hAnsi="宋体" w:cs="宋体"/>
          <w:highlight w:val="none"/>
        </w:rPr>
      </w:pPr>
      <w:r>
        <w:rPr>
          <w:rFonts w:hint="eastAsia" w:hAnsi="宋体" w:cs="宋体"/>
          <w:highlight w:val="none"/>
        </w:rPr>
        <w:t>1.1.11</w:t>
      </w:r>
      <w:bookmarkStart w:id="453" w:name="_Toc17041"/>
      <w:r>
        <w:rPr>
          <w:rFonts w:hint="eastAsia" w:hAnsi="宋体" w:cs="宋体"/>
          <w:highlight w:val="none"/>
        </w:rPr>
        <w:t xml:space="preserve"> 质量保证期：指合</w:t>
      </w:r>
      <w:bookmarkEnd w:id="453"/>
      <w:r>
        <w:rPr>
          <w:rFonts w:hint="eastAsia" w:hAnsi="宋体" w:cs="宋体"/>
          <w:highlight w:val="none"/>
        </w:rPr>
        <w:t>同货物验收后，卖方按合同约定保证合同货物适当、稳定运行，并负责消除合同货物故障的期限。</w:t>
      </w:r>
    </w:p>
    <w:p>
      <w:pPr>
        <w:spacing w:line="360" w:lineRule="auto"/>
        <w:ind w:firstLine="480" w:firstLineChars="200"/>
        <w:rPr>
          <w:rFonts w:hAnsi="宋体" w:cs="宋体"/>
          <w:highlight w:val="none"/>
        </w:rPr>
      </w:pPr>
      <w:r>
        <w:rPr>
          <w:rFonts w:hint="eastAsia" w:hAnsi="宋体" w:cs="宋体"/>
          <w:highlight w:val="none"/>
        </w:rPr>
        <w:t>1.1.12 质保期服务：指在质量保证期内，卖方向买方提供的合同货物维护服务、咨询服务、技术指导、协助以及对出现故障的合同货物进行修理或更换的服务。</w:t>
      </w:r>
    </w:p>
    <w:p>
      <w:pPr>
        <w:spacing w:line="360" w:lineRule="auto"/>
        <w:ind w:firstLine="480" w:firstLineChars="200"/>
        <w:rPr>
          <w:rFonts w:hAnsi="宋体" w:cs="宋体"/>
          <w:highlight w:val="none"/>
        </w:rPr>
      </w:pPr>
      <w:r>
        <w:rPr>
          <w:rFonts w:hint="eastAsia" w:hAnsi="宋体" w:cs="宋体"/>
          <w:highlight w:val="none"/>
        </w:rPr>
        <w:t>1.1.13 工程</w:t>
      </w:r>
    </w:p>
    <w:p>
      <w:pPr>
        <w:spacing w:line="360" w:lineRule="auto"/>
        <w:ind w:firstLine="480" w:firstLineChars="200"/>
        <w:rPr>
          <w:rFonts w:hAnsi="宋体" w:cs="宋体"/>
          <w:highlight w:val="none"/>
        </w:rPr>
      </w:pPr>
      <w:bookmarkStart w:id="454" w:name="_Toc152045609"/>
      <w:bookmarkStart w:id="455" w:name="_Toc247527634"/>
      <w:bookmarkStart w:id="456" w:name="_Toc30842"/>
      <w:bookmarkStart w:id="457" w:name="_Toc300835030"/>
      <w:bookmarkStart w:id="458" w:name="_Toc247514033"/>
      <w:bookmarkStart w:id="459" w:name="_Toc361508657"/>
      <w:bookmarkStart w:id="460" w:name="_Toc144974577"/>
      <w:bookmarkStart w:id="461" w:name="_Toc384308283"/>
      <w:bookmarkStart w:id="462" w:name="_Toc152042387"/>
      <w:bookmarkStart w:id="463" w:name="_Toc369531599"/>
      <w:bookmarkStart w:id="464" w:name="_Toc247085769"/>
      <w:bookmarkStart w:id="465" w:name="_Toc184635098"/>
      <w:bookmarkStart w:id="466" w:name="_Toc246996254"/>
      <w:bookmarkStart w:id="467" w:name="_Toc246996997"/>
      <w:bookmarkStart w:id="468" w:name="_Toc296602499"/>
      <w:r>
        <w:rPr>
          <w:rFonts w:hint="eastAsia" w:hAnsi="宋体" w:cs="宋体"/>
          <w:highlight w:val="none"/>
        </w:rPr>
        <w:t>1.1.13.1 工程：</w:t>
      </w:r>
      <w:bookmarkEnd w:id="454"/>
      <w:bookmarkEnd w:id="455"/>
      <w:bookmarkEnd w:id="456"/>
      <w:bookmarkEnd w:id="457"/>
      <w:bookmarkEnd w:id="458"/>
      <w:bookmarkEnd w:id="459"/>
      <w:bookmarkEnd w:id="460"/>
      <w:bookmarkEnd w:id="461"/>
      <w:bookmarkEnd w:id="462"/>
      <w:bookmarkEnd w:id="463"/>
      <w:r>
        <w:rPr>
          <w:rFonts w:hint="eastAsia" w:hAnsi="宋体" w:cs="宋体"/>
          <w:highlight w:val="none"/>
        </w:rPr>
        <w:t>指在专用合同条款中指明的，安装运行</w:t>
      </w:r>
      <w:bookmarkEnd w:id="464"/>
      <w:bookmarkEnd w:id="465"/>
      <w:bookmarkEnd w:id="466"/>
      <w:bookmarkEnd w:id="467"/>
      <w:bookmarkEnd w:id="468"/>
      <w:bookmarkStart w:id="469" w:name="_Toc9002"/>
      <w:r>
        <w:rPr>
          <w:rFonts w:hint="eastAsia" w:hAnsi="宋体" w:cs="宋体"/>
          <w:highlight w:val="none"/>
        </w:rPr>
        <w:t>合同货物</w:t>
      </w:r>
      <w:bookmarkEnd w:id="469"/>
      <w:bookmarkStart w:id="470" w:name="_Toc6626"/>
      <w:r>
        <w:rPr>
          <w:rFonts w:hint="eastAsia" w:hAnsi="宋体" w:cs="宋体"/>
          <w:highlight w:val="none"/>
        </w:rPr>
        <w:t>的工程。</w:t>
      </w:r>
    </w:p>
    <w:p>
      <w:pPr>
        <w:spacing w:line="360" w:lineRule="auto"/>
        <w:ind w:firstLine="480" w:firstLineChars="200"/>
        <w:rPr>
          <w:rFonts w:hAnsi="宋体" w:cs="宋体"/>
          <w:highlight w:val="none"/>
        </w:rPr>
      </w:pPr>
      <w:r>
        <w:rPr>
          <w:rFonts w:hint="eastAsia" w:hAnsi="宋体" w:cs="宋体"/>
          <w:highlight w:val="none"/>
        </w:rPr>
        <w:t>1.1</w:t>
      </w:r>
      <w:bookmarkEnd w:id="470"/>
      <w:r>
        <w:rPr>
          <w:rFonts w:hint="eastAsia" w:hAnsi="宋体" w:cs="宋体"/>
          <w:highlight w:val="none"/>
        </w:rPr>
        <w:t>.13.2 施工场地（或称工地、施工现场）：指专用合同条款中指明的工程所在场所。</w:t>
      </w:r>
    </w:p>
    <w:p>
      <w:pPr>
        <w:spacing w:line="360" w:lineRule="auto"/>
        <w:ind w:firstLine="480" w:firstLineChars="200"/>
        <w:rPr>
          <w:rFonts w:hAnsi="宋体" w:cs="宋体"/>
          <w:highlight w:val="none"/>
        </w:rPr>
      </w:pPr>
      <w:r>
        <w:rPr>
          <w:rFonts w:hint="eastAsia" w:hAnsi="宋体" w:cs="宋体"/>
          <w:highlight w:val="none"/>
        </w:rPr>
        <w:t>1.1.14 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480" w:firstLineChars="200"/>
        <w:rPr>
          <w:rFonts w:hAnsi="宋体" w:cs="宋体"/>
          <w:highlight w:val="none"/>
        </w:rPr>
      </w:pPr>
      <w:r>
        <w:rPr>
          <w:rFonts w:hint="eastAsia" w:hAnsi="宋体" w:cs="宋体"/>
          <w:highlight w:val="none"/>
        </w:rPr>
        <w:t>1.1.15 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480" w:firstLineChars="200"/>
        <w:rPr>
          <w:rFonts w:hAnsi="宋体" w:cs="宋体"/>
          <w:highlight w:val="none"/>
        </w:rPr>
      </w:pPr>
      <w:r>
        <w:rPr>
          <w:rFonts w:hint="eastAsia" w:hAnsi="宋体" w:cs="宋体"/>
          <w:highlight w:val="none"/>
        </w:rPr>
        <w:t>1.1.16 书面形式：指合同文件、信件和数据电文（包括电报、电传、传真、电子数据交换和电子邮件）等可以有形地表现所载内容的形式。</w:t>
      </w:r>
    </w:p>
    <w:p>
      <w:pPr>
        <w:spacing w:line="360" w:lineRule="auto"/>
        <w:ind w:firstLine="137"/>
        <w:outlineLvl w:val="3"/>
        <w:rPr>
          <w:rFonts w:ascii="黑体" w:hAnsi="黑体" w:eastAsia="黑体" w:cs="黑体"/>
          <w:highlight w:val="none"/>
        </w:rPr>
      </w:pPr>
      <w:bookmarkStart w:id="471" w:name="_Toc482188728"/>
      <w:bookmarkStart w:id="472" w:name="_Toc501460737"/>
      <w:r>
        <w:rPr>
          <w:rFonts w:hint="eastAsia" w:ascii="黑体" w:hAnsi="黑体" w:eastAsia="黑体" w:cs="黑体"/>
          <w:highlight w:val="none"/>
        </w:rPr>
        <w:t>1.2 语言文字</w:t>
      </w:r>
      <w:bookmarkEnd w:id="471"/>
      <w:bookmarkEnd w:id="472"/>
    </w:p>
    <w:p>
      <w:pPr>
        <w:spacing w:line="360" w:lineRule="auto"/>
        <w:ind w:firstLine="480" w:firstLineChars="200"/>
        <w:rPr>
          <w:rFonts w:hAnsi="宋体" w:cs="宋体"/>
          <w:highlight w:val="none"/>
        </w:rPr>
      </w:pPr>
      <w:r>
        <w:rPr>
          <w:rFonts w:hint="eastAsia" w:hAnsi="宋体" w:cs="宋体"/>
          <w:highlight w:val="none"/>
        </w:rPr>
        <w:t>合同使用的语言文字为中文。专用术语使用外文的，应附有中文注释。</w:t>
      </w:r>
    </w:p>
    <w:p>
      <w:pPr>
        <w:spacing w:line="360" w:lineRule="auto"/>
        <w:ind w:firstLine="137"/>
        <w:outlineLvl w:val="3"/>
        <w:rPr>
          <w:rFonts w:ascii="黑体" w:hAnsi="黑体" w:eastAsia="黑体" w:cs="黑体"/>
          <w:highlight w:val="none"/>
        </w:rPr>
      </w:pPr>
      <w:bookmarkStart w:id="473" w:name="_Toc501460738"/>
      <w:bookmarkStart w:id="474" w:name="_Toc482188729"/>
      <w:r>
        <w:rPr>
          <w:rFonts w:hint="eastAsia" w:ascii="黑体" w:hAnsi="黑体" w:eastAsia="黑体" w:cs="黑体"/>
          <w:highlight w:val="none"/>
        </w:rPr>
        <w:t>1.3合同文件的优先顺序</w:t>
      </w:r>
      <w:bookmarkEnd w:id="473"/>
      <w:bookmarkEnd w:id="474"/>
    </w:p>
    <w:p>
      <w:pPr>
        <w:spacing w:line="360" w:lineRule="auto"/>
        <w:ind w:firstLine="480" w:firstLineChars="200"/>
        <w:rPr>
          <w:rFonts w:hAnsi="宋体" w:cs="宋体"/>
          <w:highlight w:val="none"/>
        </w:rPr>
      </w:pPr>
      <w:r>
        <w:rPr>
          <w:rFonts w:hint="eastAsia" w:hAnsi="宋体" w:cs="宋体"/>
          <w:highlight w:val="none"/>
        </w:rPr>
        <w:t>组成合同的各项文件应互相解释，互为说明。除专用合同条款另有约定外，解释合同文件的优先顺序如下：</w:t>
      </w:r>
    </w:p>
    <w:p>
      <w:pPr>
        <w:spacing w:line="360" w:lineRule="auto"/>
        <w:ind w:firstLine="480" w:firstLineChars="200"/>
        <w:rPr>
          <w:rFonts w:hAnsi="宋体" w:cs="宋体"/>
          <w:highlight w:val="none"/>
        </w:rPr>
      </w:pPr>
      <w:r>
        <w:rPr>
          <w:rFonts w:hint="eastAsia" w:hAnsi="宋体" w:cs="宋体"/>
          <w:highlight w:val="none"/>
        </w:rPr>
        <w:t>（1）合同协议书；</w:t>
      </w:r>
    </w:p>
    <w:p>
      <w:pPr>
        <w:spacing w:line="360" w:lineRule="auto"/>
        <w:ind w:firstLine="480" w:firstLineChars="200"/>
        <w:rPr>
          <w:rFonts w:hAnsi="宋体" w:cs="宋体"/>
          <w:highlight w:val="none"/>
        </w:rPr>
      </w:pPr>
      <w:r>
        <w:rPr>
          <w:rFonts w:hint="eastAsia" w:hAnsi="宋体" w:cs="宋体"/>
          <w:highlight w:val="none"/>
        </w:rPr>
        <w:t>（2）中标通知书；</w:t>
      </w:r>
    </w:p>
    <w:p>
      <w:pPr>
        <w:spacing w:line="360" w:lineRule="auto"/>
        <w:ind w:firstLine="480" w:firstLineChars="200"/>
        <w:rPr>
          <w:rFonts w:hAnsi="宋体" w:cs="宋体"/>
          <w:highlight w:val="none"/>
        </w:rPr>
      </w:pPr>
      <w:r>
        <w:rPr>
          <w:rFonts w:hint="eastAsia" w:hAnsi="宋体" w:cs="宋体"/>
          <w:highlight w:val="none"/>
        </w:rPr>
        <w:t>（3）投标函；</w:t>
      </w:r>
    </w:p>
    <w:p>
      <w:pPr>
        <w:spacing w:line="360" w:lineRule="auto"/>
        <w:ind w:firstLine="480" w:firstLineChars="200"/>
        <w:rPr>
          <w:rFonts w:hAnsi="宋体" w:cs="宋体"/>
          <w:highlight w:val="none"/>
        </w:rPr>
      </w:pPr>
      <w:r>
        <w:rPr>
          <w:rFonts w:hint="eastAsia" w:hAnsi="宋体" w:cs="宋体"/>
          <w:highlight w:val="none"/>
        </w:rPr>
        <w:t>（4）商务和技术偏差表；</w:t>
      </w:r>
    </w:p>
    <w:p>
      <w:pPr>
        <w:spacing w:line="360" w:lineRule="auto"/>
        <w:ind w:firstLine="480" w:firstLineChars="200"/>
        <w:rPr>
          <w:rFonts w:hAnsi="宋体" w:cs="宋体"/>
          <w:highlight w:val="none"/>
        </w:rPr>
      </w:pPr>
      <w:r>
        <w:rPr>
          <w:rFonts w:hint="eastAsia" w:hAnsi="宋体" w:cs="宋体"/>
          <w:highlight w:val="none"/>
        </w:rPr>
        <w:t>（5）专用合同条款；</w:t>
      </w:r>
    </w:p>
    <w:p>
      <w:pPr>
        <w:spacing w:line="360" w:lineRule="auto"/>
        <w:ind w:firstLine="480" w:firstLineChars="200"/>
        <w:rPr>
          <w:rFonts w:hAnsi="宋体" w:cs="宋体"/>
          <w:highlight w:val="none"/>
        </w:rPr>
      </w:pPr>
      <w:r>
        <w:rPr>
          <w:rFonts w:hint="eastAsia" w:hAnsi="宋体" w:cs="宋体"/>
          <w:highlight w:val="none"/>
        </w:rPr>
        <w:t>（6）通用合同条款；</w:t>
      </w:r>
    </w:p>
    <w:p>
      <w:pPr>
        <w:spacing w:line="360" w:lineRule="auto"/>
        <w:ind w:firstLine="480" w:firstLineChars="200"/>
        <w:rPr>
          <w:rFonts w:hAnsi="宋体" w:cs="宋体"/>
          <w:highlight w:val="none"/>
        </w:rPr>
      </w:pPr>
      <w:r>
        <w:rPr>
          <w:rFonts w:hint="eastAsia" w:hAnsi="宋体" w:cs="宋体"/>
          <w:highlight w:val="none"/>
        </w:rPr>
        <w:t>（7）供货要求；</w:t>
      </w:r>
    </w:p>
    <w:p>
      <w:pPr>
        <w:spacing w:line="360" w:lineRule="auto"/>
        <w:ind w:firstLine="480" w:firstLineChars="200"/>
        <w:rPr>
          <w:rFonts w:hAnsi="宋体" w:cs="宋体"/>
          <w:highlight w:val="none"/>
        </w:rPr>
      </w:pPr>
      <w:r>
        <w:rPr>
          <w:rFonts w:hint="eastAsia" w:hAnsi="宋体" w:cs="宋体"/>
          <w:highlight w:val="none"/>
        </w:rPr>
        <w:t>（8）分项报价表；</w:t>
      </w:r>
    </w:p>
    <w:p>
      <w:pPr>
        <w:spacing w:line="360" w:lineRule="auto"/>
        <w:ind w:firstLine="480" w:firstLineChars="200"/>
        <w:rPr>
          <w:rFonts w:hAnsi="宋体" w:cs="宋体"/>
          <w:highlight w:val="none"/>
        </w:rPr>
      </w:pPr>
      <w:r>
        <w:rPr>
          <w:rFonts w:hint="eastAsia" w:hAnsi="宋体" w:cs="宋体"/>
          <w:highlight w:val="none"/>
        </w:rPr>
        <w:t>（9）中标货物技术性能指标的详细描述；</w:t>
      </w:r>
    </w:p>
    <w:p>
      <w:pPr>
        <w:spacing w:line="360" w:lineRule="auto"/>
        <w:ind w:firstLine="480" w:firstLineChars="200"/>
        <w:rPr>
          <w:rFonts w:hAnsi="宋体" w:cs="宋体"/>
          <w:highlight w:val="none"/>
        </w:rPr>
      </w:pPr>
      <w:r>
        <w:rPr>
          <w:rFonts w:hint="eastAsia" w:hAnsi="宋体" w:cs="宋体"/>
          <w:highlight w:val="none"/>
        </w:rPr>
        <w:t>（10）技术服务和质保期服务计划；</w:t>
      </w:r>
    </w:p>
    <w:p>
      <w:pPr>
        <w:spacing w:line="360" w:lineRule="auto"/>
        <w:ind w:firstLine="480" w:firstLineChars="200"/>
        <w:rPr>
          <w:rFonts w:hAnsi="宋体" w:cs="宋体"/>
          <w:highlight w:val="none"/>
        </w:rPr>
      </w:pPr>
      <w:r>
        <w:rPr>
          <w:rFonts w:hint="eastAsia" w:hAnsi="宋体" w:cs="宋体"/>
          <w:highlight w:val="none"/>
        </w:rPr>
        <w:t>（11）其他合同文件。</w:t>
      </w:r>
    </w:p>
    <w:p>
      <w:pPr>
        <w:spacing w:line="360" w:lineRule="auto"/>
        <w:ind w:firstLine="137"/>
        <w:outlineLvl w:val="3"/>
        <w:rPr>
          <w:rFonts w:ascii="黑体" w:hAnsi="黑体" w:eastAsia="黑体" w:cs="黑体"/>
          <w:highlight w:val="none"/>
        </w:rPr>
      </w:pPr>
      <w:bookmarkStart w:id="475" w:name="_Toc482188730"/>
      <w:bookmarkStart w:id="476" w:name="_Toc501460739"/>
      <w:r>
        <w:rPr>
          <w:rFonts w:hint="eastAsia" w:ascii="黑体" w:hAnsi="黑体" w:eastAsia="黑体" w:cs="黑体"/>
          <w:highlight w:val="none"/>
        </w:rPr>
        <w:t>1.4 合同的生效及变更</w:t>
      </w:r>
      <w:bookmarkEnd w:id="475"/>
      <w:bookmarkEnd w:id="476"/>
    </w:p>
    <w:p>
      <w:pPr>
        <w:spacing w:line="360" w:lineRule="auto"/>
        <w:ind w:firstLine="480" w:firstLineChars="200"/>
        <w:rPr>
          <w:rFonts w:hAnsi="宋体" w:cs="宋体"/>
          <w:highlight w:val="none"/>
        </w:rPr>
      </w:pPr>
      <w:r>
        <w:rPr>
          <w:rFonts w:hint="eastAsia" w:hAnsi="宋体" w:cs="宋体"/>
          <w:highlight w:val="none"/>
        </w:rPr>
        <w:t>1.4.1 除专用合同条款另有约定外，买方和卖方的法定代表人（单位负责人）或其授权代表在合同协议书上签字并加盖单位章后，合同生效。</w:t>
      </w:r>
    </w:p>
    <w:p>
      <w:pPr>
        <w:spacing w:line="360" w:lineRule="auto"/>
        <w:ind w:firstLine="480" w:firstLineChars="200"/>
        <w:rPr>
          <w:rFonts w:hAnsi="宋体" w:cs="宋体"/>
          <w:highlight w:val="none"/>
        </w:rPr>
      </w:pPr>
      <w:r>
        <w:rPr>
          <w:rFonts w:hint="eastAsia" w:hAnsi="宋体" w:cs="宋体"/>
          <w:highlight w:val="none"/>
        </w:rPr>
        <w:t>1.4.2 除专用合同条款另有约定外，在合同履行过程中，如需对合同进行变更，双方应签订书面协议，并经双方法定代表人（单位负责人）或其授权代表签字并加盖单位章后生效。</w:t>
      </w:r>
    </w:p>
    <w:p>
      <w:pPr>
        <w:spacing w:line="360" w:lineRule="auto"/>
        <w:ind w:firstLine="137"/>
        <w:outlineLvl w:val="3"/>
        <w:rPr>
          <w:rFonts w:ascii="黑体" w:hAnsi="黑体" w:eastAsia="黑体" w:cs="黑体"/>
          <w:highlight w:val="none"/>
        </w:rPr>
      </w:pPr>
      <w:bookmarkStart w:id="477" w:name="_Toc501460740"/>
      <w:bookmarkStart w:id="478" w:name="_Toc482188731"/>
      <w:r>
        <w:rPr>
          <w:rFonts w:hint="eastAsia" w:ascii="黑体" w:hAnsi="黑体" w:eastAsia="黑体" w:cs="黑体"/>
          <w:highlight w:val="none"/>
        </w:rPr>
        <w:t>1.5联络</w:t>
      </w:r>
      <w:bookmarkEnd w:id="477"/>
      <w:bookmarkEnd w:id="478"/>
    </w:p>
    <w:p>
      <w:pPr>
        <w:spacing w:line="360" w:lineRule="auto"/>
        <w:ind w:firstLine="480" w:firstLineChars="200"/>
        <w:rPr>
          <w:rFonts w:hAnsi="宋体" w:cs="宋体"/>
          <w:highlight w:val="none"/>
        </w:rPr>
      </w:pPr>
      <w:r>
        <w:rPr>
          <w:rFonts w:hint="eastAsia" w:hAnsi="宋体" w:cs="宋体"/>
          <w:highlight w:val="none"/>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spacing w:line="360" w:lineRule="auto"/>
        <w:ind w:firstLine="480" w:firstLineChars="200"/>
        <w:rPr>
          <w:rFonts w:hAnsi="宋体" w:cs="宋体"/>
          <w:highlight w:val="none"/>
        </w:rPr>
      </w:pPr>
      <w:r>
        <w:rPr>
          <w:rFonts w:hint="eastAsia" w:hAnsi="宋体" w:cs="宋体"/>
          <w:highlight w:val="none"/>
        </w:rPr>
        <w:t>1.5.2 合同履行中或与合同有关的任何联络，送达到第1.5.1项指定的联系人即视为送达。</w:t>
      </w:r>
    </w:p>
    <w:p>
      <w:pPr>
        <w:spacing w:line="360" w:lineRule="auto"/>
        <w:ind w:firstLine="480" w:firstLineChars="200"/>
        <w:rPr>
          <w:rFonts w:hAnsi="宋体" w:cs="宋体"/>
          <w:highlight w:val="none"/>
        </w:rPr>
      </w:pPr>
      <w:r>
        <w:rPr>
          <w:rFonts w:hint="eastAsia" w:hAnsi="宋体" w:cs="宋体"/>
          <w:highlight w:val="none"/>
        </w:rPr>
        <w:t>1.5.3 买方可以安排监理等相关人员作为买方人员，与卖方进行联络或参加合同货物的监造（如有）、交货前检验（如有）、开箱检验、安装、调试、考核、验收等，但应按照第1.5.1项的约定事先书面通知卖方。</w:t>
      </w:r>
    </w:p>
    <w:p>
      <w:pPr>
        <w:spacing w:line="360" w:lineRule="auto"/>
        <w:ind w:firstLine="137"/>
        <w:outlineLvl w:val="3"/>
        <w:rPr>
          <w:rFonts w:ascii="黑体" w:hAnsi="黑体" w:eastAsia="黑体" w:cs="黑体"/>
          <w:highlight w:val="none"/>
        </w:rPr>
      </w:pPr>
      <w:bookmarkStart w:id="479" w:name="_Toc501460741"/>
      <w:bookmarkStart w:id="480" w:name="_Toc482188732"/>
      <w:r>
        <w:rPr>
          <w:rFonts w:hint="eastAsia" w:ascii="黑体" w:hAnsi="黑体" w:eastAsia="黑体" w:cs="黑体"/>
          <w:highlight w:val="none"/>
        </w:rPr>
        <w:t>1.6 联合体</w:t>
      </w:r>
      <w:bookmarkEnd w:id="479"/>
      <w:bookmarkEnd w:id="480"/>
    </w:p>
    <w:p>
      <w:pPr>
        <w:spacing w:line="360" w:lineRule="auto"/>
        <w:ind w:firstLine="480" w:firstLineChars="200"/>
        <w:rPr>
          <w:rFonts w:hAnsi="宋体" w:cs="宋体"/>
          <w:highlight w:val="none"/>
        </w:rPr>
      </w:pPr>
      <w:r>
        <w:rPr>
          <w:rFonts w:hint="eastAsia" w:hAnsi="宋体" w:cs="宋体"/>
          <w:highlight w:val="none"/>
        </w:rPr>
        <w:t>1.6.1 卖方为联合体的，联合体各方应当共同与买方签订合同，并向买方为履行合同承担连带责任。</w:t>
      </w:r>
    </w:p>
    <w:p>
      <w:pPr>
        <w:spacing w:line="360" w:lineRule="auto"/>
        <w:ind w:firstLine="480" w:firstLineChars="200"/>
        <w:rPr>
          <w:rFonts w:hAnsi="宋体" w:cs="宋体"/>
          <w:highlight w:val="none"/>
        </w:rPr>
      </w:pPr>
      <w:r>
        <w:rPr>
          <w:rFonts w:hint="eastAsia" w:hAnsi="宋体" w:cs="宋体"/>
          <w:highlight w:val="none"/>
        </w:rPr>
        <w:t>1.6.2 在合同履行过程中，未经买方同意，不得修改联合体协议。联合体协议中关于联合体成员间权利义务的划分，并不影响或减损联合体各方应就履行合同向买方承担的连带责任。</w:t>
      </w:r>
    </w:p>
    <w:p>
      <w:pPr>
        <w:spacing w:line="360" w:lineRule="auto"/>
        <w:ind w:firstLine="480" w:firstLineChars="200"/>
        <w:rPr>
          <w:rFonts w:hAnsi="宋体" w:cs="宋体"/>
          <w:highlight w:val="none"/>
        </w:rPr>
      </w:pPr>
      <w:r>
        <w:rPr>
          <w:rFonts w:hint="eastAsia" w:hAnsi="宋体" w:cs="宋体"/>
          <w:highlight w:val="none"/>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spacing w:line="360" w:lineRule="auto"/>
        <w:ind w:firstLine="137"/>
        <w:outlineLvl w:val="3"/>
        <w:rPr>
          <w:rFonts w:ascii="黑体" w:hAnsi="黑体" w:eastAsia="黑体" w:cs="黑体"/>
          <w:highlight w:val="none"/>
        </w:rPr>
      </w:pPr>
      <w:bookmarkStart w:id="481" w:name="_Toc482188733"/>
      <w:bookmarkStart w:id="482" w:name="_Toc501460742"/>
      <w:r>
        <w:rPr>
          <w:rFonts w:hint="eastAsia" w:ascii="黑体" w:hAnsi="黑体" w:eastAsia="黑体" w:cs="黑体"/>
          <w:highlight w:val="none"/>
        </w:rPr>
        <w:t>1.7 转让</w:t>
      </w:r>
      <w:bookmarkEnd w:id="481"/>
      <w:bookmarkEnd w:id="482"/>
    </w:p>
    <w:p>
      <w:pPr>
        <w:spacing w:line="360" w:lineRule="auto"/>
        <w:ind w:firstLine="480" w:firstLineChars="200"/>
        <w:rPr>
          <w:rFonts w:hAnsi="宋体" w:cs="宋体"/>
          <w:highlight w:val="none"/>
        </w:rPr>
      </w:pPr>
      <w:r>
        <w:rPr>
          <w:rFonts w:hint="eastAsia" w:hAnsi="宋体" w:cs="宋体"/>
          <w:highlight w:val="none"/>
        </w:rPr>
        <w:t>未经对方当事人书面同意，合同任何一方均不得转让其在合同项下的权利和（或）义务。</w:t>
      </w:r>
    </w:p>
    <w:p>
      <w:pPr>
        <w:spacing w:line="360" w:lineRule="auto"/>
        <w:ind w:firstLine="137"/>
        <w:outlineLvl w:val="2"/>
        <w:rPr>
          <w:rFonts w:ascii="黑体" w:hAnsi="黑体" w:eastAsia="黑体" w:cs="黑体"/>
          <w:sz w:val="28"/>
          <w:szCs w:val="28"/>
          <w:highlight w:val="none"/>
        </w:rPr>
      </w:pPr>
      <w:bookmarkStart w:id="483" w:name="_Toc26721382"/>
      <w:bookmarkStart w:id="484" w:name="_Toc26700648"/>
      <w:bookmarkStart w:id="485" w:name="_Toc482188734"/>
      <w:bookmarkStart w:id="486" w:name="_Toc17100668"/>
      <w:bookmarkStart w:id="487" w:name="_Toc26721537"/>
      <w:bookmarkStart w:id="488" w:name="_Toc501460743"/>
      <w:bookmarkStart w:id="489" w:name="_Toc26700478"/>
      <w:bookmarkStart w:id="490" w:name="_Toc24965148"/>
      <w:bookmarkStart w:id="491" w:name="_Toc15753904"/>
      <w:r>
        <w:rPr>
          <w:rFonts w:hint="eastAsia" w:ascii="黑体" w:hAnsi="黑体" w:eastAsia="黑体" w:cs="黑体"/>
          <w:sz w:val="28"/>
          <w:szCs w:val="28"/>
          <w:highlight w:val="none"/>
        </w:rPr>
        <w:t>2. 合同范围</w:t>
      </w:r>
      <w:bookmarkEnd w:id="483"/>
      <w:bookmarkEnd w:id="484"/>
      <w:bookmarkEnd w:id="485"/>
      <w:bookmarkEnd w:id="486"/>
      <w:bookmarkEnd w:id="487"/>
      <w:bookmarkEnd w:id="488"/>
      <w:bookmarkEnd w:id="489"/>
      <w:bookmarkEnd w:id="490"/>
      <w:bookmarkEnd w:id="491"/>
    </w:p>
    <w:p>
      <w:pPr>
        <w:spacing w:line="360" w:lineRule="auto"/>
        <w:ind w:firstLine="480" w:firstLineChars="200"/>
        <w:rPr>
          <w:rFonts w:hAnsi="宋体" w:cs="宋体"/>
          <w:highlight w:val="none"/>
        </w:rPr>
      </w:pPr>
      <w:r>
        <w:rPr>
          <w:rFonts w:hint="eastAsia" w:hAnsi="宋体" w:cs="宋体"/>
          <w:highlight w:val="none"/>
        </w:rPr>
        <w:t>卖方应根据供货要求、中标货物技术性能指标的详细描述、技术服务和质保期服务计划等合同文件的约定向买方提供合同货物、技术服务和质保期服务。</w:t>
      </w:r>
    </w:p>
    <w:p>
      <w:pPr>
        <w:spacing w:line="360" w:lineRule="auto"/>
        <w:ind w:firstLine="137"/>
        <w:outlineLvl w:val="2"/>
        <w:rPr>
          <w:rFonts w:ascii="黑体" w:hAnsi="黑体" w:eastAsia="黑体" w:cs="黑体"/>
          <w:sz w:val="28"/>
          <w:szCs w:val="28"/>
          <w:highlight w:val="none"/>
        </w:rPr>
      </w:pPr>
      <w:bookmarkStart w:id="492" w:name="_Toc26700479"/>
      <w:bookmarkStart w:id="493" w:name="_Toc26721538"/>
      <w:bookmarkStart w:id="494" w:name="_Toc15753905"/>
      <w:bookmarkStart w:id="495" w:name="_Toc17100669"/>
      <w:bookmarkStart w:id="496" w:name="_Toc26721383"/>
      <w:bookmarkStart w:id="497" w:name="_Toc482188735"/>
      <w:bookmarkStart w:id="498" w:name="_Toc24965149"/>
      <w:bookmarkStart w:id="499" w:name="_Toc26700649"/>
      <w:bookmarkStart w:id="500" w:name="_Toc501460744"/>
      <w:r>
        <w:rPr>
          <w:rFonts w:hint="eastAsia" w:ascii="黑体" w:hAnsi="黑体" w:eastAsia="黑体" w:cs="黑体"/>
          <w:sz w:val="28"/>
          <w:szCs w:val="28"/>
          <w:highlight w:val="none"/>
        </w:rPr>
        <w:t>3. 合同价格与支付</w:t>
      </w:r>
      <w:bookmarkEnd w:id="492"/>
      <w:bookmarkEnd w:id="493"/>
      <w:bookmarkEnd w:id="494"/>
      <w:bookmarkEnd w:id="495"/>
      <w:bookmarkEnd w:id="496"/>
      <w:bookmarkEnd w:id="497"/>
      <w:bookmarkEnd w:id="498"/>
      <w:bookmarkEnd w:id="499"/>
      <w:bookmarkEnd w:id="500"/>
    </w:p>
    <w:p>
      <w:pPr>
        <w:spacing w:line="360" w:lineRule="auto"/>
        <w:ind w:firstLine="137"/>
        <w:outlineLvl w:val="3"/>
        <w:rPr>
          <w:rFonts w:ascii="黑体" w:hAnsi="黑体" w:eastAsia="黑体" w:cs="黑体"/>
          <w:highlight w:val="none"/>
        </w:rPr>
      </w:pPr>
      <w:bookmarkStart w:id="501" w:name="_Toc501460745"/>
      <w:bookmarkStart w:id="502" w:name="_Toc482188736"/>
      <w:r>
        <w:rPr>
          <w:rFonts w:hint="eastAsia" w:ascii="黑体" w:hAnsi="黑体" w:eastAsia="黑体" w:cs="黑体"/>
          <w:highlight w:val="none"/>
        </w:rPr>
        <w:t>3.1 合同价格</w:t>
      </w:r>
      <w:bookmarkEnd w:id="501"/>
      <w:bookmarkEnd w:id="502"/>
    </w:p>
    <w:p>
      <w:pPr>
        <w:spacing w:line="360" w:lineRule="auto"/>
        <w:ind w:firstLine="480" w:firstLineChars="200"/>
        <w:rPr>
          <w:rFonts w:hAnsi="宋体" w:cs="宋体"/>
          <w:highlight w:val="none"/>
        </w:rPr>
      </w:pPr>
      <w:r>
        <w:rPr>
          <w:rFonts w:hint="eastAsia" w:hAnsi="宋体" w:cs="宋体"/>
          <w:highlight w:val="none"/>
        </w:rPr>
        <w:t>3.1.1 合同协议书中载明的签约合同价包括卖方为完成合同全部义务应承担的一切成本、费用和支出以及卖方的合理利润。</w:t>
      </w:r>
    </w:p>
    <w:p>
      <w:pPr>
        <w:spacing w:line="360" w:lineRule="auto"/>
        <w:ind w:firstLine="480" w:firstLineChars="200"/>
        <w:rPr>
          <w:rFonts w:hAnsi="宋体" w:cs="宋体"/>
          <w:highlight w:val="none"/>
        </w:rPr>
      </w:pPr>
      <w:r>
        <w:rPr>
          <w:rFonts w:hint="eastAsia" w:hAnsi="宋体" w:cs="宋体"/>
          <w:highlight w:val="none"/>
        </w:rPr>
        <w:t>3.1.2 除专用合同条款另有约定外，签约合同价为固定价格。</w:t>
      </w:r>
    </w:p>
    <w:p>
      <w:pPr>
        <w:spacing w:line="360" w:lineRule="auto"/>
        <w:ind w:firstLine="137"/>
        <w:outlineLvl w:val="3"/>
        <w:rPr>
          <w:rFonts w:ascii="黑体" w:hAnsi="黑体" w:eastAsia="黑体" w:cs="黑体"/>
          <w:highlight w:val="none"/>
        </w:rPr>
      </w:pPr>
      <w:bookmarkStart w:id="503" w:name="_Toc482188737"/>
      <w:bookmarkStart w:id="504" w:name="_Toc501460746"/>
      <w:r>
        <w:rPr>
          <w:rFonts w:hint="eastAsia" w:ascii="黑体" w:hAnsi="黑体" w:eastAsia="黑体" w:cs="黑体"/>
          <w:highlight w:val="none"/>
        </w:rPr>
        <w:t>3.2合同价款的支付</w:t>
      </w:r>
      <w:bookmarkEnd w:id="503"/>
      <w:bookmarkEnd w:id="504"/>
    </w:p>
    <w:p>
      <w:pPr>
        <w:spacing w:line="360" w:lineRule="auto"/>
        <w:ind w:firstLine="480" w:firstLineChars="200"/>
        <w:rPr>
          <w:rFonts w:hAnsi="宋体" w:cs="宋体"/>
          <w:highlight w:val="none"/>
        </w:rPr>
      </w:pPr>
      <w:r>
        <w:rPr>
          <w:rFonts w:hint="eastAsia" w:hAnsi="宋体" w:cs="宋体"/>
          <w:highlight w:val="none"/>
        </w:rPr>
        <w:t>除专用合同条款另有约定外，买方应通过以下方式和比例向卖方支付合同价款：</w:t>
      </w:r>
    </w:p>
    <w:p>
      <w:pPr>
        <w:spacing w:line="360" w:lineRule="auto"/>
        <w:ind w:firstLine="480" w:firstLineChars="200"/>
        <w:rPr>
          <w:rFonts w:hAnsi="宋体" w:cs="宋体"/>
          <w:szCs w:val="24"/>
          <w:highlight w:val="none"/>
        </w:rPr>
      </w:pPr>
      <w:bookmarkStart w:id="505" w:name="_Toc501460747"/>
      <w:bookmarkStart w:id="506" w:name="_Toc482188738"/>
      <w:r>
        <w:rPr>
          <w:rFonts w:hint="eastAsia" w:hAnsi="宋体" w:cs="宋体"/>
          <w:szCs w:val="24"/>
          <w:highlight w:val="none"/>
        </w:rPr>
        <w:t>3.2.1 预付款</w:t>
      </w:r>
    </w:p>
    <w:p>
      <w:pPr>
        <w:spacing w:line="360" w:lineRule="auto"/>
        <w:ind w:firstLine="480" w:firstLineChars="200"/>
        <w:rPr>
          <w:rStyle w:val="65"/>
          <w:rFonts w:hAnsi="宋体" w:cs="宋体"/>
          <w:sz w:val="24"/>
          <w:szCs w:val="24"/>
          <w:highlight w:val="none"/>
        </w:rPr>
      </w:pPr>
      <w:bookmarkStart w:id="507" w:name="_Toc296602502"/>
      <w:bookmarkStart w:id="508" w:name="_Toc8892"/>
      <w:bookmarkStart w:id="509" w:name="_Toc369531604"/>
      <w:r>
        <w:rPr>
          <w:rFonts w:hint="eastAsia" w:hAnsi="宋体" w:cs="宋体"/>
          <w:szCs w:val="24"/>
          <w:highlight w:val="none"/>
        </w:rPr>
        <w:t>合同生</w:t>
      </w:r>
      <w:bookmarkEnd w:id="507"/>
      <w:bookmarkEnd w:id="508"/>
      <w:bookmarkEnd w:id="509"/>
      <w:r>
        <w:rPr>
          <w:rFonts w:hint="eastAsia" w:hAnsi="宋体" w:cs="宋体"/>
          <w:szCs w:val="24"/>
          <w:highlight w:val="none"/>
        </w:rPr>
        <w:t>效后，买方在收到卖方</w:t>
      </w:r>
      <w:r>
        <w:rPr>
          <w:rFonts w:hint="eastAsia" w:hAnsi="宋体" w:cs="宋体"/>
          <w:szCs w:val="24"/>
          <w:highlight w:val="none"/>
          <w:lang w:val="zh-CN"/>
        </w:rPr>
        <w:t>开具的注明应付预付款金</w:t>
      </w:r>
      <w:bookmarkStart w:id="510" w:name="_Toc14602"/>
      <w:r>
        <w:rPr>
          <w:rFonts w:hint="eastAsia" w:hAnsi="宋体" w:cs="宋体"/>
          <w:szCs w:val="24"/>
          <w:highlight w:val="none"/>
          <w:lang w:val="zh-CN"/>
        </w:rPr>
        <w:t>额的财务收据正本一份</w:t>
      </w:r>
      <w:r>
        <w:rPr>
          <w:rFonts w:hint="eastAsia" w:hAnsi="宋体" w:cs="宋体"/>
          <w:szCs w:val="24"/>
          <w:highlight w:val="none"/>
        </w:rPr>
        <w:t>并经审核无</w:t>
      </w:r>
      <w:bookmarkEnd w:id="510"/>
      <w:r>
        <w:rPr>
          <w:rFonts w:hint="eastAsia" w:hAnsi="宋体" w:cs="宋体"/>
          <w:szCs w:val="24"/>
          <w:highlight w:val="none"/>
        </w:rPr>
        <w:t>误后28日内，向卖方支付签约合同价的10%</w:t>
      </w:r>
      <w:r>
        <w:rPr>
          <w:rStyle w:val="65"/>
          <w:rFonts w:hint="eastAsia" w:hAnsi="宋体" w:cs="宋体"/>
          <w:sz w:val="24"/>
          <w:szCs w:val="24"/>
          <w:highlight w:val="none"/>
        </w:rPr>
        <w:t>作为预付款。</w:t>
      </w:r>
    </w:p>
    <w:p>
      <w:pPr>
        <w:spacing w:line="360" w:lineRule="auto"/>
        <w:ind w:firstLine="480" w:firstLineChars="200"/>
        <w:rPr>
          <w:rFonts w:hAnsi="宋体" w:cs="宋体"/>
          <w:szCs w:val="24"/>
          <w:highlight w:val="none"/>
        </w:rPr>
      </w:pPr>
      <w:r>
        <w:rPr>
          <w:rStyle w:val="65"/>
          <w:rFonts w:hint="eastAsia" w:hAnsi="宋体" w:cs="宋体"/>
          <w:sz w:val="24"/>
          <w:szCs w:val="24"/>
          <w:highlight w:val="none"/>
        </w:rPr>
        <w:t>买方支付预付款后，如卖方未履行合同义务，则买方有权收回预付款；如卖方依约履行了合同义务，则预付款抵作合同价款。</w:t>
      </w:r>
    </w:p>
    <w:p>
      <w:pPr>
        <w:spacing w:line="360" w:lineRule="auto"/>
        <w:ind w:firstLine="480" w:firstLineChars="200"/>
        <w:rPr>
          <w:rFonts w:hAnsi="宋体" w:cs="宋体"/>
          <w:szCs w:val="24"/>
          <w:highlight w:val="none"/>
        </w:rPr>
      </w:pPr>
      <w:r>
        <w:rPr>
          <w:rFonts w:hint="eastAsia" w:hAnsi="宋体" w:cs="宋体"/>
          <w:szCs w:val="24"/>
          <w:highlight w:val="none"/>
        </w:rPr>
        <w:t>3.2.2 交货款</w:t>
      </w:r>
    </w:p>
    <w:p>
      <w:pPr>
        <w:spacing w:line="360" w:lineRule="auto"/>
        <w:ind w:firstLine="480" w:firstLineChars="200"/>
        <w:rPr>
          <w:rFonts w:hAnsi="宋体" w:cs="宋体"/>
          <w:szCs w:val="24"/>
          <w:highlight w:val="none"/>
        </w:rPr>
      </w:pPr>
      <w:r>
        <w:rPr>
          <w:rFonts w:hint="eastAsia" w:hAnsi="宋体" w:cs="宋体"/>
          <w:szCs w:val="24"/>
          <w:highlight w:val="none"/>
        </w:rPr>
        <w:t>卖方按合同约定交付全部合同货物后，买方在收到卖方</w:t>
      </w:r>
      <w:bookmarkStart w:id="511" w:name="_Toc16718"/>
      <w:r>
        <w:rPr>
          <w:rFonts w:hint="eastAsia" w:hAnsi="宋体" w:cs="宋体"/>
          <w:szCs w:val="24"/>
          <w:highlight w:val="none"/>
        </w:rPr>
        <w:t>提交的下列全部单据并经</w:t>
      </w:r>
      <w:bookmarkEnd w:id="511"/>
      <w:r>
        <w:rPr>
          <w:rFonts w:hint="eastAsia" w:hAnsi="宋体" w:cs="宋体"/>
          <w:szCs w:val="24"/>
          <w:highlight w:val="none"/>
        </w:rPr>
        <w:t>审核无误后28日内，向卖方支付合同价格的60%：</w:t>
      </w:r>
    </w:p>
    <w:p>
      <w:pPr>
        <w:spacing w:line="360" w:lineRule="auto"/>
        <w:ind w:firstLine="480" w:firstLineChars="200"/>
        <w:rPr>
          <w:rFonts w:hAnsi="宋体" w:cs="宋体"/>
          <w:szCs w:val="24"/>
          <w:highlight w:val="none"/>
        </w:rPr>
      </w:pPr>
      <w:r>
        <w:rPr>
          <w:rFonts w:hint="eastAsia" w:hAnsi="宋体" w:cs="宋体"/>
          <w:szCs w:val="24"/>
          <w:highlight w:val="none"/>
        </w:rPr>
        <w:t>（1）卖方出具的交货清单正本一份；</w:t>
      </w:r>
    </w:p>
    <w:p>
      <w:pPr>
        <w:spacing w:line="360" w:lineRule="auto"/>
        <w:ind w:firstLine="480" w:firstLineChars="200"/>
        <w:rPr>
          <w:rFonts w:hAnsi="宋体" w:cs="宋体"/>
          <w:szCs w:val="24"/>
          <w:highlight w:val="none"/>
        </w:rPr>
      </w:pPr>
      <w:r>
        <w:rPr>
          <w:rFonts w:hint="eastAsia" w:hAnsi="宋体" w:cs="宋体"/>
          <w:szCs w:val="24"/>
          <w:highlight w:val="none"/>
        </w:rPr>
        <w:t>（2）买方签署的收货清单正本一份；</w:t>
      </w:r>
    </w:p>
    <w:p>
      <w:pPr>
        <w:spacing w:line="360" w:lineRule="auto"/>
        <w:ind w:firstLine="480" w:firstLineChars="200"/>
        <w:rPr>
          <w:rFonts w:hAnsi="宋体" w:cs="宋体"/>
          <w:szCs w:val="24"/>
          <w:highlight w:val="none"/>
        </w:rPr>
      </w:pPr>
      <w:r>
        <w:rPr>
          <w:rFonts w:hint="eastAsia" w:hAnsi="宋体" w:cs="宋体"/>
          <w:szCs w:val="24"/>
          <w:highlight w:val="none"/>
        </w:rPr>
        <w:t>（3）制造商出具的出厂质量合格证正本一份；</w:t>
      </w:r>
    </w:p>
    <w:p>
      <w:pPr>
        <w:tabs>
          <w:tab w:val="left" w:pos="0"/>
          <w:tab w:val="decimal" w:pos="6240"/>
          <w:tab w:val="right" w:leader="dot" w:pos="10800"/>
        </w:tabs>
        <w:autoSpaceDE w:val="0"/>
        <w:autoSpaceDN w:val="0"/>
        <w:adjustRightInd w:val="0"/>
        <w:spacing w:line="360" w:lineRule="auto"/>
        <w:ind w:firstLine="480" w:firstLineChars="200"/>
        <w:rPr>
          <w:rFonts w:hAnsi="宋体" w:cs="宋体"/>
          <w:szCs w:val="24"/>
          <w:highlight w:val="none"/>
        </w:rPr>
      </w:pPr>
      <w:r>
        <w:rPr>
          <w:rFonts w:hint="eastAsia" w:hAnsi="宋体" w:cs="宋体"/>
          <w:szCs w:val="24"/>
          <w:highlight w:val="none"/>
        </w:rPr>
        <w:t>（4）合同价格100%金额的增值税发票正本一份。</w:t>
      </w:r>
    </w:p>
    <w:p>
      <w:pPr>
        <w:spacing w:line="360" w:lineRule="auto"/>
        <w:ind w:firstLine="480" w:firstLineChars="200"/>
        <w:rPr>
          <w:rFonts w:hAnsi="宋体" w:cs="宋体"/>
          <w:szCs w:val="24"/>
          <w:highlight w:val="none"/>
        </w:rPr>
      </w:pPr>
      <w:r>
        <w:rPr>
          <w:rFonts w:hint="eastAsia" w:hAnsi="宋体" w:cs="宋体"/>
          <w:szCs w:val="24"/>
          <w:highlight w:val="none"/>
        </w:rPr>
        <w:t>3.2.3 验收款</w:t>
      </w:r>
    </w:p>
    <w:p>
      <w:pPr>
        <w:spacing w:line="360" w:lineRule="auto"/>
        <w:ind w:firstLine="480" w:firstLineChars="200"/>
        <w:rPr>
          <w:rFonts w:hAnsi="宋体" w:cs="宋体"/>
          <w:szCs w:val="24"/>
          <w:highlight w:val="none"/>
        </w:rPr>
      </w:pPr>
      <w:r>
        <w:rPr>
          <w:rFonts w:hint="eastAsia" w:hAnsi="宋体" w:cs="宋体"/>
          <w:szCs w:val="24"/>
          <w:highlight w:val="none"/>
        </w:rPr>
        <w:t>买方在收到卖方提交的买卖双方签署的合同货物验收证书</w:t>
      </w:r>
      <w:r>
        <w:rPr>
          <w:rStyle w:val="65"/>
          <w:rFonts w:hint="eastAsia" w:hAnsi="宋体" w:cs="宋体"/>
          <w:sz w:val="24"/>
          <w:szCs w:val="24"/>
          <w:highlight w:val="none"/>
        </w:rPr>
        <w:t>或已生效的验收款支付函</w:t>
      </w:r>
      <w:r>
        <w:rPr>
          <w:rFonts w:hint="eastAsia" w:hAnsi="宋体" w:cs="宋体"/>
          <w:szCs w:val="24"/>
          <w:highlight w:val="none"/>
        </w:rPr>
        <w:t>正本一份并经审核无误后28日内，向卖方支付合同价格的25%。</w:t>
      </w:r>
    </w:p>
    <w:p>
      <w:pPr>
        <w:spacing w:line="360" w:lineRule="auto"/>
        <w:ind w:firstLine="480" w:firstLineChars="200"/>
        <w:rPr>
          <w:rFonts w:hAnsi="宋体" w:cs="宋体"/>
          <w:szCs w:val="24"/>
          <w:highlight w:val="none"/>
        </w:rPr>
      </w:pPr>
      <w:r>
        <w:rPr>
          <w:rFonts w:hint="eastAsia" w:hAnsi="宋体" w:cs="宋体"/>
          <w:szCs w:val="24"/>
          <w:highlight w:val="none"/>
        </w:rPr>
        <w:t>3.2.4 结清款</w:t>
      </w:r>
    </w:p>
    <w:p>
      <w:pPr>
        <w:spacing w:line="360" w:lineRule="auto"/>
        <w:ind w:firstLine="480" w:firstLineChars="200"/>
        <w:rPr>
          <w:rFonts w:hAnsi="宋体" w:cs="宋体"/>
          <w:szCs w:val="24"/>
          <w:highlight w:val="none"/>
        </w:rPr>
      </w:pPr>
      <w:r>
        <w:rPr>
          <w:rFonts w:hint="eastAsia" w:hAnsi="宋体" w:cs="宋体"/>
          <w:szCs w:val="24"/>
          <w:highlight w:val="none"/>
        </w:rPr>
        <w:t>买方在收到卖方提交的买方签署的质量保证期届满证书或已生效的</w:t>
      </w:r>
      <w:r>
        <w:rPr>
          <w:rStyle w:val="65"/>
          <w:rFonts w:hint="eastAsia" w:hAnsi="宋体" w:cs="宋体"/>
          <w:sz w:val="24"/>
          <w:szCs w:val="24"/>
          <w:highlight w:val="none"/>
        </w:rPr>
        <w:t>结清款支付函</w:t>
      </w:r>
      <w:r>
        <w:rPr>
          <w:rFonts w:hint="eastAsia" w:hAnsi="宋体" w:cs="宋体"/>
          <w:szCs w:val="24"/>
          <w:highlight w:val="none"/>
        </w:rPr>
        <w:t>正本一份并经审核无误后28日内，向卖方支付合同价格的5%。</w:t>
      </w:r>
    </w:p>
    <w:p>
      <w:pPr>
        <w:spacing w:line="360" w:lineRule="auto"/>
        <w:ind w:firstLine="480" w:firstLineChars="200"/>
        <w:rPr>
          <w:rFonts w:hAnsi="宋体" w:cs="宋体"/>
          <w:szCs w:val="24"/>
          <w:highlight w:val="none"/>
        </w:rPr>
      </w:pPr>
      <w:r>
        <w:rPr>
          <w:rFonts w:hint="eastAsia" w:hAnsi="宋体" w:cs="宋体"/>
          <w:szCs w:val="24"/>
          <w:highlight w:val="none"/>
        </w:rPr>
        <w:t>如果依照合同第9.1项，卖方应向买方支付费用的，买方有权从结清款中直接扣除该笔费用。</w:t>
      </w:r>
      <w:bookmarkStart w:id="512" w:name="_Toc27927"/>
    </w:p>
    <w:bookmarkEnd w:id="512"/>
    <w:p>
      <w:pPr>
        <w:spacing w:line="360" w:lineRule="auto"/>
        <w:ind w:firstLine="480" w:firstLineChars="200"/>
        <w:rPr>
          <w:rFonts w:hAnsi="宋体" w:cs="宋体"/>
          <w:szCs w:val="24"/>
          <w:highlight w:val="none"/>
        </w:rPr>
      </w:pPr>
      <w:r>
        <w:rPr>
          <w:rFonts w:hint="eastAsia" w:hAnsi="宋体" w:cs="宋体"/>
          <w:szCs w:val="24"/>
          <w:highlight w:val="none"/>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spacing w:line="360" w:lineRule="auto"/>
        <w:ind w:firstLine="137"/>
        <w:outlineLvl w:val="3"/>
        <w:rPr>
          <w:rFonts w:ascii="黑体" w:hAnsi="黑体" w:eastAsia="黑体" w:cs="黑体"/>
          <w:highlight w:val="none"/>
        </w:rPr>
      </w:pPr>
      <w:r>
        <w:rPr>
          <w:rFonts w:hint="eastAsia" w:ascii="黑体" w:hAnsi="黑体" w:eastAsia="黑体" w:cs="黑体"/>
          <w:highlight w:val="none"/>
        </w:rPr>
        <w:t>3.3 买方扣款的权利</w:t>
      </w:r>
      <w:bookmarkEnd w:id="505"/>
      <w:bookmarkEnd w:id="506"/>
    </w:p>
    <w:p>
      <w:pPr>
        <w:spacing w:line="360" w:lineRule="auto"/>
        <w:ind w:firstLine="480" w:firstLineChars="200"/>
        <w:rPr>
          <w:rFonts w:hAnsi="宋体" w:cs="宋体"/>
          <w:highlight w:val="none"/>
        </w:rPr>
      </w:pPr>
      <w:r>
        <w:rPr>
          <w:rFonts w:hint="eastAsia" w:hAnsi="宋体" w:cs="宋体"/>
          <w:highlight w:val="none"/>
        </w:rPr>
        <w:t>当卖方应向买方支付合同项下的违约金或赔偿金时，买方有权从上述任何一笔应付款中予以直接扣除和（或）兑付履约保证金。</w:t>
      </w:r>
    </w:p>
    <w:p>
      <w:pPr>
        <w:spacing w:line="360" w:lineRule="auto"/>
        <w:ind w:firstLine="137"/>
        <w:outlineLvl w:val="2"/>
        <w:rPr>
          <w:rFonts w:ascii="黑体" w:hAnsi="黑体" w:eastAsia="黑体" w:cs="黑体"/>
          <w:sz w:val="28"/>
          <w:szCs w:val="28"/>
          <w:highlight w:val="none"/>
        </w:rPr>
      </w:pPr>
      <w:bookmarkStart w:id="513" w:name="_Toc26700480"/>
      <w:bookmarkStart w:id="514" w:name="_Toc26700650"/>
      <w:bookmarkStart w:id="515" w:name="_Toc501460748"/>
      <w:bookmarkStart w:id="516" w:name="_Toc26721539"/>
      <w:bookmarkStart w:id="517" w:name="_Toc24965150"/>
      <w:bookmarkStart w:id="518" w:name="_Toc17100670"/>
      <w:bookmarkStart w:id="519" w:name="_Toc15753906"/>
      <w:bookmarkStart w:id="520" w:name="_Toc482188739"/>
      <w:bookmarkStart w:id="521" w:name="_Toc26721384"/>
      <w:r>
        <w:rPr>
          <w:rFonts w:hint="eastAsia" w:ascii="黑体" w:hAnsi="黑体" w:eastAsia="黑体" w:cs="黑体"/>
          <w:sz w:val="28"/>
          <w:szCs w:val="28"/>
          <w:highlight w:val="none"/>
        </w:rPr>
        <w:t>4. 监造及交货前检验</w:t>
      </w:r>
      <w:bookmarkEnd w:id="513"/>
      <w:bookmarkEnd w:id="514"/>
      <w:bookmarkEnd w:id="515"/>
      <w:bookmarkEnd w:id="516"/>
      <w:bookmarkEnd w:id="517"/>
      <w:bookmarkEnd w:id="518"/>
      <w:bookmarkEnd w:id="519"/>
      <w:bookmarkEnd w:id="520"/>
      <w:bookmarkEnd w:id="521"/>
    </w:p>
    <w:p>
      <w:pPr>
        <w:spacing w:line="360" w:lineRule="auto"/>
        <w:ind w:firstLine="137"/>
        <w:outlineLvl w:val="3"/>
        <w:rPr>
          <w:rFonts w:ascii="黑体" w:hAnsi="黑体" w:eastAsia="黑体" w:cs="黑体"/>
          <w:highlight w:val="none"/>
        </w:rPr>
      </w:pPr>
      <w:bookmarkStart w:id="522" w:name="_Toc482188740"/>
      <w:bookmarkStart w:id="523" w:name="_Toc501460749"/>
      <w:r>
        <w:rPr>
          <w:rFonts w:hint="eastAsia" w:ascii="黑体" w:hAnsi="黑体" w:eastAsia="黑体" w:cs="黑体"/>
          <w:highlight w:val="none"/>
        </w:rPr>
        <w:t>4.1 监造</w:t>
      </w:r>
      <w:bookmarkEnd w:id="522"/>
      <w:bookmarkEnd w:id="523"/>
    </w:p>
    <w:p>
      <w:pPr>
        <w:spacing w:line="360" w:lineRule="auto"/>
        <w:ind w:firstLine="480" w:firstLineChars="200"/>
        <w:rPr>
          <w:rFonts w:hAnsi="宋体" w:cs="宋体"/>
          <w:highlight w:val="none"/>
        </w:rPr>
      </w:pPr>
      <w:r>
        <w:rPr>
          <w:rFonts w:hint="eastAsia" w:hAnsi="宋体" w:cs="宋体"/>
          <w:highlight w:val="none"/>
        </w:rPr>
        <w:t>专用合同条款约定买方对合同货物进行监造的，双方应按本款及专用合同条款约定履行。</w:t>
      </w:r>
    </w:p>
    <w:p>
      <w:pPr>
        <w:spacing w:line="360" w:lineRule="auto"/>
        <w:ind w:firstLine="480" w:firstLineChars="200"/>
        <w:rPr>
          <w:rFonts w:hAnsi="宋体" w:cs="宋体"/>
          <w:highlight w:val="none"/>
        </w:rPr>
      </w:pPr>
      <w:r>
        <w:rPr>
          <w:rFonts w:hint="eastAsia" w:hAnsi="宋体" w:cs="宋体"/>
          <w:highlight w:val="none"/>
        </w:rPr>
        <w:t>4.1.1 在合同货物的制造过程中，买方可派出监造人员，对合同货物的生产制造进行监造，监督合同货物制造、检验等情况。监造的范围、方式等应符合专用合同条款和（或）供货要求等合同文件的约定。</w:t>
      </w:r>
    </w:p>
    <w:p>
      <w:pPr>
        <w:spacing w:line="360" w:lineRule="auto"/>
        <w:ind w:firstLine="480" w:firstLineChars="200"/>
        <w:rPr>
          <w:rFonts w:hAnsi="宋体" w:cs="宋体"/>
          <w:highlight w:val="none"/>
        </w:rPr>
      </w:pPr>
      <w:r>
        <w:rPr>
          <w:rFonts w:hint="eastAsia" w:hAnsi="宋体" w:cs="宋体"/>
          <w:highlight w:val="none"/>
        </w:rPr>
        <w:t>4.1</w:t>
      </w:r>
      <w:bookmarkStart w:id="524" w:name="_Toc14217"/>
      <w:r>
        <w:rPr>
          <w:rFonts w:hint="eastAsia" w:hAnsi="宋体" w:cs="宋体"/>
          <w:highlight w:val="none"/>
        </w:rPr>
        <w:t>.2 除</w:t>
      </w:r>
      <w:bookmarkEnd w:id="524"/>
      <w:r>
        <w:rPr>
          <w:rFonts w:hint="eastAsia" w:hAnsi="宋体" w:cs="宋体"/>
          <w:highlight w:val="none"/>
        </w:rPr>
        <w:t>专用合同条款和（或）供货要求等合同文件另有约定外，买方监造人员可到合同货物及其关键部件的</w:t>
      </w:r>
      <w:bookmarkStart w:id="525" w:name="_Toc15205"/>
      <w:r>
        <w:rPr>
          <w:rFonts w:hint="eastAsia" w:hAnsi="宋体" w:cs="宋体"/>
          <w:highlight w:val="none"/>
        </w:rPr>
        <w:t>生产制造现</w:t>
      </w:r>
      <w:bookmarkEnd w:id="525"/>
      <w:r>
        <w:rPr>
          <w:rFonts w:hint="eastAsia" w:hAnsi="宋体" w:cs="宋体"/>
          <w:highlight w:val="none"/>
        </w:rPr>
        <w:t>场进行监造，卖方应予配合。卖方应免费为买方监造人员提供工作条件及便利，包括但不限于必要的办</w:t>
      </w:r>
      <w:bookmarkStart w:id="526" w:name="_Toc29415"/>
      <w:r>
        <w:rPr>
          <w:rFonts w:hint="eastAsia" w:hAnsi="宋体" w:cs="宋体"/>
          <w:highlight w:val="none"/>
        </w:rPr>
        <w:t>公场所、技术资料、检</w:t>
      </w:r>
      <w:bookmarkEnd w:id="526"/>
      <w:r>
        <w:rPr>
          <w:rFonts w:hint="eastAsia" w:hAnsi="宋体" w:cs="宋体"/>
          <w:highlight w:val="none"/>
        </w:rPr>
        <w:t>测</w:t>
      </w:r>
      <w:bookmarkStart w:id="527" w:name="_Toc32016"/>
      <w:r>
        <w:rPr>
          <w:rFonts w:hint="eastAsia" w:hAnsi="宋体" w:cs="宋体"/>
          <w:highlight w:val="none"/>
        </w:rPr>
        <w:t>工具及出入许可等</w:t>
      </w:r>
      <w:bookmarkEnd w:id="527"/>
      <w:r>
        <w:rPr>
          <w:rFonts w:hint="eastAsia" w:hAnsi="宋体" w:cs="宋体"/>
          <w:highlight w:val="none"/>
        </w:rPr>
        <w:t>。除专用合同条款另有约定外，买方监造人员的交通、食宿费用由买方承担。</w:t>
      </w:r>
    </w:p>
    <w:p>
      <w:pPr>
        <w:spacing w:line="360" w:lineRule="auto"/>
        <w:ind w:firstLine="480" w:firstLineChars="200"/>
        <w:rPr>
          <w:rFonts w:hAnsi="宋体" w:cs="宋体"/>
          <w:highlight w:val="none"/>
        </w:rPr>
      </w:pPr>
      <w:r>
        <w:rPr>
          <w:rFonts w:hint="eastAsia" w:hAnsi="宋体" w:cs="宋体"/>
          <w:highlight w:val="none"/>
        </w:rPr>
        <w:t>4.1.3 卖方制订生产制造合同货物的进度计划时，应将买方监造纳入计划安排，并提前通知买方；买方进行监造不应影响合同货物的正常生产。除专用合同条款和（或）供货要求等合同文件另有约定外，卖方应提前7日将需要买方监造人员现场监造事项通知买方；如买方监造人员未按通知出席</w:t>
      </w:r>
      <w:bookmarkStart w:id="528" w:name="_Toc7864"/>
      <w:bookmarkStart w:id="529" w:name="_Toc369531649"/>
      <w:r>
        <w:rPr>
          <w:rFonts w:hint="eastAsia" w:hAnsi="宋体" w:cs="宋体"/>
          <w:highlight w:val="none"/>
        </w:rPr>
        <w:t>，不影响合</w:t>
      </w:r>
      <w:bookmarkEnd w:id="528"/>
      <w:bookmarkEnd w:id="529"/>
      <w:r>
        <w:rPr>
          <w:rFonts w:hint="eastAsia" w:hAnsi="宋体" w:cs="宋体"/>
          <w:highlight w:val="none"/>
        </w:rPr>
        <w:t>同货物及其关键部件的制造或检验，但买方监造人员有权事后了解、查阅、复制相关制造或检验记录。</w:t>
      </w:r>
    </w:p>
    <w:p>
      <w:pPr>
        <w:spacing w:line="360" w:lineRule="auto"/>
        <w:ind w:firstLine="480" w:firstLineChars="200"/>
        <w:rPr>
          <w:rFonts w:hAnsi="宋体" w:cs="宋体"/>
          <w:highlight w:val="none"/>
        </w:rPr>
      </w:pPr>
      <w:r>
        <w:rPr>
          <w:rFonts w:hint="eastAsia" w:hAnsi="宋体" w:cs="宋体"/>
          <w:highlight w:val="none"/>
        </w:rPr>
        <w:t>4.1.4 买方监造人员在监造中如发现合同货物及其关键部件不符合合同约定的标准，则有权提出意见和建议。卖方应采取必要措施消除合同货物的不符，由此增加的费用和（或）造成的延误由卖方负责。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4.1.5 买方监造人员对合同货物的监造，不视为对合同货物质量的确认，不影响卖方交货后买方依照合同约定对合同货物提出质量异议和（或）退货的权利，也不免除卖方依照合同约定对合同货物所应承担的任何义务或责任。</w:t>
      </w:r>
    </w:p>
    <w:p>
      <w:pPr>
        <w:spacing w:line="360" w:lineRule="auto"/>
        <w:ind w:firstLine="137"/>
        <w:outlineLvl w:val="3"/>
        <w:rPr>
          <w:rFonts w:ascii="黑体" w:hAnsi="黑体" w:eastAsia="黑体" w:cs="黑体"/>
          <w:highlight w:val="none"/>
        </w:rPr>
      </w:pPr>
      <w:bookmarkStart w:id="530" w:name="_Toc482188741"/>
      <w:bookmarkStart w:id="531" w:name="_Toc501460750"/>
      <w:r>
        <w:rPr>
          <w:rFonts w:hint="eastAsia" w:ascii="黑体" w:hAnsi="黑体" w:eastAsia="黑体" w:cs="黑体"/>
          <w:highlight w:val="none"/>
        </w:rPr>
        <w:t>4.2 交货前检验</w:t>
      </w:r>
      <w:bookmarkEnd w:id="530"/>
      <w:bookmarkEnd w:id="531"/>
    </w:p>
    <w:p>
      <w:pPr>
        <w:spacing w:line="360" w:lineRule="auto"/>
        <w:ind w:firstLine="480" w:firstLineChars="200"/>
        <w:rPr>
          <w:rFonts w:hAnsi="宋体" w:cs="宋体"/>
          <w:highlight w:val="none"/>
        </w:rPr>
      </w:pPr>
      <w:r>
        <w:rPr>
          <w:rFonts w:hint="eastAsia" w:hAnsi="宋体" w:cs="宋体"/>
          <w:highlight w:val="none"/>
        </w:rPr>
        <w:t>专用合同条款约定买方参与交货前检验的，双方应按本款及专用合同条款约定履行。</w:t>
      </w:r>
    </w:p>
    <w:p>
      <w:pPr>
        <w:spacing w:line="360" w:lineRule="auto"/>
        <w:ind w:firstLine="480" w:firstLineChars="200"/>
        <w:rPr>
          <w:rFonts w:hAnsi="宋体" w:cs="宋体"/>
          <w:highlight w:val="none"/>
        </w:rPr>
      </w:pPr>
      <w:r>
        <w:rPr>
          <w:rFonts w:hint="eastAsia" w:hAnsi="宋体" w:cs="宋体"/>
          <w:highlight w:val="none"/>
        </w:rPr>
        <w:t>4.2.1 合同货物交货前，卖方应会同买方代表根据合同约定对合同货物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spacing w:line="360" w:lineRule="auto"/>
        <w:ind w:firstLine="420"/>
        <w:rPr>
          <w:rFonts w:hAnsi="宋体" w:cs="宋体"/>
          <w:highlight w:val="none"/>
        </w:rPr>
      </w:pPr>
      <w:r>
        <w:rPr>
          <w:rFonts w:hint="eastAsia" w:hAnsi="宋体" w:cs="宋体"/>
          <w:highlight w:val="none"/>
        </w:rPr>
        <w:t>4.2.2 除</w:t>
      </w:r>
      <w:bookmarkStart w:id="532" w:name="_Toc17093"/>
      <w:r>
        <w:rPr>
          <w:rFonts w:hint="eastAsia" w:hAnsi="宋体" w:cs="宋体"/>
          <w:highlight w:val="none"/>
        </w:rPr>
        <w:t>专用合同条款和（或）供</w:t>
      </w:r>
      <w:bookmarkEnd w:id="532"/>
      <w:r>
        <w:rPr>
          <w:rFonts w:hint="eastAsia" w:hAnsi="宋体" w:cs="宋体"/>
          <w:highlight w:val="none"/>
        </w:rPr>
        <w:t>货要求等合同文件另有约定外，卖方应提前7日将需要买方代表检验事项通知买方；如买方代表未按通知出席</w:t>
      </w:r>
      <w:bookmarkStart w:id="533" w:name="_Toc8000"/>
      <w:bookmarkStart w:id="534" w:name="_Toc369531653"/>
      <w:r>
        <w:rPr>
          <w:rFonts w:hint="eastAsia" w:hAnsi="宋体" w:cs="宋体"/>
          <w:highlight w:val="none"/>
        </w:rPr>
        <w:t>，不影响合同货物的</w:t>
      </w:r>
      <w:bookmarkEnd w:id="533"/>
      <w:bookmarkEnd w:id="534"/>
      <w:r>
        <w:rPr>
          <w:rFonts w:hint="eastAsia" w:hAnsi="宋体" w:cs="宋体"/>
          <w:highlight w:val="none"/>
        </w:rPr>
        <w:t>检验。若卖方未依照合同约定提前通知买方而自行检验，则买</w:t>
      </w:r>
      <w:bookmarkStart w:id="535" w:name="_Toc17628"/>
      <w:r>
        <w:rPr>
          <w:rFonts w:hint="eastAsia" w:hAnsi="宋体" w:cs="宋体"/>
          <w:highlight w:val="none"/>
        </w:rPr>
        <w:t>方有权要求卖方暂停发货</w:t>
      </w:r>
      <w:bookmarkEnd w:id="535"/>
      <w:r>
        <w:rPr>
          <w:rFonts w:hint="eastAsia" w:hAnsi="宋体" w:cs="宋体"/>
          <w:highlight w:val="none"/>
        </w:rPr>
        <w:t>并</w:t>
      </w:r>
      <w:bookmarkStart w:id="536" w:name="_Toc9228"/>
      <w:r>
        <w:rPr>
          <w:rFonts w:hint="eastAsia" w:hAnsi="宋体" w:cs="宋体"/>
          <w:highlight w:val="none"/>
        </w:rPr>
        <w:t>重新进行检验</w:t>
      </w:r>
      <w:bookmarkEnd w:id="536"/>
      <w:r>
        <w:rPr>
          <w:rFonts w:hint="eastAsia" w:hAnsi="宋体" w:cs="宋体"/>
          <w:highlight w:val="none"/>
        </w:rPr>
        <w:t>，由此增加的费用和（或）造成的延误由卖方负责。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4.2.3 买方代表在检验中如发现合同货物不符合合同约定的标准，则有权提出异议。卖方应采取必要措施消除合同货物的不符，由此增加的费用和（或）造成的延误由卖方负责。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4.2.4 买方代表参与交货前检验及签署交货前检验记录的行为，不视为对合同货物质量的确认，不影响卖方交货后买方依照合同约定对合同货物提出质量异议和（或）退货的权利，也不免除卖方依照合同约定对合同货物所应承担的任何义务或责任。</w:t>
      </w:r>
    </w:p>
    <w:p>
      <w:pPr>
        <w:spacing w:line="360" w:lineRule="auto"/>
        <w:ind w:firstLine="137"/>
        <w:outlineLvl w:val="2"/>
        <w:rPr>
          <w:rFonts w:ascii="黑体" w:hAnsi="黑体" w:eastAsia="黑体" w:cs="黑体"/>
          <w:sz w:val="28"/>
          <w:szCs w:val="28"/>
          <w:highlight w:val="none"/>
        </w:rPr>
      </w:pPr>
      <w:bookmarkStart w:id="537" w:name="_Toc26721540"/>
      <w:bookmarkStart w:id="538" w:name="_Toc15753907"/>
      <w:bookmarkStart w:id="539" w:name="_Toc17100671"/>
      <w:bookmarkStart w:id="540" w:name="_Toc26700651"/>
      <w:bookmarkStart w:id="541" w:name="_Toc482188742"/>
      <w:bookmarkStart w:id="542" w:name="_Toc501460751"/>
      <w:bookmarkStart w:id="543" w:name="_Toc24965151"/>
      <w:bookmarkStart w:id="544" w:name="_Toc26721385"/>
      <w:bookmarkStart w:id="545" w:name="_Toc26700481"/>
      <w:r>
        <w:rPr>
          <w:rFonts w:hint="eastAsia" w:ascii="黑体" w:hAnsi="黑体" w:eastAsia="黑体" w:cs="黑体"/>
          <w:sz w:val="28"/>
          <w:szCs w:val="28"/>
          <w:highlight w:val="none"/>
        </w:rPr>
        <w:t>5. 包装、标记、运输和交付</w:t>
      </w:r>
      <w:bookmarkEnd w:id="537"/>
      <w:bookmarkEnd w:id="538"/>
      <w:bookmarkEnd w:id="539"/>
      <w:bookmarkEnd w:id="540"/>
      <w:bookmarkEnd w:id="541"/>
      <w:bookmarkEnd w:id="542"/>
      <w:bookmarkEnd w:id="543"/>
      <w:bookmarkEnd w:id="544"/>
      <w:bookmarkEnd w:id="545"/>
    </w:p>
    <w:p>
      <w:pPr>
        <w:spacing w:line="360" w:lineRule="auto"/>
        <w:ind w:firstLine="137"/>
        <w:outlineLvl w:val="3"/>
        <w:rPr>
          <w:rFonts w:ascii="黑体" w:hAnsi="黑体" w:eastAsia="黑体" w:cs="黑体"/>
          <w:highlight w:val="none"/>
        </w:rPr>
      </w:pPr>
      <w:bookmarkStart w:id="546" w:name="_Toc501460752"/>
      <w:bookmarkStart w:id="547" w:name="_Toc482188743"/>
      <w:r>
        <w:rPr>
          <w:rFonts w:hint="eastAsia" w:ascii="黑体" w:hAnsi="黑体" w:eastAsia="黑体" w:cs="黑体"/>
          <w:highlight w:val="none"/>
        </w:rPr>
        <w:t>5.1 包装</w:t>
      </w:r>
      <w:bookmarkEnd w:id="546"/>
      <w:bookmarkEnd w:id="547"/>
    </w:p>
    <w:p>
      <w:pPr>
        <w:spacing w:line="360" w:lineRule="auto"/>
        <w:ind w:firstLine="480" w:firstLineChars="200"/>
        <w:rPr>
          <w:rFonts w:hAnsi="宋体" w:cs="宋体"/>
          <w:highlight w:val="none"/>
        </w:rPr>
      </w:pPr>
      <w:r>
        <w:rPr>
          <w:rFonts w:hint="eastAsia" w:hAnsi="宋体" w:cs="宋体"/>
          <w:highlight w:val="none"/>
        </w:rPr>
        <w:t>5.1.1 卖方应对合同货物进行妥善包装，以满足合同货物运至施工场地及在施工场地保管的需要。包装应采取防潮、防晒、防锈、防腐蚀、防震动及防止其他损坏的必要保护措施，从而保护合同货物能够经受多次搬运、装卸、长途运输并适宜保管。</w:t>
      </w:r>
    </w:p>
    <w:p>
      <w:pPr>
        <w:spacing w:line="360" w:lineRule="auto"/>
        <w:ind w:firstLine="480" w:firstLineChars="200"/>
        <w:rPr>
          <w:rFonts w:hAnsi="宋体" w:cs="宋体"/>
          <w:highlight w:val="none"/>
        </w:rPr>
      </w:pPr>
      <w:r>
        <w:rPr>
          <w:rFonts w:hint="eastAsia" w:hAnsi="宋体" w:cs="宋体"/>
          <w:highlight w:val="none"/>
        </w:rPr>
        <w:t>5.1.2 每个独立包装箱内应附装箱清单、质量合格证、装配图、说明书、操作指南等资料。</w:t>
      </w:r>
    </w:p>
    <w:p>
      <w:pPr>
        <w:spacing w:line="360" w:lineRule="auto"/>
        <w:ind w:firstLine="480" w:firstLineChars="200"/>
        <w:rPr>
          <w:rFonts w:hAnsi="宋体" w:cs="宋体"/>
          <w:highlight w:val="none"/>
        </w:rPr>
      </w:pPr>
      <w:r>
        <w:rPr>
          <w:rFonts w:hint="eastAsia" w:hAnsi="宋体" w:cs="宋体"/>
          <w:highlight w:val="none"/>
        </w:rPr>
        <w:t>5.1.3 除专用合同条款另有约定外，买方无需将包装物退还给卖方。</w:t>
      </w:r>
    </w:p>
    <w:p>
      <w:pPr>
        <w:spacing w:line="360" w:lineRule="auto"/>
        <w:ind w:firstLine="137"/>
        <w:outlineLvl w:val="3"/>
        <w:rPr>
          <w:rFonts w:ascii="黑体" w:hAnsi="黑体" w:eastAsia="黑体" w:cs="黑体"/>
          <w:highlight w:val="none"/>
        </w:rPr>
      </w:pPr>
      <w:bookmarkStart w:id="548" w:name="_Toc501460753"/>
      <w:bookmarkStart w:id="549" w:name="_Toc482188744"/>
      <w:r>
        <w:rPr>
          <w:rFonts w:hint="eastAsia" w:ascii="黑体" w:hAnsi="黑体" w:eastAsia="黑体" w:cs="黑体"/>
          <w:highlight w:val="none"/>
        </w:rPr>
        <w:t>5.2 标记</w:t>
      </w:r>
      <w:bookmarkEnd w:id="548"/>
      <w:bookmarkEnd w:id="549"/>
    </w:p>
    <w:p>
      <w:pPr>
        <w:spacing w:line="360" w:lineRule="auto"/>
        <w:ind w:firstLine="480" w:firstLineChars="200"/>
        <w:rPr>
          <w:rFonts w:hAnsi="宋体" w:cs="宋体"/>
          <w:highlight w:val="none"/>
        </w:rPr>
      </w:pPr>
      <w:r>
        <w:rPr>
          <w:rFonts w:hint="eastAsia" w:hAnsi="宋体" w:cs="宋体"/>
          <w:highlight w:val="none"/>
        </w:rPr>
        <w:t>5.2.1 除专用合同条款另有约定外，卖方应在每一包装箱相邻的四个侧面以不可擦除的、明显的方式标记必要的装运信息和标记，以满足合同货物运输和保管的需要。</w:t>
      </w:r>
    </w:p>
    <w:p>
      <w:pPr>
        <w:spacing w:line="360" w:lineRule="auto"/>
        <w:ind w:firstLine="480" w:firstLineChars="200"/>
        <w:rPr>
          <w:rFonts w:hAnsi="宋体" w:cs="宋体"/>
          <w:highlight w:val="none"/>
        </w:rPr>
      </w:pPr>
      <w:r>
        <w:rPr>
          <w:rFonts w:hint="eastAsia" w:hAnsi="宋体" w:cs="宋体"/>
          <w:highlight w:val="none"/>
        </w:rPr>
        <w:t>5.2.2 根据合同货物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货物中含有易燃易爆物品、腐蚀物品、放射性物质等危险品，则应在包装箱上标明危险品标志。</w:t>
      </w:r>
    </w:p>
    <w:p>
      <w:pPr>
        <w:spacing w:line="360" w:lineRule="auto"/>
        <w:ind w:firstLine="137"/>
        <w:outlineLvl w:val="3"/>
        <w:rPr>
          <w:rFonts w:ascii="黑体" w:hAnsi="黑体" w:eastAsia="黑体" w:cs="黑体"/>
          <w:highlight w:val="none"/>
        </w:rPr>
      </w:pPr>
      <w:bookmarkStart w:id="550" w:name="_Toc482188745"/>
      <w:bookmarkStart w:id="551" w:name="_Toc501460754"/>
      <w:r>
        <w:rPr>
          <w:rFonts w:hint="eastAsia" w:ascii="黑体" w:hAnsi="黑体" w:eastAsia="黑体" w:cs="黑体"/>
          <w:highlight w:val="none"/>
        </w:rPr>
        <w:t>5.3运输</w:t>
      </w:r>
      <w:bookmarkEnd w:id="550"/>
      <w:bookmarkEnd w:id="551"/>
    </w:p>
    <w:p>
      <w:pPr>
        <w:spacing w:line="360" w:lineRule="auto"/>
        <w:ind w:firstLine="480" w:firstLineChars="200"/>
        <w:rPr>
          <w:rFonts w:hAnsi="宋体" w:cs="宋体"/>
          <w:highlight w:val="none"/>
        </w:rPr>
      </w:pPr>
      <w:r>
        <w:rPr>
          <w:rFonts w:hint="eastAsia" w:hAnsi="宋体" w:cs="宋体"/>
          <w:highlight w:val="none"/>
        </w:rPr>
        <w:t>5.3.1 卖方应自行选择适宜的运输工具及线路安排合同货物运输。</w:t>
      </w:r>
    </w:p>
    <w:p>
      <w:pPr>
        <w:spacing w:line="360" w:lineRule="auto"/>
        <w:ind w:firstLine="480" w:firstLineChars="200"/>
        <w:rPr>
          <w:rFonts w:hAnsi="宋体" w:cs="宋体"/>
          <w:highlight w:val="none"/>
        </w:rPr>
      </w:pPr>
      <w:r>
        <w:rPr>
          <w:rFonts w:hint="eastAsia" w:hAnsi="宋体" w:cs="宋体"/>
          <w:highlight w:val="none"/>
        </w:rPr>
        <w:t>5.3.2 除专用合同条款另有约定外，每件能够独立运行的货物应整套装运。该货物安装、调试、考核和运行所使用的备品、备件、易损易耗件等应随相关的主机一起装运。</w:t>
      </w:r>
    </w:p>
    <w:p>
      <w:pPr>
        <w:spacing w:line="360" w:lineRule="auto"/>
        <w:ind w:firstLine="480" w:firstLineChars="200"/>
        <w:rPr>
          <w:rFonts w:hAnsi="宋体" w:cs="宋体"/>
          <w:highlight w:val="none"/>
        </w:rPr>
      </w:pPr>
      <w:r>
        <w:rPr>
          <w:rFonts w:hint="eastAsia" w:hAnsi="宋体" w:cs="宋体"/>
          <w:highlight w:val="none"/>
        </w:rPr>
        <w:t>5</w:t>
      </w:r>
      <w:bookmarkStart w:id="552" w:name="_Toc21215"/>
      <w:r>
        <w:rPr>
          <w:rFonts w:hint="eastAsia" w:hAnsi="宋体" w:cs="宋体"/>
          <w:highlight w:val="none"/>
        </w:rPr>
        <w:t>.3.3 除</w:t>
      </w:r>
      <w:bookmarkEnd w:id="552"/>
      <w:r>
        <w:rPr>
          <w:rFonts w:hint="eastAsia" w:hAnsi="宋体" w:cs="宋体"/>
          <w:highlight w:val="none"/>
        </w:rPr>
        <w:t>专用合同条款另有约定外，卖方应在合同货物预计启运7日前，将合同货物名称、数量、箱数、总毛重、总体积（用m</w:t>
      </w:r>
      <w:r>
        <w:rPr>
          <w:rFonts w:hint="eastAsia" w:hAnsi="宋体" w:cs="宋体"/>
          <w:position w:val="6"/>
          <w:highlight w:val="none"/>
        </w:rPr>
        <w:t>3</w:t>
      </w:r>
      <w:r>
        <w:rPr>
          <w:rFonts w:hint="eastAsia" w:hAnsi="宋体" w:cs="宋体"/>
          <w:highlight w:val="none"/>
        </w:rPr>
        <w:t>表示）、每箱尺寸（长×宽×高）、装运合同货物总金额、运输方式、预计交付日期和合同货物在运输、装卸、保管中的注意事项等预通知买方，并在合同货物启运后24小时之内正式通知买方。</w:t>
      </w:r>
    </w:p>
    <w:p>
      <w:pPr>
        <w:spacing w:line="360" w:lineRule="auto"/>
        <w:ind w:firstLine="480" w:firstLineChars="200"/>
        <w:rPr>
          <w:rFonts w:hAnsi="宋体" w:cs="宋体"/>
          <w:highlight w:val="none"/>
        </w:rPr>
      </w:pPr>
      <w:r>
        <w:rPr>
          <w:rFonts w:hint="eastAsia" w:hAnsi="宋体" w:cs="宋体"/>
          <w:highlight w:val="none"/>
        </w:rPr>
        <w:t>5.3.4 卖方在根据第5.3.3项进行通知时，如果发运合同货物中包括专用合同条款约定的超大超重包装，则卖方应将超大和（或）超重的每个包装箱的重量和尺寸通知买方；如果发运合同货物中包括易燃易爆物品、腐蚀物品、放射性物质等危险品，则危险品的品名、性质、在运输、装卸、保管方面的特殊要求、注意事项和处理意外情况的方法等，也应一并通知买方。</w:t>
      </w:r>
    </w:p>
    <w:p>
      <w:pPr>
        <w:spacing w:line="360" w:lineRule="auto"/>
        <w:ind w:firstLine="137"/>
        <w:outlineLvl w:val="3"/>
        <w:rPr>
          <w:rFonts w:ascii="黑体" w:hAnsi="黑体" w:eastAsia="黑体" w:cs="黑体"/>
          <w:highlight w:val="none"/>
        </w:rPr>
      </w:pPr>
      <w:bookmarkStart w:id="553" w:name="_Toc501460755"/>
      <w:bookmarkStart w:id="554" w:name="_Toc482188746"/>
      <w:r>
        <w:rPr>
          <w:rFonts w:hint="eastAsia" w:ascii="黑体" w:hAnsi="黑体" w:eastAsia="黑体" w:cs="黑体"/>
          <w:highlight w:val="none"/>
        </w:rPr>
        <w:t>5.4 交付</w:t>
      </w:r>
      <w:bookmarkEnd w:id="553"/>
      <w:bookmarkEnd w:id="554"/>
    </w:p>
    <w:p>
      <w:pPr>
        <w:spacing w:line="360" w:lineRule="auto"/>
        <w:ind w:firstLine="480" w:firstLineChars="200"/>
        <w:rPr>
          <w:rFonts w:hAnsi="宋体" w:cs="宋体"/>
          <w:highlight w:val="none"/>
        </w:rPr>
      </w:pPr>
      <w:r>
        <w:rPr>
          <w:rFonts w:hint="eastAsia" w:hAnsi="宋体" w:cs="宋体"/>
          <w:highlight w:val="none"/>
        </w:rPr>
        <w:t>5.4.1 除专用合同条款另有约定外，卖方应根据合同约定的交付时间和批次在施工场地车面上将合同货物交付给买方。买方对卖方交付的包装的合同货物的外观及件数进行清点核验后应签发收货清单，并自负风险和费用进行卸货。买方签发收货清单不代表对合同货物的接受，双方还应按合同约定进行后续的检验和验收。</w:t>
      </w:r>
    </w:p>
    <w:p>
      <w:pPr>
        <w:spacing w:line="360" w:lineRule="auto"/>
        <w:ind w:firstLine="480" w:firstLineChars="200"/>
        <w:rPr>
          <w:rFonts w:hAnsi="宋体" w:cs="宋体"/>
          <w:highlight w:val="none"/>
        </w:rPr>
      </w:pPr>
      <w:r>
        <w:rPr>
          <w:rFonts w:hint="eastAsia" w:hAnsi="宋体" w:cs="宋体"/>
          <w:highlight w:val="none"/>
        </w:rPr>
        <w:t>5.4.2 合同货物的所有权和风险自交付时起由卖方转移至买方，合同货物交付给买方之前包括运输在内的所有风险均由卖方承担。</w:t>
      </w:r>
    </w:p>
    <w:p>
      <w:pPr>
        <w:spacing w:line="360" w:lineRule="auto"/>
        <w:ind w:firstLine="480" w:firstLineChars="200"/>
        <w:rPr>
          <w:rFonts w:hAnsi="宋体" w:cs="宋体"/>
          <w:szCs w:val="24"/>
          <w:highlight w:val="none"/>
        </w:rPr>
      </w:pPr>
      <w:r>
        <w:rPr>
          <w:rFonts w:hint="eastAsia" w:hAnsi="宋体" w:cs="宋体"/>
          <w:szCs w:val="24"/>
          <w:highlight w:val="none"/>
        </w:rPr>
        <w:t>5.4.3 除专用合同条款另有约定外，买方如果发现技术资料存在短缺和（或）损坏，卖方应在收到买方的通知后7日内免费补齐短缺和（或）损坏的部分</w:t>
      </w:r>
      <w:bookmarkStart w:id="555" w:name="_Toc296602528"/>
      <w:bookmarkStart w:id="556" w:name="_Toc179632686"/>
      <w:bookmarkStart w:id="557" w:name="_Toc152042446"/>
      <w:bookmarkStart w:id="558" w:name="_Toc144974636"/>
      <w:bookmarkStart w:id="559" w:name="_Toc152045668"/>
      <w:bookmarkStart w:id="560" w:name="_Toc27630"/>
      <w:bookmarkStart w:id="561" w:name="_Toc369531621"/>
      <w:r>
        <w:rPr>
          <w:rFonts w:hint="eastAsia" w:hAnsi="宋体" w:cs="宋体"/>
          <w:szCs w:val="24"/>
          <w:highlight w:val="none"/>
        </w:rPr>
        <w:t>。如果买方发现卖方提供的</w:t>
      </w:r>
      <w:bookmarkEnd w:id="555"/>
      <w:bookmarkEnd w:id="556"/>
      <w:bookmarkEnd w:id="557"/>
      <w:bookmarkEnd w:id="558"/>
      <w:bookmarkEnd w:id="559"/>
      <w:r>
        <w:rPr>
          <w:rFonts w:hint="eastAsia" w:hAnsi="宋体" w:cs="宋体"/>
          <w:szCs w:val="24"/>
          <w:highlight w:val="none"/>
        </w:rPr>
        <w:t>技术</w:t>
      </w:r>
      <w:bookmarkEnd w:id="560"/>
      <w:bookmarkEnd w:id="561"/>
      <w:r>
        <w:rPr>
          <w:rFonts w:hint="eastAsia" w:hAnsi="宋体" w:cs="宋体"/>
          <w:szCs w:val="24"/>
          <w:highlight w:val="none"/>
        </w:rPr>
        <w:t>资</w:t>
      </w:r>
      <w:bookmarkStart w:id="562" w:name="_Toc20508"/>
      <w:r>
        <w:rPr>
          <w:rFonts w:hint="eastAsia" w:hAnsi="宋体" w:cs="宋体"/>
          <w:szCs w:val="24"/>
          <w:highlight w:val="none"/>
        </w:rPr>
        <w:t>料有误，卖方</w:t>
      </w:r>
      <w:bookmarkEnd w:id="562"/>
      <w:r>
        <w:rPr>
          <w:rFonts w:hint="eastAsia" w:hAnsi="宋体" w:cs="宋体"/>
          <w:szCs w:val="24"/>
          <w:highlight w:val="none"/>
        </w:rPr>
        <w:t>应在收到买方通知后7日内免费替换。如由于买方原因导致技术资料丢失和（或）损坏，卖方应在收到买方的通知后7日内补齐丢失和（或）损坏的部分，但买方应向卖方支付合理的复制、邮寄费用。</w:t>
      </w:r>
    </w:p>
    <w:p>
      <w:pPr>
        <w:spacing w:line="360" w:lineRule="auto"/>
        <w:ind w:firstLine="137"/>
        <w:outlineLvl w:val="2"/>
        <w:rPr>
          <w:rFonts w:ascii="黑体" w:hAnsi="黑体" w:eastAsia="黑体" w:cs="黑体"/>
          <w:sz w:val="28"/>
          <w:szCs w:val="28"/>
          <w:highlight w:val="none"/>
        </w:rPr>
      </w:pPr>
      <w:bookmarkStart w:id="563" w:name="_Toc482188747"/>
      <w:bookmarkStart w:id="564" w:name="_Toc24965152"/>
      <w:bookmarkStart w:id="565" w:name="_Toc15753908"/>
      <w:bookmarkStart w:id="566" w:name="_Toc26721386"/>
      <w:bookmarkStart w:id="567" w:name="_Toc26700652"/>
      <w:bookmarkStart w:id="568" w:name="_Toc17100672"/>
      <w:bookmarkStart w:id="569" w:name="_Toc501460756"/>
      <w:bookmarkStart w:id="570" w:name="_Toc26721541"/>
      <w:bookmarkStart w:id="571" w:name="_Toc26700482"/>
      <w:r>
        <w:rPr>
          <w:rFonts w:hint="eastAsia" w:ascii="黑体" w:hAnsi="黑体" w:eastAsia="黑体" w:cs="黑体"/>
          <w:sz w:val="28"/>
          <w:szCs w:val="28"/>
          <w:highlight w:val="none"/>
        </w:rPr>
        <w:t>6. 开箱检验、安装、调试、考核、验收</w:t>
      </w:r>
      <w:bookmarkEnd w:id="563"/>
      <w:bookmarkEnd w:id="564"/>
      <w:bookmarkEnd w:id="565"/>
      <w:bookmarkEnd w:id="566"/>
      <w:bookmarkEnd w:id="567"/>
      <w:bookmarkEnd w:id="568"/>
      <w:bookmarkEnd w:id="569"/>
      <w:bookmarkEnd w:id="570"/>
      <w:bookmarkEnd w:id="571"/>
    </w:p>
    <w:p>
      <w:pPr>
        <w:spacing w:line="360" w:lineRule="auto"/>
        <w:ind w:firstLine="137"/>
        <w:outlineLvl w:val="3"/>
        <w:rPr>
          <w:rFonts w:ascii="黑体" w:hAnsi="黑体" w:eastAsia="黑体" w:cs="黑体"/>
          <w:highlight w:val="none"/>
        </w:rPr>
      </w:pPr>
      <w:bookmarkStart w:id="572" w:name="_Toc482188748"/>
      <w:bookmarkStart w:id="573" w:name="_Toc501460757"/>
      <w:r>
        <w:rPr>
          <w:rFonts w:hint="eastAsia" w:ascii="黑体" w:hAnsi="黑体" w:eastAsia="黑体" w:cs="黑体"/>
          <w:highlight w:val="none"/>
        </w:rPr>
        <w:t>6.1 开箱检验</w:t>
      </w:r>
      <w:bookmarkEnd w:id="572"/>
      <w:bookmarkEnd w:id="573"/>
    </w:p>
    <w:p>
      <w:pPr>
        <w:spacing w:line="360" w:lineRule="auto"/>
        <w:ind w:firstLine="480" w:firstLineChars="200"/>
        <w:rPr>
          <w:rFonts w:hAnsi="宋体" w:cs="宋体"/>
          <w:highlight w:val="none"/>
        </w:rPr>
      </w:pPr>
      <w:r>
        <w:rPr>
          <w:rFonts w:hint="eastAsia" w:hAnsi="宋体" w:cs="宋体"/>
          <w:highlight w:val="none"/>
        </w:rPr>
        <w:t>6.1.1 合同货物交付后应进行开箱检验，即合同货物数量及外观检验。开箱检验在专用合同条款约定的下列任一种时间进行：</w:t>
      </w:r>
    </w:p>
    <w:p>
      <w:pPr>
        <w:spacing w:line="360" w:lineRule="auto"/>
        <w:ind w:firstLine="480" w:firstLineChars="200"/>
        <w:rPr>
          <w:rFonts w:hAnsi="宋体" w:cs="宋体"/>
          <w:highlight w:val="none"/>
        </w:rPr>
      </w:pPr>
      <w:r>
        <w:rPr>
          <w:rFonts w:hint="eastAsia" w:hAnsi="宋体" w:cs="宋体"/>
          <w:highlight w:val="none"/>
        </w:rPr>
        <w:t>（1）合同货物交付时；</w:t>
      </w:r>
    </w:p>
    <w:p>
      <w:pPr>
        <w:spacing w:line="360" w:lineRule="auto"/>
        <w:ind w:firstLine="480" w:firstLineChars="200"/>
        <w:rPr>
          <w:rFonts w:hAnsi="宋体" w:cs="宋体"/>
          <w:highlight w:val="none"/>
        </w:rPr>
      </w:pPr>
      <w:r>
        <w:rPr>
          <w:rFonts w:hint="eastAsia" w:hAnsi="宋体" w:cs="宋体"/>
          <w:highlight w:val="none"/>
        </w:rPr>
        <w:t>（2）合同货物交付后的一定期限内。</w:t>
      </w:r>
    </w:p>
    <w:p>
      <w:pPr>
        <w:spacing w:line="360" w:lineRule="auto"/>
        <w:ind w:firstLine="480" w:firstLineChars="200"/>
        <w:rPr>
          <w:rFonts w:hAnsi="宋体" w:cs="宋体"/>
          <w:highlight w:val="none"/>
        </w:rPr>
      </w:pPr>
      <w:r>
        <w:rPr>
          <w:rFonts w:hint="eastAsia" w:hAnsi="宋体" w:cs="宋体"/>
          <w:highlight w:val="none"/>
        </w:rPr>
        <w:t>如开箱检验不在合同货物交付时进行，买方应在开箱检验3日前将开箱检验的时间和地点通知卖方。</w:t>
      </w:r>
    </w:p>
    <w:p>
      <w:pPr>
        <w:spacing w:line="360" w:lineRule="auto"/>
        <w:ind w:firstLine="480" w:firstLineChars="200"/>
        <w:rPr>
          <w:rFonts w:hAnsi="宋体" w:cs="宋体"/>
          <w:highlight w:val="none"/>
        </w:rPr>
      </w:pPr>
      <w:r>
        <w:rPr>
          <w:rFonts w:hint="eastAsia" w:hAnsi="宋体" w:cs="宋体"/>
          <w:highlight w:val="none"/>
        </w:rPr>
        <w:t>6.1.2 除专用合同条款另有约定外，合同货物的开箱检验应在施工场地进行。</w:t>
      </w:r>
    </w:p>
    <w:p>
      <w:pPr>
        <w:spacing w:line="360" w:lineRule="auto"/>
        <w:ind w:firstLine="480" w:firstLineChars="200"/>
        <w:rPr>
          <w:rFonts w:hAnsi="宋体" w:cs="宋体"/>
          <w:highlight w:val="none"/>
        </w:rPr>
      </w:pPr>
      <w:r>
        <w:rPr>
          <w:rFonts w:hint="eastAsia" w:hAnsi="宋体" w:cs="宋体"/>
          <w:highlight w:val="none"/>
        </w:rPr>
        <w:t>6.1.3 开箱检验由买卖双方共同进行，卖方应自负费用派遣代表到场参加开箱检验。</w:t>
      </w:r>
    </w:p>
    <w:p>
      <w:pPr>
        <w:spacing w:line="360" w:lineRule="auto"/>
        <w:ind w:firstLine="480" w:firstLineChars="200"/>
        <w:rPr>
          <w:rFonts w:hAnsi="宋体" w:cs="宋体"/>
          <w:highlight w:val="none"/>
        </w:rPr>
      </w:pPr>
      <w:r>
        <w:rPr>
          <w:rFonts w:hint="eastAsia" w:hAnsi="宋体" w:cs="宋体"/>
          <w:highlight w:val="none"/>
        </w:rPr>
        <w:t>6.1.4 在开箱检验中，买方和卖方应共同签署数量、外观检验报告，报告应列明检验结果，包括检验合格或发现的任何短缺、损坏或其他与合同约定不符的情形。</w:t>
      </w:r>
    </w:p>
    <w:p>
      <w:pPr>
        <w:spacing w:line="360" w:lineRule="auto"/>
        <w:ind w:firstLine="480" w:firstLineChars="200"/>
        <w:rPr>
          <w:rFonts w:hAnsi="宋体" w:cs="宋体"/>
          <w:highlight w:val="none"/>
        </w:rPr>
      </w:pPr>
      <w:r>
        <w:rPr>
          <w:rFonts w:hint="eastAsia" w:hAnsi="宋体" w:cs="宋体"/>
          <w:highlight w:val="none"/>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spacing w:line="360" w:lineRule="auto"/>
        <w:ind w:firstLine="480" w:firstLineChars="200"/>
        <w:rPr>
          <w:rFonts w:hAnsi="宋体" w:cs="宋体"/>
          <w:highlight w:val="none"/>
        </w:rPr>
      </w:pPr>
      <w:r>
        <w:rPr>
          <w:rFonts w:hint="eastAsia" w:hAnsi="宋体" w:cs="宋体"/>
          <w:highlight w:val="none"/>
        </w:rPr>
        <w:t>6.1.6 如开箱检验不在合同货物交付时进行，则合同货物交付以后到开箱检验之前，应由买方负责按交货时外包装原样对合同货物进行妥善保管。除专用合同条款另有约定外，在开箱检验时如果合同货物外包装与交货时一致，则开箱检验中发现的合同货物的短缺、损坏或其他与合同约定不符的情形，由卖方负责，卖方应补齐、更换及采取其他补救措施。如果在开箱检验时合同货物外包装不是交货时的包装或虽是交货时的包装但与交货时不一致且出现很可能导致合同货物短缺或损坏的包装破损，则开箱检验中发现合同货物短缺、损坏或其他与合同约定不符的情形的风险，由买方承担，但买方能够证明是由于卖方原因或合同货物交付前非买方原因导致的除外。</w:t>
      </w:r>
    </w:p>
    <w:p>
      <w:pPr>
        <w:spacing w:line="360" w:lineRule="auto"/>
        <w:ind w:firstLine="480" w:firstLineChars="200"/>
        <w:rPr>
          <w:rFonts w:hAnsi="宋体" w:cs="宋体"/>
          <w:highlight w:val="none"/>
        </w:rPr>
      </w:pPr>
      <w:r>
        <w:rPr>
          <w:rFonts w:hint="eastAsia" w:hAnsi="宋体" w:cs="宋体"/>
          <w:highlight w:val="none"/>
        </w:rPr>
        <w:t>6.1.7 如双方在专用合同条款和（或）供货要求等合同文件中约定由第三方检测机构对合同货物进行开箱检验或在开箱检验过程中另行约定由第三方检验的，则第三方检测机构的检验结果对双方均具有约束力。</w:t>
      </w:r>
    </w:p>
    <w:p>
      <w:pPr>
        <w:spacing w:line="360" w:lineRule="auto"/>
        <w:ind w:firstLine="420"/>
        <w:rPr>
          <w:rFonts w:hAnsi="宋体" w:cs="宋体"/>
          <w:highlight w:val="none"/>
        </w:rPr>
      </w:pPr>
      <w:r>
        <w:rPr>
          <w:rFonts w:hint="eastAsia" w:hAnsi="宋体" w:cs="宋体"/>
          <w:highlight w:val="none"/>
        </w:rPr>
        <w:t>6.1.8 开箱检验的检验结果不能对抗在合同货物的安装、调试、考核、验收中及质量保证期内发现的合同货物质</w:t>
      </w:r>
      <w:bookmarkStart w:id="574" w:name="_Toc27556"/>
      <w:r>
        <w:rPr>
          <w:rFonts w:hint="eastAsia" w:hAnsi="宋体" w:cs="宋体"/>
          <w:highlight w:val="none"/>
        </w:rPr>
        <w:t>量问题，也不</w:t>
      </w:r>
      <w:bookmarkEnd w:id="574"/>
      <w:r>
        <w:rPr>
          <w:rFonts w:hint="eastAsia" w:hAnsi="宋体" w:cs="宋体"/>
          <w:highlight w:val="none"/>
        </w:rPr>
        <w:t>能免除或影响卖方依照合同约定对买方负有的包括合同货物质量在内的任何义务或责任。</w:t>
      </w:r>
    </w:p>
    <w:p>
      <w:pPr>
        <w:spacing w:line="360" w:lineRule="auto"/>
        <w:ind w:firstLine="137"/>
        <w:outlineLvl w:val="3"/>
        <w:rPr>
          <w:rFonts w:ascii="黑体" w:hAnsi="黑体" w:eastAsia="黑体" w:cs="黑体"/>
          <w:highlight w:val="none"/>
        </w:rPr>
      </w:pPr>
      <w:bookmarkStart w:id="575" w:name="_Toc482188749"/>
      <w:bookmarkStart w:id="576" w:name="_Toc501460758"/>
      <w:r>
        <w:rPr>
          <w:rFonts w:hint="eastAsia" w:ascii="黑体" w:hAnsi="黑体" w:eastAsia="黑体" w:cs="黑体"/>
          <w:highlight w:val="none"/>
        </w:rPr>
        <w:t>6.2 安装、调试</w:t>
      </w:r>
      <w:bookmarkEnd w:id="575"/>
      <w:bookmarkEnd w:id="576"/>
    </w:p>
    <w:p>
      <w:pPr>
        <w:spacing w:line="360" w:lineRule="auto"/>
        <w:ind w:firstLine="480" w:firstLineChars="200"/>
        <w:rPr>
          <w:rFonts w:hAnsi="宋体" w:cs="宋体"/>
          <w:highlight w:val="none"/>
        </w:rPr>
      </w:pPr>
      <w:r>
        <w:rPr>
          <w:rFonts w:hint="eastAsia" w:hAnsi="宋体" w:cs="宋体"/>
          <w:highlight w:val="none"/>
        </w:rPr>
        <w:t>6.2.1 开箱检验完成后，双方应对合同货物进行安装、调试，以使其具备考核的状态。安装、调试应按照专用合同条款约定的下列任一种方式进行：</w:t>
      </w:r>
    </w:p>
    <w:p>
      <w:pPr>
        <w:spacing w:line="360" w:lineRule="auto"/>
        <w:ind w:firstLine="480" w:firstLineChars="200"/>
        <w:rPr>
          <w:rFonts w:hAnsi="宋体" w:cs="宋体"/>
          <w:highlight w:val="none"/>
        </w:rPr>
      </w:pPr>
      <w:r>
        <w:rPr>
          <w:rFonts w:hint="eastAsia" w:hAnsi="宋体" w:cs="宋体"/>
          <w:highlight w:val="none"/>
        </w:rPr>
        <w:t>（1）卖方按照合同约定完成合同货物的安装、调试工作；</w:t>
      </w:r>
    </w:p>
    <w:p>
      <w:pPr>
        <w:spacing w:line="360" w:lineRule="auto"/>
        <w:ind w:firstLine="480" w:firstLineChars="200"/>
        <w:rPr>
          <w:rFonts w:hAnsi="宋体" w:cs="宋体"/>
          <w:highlight w:val="none"/>
        </w:rPr>
      </w:pPr>
      <w:r>
        <w:rPr>
          <w:rFonts w:hint="eastAsia" w:hAnsi="宋体" w:cs="宋体"/>
          <w:highlight w:val="none"/>
        </w:rPr>
        <w:t>（2）买方或买方安排第三方负责合同货物的安装、调试工作，卖方提供技术服务。</w:t>
      </w:r>
    </w:p>
    <w:p>
      <w:pPr>
        <w:spacing w:line="360" w:lineRule="auto"/>
        <w:ind w:firstLine="480" w:firstLineChars="200"/>
        <w:rPr>
          <w:rFonts w:hAnsi="宋体" w:cs="宋体"/>
          <w:highlight w:val="none"/>
          <w:lang w:val="zh-CN"/>
        </w:rPr>
      </w:pPr>
      <w:r>
        <w:rPr>
          <w:rFonts w:hint="eastAsia" w:hAnsi="宋体" w:cs="宋体"/>
          <w:highlight w:val="none"/>
        </w:rPr>
        <w:t>除专用合同条款另有约定外，</w:t>
      </w:r>
      <w:r>
        <w:rPr>
          <w:rFonts w:hint="eastAsia" w:hAnsi="宋体" w:cs="宋体"/>
          <w:highlight w:val="none"/>
          <w:lang w:val="zh-CN"/>
        </w:rPr>
        <w:t>在安装、调试过程中，如由于买方</w:t>
      </w:r>
      <w:r>
        <w:rPr>
          <w:rFonts w:hint="eastAsia" w:hAnsi="宋体" w:cs="宋体"/>
          <w:highlight w:val="none"/>
        </w:rPr>
        <w:t>或买方安排的第三方</w:t>
      </w:r>
      <w:r>
        <w:rPr>
          <w:rFonts w:hint="eastAsia" w:hAnsi="宋体" w:cs="宋体"/>
          <w:highlight w:val="none"/>
          <w:lang w:val="zh-CN"/>
        </w:rPr>
        <w:t>未按照卖方现场服务人员的指导导致安装、调试不成功和（或）出现合同货物损坏，买方应自行承担责任。如在买方</w:t>
      </w:r>
      <w:r>
        <w:rPr>
          <w:rFonts w:hint="eastAsia" w:hAnsi="宋体" w:cs="宋体"/>
          <w:highlight w:val="none"/>
        </w:rPr>
        <w:t>或买方安排的第三方</w:t>
      </w:r>
      <w:r>
        <w:rPr>
          <w:rFonts w:hint="eastAsia" w:hAnsi="宋体" w:cs="宋体"/>
          <w:highlight w:val="none"/>
          <w:lang w:val="zh-CN"/>
        </w:rPr>
        <w:t>按照卖方现场服务人员的指导进行安装、调试的情况下出现安装、调试不成功和（或）</w:t>
      </w:r>
      <w:r>
        <w:rPr>
          <w:rFonts w:hint="eastAsia" w:hAnsi="宋体" w:cs="宋体"/>
          <w:highlight w:val="none"/>
        </w:rPr>
        <w:t>造成</w:t>
      </w:r>
      <w:r>
        <w:rPr>
          <w:rFonts w:hint="eastAsia" w:hAnsi="宋体" w:cs="宋体"/>
          <w:highlight w:val="none"/>
          <w:lang w:val="zh-CN"/>
        </w:rPr>
        <w:t>合同货物损坏的情况，卖方应承担责任。</w:t>
      </w:r>
    </w:p>
    <w:p>
      <w:pPr>
        <w:spacing w:line="360" w:lineRule="auto"/>
        <w:ind w:firstLine="480" w:firstLineChars="200"/>
        <w:rPr>
          <w:rFonts w:hAnsi="宋体" w:cs="宋体"/>
          <w:highlight w:val="none"/>
          <w:lang w:val="zh-CN"/>
        </w:rPr>
      </w:pPr>
      <w:r>
        <w:rPr>
          <w:rFonts w:hint="eastAsia" w:hAnsi="宋体" w:cs="宋体"/>
          <w:highlight w:val="none"/>
          <w:lang w:val="zh-CN"/>
        </w:rPr>
        <w:t xml:space="preserve">6.2.2 </w:t>
      </w:r>
      <w:r>
        <w:rPr>
          <w:rFonts w:hint="eastAsia" w:hAnsi="宋体" w:cs="宋体"/>
          <w:highlight w:val="none"/>
        </w:rPr>
        <w:t>除专用合同条款另有约定外，安装、调试中合同货物运行需要的用水、用电、其他动力和原材料（如需要）等均由买方承担。</w:t>
      </w:r>
    </w:p>
    <w:p>
      <w:pPr>
        <w:spacing w:line="360" w:lineRule="auto"/>
        <w:ind w:firstLine="480" w:firstLineChars="200"/>
        <w:rPr>
          <w:rFonts w:hAnsi="宋体" w:cs="宋体"/>
          <w:highlight w:val="none"/>
        </w:rPr>
      </w:pPr>
      <w:r>
        <w:rPr>
          <w:rFonts w:hint="eastAsia" w:hAnsi="宋体" w:cs="宋体"/>
          <w:highlight w:val="none"/>
        </w:rPr>
        <w:t>6.2.3 双方应对合同货物的安装、调试情况共同及时进行记录。</w:t>
      </w:r>
    </w:p>
    <w:p>
      <w:pPr>
        <w:spacing w:line="360" w:lineRule="auto"/>
        <w:ind w:firstLine="137"/>
        <w:outlineLvl w:val="3"/>
        <w:rPr>
          <w:rFonts w:ascii="黑体" w:hAnsi="黑体" w:eastAsia="黑体" w:cs="黑体"/>
          <w:highlight w:val="none"/>
        </w:rPr>
      </w:pPr>
      <w:bookmarkStart w:id="577" w:name="_Toc501460759"/>
      <w:bookmarkStart w:id="578" w:name="_Toc482188750"/>
      <w:r>
        <w:rPr>
          <w:rFonts w:hint="eastAsia" w:ascii="黑体" w:hAnsi="黑体" w:eastAsia="黑体" w:cs="黑体"/>
          <w:highlight w:val="none"/>
        </w:rPr>
        <w:t>6.3 考核</w:t>
      </w:r>
      <w:bookmarkEnd w:id="577"/>
      <w:bookmarkEnd w:id="578"/>
    </w:p>
    <w:p>
      <w:pPr>
        <w:spacing w:line="360" w:lineRule="auto"/>
        <w:ind w:firstLine="480" w:firstLineChars="200"/>
        <w:rPr>
          <w:rFonts w:hAnsi="宋体" w:cs="宋体"/>
          <w:highlight w:val="none"/>
        </w:rPr>
      </w:pPr>
      <w:r>
        <w:rPr>
          <w:rFonts w:hint="eastAsia" w:hAnsi="宋体" w:cs="宋体"/>
          <w:highlight w:val="none"/>
        </w:rPr>
        <w:t>6.3.1 安装、调试完成后，双方应对合同货物进行</w:t>
      </w:r>
      <w:bookmarkStart w:id="579" w:name="_Toc6658"/>
      <w:r>
        <w:rPr>
          <w:rFonts w:hint="eastAsia" w:hAnsi="宋体" w:cs="宋体"/>
          <w:highlight w:val="none"/>
        </w:rPr>
        <w:t>考核，以确定合同货物是否达到合同约定的</w:t>
      </w:r>
      <w:bookmarkEnd w:id="579"/>
      <w:bookmarkStart w:id="580" w:name="_Toc18466"/>
      <w:r>
        <w:rPr>
          <w:rFonts w:hint="eastAsia" w:hAnsi="宋体" w:cs="宋体"/>
          <w:highlight w:val="none"/>
        </w:rPr>
        <w:t>技术性能考核指标。除专用合同条款另有约定外，考核中合同货物运行需要的用水、用电、其他动力和原材料（如需要）等均由买方承担。</w:t>
      </w:r>
    </w:p>
    <w:p>
      <w:pPr>
        <w:spacing w:line="360" w:lineRule="auto"/>
        <w:ind w:firstLine="480" w:firstLineChars="200"/>
        <w:rPr>
          <w:rFonts w:hAnsi="宋体" w:cs="宋体"/>
          <w:highlight w:val="none"/>
        </w:rPr>
      </w:pPr>
      <w:r>
        <w:rPr>
          <w:rFonts w:hint="eastAsia" w:hAnsi="宋体" w:cs="宋体"/>
          <w:highlight w:val="none"/>
        </w:rPr>
        <w:t>6.3.2</w:t>
      </w:r>
      <w:bookmarkEnd w:id="580"/>
      <w:r>
        <w:rPr>
          <w:rFonts w:hint="eastAsia" w:hAnsi="宋体" w:cs="宋体"/>
          <w:highlight w:val="none"/>
        </w:rPr>
        <w:t xml:space="preserve"> 如由于卖方原因合同货物在考核中未能达到合同约定的技术性能考核指标，则卖方应在双方同意的期限内采取措施消除合同货物中存在的缺陷，并在缺陷消除以后，尽快进行再次考核。</w:t>
      </w:r>
    </w:p>
    <w:p>
      <w:pPr>
        <w:spacing w:line="360" w:lineRule="auto"/>
        <w:ind w:firstLine="480" w:firstLineChars="200"/>
        <w:rPr>
          <w:rFonts w:hAnsi="宋体" w:cs="宋体"/>
          <w:highlight w:val="none"/>
        </w:rPr>
      </w:pPr>
      <w:r>
        <w:rPr>
          <w:rFonts w:hint="eastAsia" w:hAnsi="宋体" w:cs="宋体"/>
          <w:highlight w:val="none"/>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货物的最低技术性能考核指标，且合同货物达到了最低技术性能考核指标的，视为合同货物已达到技术性能考核指标，买方无权解除合同，且应接受合同货物，但卖方应按专用合同条款的约定进行减价或向买方支付补偿金。</w:t>
      </w:r>
    </w:p>
    <w:p>
      <w:pPr>
        <w:spacing w:line="360" w:lineRule="auto"/>
        <w:ind w:firstLine="480" w:firstLineChars="200"/>
        <w:rPr>
          <w:rFonts w:hAnsi="宋体" w:cs="宋体"/>
          <w:highlight w:val="none"/>
        </w:rPr>
      </w:pPr>
      <w:r>
        <w:rPr>
          <w:rFonts w:hint="eastAsia" w:hAnsi="宋体" w:cs="宋体"/>
          <w:highlight w:val="none"/>
        </w:rPr>
        <w:t>6.3.4 如由于买方原因合同货物在考核中未能达到合同约定的技术性能考核指标，则卖方应协助买方安排再次考核。由于买方原因未能达到技术性能考核指标时，为买方进行考核的机会不超过三次。</w:t>
      </w:r>
    </w:p>
    <w:p>
      <w:pPr>
        <w:spacing w:line="360" w:lineRule="auto"/>
        <w:ind w:firstLine="480" w:firstLineChars="200"/>
        <w:rPr>
          <w:rFonts w:hAnsi="宋体" w:cs="宋体"/>
          <w:highlight w:val="none"/>
        </w:rPr>
      </w:pPr>
      <w:r>
        <w:rPr>
          <w:rFonts w:hint="eastAsia" w:hAnsi="宋体" w:cs="宋体"/>
          <w:highlight w:val="none"/>
        </w:rPr>
        <w:t>6.3.5 考核期间，双方应及时共同记录合同货物的用水、用电、其他动力和原材料（如有）的使用及货物考核情况。对于未达到技术性能考核指标的，应如实记录货物表现、可能原因及处理情况等。</w:t>
      </w:r>
    </w:p>
    <w:p>
      <w:pPr>
        <w:spacing w:line="360" w:lineRule="auto"/>
        <w:ind w:firstLine="137"/>
        <w:outlineLvl w:val="3"/>
        <w:rPr>
          <w:rFonts w:ascii="黑体" w:hAnsi="黑体" w:eastAsia="黑体" w:cs="黑体"/>
          <w:highlight w:val="none"/>
        </w:rPr>
      </w:pPr>
      <w:bookmarkStart w:id="581" w:name="_Toc501460760"/>
      <w:bookmarkStart w:id="582" w:name="_Toc482188751"/>
      <w:r>
        <w:rPr>
          <w:rFonts w:hint="eastAsia" w:ascii="黑体" w:hAnsi="黑体" w:eastAsia="黑体" w:cs="黑体"/>
          <w:highlight w:val="none"/>
        </w:rPr>
        <w:t>6.4 验收</w:t>
      </w:r>
      <w:bookmarkEnd w:id="581"/>
      <w:bookmarkEnd w:id="582"/>
    </w:p>
    <w:p>
      <w:pPr>
        <w:spacing w:line="360" w:lineRule="auto"/>
        <w:ind w:firstLine="480" w:firstLineChars="200"/>
        <w:rPr>
          <w:rFonts w:hAnsi="宋体" w:cs="宋体"/>
          <w:highlight w:val="none"/>
        </w:rPr>
      </w:pPr>
      <w:r>
        <w:rPr>
          <w:rFonts w:hint="eastAsia" w:hAnsi="宋体" w:cs="宋体"/>
          <w:highlight w:val="none"/>
        </w:rPr>
        <w:t>6.4.1 如合同货物在考核中达到或视为达到技术性能考核指标，则买卖双方应在考核完成后7日内或专用合同条款另行约定的时间内签署合同货物验收证书一式二份，双方各持一份。验收日期应为合同货物达到或视为达到技术性能考核指标的日期。</w:t>
      </w:r>
    </w:p>
    <w:p>
      <w:pPr>
        <w:spacing w:line="360" w:lineRule="auto"/>
        <w:ind w:firstLine="480" w:firstLineChars="200"/>
        <w:rPr>
          <w:rFonts w:hAnsi="宋体" w:cs="宋体"/>
          <w:highlight w:val="none"/>
        </w:rPr>
      </w:pPr>
      <w:r>
        <w:rPr>
          <w:rFonts w:hint="eastAsia" w:hAnsi="宋体" w:cs="宋体"/>
          <w:highlight w:val="none"/>
        </w:rPr>
        <w:t>6.4.2 如由于买方原因合同货物在三次考核中均未能达到技术性能考核指标，买卖双方应在考核结束后7日内或专用合同条款另行约定的时间内签署</w:t>
      </w:r>
      <w:r>
        <w:rPr>
          <w:rStyle w:val="65"/>
          <w:rFonts w:hint="eastAsia" w:hAnsi="宋体" w:cs="宋体"/>
          <w:sz w:val="24"/>
          <w:highlight w:val="none"/>
        </w:rPr>
        <w:t>验收款支付函</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除专用合同条款另有约定</w:t>
      </w:r>
      <w:bookmarkStart w:id="583" w:name="_Toc1157"/>
      <w:bookmarkStart w:id="584" w:name="_Toc369531639"/>
      <w:r>
        <w:rPr>
          <w:rFonts w:hint="eastAsia" w:hAnsi="宋体" w:cs="宋体"/>
          <w:highlight w:val="none"/>
        </w:rPr>
        <w:t>外，卖方有义务在</w:t>
      </w:r>
      <w:bookmarkEnd w:id="583"/>
      <w:bookmarkEnd w:id="584"/>
      <w:r>
        <w:rPr>
          <w:rStyle w:val="65"/>
          <w:rFonts w:hint="eastAsia" w:hAnsi="宋体" w:cs="宋体"/>
          <w:sz w:val="24"/>
          <w:highlight w:val="none"/>
        </w:rPr>
        <w:t>验收款支付函</w:t>
      </w:r>
      <w:r>
        <w:rPr>
          <w:rFonts w:hint="eastAsia" w:hAnsi="宋体" w:cs="宋体"/>
          <w:highlight w:val="none"/>
        </w:rPr>
        <w:t>签署后12个月内应买方要求提供相关技术服务，协助买方采取一切必要措施使合同货物达到技术性能考核指标。买方应承</w:t>
      </w:r>
      <w:bookmarkStart w:id="585" w:name="_Toc25543"/>
      <w:r>
        <w:rPr>
          <w:rFonts w:hint="eastAsia" w:hAnsi="宋体" w:cs="宋体"/>
          <w:highlight w:val="none"/>
        </w:rPr>
        <w:t>担卖方因此产生的全部费用</w:t>
      </w:r>
      <w:bookmarkEnd w:id="585"/>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在上述12个月的期限内，如合同货物经过考核达到或视为达到技术性能考核指标，则买卖双方应按照第6.4.1项的约定签署合同货物验收证书。</w:t>
      </w:r>
    </w:p>
    <w:p>
      <w:pPr>
        <w:spacing w:line="360" w:lineRule="auto"/>
        <w:ind w:firstLine="480" w:firstLineChars="200"/>
        <w:rPr>
          <w:rFonts w:hAnsi="宋体" w:cs="宋体"/>
          <w:szCs w:val="24"/>
          <w:highlight w:val="none"/>
        </w:rPr>
      </w:pPr>
      <w:r>
        <w:rPr>
          <w:rFonts w:hint="eastAsia" w:hAnsi="宋体" w:cs="宋体"/>
          <w:szCs w:val="24"/>
          <w:highlight w:val="none"/>
        </w:rPr>
        <w:t>6.4.3 除专用合同条款另有约定外，如由于买方原因在最后一批合同货物交货后6个月内未能开始考核，则买卖双方应在上述期限</w:t>
      </w:r>
      <w:bookmarkStart w:id="586" w:name="_Toc3766"/>
      <w:r>
        <w:rPr>
          <w:rFonts w:hint="eastAsia" w:hAnsi="宋体" w:cs="宋体"/>
          <w:szCs w:val="24"/>
          <w:highlight w:val="none"/>
        </w:rPr>
        <w:t>届满后7日内或专用合同条款另行约定的时间内签署验收款支付函。</w:t>
      </w:r>
      <w:bookmarkEnd w:id="586"/>
    </w:p>
    <w:p>
      <w:pPr>
        <w:spacing w:line="360" w:lineRule="auto"/>
        <w:ind w:firstLine="480" w:firstLineChars="200"/>
        <w:rPr>
          <w:rFonts w:hAnsi="宋体" w:cs="宋体"/>
          <w:szCs w:val="24"/>
          <w:highlight w:val="none"/>
        </w:rPr>
      </w:pPr>
      <w:r>
        <w:rPr>
          <w:rFonts w:hint="eastAsia" w:hAnsi="宋体" w:cs="宋体"/>
          <w:szCs w:val="24"/>
          <w:highlight w:val="none"/>
        </w:rPr>
        <w:t>除专用合同条款另有约定外，卖方有义务在</w:t>
      </w:r>
      <w:r>
        <w:rPr>
          <w:rStyle w:val="65"/>
          <w:rFonts w:hint="eastAsia" w:hAnsi="宋体" w:cs="宋体"/>
          <w:sz w:val="24"/>
          <w:szCs w:val="24"/>
          <w:highlight w:val="none"/>
        </w:rPr>
        <w:t>验收款支付函</w:t>
      </w:r>
      <w:r>
        <w:rPr>
          <w:rFonts w:hint="eastAsia" w:hAnsi="宋体" w:cs="宋体"/>
          <w:szCs w:val="24"/>
          <w:highlight w:val="none"/>
        </w:rPr>
        <w:t>签署后6个月内应买方要求提供不超出合同范围的技术服务，协助买方采取一切必要措施使合同货物达到技术性能考核指标，且买方无需因此向卖方支付费用。</w:t>
      </w:r>
    </w:p>
    <w:p>
      <w:pPr>
        <w:spacing w:line="360" w:lineRule="auto"/>
        <w:ind w:firstLine="480" w:firstLineChars="200"/>
        <w:rPr>
          <w:rFonts w:hAnsi="宋体" w:cs="宋体"/>
          <w:szCs w:val="24"/>
          <w:highlight w:val="none"/>
        </w:rPr>
      </w:pPr>
      <w:r>
        <w:rPr>
          <w:rFonts w:hint="eastAsia" w:hAnsi="宋体" w:cs="宋体"/>
          <w:szCs w:val="24"/>
          <w:highlight w:val="none"/>
        </w:rPr>
        <w:t>在上述6个月的期限内，如合同货物经过考核达到或视为达到技术性能考核指标，则买卖双方应按照第6.4.1项的约定签署合同货物验收证书。</w:t>
      </w:r>
    </w:p>
    <w:p>
      <w:pPr>
        <w:spacing w:line="360" w:lineRule="auto"/>
        <w:ind w:firstLine="480" w:firstLineChars="200"/>
        <w:rPr>
          <w:rFonts w:hAnsi="宋体" w:cs="宋体"/>
          <w:szCs w:val="24"/>
          <w:highlight w:val="none"/>
        </w:rPr>
      </w:pPr>
      <w:r>
        <w:rPr>
          <w:rFonts w:hint="eastAsia" w:hAnsi="宋体" w:cs="宋体"/>
          <w:szCs w:val="24"/>
          <w:highlight w:val="none"/>
        </w:rPr>
        <w:t>6.4.4 在第6.4.2项和第6.4.3项情形下，卖方也可单方签署验收款支付函提交买方，如果买方在收到卖方签署的验收款支付函后14日内未向卖方提出书面异议，则验收款支付函自签署之日起生效。</w:t>
      </w:r>
    </w:p>
    <w:p>
      <w:pPr>
        <w:spacing w:line="360" w:lineRule="auto"/>
        <w:ind w:firstLine="480" w:firstLineChars="200"/>
        <w:rPr>
          <w:rFonts w:hAnsi="宋体" w:cs="宋体"/>
          <w:highlight w:val="none"/>
        </w:rPr>
      </w:pPr>
      <w:r>
        <w:rPr>
          <w:rFonts w:hint="eastAsia" w:hAnsi="宋体" w:cs="宋体"/>
          <w:highlight w:val="none"/>
        </w:rPr>
        <w:t>6.4.5合同货物验收证书的签署不能免除卖方在质量保证期内对合同货物应承担的保证责任。</w:t>
      </w:r>
    </w:p>
    <w:p>
      <w:pPr>
        <w:spacing w:line="360" w:lineRule="auto"/>
        <w:ind w:firstLine="137"/>
        <w:outlineLvl w:val="2"/>
        <w:rPr>
          <w:rFonts w:ascii="黑体" w:hAnsi="黑体" w:eastAsia="黑体" w:cs="黑体"/>
          <w:sz w:val="28"/>
          <w:szCs w:val="28"/>
          <w:highlight w:val="none"/>
        </w:rPr>
      </w:pPr>
      <w:bookmarkStart w:id="587" w:name="_Toc501460761"/>
      <w:bookmarkStart w:id="588" w:name="_Toc26700653"/>
      <w:bookmarkStart w:id="589" w:name="_Toc17100673"/>
      <w:bookmarkStart w:id="590" w:name="_Toc26700483"/>
      <w:bookmarkStart w:id="591" w:name="_Toc26721387"/>
      <w:bookmarkStart w:id="592" w:name="_Toc24965153"/>
      <w:bookmarkStart w:id="593" w:name="_Toc26721542"/>
      <w:bookmarkStart w:id="594" w:name="_Toc15753909"/>
      <w:bookmarkStart w:id="595" w:name="_Toc482188752"/>
      <w:r>
        <w:rPr>
          <w:rFonts w:hint="eastAsia" w:ascii="黑体" w:hAnsi="黑体" w:eastAsia="黑体" w:cs="黑体"/>
          <w:sz w:val="28"/>
          <w:szCs w:val="28"/>
          <w:highlight w:val="none"/>
        </w:rPr>
        <w:t>7. 技术服务</w:t>
      </w:r>
      <w:bookmarkEnd w:id="587"/>
      <w:bookmarkEnd w:id="588"/>
      <w:bookmarkEnd w:id="589"/>
      <w:bookmarkEnd w:id="590"/>
      <w:bookmarkEnd w:id="591"/>
      <w:bookmarkEnd w:id="592"/>
      <w:bookmarkEnd w:id="593"/>
      <w:bookmarkEnd w:id="594"/>
      <w:bookmarkEnd w:id="595"/>
    </w:p>
    <w:p>
      <w:pPr>
        <w:spacing w:line="360" w:lineRule="auto"/>
        <w:ind w:firstLine="480" w:firstLineChars="200"/>
        <w:rPr>
          <w:rFonts w:hAnsi="宋体" w:cs="宋体"/>
          <w:highlight w:val="none"/>
        </w:rPr>
      </w:pPr>
      <w:r>
        <w:rPr>
          <w:rFonts w:hint="eastAsia" w:hAnsi="宋体" w:cs="宋体"/>
          <w:highlight w:val="none"/>
        </w:rPr>
        <w:t>7.1 卖方应派遣技术熟练、称职的技术人员到施工场地为买方提供技术服务。卖方的技术服务应符合合同的约定。</w:t>
      </w:r>
    </w:p>
    <w:p>
      <w:pPr>
        <w:spacing w:line="360" w:lineRule="auto"/>
        <w:ind w:firstLine="480" w:firstLineChars="200"/>
        <w:rPr>
          <w:rFonts w:hAnsi="宋体" w:cs="宋体"/>
          <w:highlight w:val="none"/>
        </w:rPr>
      </w:pPr>
      <w:r>
        <w:rPr>
          <w:rFonts w:hint="eastAsia" w:hAnsi="宋体" w:cs="宋体"/>
          <w:highlight w:val="none"/>
        </w:rPr>
        <w:t>7.2 买方应免费为卖方技术人员提供工作条件及便利，包括但不限于必要的办公场所、技术资料及出入许可等。除专用合同条款另有约定外，卖方技术人员的交通、食宿费用由卖方承担。</w:t>
      </w:r>
    </w:p>
    <w:p>
      <w:pPr>
        <w:spacing w:line="360" w:lineRule="auto"/>
        <w:ind w:firstLine="480" w:firstLineChars="200"/>
        <w:rPr>
          <w:rFonts w:hAnsi="宋体" w:cs="宋体"/>
          <w:highlight w:val="none"/>
        </w:rPr>
      </w:pPr>
      <w:r>
        <w:rPr>
          <w:rFonts w:hint="eastAsia" w:hAnsi="宋体" w:cs="宋体"/>
          <w:highlight w:val="none"/>
        </w:rPr>
        <w:t>7.3 卖方技术人员应遵守买方施工现场的各项规章制度和安全操作规程，并服从买方的现场管理。</w:t>
      </w:r>
    </w:p>
    <w:p>
      <w:pPr>
        <w:spacing w:line="360" w:lineRule="auto"/>
        <w:ind w:firstLine="480" w:firstLineChars="200"/>
        <w:rPr>
          <w:rFonts w:hAnsi="宋体" w:cs="宋体"/>
          <w:highlight w:val="none"/>
        </w:rPr>
      </w:pPr>
      <w:r>
        <w:rPr>
          <w:rFonts w:hint="eastAsia" w:hAnsi="宋体" w:cs="宋体"/>
          <w:highlight w:val="none"/>
        </w:rPr>
        <w:t>7.4 如果任何技术人员不合格，买方有权要求卖方撤换，因撤换而产生的费用应由卖方承担。在不影响技术服务并且征得买方同意的条件下，卖方也可自负费用更换其技术人员。</w:t>
      </w:r>
    </w:p>
    <w:p>
      <w:pPr>
        <w:spacing w:line="360" w:lineRule="auto"/>
        <w:ind w:firstLine="137"/>
        <w:outlineLvl w:val="2"/>
        <w:rPr>
          <w:rFonts w:ascii="黑体" w:hAnsi="黑体" w:eastAsia="黑体" w:cs="黑体"/>
          <w:sz w:val="28"/>
          <w:szCs w:val="28"/>
          <w:highlight w:val="none"/>
        </w:rPr>
      </w:pPr>
      <w:bookmarkStart w:id="596" w:name="_Toc482188753"/>
      <w:bookmarkStart w:id="597" w:name="_Toc26700484"/>
      <w:bookmarkStart w:id="598" w:name="_Toc26721388"/>
      <w:bookmarkStart w:id="599" w:name="_Toc15753910"/>
      <w:bookmarkStart w:id="600" w:name="_Toc26721543"/>
      <w:bookmarkStart w:id="601" w:name="_Toc17100674"/>
      <w:bookmarkStart w:id="602" w:name="_Toc24965154"/>
      <w:bookmarkStart w:id="603" w:name="_Toc26700654"/>
      <w:bookmarkStart w:id="604" w:name="_Toc501460762"/>
      <w:r>
        <w:rPr>
          <w:rFonts w:hint="eastAsia" w:ascii="黑体" w:hAnsi="黑体" w:eastAsia="黑体" w:cs="黑体"/>
          <w:sz w:val="28"/>
          <w:szCs w:val="28"/>
          <w:highlight w:val="none"/>
        </w:rPr>
        <w:t>8. 质量保证期</w:t>
      </w:r>
      <w:bookmarkEnd w:id="596"/>
      <w:bookmarkEnd w:id="597"/>
      <w:bookmarkEnd w:id="598"/>
      <w:bookmarkEnd w:id="599"/>
      <w:bookmarkEnd w:id="600"/>
      <w:bookmarkEnd w:id="601"/>
      <w:bookmarkEnd w:id="602"/>
      <w:bookmarkEnd w:id="603"/>
      <w:bookmarkEnd w:id="604"/>
    </w:p>
    <w:p>
      <w:pPr>
        <w:spacing w:line="360" w:lineRule="auto"/>
        <w:ind w:firstLine="480" w:firstLineChars="200"/>
        <w:rPr>
          <w:rFonts w:hAnsi="宋体" w:cs="宋体"/>
          <w:szCs w:val="24"/>
          <w:highlight w:val="none"/>
        </w:rPr>
      </w:pPr>
      <w:bookmarkStart w:id="605" w:name="_Toc26700485"/>
      <w:bookmarkStart w:id="606" w:name="_Toc26700655"/>
      <w:bookmarkStart w:id="607" w:name="_Toc24965155"/>
      <w:bookmarkStart w:id="608" w:name="_Toc26721389"/>
      <w:bookmarkStart w:id="609" w:name="_Toc15753911"/>
      <w:bookmarkStart w:id="610" w:name="_Toc501460763"/>
      <w:bookmarkStart w:id="611" w:name="_Toc17100675"/>
      <w:bookmarkStart w:id="612" w:name="_Toc482188754"/>
      <w:bookmarkStart w:id="613" w:name="_Toc26721544"/>
      <w:r>
        <w:rPr>
          <w:rFonts w:hint="eastAsia" w:hAnsi="宋体" w:cs="宋体"/>
          <w:szCs w:val="24"/>
          <w:highlight w:val="none"/>
        </w:rPr>
        <w:t>8.1 除专用合同条款和（或）供货要求等合同文件另有约定外，合同货物整体质量保证期为验收之日起12个月。如对合同货物中关键部件的质量保证期有特殊要求的，买卖双方可在专用合同条款中约定。在合同第6.4.2项情形下，无论合同货物何时验收，其质量保证期最长为签署</w:t>
      </w:r>
      <w:r>
        <w:rPr>
          <w:rStyle w:val="65"/>
          <w:rFonts w:hint="eastAsia" w:hAnsi="宋体" w:cs="宋体"/>
          <w:sz w:val="24"/>
          <w:szCs w:val="24"/>
          <w:highlight w:val="none"/>
        </w:rPr>
        <w:t>验收款支付函后12个月。</w:t>
      </w:r>
      <w:r>
        <w:rPr>
          <w:rFonts w:hint="eastAsia" w:hAnsi="宋体" w:cs="宋体"/>
          <w:szCs w:val="24"/>
          <w:highlight w:val="none"/>
        </w:rPr>
        <w:t>在合同第6.4.3项情形下，无论合同货物何时验收，其质量保证期最长为签署</w:t>
      </w:r>
      <w:r>
        <w:rPr>
          <w:rStyle w:val="65"/>
          <w:rFonts w:hint="eastAsia" w:hAnsi="宋体" w:cs="宋体"/>
          <w:sz w:val="24"/>
          <w:szCs w:val="24"/>
          <w:highlight w:val="none"/>
        </w:rPr>
        <w:t>验收款支付函后6个月。</w:t>
      </w:r>
    </w:p>
    <w:p>
      <w:pPr>
        <w:spacing w:line="360" w:lineRule="auto"/>
        <w:ind w:firstLine="420"/>
        <w:rPr>
          <w:rFonts w:hAnsi="宋体" w:cs="宋体"/>
          <w:szCs w:val="24"/>
          <w:highlight w:val="none"/>
        </w:rPr>
      </w:pPr>
      <w:r>
        <w:rPr>
          <w:rFonts w:hint="eastAsia" w:hAnsi="宋体" w:cs="宋体"/>
          <w:szCs w:val="24"/>
          <w:highlight w:val="none"/>
        </w:rPr>
        <w:t>8.2 在质量保证期内如果合同货物出现故障，卖方应自负费用提供质保期服务，对相关合同货物进行修理或更换以消除故障。更换的合同货物和（或）关键部件的质量保证期应重新计算。但如果合同货物的故障是由于买方原因造成的，则对合同货物进行修理和更换的费用应由买方承担。</w:t>
      </w:r>
    </w:p>
    <w:p>
      <w:pPr>
        <w:spacing w:line="360" w:lineRule="auto"/>
        <w:ind w:firstLine="480" w:firstLineChars="200"/>
        <w:rPr>
          <w:rFonts w:hAnsi="宋体" w:cs="宋体"/>
          <w:szCs w:val="24"/>
          <w:highlight w:val="none"/>
        </w:rPr>
      </w:pPr>
      <w:r>
        <w:rPr>
          <w:rFonts w:hint="eastAsia" w:hAnsi="宋体" w:cs="宋体"/>
          <w:szCs w:val="24"/>
          <w:highlight w:val="none"/>
        </w:rPr>
        <w:t>8.3 质量保证期届满后，买方应在7日内或专用合同条款另行约定的时间内向卖方出具合同货物的质量保证期届满证书。</w:t>
      </w:r>
    </w:p>
    <w:p>
      <w:pPr>
        <w:spacing w:line="360" w:lineRule="auto"/>
        <w:ind w:firstLine="480" w:firstLineChars="200"/>
        <w:rPr>
          <w:rFonts w:hAnsi="宋体" w:cs="宋体"/>
          <w:szCs w:val="24"/>
          <w:highlight w:val="none"/>
        </w:rPr>
      </w:pPr>
      <w:r>
        <w:rPr>
          <w:rFonts w:hint="eastAsia" w:hAnsi="宋体" w:cs="宋体"/>
          <w:szCs w:val="24"/>
          <w:highlight w:val="none"/>
        </w:rPr>
        <w:t>8.4 在合同第6.4.2项情形下，如在</w:t>
      </w:r>
      <w:r>
        <w:rPr>
          <w:rStyle w:val="65"/>
          <w:rFonts w:hint="eastAsia" w:hAnsi="宋体" w:cs="宋体"/>
          <w:sz w:val="24"/>
          <w:szCs w:val="24"/>
          <w:highlight w:val="none"/>
        </w:rPr>
        <w:t>验收款支付函</w:t>
      </w:r>
      <w:r>
        <w:rPr>
          <w:rFonts w:hint="eastAsia" w:hAnsi="宋体" w:cs="宋体"/>
          <w:szCs w:val="24"/>
          <w:highlight w:val="none"/>
        </w:rPr>
        <w:t>签署后12个月内由于买方原因合同货物仍未能达到技术性能考核指标，则买卖双方应在该12个月届满后7日内或专用合同条款另行约定的时间内签署结清款支付函。</w:t>
      </w:r>
    </w:p>
    <w:p>
      <w:pPr>
        <w:spacing w:line="360" w:lineRule="auto"/>
        <w:ind w:firstLine="480" w:firstLineChars="200"/>
        <w:rPr>
          <w:rFonts w:hAnsi="宋体" w:cs="宋体"/>
          <w:szCs w:val="24"/>
          <w:highlight w:val="none"/>
        </w:rPr>
      </w:pPr>
      <w:r>
        <w:rPr>
          <w:rFonts w:hint="eastAsia" w:hAnsi="宋体" w:cs="宋体"/>
          <w:szCs w:val="24"/>
          <w:highlight w:val="none"/>
        </w:rPr>
        <w:t>8.5 在合同第6.4.3项情形下，如在</w:t>
      </w:r>
      <w:r>
        <w:rPr>
          <w:rStyle w:val="65"/>
          <w:rFonts w:hint="eastAsia" w:hAnsi="宋体" w:cs="宋体"/>
          <w:sz w:val="24"/>
          <w:szCs w:val="24"/>
          <w:highlight w:val="none"/>
        </w:rPr>
        <w:t>验收款支付函</w:t>
      </w:r>
      <w:r>
        <w:rPr>
          <w:rFonts w:hint="eastAsia" w:hAnsi="宋体" w:cs="宋体"/>
          <w:szCs w:val="24"/>
          <w:highlight w:val="none"/>
        </w:rPr>
        <w:t>签署后6个月内由于买方原因合同货物仍未进行考核或仍未达到技术性能考核指标，则买卖双方应在该6个月届满后7日内或专用合同条款另行约定的时间内签署结清款支付函。</w:t>
      </w:r>
    </w:p>
    <w:p>
      <w:pPr>
        <w:spacing w:line="360" w:lineRule="auto"/>
        <w:ind w:firstLine="480" w:firstLineChars="200"/>
        <w:rPr>
          <w:rFonts w:hAnsi="宋体" w:cs="宋体"/>
          <w:szCs w:val="24"/>
          <w:highlight w:val="none"/>
        </w:rPr>
      </w:pPr>
      <w:r>
        <w:rPr>
          <w:rFonts w:hint="eastAsia" w:hAnsi="宋体" w:cs="宋体"/>
          <w:szCs w:val="24"/>
          <w:highlight w:val="none"/>
        </w:rPr>
        <w:t>8.6 在第8.4款和第8.5款情形下，卖方也可单方签署结清款支付函提交买方，如果买方在收到卖方签署的结清款支付函后14日内未向卖方提出书面异议，则结清款支付函自签署之日起生效。</w:t>
      </w:r>
    </w:p>
    <w:p>
      <w:pPr>
        <w:spacing w:line="360" w:lineRule="auto"/>
        <w:ind w:firstLine="137"/>
        <w:outlineLvl w:val="2"/>
        <w:rPr>
          <w:rFonts w:ascii="黑体" w:hAnsi="黑体" w:eastAsia="黑体" w:cs="黑体"/>
          <w:sz w:val="28"/>
          <w:szCs w:val="28"/>
          <w:highlight w:val="none"/>
        </w:rPr>
      </w:pPr>
      <w:r>
        <w:rPr>
          <w:rFonts w:hint="eastAsia" w:ascii="黑体" w:hAnsi="黑体" w:eastAsia="黑体" w:cs="黑体"/>
          <w:sz w:val="28"/>
          <w:szCs w:val="28"/>
          <w:highlight w:val="none"/>
        </w:rPr>
        <w:t>9. 质保期服务</w:t>
      </w:r>
      <w:bookmarkEnd w:id="605"/>
      <w:bookmarkEnd w:id="606"/>
      <w:bookmarkEnd w:id="607"/>
      <w:bookmarkEnd w:id="608"/>
      <w:bookmarkEnd w:id="609"/>
      <w:bookmarkEnd w:id="610"/>
      <w:bookmarkEnd w:id="611"/>
      <w:bookmarkEnd w:id="612"/>
      <w:bookmarkEnd w:id="613"/>
    </w:p>
    <w:p>
      <w:pPr>
        <w:spacing w:line="360" w:lineRule="auto"/>
        <w:ind w:firstLine="480" w:firstLineChars="200"/>
        <w:rPr>
          <w:rFonts w:hAnsi="宋体" w:cs="宋体"/>
          <w:highlight w:val="none"/>
        </w:rPr>
      </w:pPr>
      <w:r>
        <w:rPr>
          <w:rFonts w:hint="eastAsia" w:hAnsi="宋体" w:cs="宋体"/>
          <w:highlight w:val="none"/>
        </w:rPr>
        <w:t>9.1 卖方应为质保期服务配备充足的技术人员、工具和备件并保证提供的联系方式畅通。除专用合同条款和（或）供货要求等合同文件另有约定外，卖方应在收到买方通知后24小时内做出响应，如需卖方到合同货物现场，卖方应在收到买方通知后48小时内到达，并在到达后7日内解决合同货物的故障（重大故障除外）。如果卖方未在上述时间内作出响应，则买方有权自行或委托他人解决相关问题或查找和解决合同货物的故障，卖方应承担由此发生的全部费用。</w:t>
      </w:r>
    </w:p>
    <w:p>
      <w:pPr>
        <w:spacing w:line="360" w:lineRule="auto"/>
        <w:ind w:firstLine="480" w:firstLineChars="200"/>
        <w:rPr>
          <w:rFonts w:hAnsi="宋体" w:cs="宋体"/>
          <w:highlight w:val="none"/>
        </w:rPr>
      </w:pPr>
      <w:r>
        <w:rPr>
          <w:rFonts w:hint="eastAsia" w:hAnsi="宋体" w:cs="宋体"/>
          <w:highlight w:val="none"/>
        </w:rPr>
        <w:t>9.2 如卖方技术人员需到合同货物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spacing w:line="360" w:lineRule="auto"/>
        <w:ind w:firstLine="480" w:firstLineChars="200"/>
        <w:rPr>
          <w:rFonts w:hAnsi="宋体" w:cs="宋体"/>
          <w:highlight w:val="none"/>
        </w:rPr>
      </w:pPr>
      <w:r>
        <w:rPr>
          <w:rFonts w:hint="eastAsia" w:hAnsi="宋体" w:cs="宋体"/>
          <w:highlight w:val="none"/>
        </w:rPr>
        <w:t>9.3 如果任何技术人员不合格，买方有权要求卖方撤换，因撤换而产生的费用应由卖方承担。在不影响质保期服务并且征得买方同意的条件下，卖方也可自负费用更换其技术人员。</w:t>
      </w:r>
    </w:p>
    <w:p>
      <w:pPr>
        <w:spacing w:line="360" w:lineRule="auto"/>
        <w:ind w:firstLine="480" w:firstLineChars="200"/>
        <w:rPr>
          <w:rFonts w:hAnsi="宋体" w:cs="宋体"/>
          <w:highlight w:val="none"/>
        </w:rPr>
      </w:pPr>
      <w:r>
        <w:rPr>
          <w:rFonts w:hint="eastAsia" w:hAnsi="宋体" w:cs="宋体"/>
          <w:highlight w:val="none"/>
        </w:rPr>
        <w:t>9.4 除专用合同条款另有约定外，卖方应就在施工现场进行质保期服务的情况进行记录，记载合同货物故障发生的时间、原因及解决情况等，由买方签字确认，并在质量保证期结束后提交给买方。</w:t>
      </w:r>
    </w:p>
    <w:p>
      <w:pPr>
        <w:spacing w:line="360" w:lineRule="auto"/>
        <w:outlineLvl w:val="2"/>
        <w:rPr>
          <w:rFonts w:ascii="黑体" w:hAnsi="黑体" w:eastAsia="黑体" w:cs="黑体"/>
          <w:sz w:val="28"/>
          <w:szCs w:val="28"/>
          <w:highlight w:val="none"/>
        </w:rPr>
      </w:pPr>
      <w:bookmarkStart w:id="614" w:name="_Toc482188755"/>
      <w:bookmarkStart w:id="615" w:name="_Toc24965156"/>
      <w:bookmarkStart w:id="616" w:name="_Toc26721390"/>
      <w:bookmarkStart w:id="617" w:name="_Toc26700486"/>
      <w:bookmarkStart w:id="618" w:name="_Toc26700656"/>
      <w:bookmarkStart w:id="619" w:name="_Toc501460764"/>
      <w:bookmarkStart w:id="620" w:name="_Toc26721545"/>
      <w:bookmarkStart w:id="621" w:name="_Toc17100676"/>
      <w:bookmarkStart w:id="622" w:name="_Toc15753912"/>
      <w:r>
        <w:rPr>
          <w:rFonts w:hint="eastAsia" w:ascii="黑体" w:hAnsi="黑体" w:eastAsia="黑体" w:cs="黑体"/>
          <w:sz w:val="28"/>
          <w:szCs w:val="28"/>
          <w:highlight w:val="none"/>
        </w:rPr>
        <w:t xml:space="preserve">10. </w:t>
      </w:r>
      <w:bookmarkEnd w:id="614"/>
      <w:r>
        <w:rPr>
          <w:rFonts w:hint="eastAsia" w:ascii="黑体" w:hAnsi="黑体" w:eastAsia="黑体" w:cs="黑体"/>
          <w:sz w:val="28"/>
          <w:szCs w:val="28"/>
          <w:highlight w:val="none"/>
        </w:rPr>
        <w:t>履约保证金</w:t>
      </w:r>
      <w:bookmarkEnd w:id="615"/>
      <w:bookmarkEnd w:id="616"/>
      <w:bookmarkEnd w:id="617"/>
      <w:bookmarkEnd w:id="618"/>
      <w:bookmarkEnd w:id="619"/>
      <w:bookmarkEnd w:id="620"/>
      <w:bookmarkEnd w:id="621"/>
      <w:bookmarkEnd w:id="622"/>
    </w:p>
    <w:p>
      <w:pPr>
        <w:spacing w:line="360" w:lineRule="auto"/>
        <w:ind w:firstLine="480" w:firstLineChars="200"/>
        <w:rPr>
          <w:rFonts w:hAnsi="宋体" w:cs="宋体"/>
          <w:highlight w:val="none"/>
        </w:rPr>
      </w:pPr>
      <w:r>
        <w:rPr>
          <w:rFonts w:hint="eastAsia" w:hAnsi="宋体" w:cs="宋体"/>
          <w:highlight w:val="none"/>
        </w:rPr>
        <w:t>除专用合同条款另有约定外，履约保证金自合同生效之日起生效，在合同货物验收证书或</w:t>
      </w:r>
      <w:r>
        <w:rPr>
          <w:rStyle w:val="65"/>
          <w:rFonts w:hint="eastAsia" w:hAnsi="宋体" w:cs="宋体"/>
          <w:sz w:val="24"/>
          <w:highlight w:val="none"/>
        </w:rPr>
        <w:t>验收款支付函</w:t>
      </w:r>
      <w:r>
        <w:rPr>
          <w:rFonts w:hint="eastAsia" w:hAnsi="宋体" w:cs="宋体"/>
          <w:highlight w:val="none"/>
        </w:rPr>
        <w:t>签署之日起28日后失效。如果卖方不履行合同约定的义务或其履行不符合合同的约定，买方有权扣划相应金额的履约保证金。</w:t>
      </w:r>
    </w:p>
    <w:p>
      <w:pPr>
        <w:spacing w:line="360" w:lineRule="auto"/>
        <w:ind w:firstLine="137"/>
        <w:outlineLvl w:val="2"/>
        <w:rPr>
          <w:rFonts w:ascii="黑体" w:hAnsi="黑体" w:eastAsia="黑体" w:cs="黑体"/>
          <w:sz w:val="28"/>
          <w:szCs w:val="28"/>
          <w:highlight w:val="none"/>
        </w:rPr>
      </w:pPr>
      <w:bookmarkStart w:id="623" w:name="_Toc482188756"/>
      <w:bookmarkStart w:id="624" w:name="_Toc26700487"/>
      <w:bookmarkStart w:id="625" w:name="_Toc17100677"/>
      <w:bookmarkStart w:id="626" w:name="_Toc26721391"/>
      <w:bookmarkStart w:id="627" w:name="_Toc26700657"/>
      <w:bookmarkStart w:id="628" w:name="_Toc24965157"/>
      <w:bookmarkStart w:id="629" w:name="_Toc15753913"/>
      <w:bookmarkStart w:id="630" w:name="_Toc26721546"/>
      <w:bookmarkStart w:id="631" w:name="_Toc501460765"/>
      <w:r>
        <w:rPr>
          <w:rFonts w:hint="eastAsia" w:ascii="黑体" w:hAnsi="黑体" w:eastAsia="黑体" w:cs="黑体"/>
          <w:sz w:val="28"/>
          <w:szCs w:val="28"/>
          <w:highlight w:val="none"/>
        </w:rPr>
        <w:t>11. 保证</w:t>
      </w:r>
      <w:bookmarkEnd w:id="623"/>
      <w:bookmarkEnd w:id="624"/>
      <w:bookmarkEnd w:id="625"/>
      <w:bookmarkEnd w:id="626"/>
      <w:bookmarkEnd w:id="627"/>
      <w:bookmarkEnd w:id="628"/>
      <w:bookmarkEnd w:id="629"/>
      <w:bookmarkEnd w:id="630"/>
      <w:bookmarkEnd w:id="631"/>
    </w:p>
    <w:p>
      <w:pPr>
        <w:spacing w:line="360" w:lineRule="auto"/>
        <w:ind w:firstLine="480" w:firstLineChars="200"/>
        <w:rPr>
          <w:rFonts w:hAnsi="宋体" w:cs="宋体"/>
          <w:highlight w:val="none"/>
        </w:rPr>
      </w:pPr>
      <w:r>
        <w:rPr>
          <w:rFonts w:hint="eastAsia" w:hAnsi="宋体" w:cs="宋体"/>
          <w:highlight w:val="none"/>
        </w:rPr>
        <w:t>11.1 卖方保证其具有完全的能力履行本合同项下的全部义务。</w:t>
      </w:r>
    </w:p>
    <w:p>
      <w:pPr>
        <w:spacing w:line="360" w:lineRule="auto"/>
        <w:ind w:firstLine="480" w:firstLineChars="200"/>
        <w:rPr>
          <w:rFonts w:hAnsi="宋体" w:cs="宋体"/>
          <w:highlight w:val="none"/>
        </w:rPr>
      </w:pPr>
      <w:r>
        <w:rPr>
          <w:rFonts w:hint="eastAsia" w:hAnsi="宋体" w:cs="宋体"/>
          <w:highlight w:val="none"/>
        </w:rPr>
        <w:t>11.2卖方保证其所提供的合同货物及对合同的履行符合所有应适用的法律、行政法规、地方性法规、自治条例和单行条例、规章及其他规范性文件的强制性规定。</w:t>
      </w:r>
    </w:p>
    <w:p>
      <w:pPr>
        <w:spacing w:line="360" w:lineRule="auto"/>
        <w:ind w:firstLine="480" w:firstLineChars="200"/>
        <w:rPr>
          <w:rFonts w:hAnsi="宋体" w:cs="宋体"/>
          <w:highlight w:val="none"/>
        </w:rPr>
      </w:pPr>
      <w:r>
        <w:rPr>
          <w:rFonts w:hint="eastAsia" w:hAnsi="宋体" w:cs="宋体"/>
          <w:highlight w:val="none"/>
        </w:rPr>
        <w:t>11.3 卖方保证其对合同货物的销售不损害任何第三方的合法权益和社会公众利益。任何第三方不会因卖方原因而基于所有权、抵押权、</w:t>
      </w:r>
      <w:bookmarkStart w:id="632" w:name="_Toc22234"/>
      <w:r>
        <w:rPr>
          <w:rFonts w:hint="eastAsia" w:hAnsi="宋体" w:cs="宋体"/>
          <w:highlight w:val="none"/>
        </w:rPr>
        <w:t>留置权或其他任何权利或事由</w:t>
      </w:r>
      <w:bookmarkEnd w:id="632"/>
      <w:r>
        <w:rPr>
          <w:rFonts w:hint="eastAsia" w:hAnsi="宋体" w:cs="宋体"/>
          <w:highlight w:val="none"/>
        </w:rPr>
        <w:t>对合同货物主张权利。</w:t>
      </w:r>
    </w:p>
    <w:p>
      <w:pPr>
        <w:spacing w:line="360" w:lineRule="auto"/>
        <w:ind w:firstLine="480" w:firstLineChars="200"/>
        <w:rPr>
          <w:rFonts w:hAnsi="宋体" w:cs="宋体"/>
          <w:highlight w:val="none"/>
        </w:rPr>
      </w:pPr>
      <w:r>
        <w:rPr>
          <w:rFonts w:hint="eastAsia" w:hAnsi="宋体" w:cs="宋体"/>
          <w:highlight w:val="none"/>
        </w:rPr>
        <w:t>11.4 卖方保证合同货物符合合同约定的规格、标准、技术性能考核指标等，能够安全和稳定地运行，且合同货物（包括全部部件）全新、完整、未使用过，除非专用合同条款和（或）供货要求等合同文件另有约定。</w:t>
      </w:r>
    </w:p>
    <w:p>
      <w:pPr>
        <w:spacing w:line="360" w:lineRule="auto"/>
        <w:ind w:firstLine="480" w:firstLineChars="200"/>
        <w:rPr>
          <w:rFonts w:hAnsi="宋体" w:cs="宋体"/>
          <w:highlight w:val="none"/>
        </w:rPr>
      </w:pPr>
      <w:r>
        <w:rPr>
          <w:rFonts w:hint="eastAsia" w:hAnsi="宋体" w:cs="宋体"/>
          <w:highlight w:val="none"/>
        </w:rPr>
        <w:t>11.5 卖方保证，卖方所提供的技术资料完整、清晰、准确，符合合同约定并且能够满足合同货物的安装、调试、考核、操作以及维修和保养的需要。</w:t>
      </w:r>
    </w:p>
    <w:p>
      <w:pPr>
        <w:spacing w:line="360" w:lineRule="auto"/>
        <w:ind w:firstLine="480" w:firstLineChars="200"/>
        <w:rPr>
          <w:rFonts w:hAnsi="宋体" w:cs="宋体"/>
          <w:highlight w:val="none"/>
        </w:rPr>
      </w:pPr>
      <w:r>
        <w:rPr>
          <w:rFonts w:hint="eastAsia" w:hAnsi="宋体" w:cs="宋体"/>
          <w:highlight w:val="none"/>
        </w:rPr>
        <w:t>11.6 卖方保证合同范围内提供的备品备件能够满足合同货物在质量保证期结束前正常运行及维修的需要，如在质量保证期结束前因卖方原因出现备品备件短缺影响合同货物正常运行的，卖方应免费提供。</w:t>
      </w:r>
    </w:p>
    <w:p>
      <w:pPr>
        <w:spacing w:line="360" w:lineRule="auto"/>
        <w:ind w:firstLine="480" w:firstLineChars="200"/>
        <w:rPr>
          <w:rFonts w:hAnsi="宋体" w:cs="宋体"/>
          <w:highlight w:val="none"/>
        </w:rPr>
      </w:pPr>
      <w:r>
        <w:rPr>
          <w:rFonts w:hint="eastAsia" w:hAnsi="宋体" w:cs="宋体"/>
          <w:highlight w:val="none"/>
        </w:rPr>
        <w:t>11.7 除专用合同条款和（或）供货要求等合同文件另有约定外，如果在合同货物设计使用寿命期内发生合同项下备品备件停止生产的情况，卖方应事先将拟停止生产的计划通知买方，使买方有足够的时间考虑备品备件的需求量。根据买方要求，卖方应：</w:t>
      </w:r>
    </w:p>
    <w:p>
      <w:pPr>
        <w:spacing w:line="360" w:lineRule="auto"/>
        <w:ind w:firstLine="480" w:firstLineChars="200"/>
        <w:rPr>
          <w:rFonts w:hAnsi="宋体" w:cs="宋体"/>
          <w:highlight w:val="none"/>
        </w:rPr>
      </w:pPr>
      <w:r>
        <w:rPr>
          <w:rFonts w:hint="eastAsia" w:hAnsi="宋体" w:cs="宋体"/>
          <w:highlight w:val="none"/>
        </w:rPr>
        <w:t>（1）以不高于同期市场价格或其向任何第三方销售同类产品的价格提供合同货物正常运行所需的全部备品备件；或</w:t>
      </w:r>
    </w:p>
    <w:p>
      <w:pPr>
        <w:spacing w:line="360" w:lineRule="auto"/>
        <w:ind w:firstLine="480" w:firstLineChars="200"/>
        <w:rPr>
          <w:rFonts w:hAnsi="宋体" w:cs="宋体"/>
          <w:highlight w:val="none"/>
        </w:rPr>
      </w:pPr>
      <w:r>
        <w:rPr>
          <w:rFonts w:hint="eastAsia" w:hAnsi="宋体" w:cs="宋体"/>
          <w:highlight w:val="none"/>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pPr>
        <w:spacing w:line="360" w:lineRule="auto"/>
        <w:ind w:firstLine="480" w:firstLineChars="200"/>
        <w:rPr>
          <w:rFonts w:hAnsi="宋体" w:cs="宋体"/>
          <w:highlight w:val="none"/>
        </w:rPr>
      </w:pPr>
      <w:r>
        <w:rPr>
          <w:rFonts w:hint="eastAsia" w:hAnsi="宋体" w:cs="宋体"/>
          <w:highlight w:val="none"/>
        </w:rPr>
        <w:t>11.8 卖方保证，在合同货物设计使用寿命期内，如果卖方发现合同货物由于设计、制造、标识等原因存在足以危及人身、财产安全的缺陷，卖方将及时通知买方并及时采取修正或者补充标识、修理、更换等措施消除缺陷。</w:t>
      </w:r>
      <w:bookmarkStart w:id="633" w:name="_Toc6654"/>
    </w:p>
    <w:bookmarkEnd w:id="633"/>
    <w:p>
      <w:pPr>
        <w:spacing w:line="360" w:lineRule="auto"/>
        <w:ind w:firstLine="137"/>
        <w:outlineLvl w:val="2"/>
        <w:rPr>
          <w:rFonts w:ascii="黑体" w:hAnsi="黑体" w:eastAsia="黑体" w:cs="黑体"/>
          <w:sz w:val="28"/>
          <w:szCs w:val="28"/>
          <w:highlight w:val="none"/>
        </w:rPr>
      </w:pPr>
      <w:bookmarkStart w:id="634" w:name="_Toc15753914"/>
      <w:bookmarkStart w:id="635" w:name="_Toc26700488"/>
      <w:bookmarkStart w:id="636" w:name="_Toc501460766"/>
      <w:bookmarkStart w:id="637" w:name="_Toc26721392"/>
      <w:bookmarkStart w:id="638" w:name="_Toc17100678"/>
      <w:bookmarkStart w:id="639" w:name="_Toc482188757"/>
      <w:bookmarkStart w:id="640" w:name="_Toc24965158"/>
      <w:bookmarkStart w:id="641" w:name="_Toc26700658"/>
      <w:bookmarkStart w:id="642" w:name="_Toc26721547"/>
      <w:r>
        <w:rPr>
          <w:rFonts w:hint="eastAsia" w:ascii="黑体" w:hAnsi="黑体" w:eastAsia="黑体" w:cs="黑体"/>
          <w:sz w:val="28"/>
          <w:szCs w:val="28"/>
          <w:highlight w:val="none"/>
        </w:rPr>
        <w:t>12. 知识产权</w:t>
      </w:r>
      <w:bookmarkEnd w:id="634"/>
      <w:bookmarkEnd w:id="635"/>
      <w:bookmarkEnd w:id="636"/>
      <w:bookmarkEnd w:id="637"/>
      <w:bookmarkEnd w:id="638"/>
      <w:bookmarkEnd w:id="639"/>
      <w:bookmarkEnd w:id="640"/>
      <w:bookmarkEnd w:id="641"/>
      <w:bookmarkEnd w:id="642"/>
    </w:p>
    <w:p>
      <w:pPr>
        <w:spacing w:line="360" w:lineRule="auto"/>
        <w:ind w:firstLine="480" w:firstLineChars="200"/>
        <w:rPr>
          <w:rFonts w:hAnsi="宋体" w:cs="宋体"/>
          <w:highlight w:val="none"/>
        </w:rPr>
      </w:pPr>
      <w:r>
        <w:rPr>
          <w:rFonts w:hint="eastAsia" w:hAnsi="宋体" w:cs="宋体"/>
          <w:highlight w:val="none"/>
        </w:rPr>
        <w:t>12.1 买方在履行合同过程中提供给卖方的全部图纸、文件和其他含有数据和信息的资料，其知识产权属于买方。</w:t>
      </w:r>
    </w:p>
    <w:p>
      <w:pPr>
        <w:spacing w:line="360" w:lineRule="auto"/>
        <w:ind w:firstLine="480" w:firstLineChars="200"/>
        <w:rPr>
          <w:rFonts w:hAnsi="宋体" w:cs="宋体"/>
          <w:highlight w:val="none"/>
        </w:rPr>
      </w:pPr>
      <w:r>
        <w:rPr>
          <w:rFonts w:hint="eastAsia" w:hAnsi="宋体" w:cs="宋体"/>
          <w:highlight w:val="none"/>
        </w:rPr>
        <w:t xml:space="preserve">12.2 除专用合同条款另有约定外，买方不因签署和履行合同而享有卖方在履行合同过程中提供给买方的图纸、文件、配套软件、电子辅助程序和其他含有数据和信息的资料的知识产权。 </w:t>
      </w:r>
    </w:p>
    <w:p>
      <w:pPr>
        <w:spacing w:line="360" w:lineRule="auto"/>
        <w:ind w:firstLine="480" w:firstLineChars="200"/>
        <w:rPr>
          <w:rFonts w:hAnsi="宋体" w:cs="宋体"/>
          <w:highlight w:val="none"/>
        </w:rPr>
      </w:pPr>
      <w:r>
        <w:rPr>
          <w:rFonts w:hint="eastAsia" w:hAnsi="宋体" w:cs="宋体"/>
          <w:highlight w:val="none"/>
        </w:rPr>
        <w:t>12.3 如合同货物涉及知识产权，则卖方保证买方在使用合同货物过程中免于受到第三方提出的有关知识产权侵权的主张、索赔或诉讼的伤害。</w:t>
      </w:r>
    </w:p>
    <w:p>
      <w:pPr>
        <w:spacing w:line="360" w:lineRule="auto"/>
        <w:ind w:firstLine="480" w:firstLineChars="200"/>
        <w:rPr>
          <w:rFonts w:hAnsi="宋体" w:cs="宋体"/>
          <w:highlight w:val="none"/>
        </w:rPr>
      </w:pPr>
      <w:r>
        <w:rPr>
          <w:rFonts w:hint="eastAsia" w:hAnsi="宋体" w:cs="宋体"/>
          <w:highlight w:val="none"/>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spacing w:line="360" w:lineRule="auto"/>
        <w:ind w:firstLine="137"/>
        <w:outlineLvl w:val="2"/>
        <w:rPr>
          <w:rFonts w:ascii="黑体" w:hAnsi="黑体" w:eastAsia="黑体" w:cs="黑体"/>
          <w:sz w:val="28"/>
          <w:szCs w:val="28"/>
          <w:highlight w:val="none"/>
        </w:rPr>
      </w:pPr>
      <w:bookmarkStart w:id="643" w:name="_Toc26721548"/>
      <w:bookmarkStart w:id="644" w:name="_Toc24965159"/>
      <w:bookmarkStart w:id="645" w:name="_Toc26700659"/>
      <w:bookmarkStart w:id="646" w:name="_Toc26721393"/>
      <w:bookmarkStart w:id="647" w:name="_Toc501460767"/>
      <w:bookmarkStart w:id="648" w:name="_Toc15753915"/>
      <w:bookmarkStart w:id="649" w:name="_Toc17100679"/>
      <w:bookmarkStart w:id="650" w:name="_Toc482188758"/>
      <w:bookmarkStart w:id="651" w:name="_Toc26700489"/>
      <w:r>
        <w:rPr>
          <w:rFonts w:hint="eastAsia" w:ascii="黑体" w:hAnsi="黑体" w:eastAsia="黑体" w:cs="黑体"/>
          <w:sz w:val="28"/>
          <w:szCs w:val="28"/>
          <w:highlight w:val="none"/>
        </w:rPr>
        <w:t>13. 保密</w:t>
      </w:r>
      <w:bookmarkEnd w:id="643"/>
      <w:bookmarkEnd w:id="644"/>
      <w:bookmarkEnd w:id="645"/>
      <w:bookmarkEnd w:id="646"/>
      <w:bookmarkEnd w:id="647"/>
      <w:bookmarkEnd w:id="648"/>
      <w:bookmarkEnd w:id="649"/>
      <w:bookmarkEnd w:id="650"/>
      <w:bookmarkEnd w:id="651"/>
    </w:p>
    <w:p>
      <w:pPr>
        <w:spacing w:line="360" w:lineRule="auto"/>
        <w:ind w:firstLine="480" w:firstLineChars="200"/>
        <w:rPr>
          <w:rFonts w:hAnsi="宋体" w:cs="宋体"/>
          <w:highlight w:val="none"/>
        </w:rPr>
      </w:pPr>
      <w:r>
        <w:rPr>
          <w:rFonts w:hint="eastAsia" w:hAnsi="宋体" w:cs="宋体"/>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360" w:lineRule="auto"/>
        <w:ind w:firstLine="480" w:firstLineChars="200"/>
        <w:rPr>
          <w:rFonts w:hAnsi="宋体" w:cs="宋体"/>
          <w:highlight w:val="none"/>
        </w:rPr>
      </w:pPr>
      <w:r>
        <w:rPr>
          <w:rFonts w:hint="eastAsia" w:hAnsi="宋体" w:cs="宋体"/>
          <w:highlight w:val="none"/>
        </w:rPr>
        <w:t>合同当事人的保密义务不适用于下列信息：</w:t>
      </w:r>
    </w:p>
    <w:p>
      <w:pPr>
        <w:numPr>
          <w:ilvl w:val="0"/>
          <w:numId w:val="4"/>
        </w:numPr>
        <w:spacing w:line="360" w:lineRule="auto"/>
        <w:ind w:firstLine="480" w:firstLineChars="200"/>
        <w:rPr>
          <w:rFonts w:hAnsi="宋体" w:cs="宋体"/>
          <w:highlight w:val="none"/>
        </w:rPr>
      </w:pPr>
      <w:r>
        <w:rPr>
          <w:rFonts w:hint="eastAsia" w:hAnsi="宋体" w:cs="宋体"/>
          <w:highlight w:val="none"/>
        </w:rPr>
        <w:t>非因接受信息一方的过失现在或以后进入公共领域的信息；</w:t>
      </w:r>
    </w:p>
    <w:p>
      <w:pPr>
        <w:spacing w:line="360" w:lineRule="auto"/>
        <w:ind w:firstLine="480" w:firstLineChars="200"/>
        <w:rPr>
          <w:rFonts w:hAnsi="宋体" w:cs="宋体"/>
          <w:highlight w:val="none"/>
        </w:rPr>
      </w:pPr>
      <w:r>
        <w:rPr>
          <w:rFonts w:hint="eastAsia" w:hAnsi="宋体" w:cs="宋体"/>
          <w:highlight w:val="none"/>
        </w:rPr>
        <w:t>（2）接受信息一方当事人合法地从第三方获得并且据其善意了解第三方也不对此承担保密义务的信息；</w:t>
      </w:r>
    </w:p>
    <w:p>
      <w:pPr>
        <w:spacing w:line="360" w:lineRule="auto"/>
        <w:ind w:firstLine="480" w:firstLineChars="200"/>
        <w:rPr>
          <w:rFonts w:hAnsi="宋体" w:cs="宋体"/>
          <w:highlight w:val="none"/>
        </w:rPr>
      </w:pPr>
      <w:r>
        <w:rPr>
          <w:rFonts w:hint="eastAsia" w:hAnsi="宋体" w:cs="宋体"/>
          <w:highlight w:val="none"/>
        </w:rPr>
        <w:t>（3）法律或法律的执行要求披露的信息。</w:t>
      </w:r>
    </w:p>
    <w:p>
      <w:pPr>
        <w:spacing w:line="360" w:lineRule="auto"/>
        <w:ind w:firstLine="137"/>
        <w:outlineLvl w:val="2"/>
        <w:rPr>
          <w:rFonts w:ascii="黑体" w:hAnsi="黑体" w:eastAsia="黑体" w:cs="黑体"/>
          <w:sz w:val="28"/>
          <w:szCs w:val="28"/>
          <w:highlight w:val="none"/>
        </w:rPr>
      </w:pPr>
      <w:bookmarkStart w:id="652" w:name="_Toc482188759"/>
      <w:bookmarkStart w:id="653" w:name="_Toc26700660"/>
      <w:bookmarkStart w:id="654" w:name="_Toc24965160"/>
      <w:bookmarkStart w:id="655" w:name="_Toc26721394"/>
      <w:bookmarkStart w:id="656" w:name="_Toc17100680"/>
      <w:bookmarkStart w:id="657" w:name="_Toc501460768"/>
      <w:bookmarkStart w:id="658" w:name="_Toc15753916"/>
      <w:bookmarkStart w:id="659" w:name="_Toc26700490"/>
      <w:bookmarkStart w:id="660" w:name="_Toc26721549"/>
      <w:r>
        <w:rPr>
          <w:rFonts w:hint="eastAsia" w:ascii="黑体" w:hAnsi="黑体" w:eastAsia="黑体" w:cs="黑体"/>
          <w:sz w:val="28"/>
          <w:szCs w:val="28"/>
          <w:highlight w:val="none"/>
        </w:rPr>
        <w:t>14. 违约责任</w:t>
      </w:r>
      <w:bookmarkEnd w:id="652"/>
      <w:bookmarkEnd w:id="653"/>
      <w:bookmarkEnd w:id="654"/>
      <w:bookmarkEnd w:id="655"/>
      <w:bookmarkEnd w:id="656"/>
      <w:bookmarkEnd w:id="657"/>
      <w:bookmarkEnd w:id="658"/>
      <w:bookmarkEnd w:id="659"/>
      <w:bookmarkEnd w:id="660"/>
    </w:p>
    <w:p>
      <w:pPr>
        <w:spacing w:line="360" w:lineRule="auto"/>
        <w:ind w:firstLine="480" w:firstLineChars="200"/>
        <w:rPr>
          <w:rFonts w:hAnsi="宋体" w:cs="宋体"/>
          <w:highlight w:val="none"/>
        </w:rPr>
      </w:pPr>
      <w:r>
        <w:rPr>
          <w:rFonts w:hint="eastAsia" w:hAnsi="宋体" w:cs="宋体"/>
          <w:highlight w:val="none"/>
        </w:rPr>
        <w:t>14.1合同一方不履行合同义务、履行合同义务不符合约定或者违反合同项下所作保证的，应向对方承担继续履行、采取修理、更换、退货等补救措施或者赔偿损失等违约责任。</w:t>
      </w:r>
    </w:p>
    <w:p>
      <w:pPr>
        <w:spacing w:line="360" w:lineRule="auto"/>
        <w:ind w:firstLine="480" w:firstLineChars="200"/>
        <w:rPr>
          <w:rFonts w:hAnsi="宋体" w:cs="宋体"/>
          <w:szCs w:val="24"/>
          <w:highlight w:val="none"/>
        </w:rPr>
      </w:pPr>
      <w:bookmarkStart w:id="661" w:name="_Toc24965161"/>
      <w:bookmarkStart w:id="662" w:name="_Toc501460769"/>
      <w:bookmarkStart w:id="663" w:name="_Toc26721395"/>
      <w:bookmarkStart w:id="664" w:name="_Toc26700491"/>
      <w:bookmarkStart w:id="665" w:name="_Toc17100681"/>
      <w:bookmarkStart w:id="666" w:name="_Toc26721550"/>
      <w:bookmarkStart w:id="667" w:name="_Toc482188760"/>
      <w:bookmarkStart w:id="668" w:name="_Toc15753917"/>
      <w:bookmarkStart w:id="669" w:name="_Toc26700661"/>
      <w:r>
        <w:rPr>
          <w:rFonts w:hint="eastAsia" w:hAnsi="宋体" w:cs="宋体"/>
          <w:szCs w:val="24"/>
          <w:highlight w:val="none"/>
        </w:rPr>
        <w:t>14.2 卖方未能按时交付合同货物（包括仅迟延交付技术资料但足以导致合同货物安装、调试、考核、验收工作推迟的）的，应向买方支付迟延交付违约金。除专用合同条款另有约定外，迟延交付违约金的计算方法如下：</w:t>
      </w:r>
    </w:p>
    <w:p>
      <w:pPr>
        <w:spacing w:line="360" w:lineRule="auto"/>
        <w:ind w:left="480" w:leftChars="200"/>
        <w:rPr>
          <w:rFonts w:hAnsi="宋体" w:cs="宋体"/>
          <w:szCs w:val="24"/>
          <w:highlight w:val="none"/>
        </w:rPr>
      </w:pPr>
      <w:r>
        <w:rPr>
          <w:rFonts w:hint="eastAsia" w:hAnsi="宋体" w:cs="宋体"/>
          <w:szCs w:val="24"/>
          <w:highlight w:val="none"/>
        </w:rPr>
        <w:t>（1）从迟交的第一周到第四周，每周迟延交付违约金为迟交合同货物价格的0.5%；</w:t>
      </w:r>
    </w:p>
    <w:p>
      <w:pPr>
        <w:spacing w:line="360" w:lineRule="auto"/>
        <w:ind w:left="480" w:leftChars="200"/>
        <w:rPr>
          <w:rFonts w:hAnsi="宋体" w:cs="宋体"/>
          <w:szCs w:val="24"/>
          <w:highlight w:val="none"/>
        </w:rPr>
      </w:pPr>
      <w:r>
        <w:rPr>
          <w:rFonts w:hint="eastAsia" w:hAnsi="宋体" w:cs="宋体"/>
          <w:szCs w:val="24"/>
          <w:highlight w:val="none"/>
        </w:rPr>
        <w:t>（2）从迟交的第五周到第八周，每周迟延交付违约金为迟交合同货物价格的1%；</w:t>
      </w:r>
    </w:p>
    <w:p>
      <w:pPr>
        <w:spacing w:line="360" w:lineRule="auto"/>
        <w:ind w:left="480" w:leftChars="200"/>
        <w:rPr>
          <w:rFonts w:hAnsi="宋体" w:cs="宋体"/>
          <w:szCs w:val="24"/>
          <w:highlight w:val="none"/>
        </w:rPr>
      </w:pPr>
      <w:r>
        <w:rPr>
          <w:rFonts w:hint="eastAsia" w:hAnsi="宋体" w:cs="宋体"/>
          <w:szCs w:val="24"/>
          <w:highlight w:val="none"/>
        </w:rPr>
        <w:t>（3）从迟交第九周起，每周迟延交付违约金为迟交合同货物价格的1.5%。</w:t>
      </w:r>
    </w:p>
    <w:p>
      <w:pPr>
        <w:spacing w:line="360" w:lineRule="auto"/>
        <w:ind w:firstLine="480" w:firstLineChars="200"/>
        <w:rPr>
          <w:rFonts w:hAnsi="宋体" w:cs="宋体"/>
          <w:szCs w:val="24"/>
          <w:highlight w:val="none"/>
        </w:rPr>
      </w:pPr>
      <w:r>
        <w:rPr>
          <w:rFonts w:hint="eastAsia" w:hAnsi="宋体" w:cs="宋体"/>
          <w:szCs w:val="24"/>
          <w:highlight w:val="none"/>
        </w:rPr>
        <w:t>在计算迟延交付违约金时，迟交不足一周的按一周计算。迟延交付违约金的总额不得超过合同价格的10%。</w:t>
      </w:r>
    </w:p>
    <w:p>
      <w:pPr>
        <w:spacing w:line="360" w:lineRule="auto"/>
        <w:ind w:firstLine="480" w:firstLineChars="200"/>
        <w:rPr>
          <w:rFonts w:hAnsi="宋体" w:cs="宋体"/>
          <w:szCs w:val="24"/>
          <w:highlight w:val="none"/>
        </w:rPr>
      </w:pPr>
      <w:r>
        <w:rPr>
          <w:rFonts w:hint="eastAsia" w:hAnsi="宋体" w:cs="宋体"/>
          <w:szCs w:val="24"/>
          <w:highlight w:val="none"/>
        </w:rPr>
        <w:t>迟延交付违约金的支付不能免除卖方继续交付相关合同货物的义务，但如迟延交付必然导致合同货物安装、调试、考核、验收工作推迟的，相关工作应相应顺延。</w:t>
      </w:r>
    </w:p>
    <w:p>
      <w:pPr>
        <w:spacing w:line="360" w:lineRule="auto"/>
        <w:ind w:firstLine="480" w:firstLineChars="200"/>
        <w:rPr>
          <w:rFonts w:hAnsi="宋体" w:cs="宋体"/>
          <w:szCs w:val="24"/>
          <w:highlight w:val="none"/>
        </w:rPr>
      </w:pPr>
      <w:r>
        <w:rPr>
          <w:rFonts w:hint="eastAsia" w:hAnsi="宋体" w:cs="宋体"/>
          <w:szCs w:val="24"/>
          <w:highlight w:val="none"/>
        </w:rPr>
        <w:t>14.3买方未能按合同约定支付合同价款的，应向卖方支付延迟付款违约金。除专用合同条款另有约定外，迟延付款违约金的计算方法如下：</w:t>
      </w:r>
    </w:p>
    <w:p>
      <w:pPr>
        <w:spacing w:line="360" w:lineRule="auto"/>
        <w:ind w:firstLine="480" w:firstLineChars="200"/>
        <w:rPr>
          <w:rFonts w:hAnsi="宋体" w:cs="宋体"/>
          <w:szCs w:val="24"/>
          <w:highlight w:val="none"/>
        </w:rPr>
      </w:pPr>
      <w:r>
        <w:rPr>
          <w:rFonts w:hint="eastAsia" w:hAnsi="宋体" w:cs="宋体"/>
          <w:szCs w:val="24"/>
          <w:highlight w:val="none"/>
        </w:rPr>
        <w:t>（1）从迟付的第一周到第四周，每周迟延付款违约金为迟延付款金额的0.5%；</w:t>
      </w:r>
    </w:p>
    <w:p>
      <w:pPr>
        <w:spacing w:line="360" w:lineRule="auto"/>
        <w:ind w:left="480" w:leftChars="200"/>
        <w:rPr>
          <w:rFonts w:hAnsi="宋体" w:cs="宋体"/>
          <w:szCs w:val="24"/>
          <w:highlight w:val="none"/>
        </w:rPr>
      </w:pPr>
      <w:r>
        <w:rPr>
          <w:rFonts w:hint="eastAsia" w:hAnsi="宋体" w:cs="宋体"/>
          <w:szCs w:val="24"/>
          <w:highlight w:val="none"/>
        </w:rPr>
        <w:t>（2）从迟付的第五周到第八周，每周迟延付款违约金为迟延付款金额的1%；</w:t>
      </w:r>
    </w:p>
    <w:p>
      <w:pPr>
        <w:spacing w:line="360" w:lineRule="auto"/>
        <w:ind w:left="480" w:leftChars="200"/>
        <w:rPr>
          <w:rFonts w:hAnsi="宋体" w:cs="宋体"/>
          <w:szCs w:val="24"/>
          <w:highlight w:val="none"/>
        </w:rPr>
      </w:pPr>
      <w:r>
        <w:rPr>
          <w:rFonts w:hint="eastAsia" w:hAnsi="宋体" w:cs="宋体"/>
          <w:szCs w:val="24"/>
          <w:highlight w:val="none"/>
        </w:rPr>
        <w:t>（3）从迟付第九周起，每周迟延付款违约金为迟延付款金额的1.5%。</w:t>
      </w:r>
    </w:p>
    <w:p>
      <w:pPr>
        <w:spacing w:line="360" w:lineRule="auto"/>
        <w:ind w:firstLine="636" w:firstLineChars="265"/>
        <w:rPr>
          <w:rFonts w:hAnsi="宋体" w:cs="宋体"/>
          <w:szCs w:val="24"/>
          <w:highlight w:val="none"/>
        </w:rPr>
      </w:pPr>
      <w:r>
        <w:rPr>
          <w:rFonts w:hint="eastAsia" w:hAnsi="宋体" w:cs="宋体"/>
          <w:szCs w:val="24"/>
          <w:highlight w:val="none"/>
        </w:rPr>
        <w:t>在计算迟延付款违约金时，迟付不足一周的按一周计算。迟延付款违约金的总额不得超过合同价格的10%。</w:t>
      </w:r>
    </w:p>
    <w:p>
      <w:pPr>
        <w:spacing w:line="360" w:lineRule="auto"/>
        <w:ind w:firstLine="137"/>
        <w:outlineLvl w:val="2"/>
        <w:rPr>
          <w:rFonts w:ascii="黑体" w:hAnsi="黑体" w:eastAsia="黑体" w:cs="黑体"/>
          <w:sz w:val="28"/>
          <w:szCs w:val="28"/>
          <w:highlight w:val="none"/>
        </w:rPr>
      </w:pPr>
      <w:r>
        <w:rPr>
          <w:rFonts w:hint="eastAsia" w:ascii="黑体" w:hAnsi="黑体" w:eastAsia="黑体" w:cs="黑体"/>
          <w:sz w:val="28"/>
          <w:szCs w:val="28"/>
          <w:highlight w:val="none"/>
        </w:rPr>
        <w:t>15. 合同的解除</w:t>
      </w:r>
      <w:bookmarkEnd w:id="661"/>
      <w:bookmarkEnd w:id="662"/>
      <w:bookmarkEnd w:id="663"/>
      <w:bookmarkEnd w:id="664"/>
      <w:bookmarkEnd w:id="665"/>
      <w:bookmarkEnd w:id="666"/>
      <w:bookmarkEnd w:id="667"/>
      <w:bookmarkEnd w:id="668"/>
      <w:bookmarkEnd w:id="669"/>
    </w:p>
    <w:p>
      <w:pPr>
        <w:spacing w:line="360" w:lineRule="auto"/>
        <w:ind w:firstLine="480" w:firstLineChars="200"/>
        <w:rPr>
          <w:rFonts w:hAnsi="宋体" w:cs="宋体"/>
          <w:highlight w:val="none"/>
        </w:rPr>
      </w:pPr>
      <w:r>
        <w:rPr>
          <w:rFonts w:hint="eastAsia" w:hAnsi="宋体" w:cs="宋体"/>
          <w:highlight w:val="none"/>
        </w:rPr>
        <w:t>除专用合同条款另有约定外，有下述情形之一，当事人可发出书面通知全部或部分地解除合同，合同自通知到达对方时全部或部分地解除：</w:t>
      </w:r>
    </w:p>
    <w:p>
      <w:pPr>
        <w:spacing w:line="360" w:lineRule="auto"/>
        <w:ind w:firstLine="480" w:firstLineChars="200"/>
        <w:rPr>
          <w:rFonts w:hAnsi="宋体" w:cs="宋体"/>
          <w:highlight w:val="none"/>
        </w:rPr>
      </w:pPr>
      <w:r>
        <w:rPr>
          <w:rFonts w:hint="eastAsia" w:hAnsi="宋体" w:cs="宋体"/>
          <w:highlight w:val="none"/>
        </w:rPr>
        <w:t>（1）卖方迟延交付合同货物超过3个月；</w:t>
      </w:r>
    </w:p>
    <w:p>
      <w:pPr>
        <w:spacing w:line="360" w:lineRule="auto"/>
        <w:ind w:firstLine="480" w:firstLineChars="200"/>
        <w:rPr>
          <w:rFonts w:hAnsi="宋体" w:cs="宋体"/>
          <w:highlight w:val="none"/>
        </w:rPr>
      </w:pPr>
      <w:r>
        <w:rPr>
          <w:rFonts w:hint="eastAsia" w:hAnsi="宋体" w:cs="宋体"/>
          <w:highlight w:val="none"/>
        </w:rPr>
        <w:t>（2）合同货物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spacing w:line="360" w:lineRule="auto"/>
        <w:ind w:firstLine="480" w:firstLineChars="200"/>
        <w:rPr>
          <w:rFonts w:hAnsi="宋体" w:cs="宋体"/>
          <w:highlight w:val="none"/>
        </w:rPr>
      </w:pPr>
      <w:r>
        <w:rPr>
          <w:rFonts w:hint="eastAsia" w:hAnsi="宋体" w:cs="宋体"/>
          <w:highlight w:val="none"/>
        </w:rPr>
        <w:t>（3）买方迟延付款超过3个月；</w:t>
      </w:r>
    </w:p>
    <w:p>
      <w:pPr>
        <w:spacing w:line="360" w:lineRule="auto"/>
        <w:ind w:firstLine="480" w:firstLineChars="200"/>
        <w:rPr>
          <w:rFonts w:hAnsi="宋体" w:cs="宋体"/>
          <w:highlight w:val="none"/>
        </w:rPr>
      </w:pPr>
      <w:r>
        <w:rPr>
          <w:rFonts w:hint="eastAsia" w:hAnsi="宋体" w:cs="宋体"/>
          <w:highlight w:val="none"/>
        </w:rPr>
        <w:t>（4）合同一方当事人未能履行合同项下任何其他义务（细微义务除外），或在未事先征得另一方当事人同意的情况下，从事任何可能在实质上不利影响其履行合同能力的活动，经另一方当事人书面通知后14日内或在专用合同条款约定的其他期限内未能对其行为作出</w:t>
      </w:r>
      <w:bookmarkStart w:id="670" w:name="_Toc369531680"/>
      <w:bookmarkStart w:id="671" w:name="_Toc31629"/>
      <w:r>
        <w:rPr>
          <w:rFonts w:hint="eastAsia" w:hAnsi="宋体" w:cs="宋体"/>
          <w:highlight w:val="none"/>
        </w:rPr>
        <w:t>补救；</w:t>
      </w:r>
    </w:p>
    <w:p>
      <w:pPr>
        <w:spacing w:line="360" w:lineRule="auto"/>
        <w:ind w:firstLine="480" w:firstLineChars="200"/>
        <w:rPr>
          <w:rFonts w:hAnsi="宋体" w:cs="宋体"/>
          <w:highlight w:val="none"/>
        </w:rPr>
      </w:pPr>
      <w:r>
        <w:rPr>
          <w:rFonts w:hint="eastAsia" w:hAnsi="宋体" w:cs="宋体"/>
          <w:highlight w:val="none"/>
        </w:rPr>
        <w:t>（5）合同一方当事人出现破产、清算、资不抵债、成为失信被执行人等可能丧失履约能力的情形，且未能提供令对方满意的履约保证金。</w:t>
      </w:r>
    </w:p>
    <w:bookmarkEnd w:id="670"/>
    <w:bookmarkEnd w:id="671"/>
    <w:p>
      <w:pPr>
        <w:spacing w:line="360" w:lineRule="auto"/>
        <w:ind w:firstLine="137"/>
        <w:outlineLvl w:val="2"/>
        <w:rPr>
          <w:rFonts w:ascii="黑体" w:hAnsi="黑体" w:eastAsia="黑体" w:cs="黑体"/>
          <w:sz w:val="28"/>
          <w:szCs w:val="28"/>
          <w:highlight w:val="none"/>
        </w:rPr>
      </w:pPr>
      <w:bookmarkStart w:id="672" w:name="_Toc24965162"/>
      <w:bookmarkStart w:id="673" w:name="_Toc482188761"/>
      <w:bookmarkStart w:id="674" w:name="_Toc26721396"/>
      <w:bookmarkStart w:id="675" w:name="_Toc26700662"/>
      <w:bookmarkStart w:id="676" w:name="_Toc17100682"/>
      <w:bookmarkStart w:id="677" w:name="_Toc15753918"/>
      <w:bookmarkStart w:id="678" w:name="_Toc501460770"/>
      <w:bookmarkStart w:id="679" w:name="_Toc26700492"/>
      <w:bookmarkStart w:id="680" w:name="_Toc26721551"/>
      <w:r>
        <w:rPr>
          <w:rFonts w:hint="eastAsia" w:ascii="黑体" w:hAnsi="黑体" w:eastAsia="黑体" w:cs="黑体"/>
          <w:sz w:val="28"/>
          <w:szCs w:val="28"/>
          <w:highlight w:val="none"/>
        </w:rPr>
        <w:t>16. 不可抗力</w:t>
      </w:r>
      <w:bookmarkEnd w:id="672"/>
      <w:bookmarkEnd w:id="673"/>
      <w:bookmarkEnd w:id="674"/>
      <w:bookmarkEnd w:id="675"/>
      <w:bookmarkEnd w:id="676"/>
      <w:bookmarkEnd w:id="677"/>
      <w:bookmarkEnd w:id="678"/>
      <w:bookmarkEnd w:id="679"/>
      <w:bookmarkEnd w:id="680"/>
    </w:p>
    <w:p>
      <w:pPr>
        <w:spacing w:line="360" w:lineRule="auto"/>
        <w:ind w:firstLine="480" w:firstLineChars="200"/>
        <w:rPr>
          <w:rFonts w:hAnsi="宋体" w:cs="宋体"/>
          <w:highlight w:val="none"/>
        </w:rPr>
      </w:pPr>
      <w:r>
        <w:rPr>
          <w:rFonts w:hint="eastAsia" w:hAnsi="宋体" w:cs="宋体"/>
          <w:highlight w:val="none"/>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spacing w:line="360" w:lineRule="auto"/>
        <w:ind w:firstLine="480" w:firstLineChars="200"/>
        <w:rPr>
          <w:rFonts w:hAnsi="宋体" w:cs="宋体"/>
          <w:highlight w:val="none"/>
        </w:rPr>
      </w:pPr>
      <w:r>
        <w:rPr>
          <w:rFonts w:hint="eastAsia" w:hAnsi="宋体" w:cs="宋体"/>
          <w:highlight w:val="none"/>
        </w:rPr>
        <w:t>16.2 受不可抗力事件影响的一方当事人对于不可抗力事件导致的任何合同义务的迟延履行或不能履行不承担违</w:t>
      </w:r>
      <w:bookmarkStart w:id="681" w:name="_Toc369531672"/>
      <w:bookmarkStart w:id="682" w:name="_Toc6667"/>
      <w:r>
        <w:rPr>
          <w:rFonts w:hint="eastAsia" w:hAnsi="宋体" w:cs="宋体"/>
          <w:highlight w:val="none"/>
        </w:rPr>
        <w:t>约责任。但该方</w:t>
      </w:r>
      <w:bookmarkEnd w:id="681"/>
      <w:r>
        <w:rPr>
          <w:rFonts w:hint="eastAsia" w:hAnsi="宋体" w:cs="宋体"/>
          <w:highlight w:val="none"/>
        </w:rPr>
        <w:t>当事</w:t>
      </w:r>
      <w:bookmarkEnd w:id="682"/>
      <w:r>
        <w:rPr>
          <w:rFonts w:hint="eastAsia" w:hAnsi="宋体" w:cs="宋体"/>
          <w:highlight w:val="none"/>
        </w:rPr>
        <w:t>人</w:t>
      </w:r>
      <w:bookmarkStart w:id="683" w:name="_Toc369531673"/>
      <w:bookmarkStart w:id="684" w:name="_Toc28096"/>
      <w:r>
        <w:rPr>
          <w:rFonts w:hint="eastAsia" w:hAnsi="宋体" w:cs="宋体"/>
          <w:highlight w:val="none"/>
        </w:rPr>
        <w:t>应尽快将</w:t>
      </w:r>
      <w:bookmarkEnd w:id="683"/>
      <w:r>
        <w:rPr>
          <w:rFonts w:hint="eastAsia" w:hAnsi="宋体" w:cs="宋体"/>
          <w:highlight w:val="none"/>
        </w:rPr>
        <w:t>不可</w:t>
      </w:r>
      <w:bookmarkEnd w:id="684"/>
      <w:r>
        <w:rPr>
          <w:rFonts w:hint="eastAsia" w:hAnsi="宋体" w:cs="宋体"/>
          <w:highlight w:val="none"/>
        </w:rPr>
        <w:t>抗力事件结束或消除的情况通知另一方当事人。</w:t>
      </w:r>
    </w:p>
    <w:p>
      <w:pPr>
        <w:spacing w:line="360" w:lineRule="auto"/>
        <w:ind w:firstLine="480" w:firstLineChars="200"/>
        <w:rPr>
          <w:rFonts w:hAnsi="宋体" w:cs="宋体"/>
          <w:highlight w:val="none"/>
        </w:rPr>
      </w:pPr>
      <w:r>
        <w:rPr>
          <w:rFonts w:hint="eastAsia" w:hAnsi="宋体" w:cs="宋体"/>
          <w:highlight w:val="none"/>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spacing w:line="360" w:lineRule="auto"/>
        <w:ind w:firstLine="137"/>
        <w:outlineLvl w:val="2"/>
        <w:rPr>
          <w:rFonts w:ascii="黑体" w:hAnsi="黑体" w:eastAsia="黑体" w:cs="黑体"/>
          <w:sz w:val="28"/>
          <w:szCs w:val="28"/>
          <w:highlight w:val="none"/>
        </w:rPr>
      </w:pPr>
      <w:bookmarkStart w:id="685" w:name="_Toc26721552"/>
      <w:bookmarkStart w:id="686" w:name="_Toc17100683"/>
      <w:bookmarkStart w:id="687" w:name="_Toc26721397"/>
      <w:bookmarkStart w:id="688" w:name="_Toc15753919"/>
      <w:bookmarkStart w:id="689" w:name="_Toc26700493"/>
      <w:bookmarkStart w:id="690" w:name="_Toc24965163"/>
      <w:bookmarkStart w:id="691" w:name="_Toc26700663"/>
      <w:bookmarkStart w:id="692" w:name="_Toc482188762"/>
      <w:bookmarkStart w:id="693" w:name="_Toc501460771"/>
      <w:r>
        <w:rPr>
          <w:rFonts w:hint="eastAsia" w:ascii="黑体" w:hAnsi="黑体" w:eastAsia="黑体" w:cs="黑体"/>
          <w:sz w:val="28"/>
          <w:szCs w:val="28"/>
          <w:highlight w:val="none"/>
        </w:rPr>
        <w:t>17. 争议的解决</w:t>
      </w:r>
      <w:bookmarkEnd w:id="685"/>
      <w:bookmarkEnd w:id="686"/>
      <w:bookmarkEnd w:id="687"/>
      <w:bookmarkEnd w:id="688"/>
      <w:bookmarkEnd w:id="689"/>
      <w:bookmarkEnd w:id="690"/>
      <w:bookmarkEnd w:id="691"/>
      <w:bookmarkEnd w:id="692"/>
      <w:bookmarkEnd w:id="693"/>
    </w:p>
    <w:p>
      <w:pPr>
        <w:spacing w:line="360" w:lineRule="auto"/>
        <w:ind w:firstLine="480" w:firstLineChars="200"/>
        <w:rPr>
          <w:rFonts w:hAnsi="宋体" w:cs="宋体"/>
          <w:highlight w:val="none"/>
        </w:rPr>
      </w:pPr>
      <w:r>
        <w:rPr>
          <w:rFonts w:hint="eastAsia" w:hAnsi="宋体" w:cs="宋体"/>
          <w:highlight w:val="none"/>
          <w:shd w:val="clear" w:color="auto" w:fill="FFFFFF"/>
        </w:rPr>
        <w:t>因本合同引起的或与本合同有关的任何争议，</w:t>
      </w:r>
      <w:r>
        <w:rPr>
          <w:rFonts w:hint="eastAsia" w:hAnsi="宋体" w:cs="宋体"/>
          <w:highlight w:val="none"/>
        </w:rPr>
        <w:t>双方可通过友好协商解决。友好协商解决不成的，可在专用合同条款中约定下列一种方式解决：</w:t>
      </w:r>
    </w:p>
    <w:p>
      <w:pPr>
        <w:spacing w:line="360" w:lineRule="auto"/>
        <w:ind w:firstLine="480" w:firstLineChars="200"/>
        <w:rPr>
          <w:rFonts w:hAnsi="宋体" w:cs="宋体"/>
          <w:highlight w:val="none"/>
        </w:rPr>
      </w:pPr>
      <w:r>
        <w:rPr>
          <w:rFonts w:hint="eastAsia" w:hAnsi="宋体" w:cs="宋体"/>
          <w:highlight w:val="none"/>
        </w:rPr>
        <w:t>（1）向约定的仲裁委员会申请仲裁；</w:t>
      </w:r>
    </w:p>
    <w:p>
      <w:pPr>
        <w:spacing w:line="360" w:lineRule="auto"/>
        <w:ind w:firstLine="480" w:firstLineChars="200"/>
        <w:rPr>
          <w:rFonts w:hAnsi="宋体" w:cs="宋体"/>
          <w:highlight w:val="none"/>
        </w:rPr>
      </w:pPr>
      <w:r>
        <w:rPr>
          <w:rFonts w:hint="eastAsia" w:hAnsi="宋体" w:cs="宋体"/>
          <w:highlight w:val="none"/>
        </w:rPr>
        <w:t>（2）向有管辖权的人民法院提起诉讼。</w:t>
      </w:r>
    </w:p>
    <w:p>
      <w:pPr>
        <w:spacing w:line="360" w:lineRule="auto"/>
        <w:ind w:firstLine="480" w:firstLineChars="200"/>
        <w:rPr>
          <w:szCs w:val="21"/>
          <w:highlight w:val="none"/>
        </w:rPr>
      </w:pPr>
      <w:r>
        <w:rPr>
          <w:szCs w:val="21"/>
          <w:highlight w:val="none"/>
        </w:rPr>
        <w:br w:type="page"/>
      </w:r>
    </w:p>
    <w:p>
      <w:pPr>
        <w:pStyle w:val="3"/>
        <w:spacing w:before="0" w:after="0" w:line="360" w:lineRule="auto"/>
        <w:ind w:firstLine="640" w:firstLineChars="200"/>
        <w:jc w:val="center"/>
        <w:rPr>
          <w:rFonts w:ascii="Times New Roman" w:hAnsi="Times New Roman"/>
          <w:b w:val="0"/>
          <w:highlight w:val="none"/>
        </w:rPr>
      </w:pPr>
      <w:bookmarkStart w:id="694" w:name="_Toc140069433"/>
      <w:bookmarkStart w:id="695" w:name="_Toc501460712"/>
      <w:bookmarkStart w:id="696" w:name="_Toc26556"/>
      <w:bookmarkStart w:id="697" w:name="_Toc152045767"/>
      <w:bookmarkStart w:id="698" w:name="_Toc152042546"/>
      <w:bookmarkStart w:id="699" w:name="_Toc144974826"/>
      <w:bookmarkStart w:id="700" w:name="_Toc179632785"/>
      <w:r>
        <w:rPr>
          <w:rFonts w:ascii="Times New Roman" w:hAnsi="Times New Roman"/>
          <w:b w:val="0"/>
          <w:highlight w:val="none"/>
        </w:rPr>
        <w:t>第二节专用合同条款</w:t>
      </w:r>
      <w:bookmarkEnd w:id="694"/>
      <w:bookmarkEnd w:id="695"/>
      <w:bookmarkEnd w:id="696"/>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本《专用合同条款》是根据本项目特点对《通用合同条款》的具体补充和细化，如有不一致，以《专用合同条款》为准。</w:t>
      </w:r>
    </w:p>
    <w:p>
      <w:pPr>
        <w:spacing w:line="360" w:lineRule="auto"/>
        <w:ind w:firstLine="480" w:firstLineChars="200"/>
        <w:jc w:val="center"/>
        <w:outlineLvl w:val="2"/>
        <w:rPr>
          <w:rFonts w:eastAsia="黑体"/>
          <w:highlight w:val="none"/>
        </w:rPr>
      </w:pPr>
      <w:r>
        <w:rPr>
          <w:rFonts w:hint="eastAsia" w:eastAsia="黑体"/>
          <w:highlight w:val="none"/>
        </w:rPr>
        <w:t>专用合同条款数据表</w:t>
      </w:r>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说明：本数据表是项目专用合同条款中适用于本项目的信息和数据的归纳与提示，是项目专用合同条款的组成部分。</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pPr>
              <w:snapToGrid w:val="0"/>
              <w:spacing w:line="360" w:lineRule="auto"/>
              <w:ind w:left="-120" w:leftChars="-50" w:right="-120" w:rightChars="-50"/>
              <w:jc w:val="center"/>
              <w:rPr>
                <w:rFonts w:hAnsi="宋体" w:cs="宋体"/>
                <w:highlight w:val="none"/>
              </w:rPr>
            </w:pPr>
            <w:r>
              <w:rPr>
                <w:rFonts w:hint="eastAsia" w:hAnsi="宋体" w:cs="宋体"/>
                <w:highlight w:val="none"/>
              </w:rPr>
              <w:t>序号</w:t>
            </w:r>
          </w:p>
        </w:tc>
        <w:tc>
          <w:tcPr>
            <w:tcW w:w="1111" w:type="dxa"/>
            <w:vAlign w:val="center"/>
          </w:tcPr>
          <w:p>
            <w:pPr>
              <w:snapToGrid w:val="0"/>
              <w:spacing w:line="360" w:lineRule="auto"/>
              <w:ind w:left="-120" w:leftChars="-50" w:right="-120" w:rightChars="-50"/>
              <w:jc w:val="center"/>
              <w:rPr>
                <w:rFonts w:hAnsi="宋体" w:cs="宋体"/>
                <w:highlight w:val="none"/>
              </w:rPr>
            </w:pPr>
            <w:r>
              <w:rPr>
                <w:rFonts w:hint="eastAsia" w:hAnsi="宋体" w:cs="宋体"/>
                <w:highlight w:val="none"/>
              </w:rPr>
              <w:t>条目号</w:t>
            </w:r>
          </w:p>
        </w:tc>
        <w:tc>
          <w:tcPr>
            <w:tcW w:w="7304" w:type="dxa"/>
            <w:vAlign w:val="center"/>
          </w:tcPr>
          <w:p>
            <w:pPr>
              <w:snapToGrid w:val="0"/>
              <w:spacing w:line="360" w:lineRule="auto"/>
              <w:jc w:val="center"/>
              <w:rPr>
                <w:rFonts w:hAnsi="宋体" w:cs="宋体"/>
                <w:highlight w:val="none"/>
              </w:rPr>
            </w:pPr>
            <w:r>
              <w:rPr>
                <w:rFonts w:hint="eastAsia" w:hAnsi="宋体" w:cs="宋体"/>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3.2.1</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预付款</w:t>
            </w:r>
          </w:p>
          <w:p>
            <w:pPr>
              <w:snapToGrid w:val="0"/>
              <w:spacing w:line="360" w:lineRule="auto"/>
              <w:rPr>
                <w:rFonts w:hAnsi="宋体" w:cs="宋体"/>
                <w:bCs/>
                <w:highlight w:val="none"/>
              </w:rPr>
            </w:pPr>
            <w:r>
              <w:rPr>
                <w:rFonts w:hint="eastAsia" w:hAnsi="宋体" w:cs="宋体"/>
                <w:bCs/>
                <w:highlight w:val="none"/>
              </w:rPr>
              <w:t>支付时间：</w:t>
            </w:r>
            <w:r>
              <w:rPr>
                <w:rFonts w:hint="eastAsia" w:hAnsi="宋体" w:cs="宋体"/>
                <w:bCs/>
                <w:highlight w:val="none"/>
                <w:u w:val="single"/>
              </w:rPr>
              <w:t>合同、担保措施生效以及具备实施条件后28日内支付给承包人</w:t>
            </w:r>
            <w:r>
              <w:rPr>
                <w:rFonts w:hint="eastAsia" w:hAnsi="宋体" w:cs="宋体"/>
                <w:bCs/>
                <w:highlight w:val="none"/>
              </w:rPr>
              <w:t>；</w:t>
            </w:r>
          </w:p>
          <w:p>
            <w:pPr>
              <w:snapToGrid w:val="0"/>
              <w:spacing w:line="360" w:lineRule="auto"/>
              <w:rPr>
                <w:rFonts w:hAnsi="宋体" w:cs="宋体"/>
                <w:bCs/>
                <w:highlight w:val="none"/>
              </w:rPr>
            </w:pPr>
            <w:r>
              <w:rPr>
                <w:rFonts w:hint="eastAsia" w:hAnsi="宋体" w:cs="宋体"/>
                <w:bCs/>
                <w:highlight w:val="none"/>
              </w:rPr>
              <w:t>支付比例或金额：</w:t>
            </w:r>
            <w:r>
              <w:rPr>
                <w:rFonts w:hint="eastAsia" w:hAnsi="宋体" w:cs="宋体"/>
                <w:bCs/>
                <w:highlight w:val="none"/>
                <w:u w:val="single"/>
              </w:rPr>
              <w:t>签约合同价（不含暂列金）的</w:t>
            </w:r>
            <w:r>
              <w:rPr>
                <w:rFonts w:hint="eastAsia" w:hAnsi="宋体" w:cs="宋体"/>
                <w:bCs/>
                <w:highlight w:val="none"/>
                <w:u w:val="single"/>
                <w:lang w:val="en-US" w:eastAsia="zh-CN"/>
              </w:rPr>
              <w:t>3</w:t>
            </w:r>
            <w:r>
              <w:rPr>
                <w:rFonts w:hint="eastAsia" w:hAnsi="宋体" w:cs="宋体"/>
                <w:bCs/>
                <w:highlight w:val="none"/>
                <w:u w:val="single"/>
              </w:rPr>
              <w:t xml:space="preserve">0% </w:t>
            </w:r>
            <w:r>
              <w:rPr>
                <w:rFonts w:hint="eastAsia" w:hAnsi="宋体" w:cs="宋体"/>
                <w:bCs/>
                <w:highlight w:val="none"/>
              </w:rPr>
              <w:t>；</w:t>
            </w:r>
          </w:p>
          <w:p>
            <w:pPr>
              <w:snapToGrid w:val="0"/>
              <w:spacing w:line="360" w:lineRule="auto"/>
              <w:rPr>
                <w:rFonts w:hAnsi="宋体" w:cs="宋体"/>
                <w:bCs/>
                <w:highlight w:val="none"/>
              </w:rPr>
            </w:pPr>
            <w:r>
              <w:rPr>
                <w:rFonts w:hint="eastAsia" w:hAnsi="宋体" w:cs="宋体"/>
                <w:bCs/>
                <w:highlight w:val="none"/>
              </w:rPr>
              <w:t>支付单据：</w:t>
            </w:r>
            <w:r>
              <w:rPr>
                <w:rFonts w:hint="eastAsia" w:hAnsi="宋体" w:cs="宋体"/>
                <w:bCs/>
                <w:highlight w:val="none"/>
                <w:u w:val="single"/>
              </w:rPr>
              <w:t>承包人应提交银行、保险公司、担保公司等金融机构出具的预付款保函或其他担保措施;如承包人在签订合同时书面明确表示无需预付款的,可不提供预付款保函或其他担保措施，发包人将按照合同约定根据实际工程量按月支付工程款项</w:t>
            </w:r>
            <w:r>
              <w:rPr>
                <w:rFonts w:hint="eastAsia" w:hAnsi="宋体" w:cs="宋体"/>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8.1</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合同设备整体质量保证期：</w:t>
            </w:r>
            <w:r>
              <w:rPr>
                <w:rFonts w:hint="eastAsia" w:hAnsi="宋体" w:cs="宋体"/>
                <w:bCs/>
                <w:highlight w:val="none"/>
                <w:u w:val="single"/>
              </w:rPr>
              <w:t xml:space="preserve"> </w:t>
            </w:r>
            <w:r>
              <w:rPr>
                <w:rFonts w:hint="eastAsia" w:hAnsi="宋体" w:cs="宋体"/>
                <w:bCs/>
                <w:highlight w:val="none"/>
                <w:u w:val="single"/>
                <w:lang w:val="en-US" w:eastAsia="zh-CN"/>
              </w:rPr>
              <w:t>24</w:t>
            </w:r>
            <w:r>
              <w:rPr>
                <w:rFonts w:hint="eastAsia" w:hAnsi="宋体" w:cs="宋体"/>
                <w:bCs/>
                <w:highlight w:val="none"/>
                <w:u w:val="single"/>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10</w:t>
            </w:r>
          </w:p>
        </w:tc>
        <w:tc>
          <w:tcPr>
            <w:tcW w:w="7304" w:type="dxa"/>
            <w:vAlign w:val="center"/>
          </w:tcPr>
          <w:p>
            <w:pPr>
              <w:snapToGrid w:val="0"/>
              <w:spacing w:line="360" w:lineRule="auto"/>
              <w:rPr>
                <w:rFonts w:hAnsi="宋体" w:cs="宋体"/>
                <w:bCs/>
                <w:highlight w:val="none"/>
                <w:u w:val="single"/>
              </w:rPr>
            </w:pPr>
            <w:r>
              <w:rPr>
                <w:rFonts w:hint="eastAsia" w:hAnsi="宋体" w:cs="宋体"/>
                <w:bCs/>
                <w:highlight w:val="none"/>
              </w:rPr>
              <w:t>履约保证金：</w:t>
            </w:r>
            <w:r>
              <w:rPr>
                <w:rFonts w:hint="eastAsia" w:hAnsi="宋体" w:cs="宋体"/>
                <w:bCs/>
                <w:highlight w:val="none"/>
                <w:u w:val="single"/>
              </w:rPr>
              <w:t xml:space="preserve">  见投标人须知前附表。</w:t>
            </w:r>
          </w:p>
          <w:p>
            <w:pPr>
              <w:snapToGrid w:val="0"/>
              <w:spacing w:line="360" w:lineRule="auto"/>
              <w:rPr>
                <w:rFonts w:hAnsi="宋体" w:cs="宋体"/>
                <w:bCs/>
                <w:highlight w:val="none"/>
                <w:u w:val="single"/>
              </w:rPr>
            </w:pPr>
            <w:r>
              <w:rPr>
                <w:rFonts w:hint="eastAsia" w:hAnsi="宋体" w:cs="宋体"/>
                <w:bCs/>
                <w:highlight w:val="none"/>
              </w:rPr>
              <w:t>履约保证金的形式：</w:t>
            </w:r>
            <w:r>
              <w:rPr>
                <w:rFonts w:hint="eastAsia" w:hAnsi="宋体" w:cs="宋体"/>
                <w:bCs/>
                <w:highlight w:val="none"/>
                <w:u w:val="single"/>
              </w:rPr>
              <w:t xml:space="preserve"> 见投标人须知前附表。 </w:t>
            </w:r>
          </w:p>
          <w:p>
            <w:pPr>
              <w:snapToGrid w:val="0"/>
              <w:spacing w:line="360" w:lineRule="auto"/>
              <w:rPr>
                <w:rFonts w:hAnsi="宋体" w:cs="宋体"/>
                <w:bCs/>
                <w:highlight w:val="none"/>
                <w:u w:val="single"/>
              </w:rPr>
            </w:pPr>
            <w:r>
              <w:rPr>
                <w:rFonts w:hint="eastAsia" w:hAnsi="宋体" w:cs="宋体"/>
                <w:bCs/>
                <w:highlight w:val="none"/>
              </w:rPr>
              <w:t>履约保证金的金额：</w:t>
            </w:r>
            <w:r>
              <w:rPr>
                <w:rFonts w:hint="eastAsia" w:hAnsi="宋体" w:cs="宋体"/>
                <w:bCs/>
                <w:highlight w:val="none"/>
                <w:u w:val="single"/>
              </w:rPr>
              <w:t xml:space="preserve">见投标人须知前附表。 </w:t>
            </w:r>
          </w:p>
          <w:p>
            <w:pPr>
              <w:snapToGrid w:val="0"/>
              <w:spacing w:line="360" w:lineRule="auto"/>
              <w:rPr>
                <w:rFonts w:hAnsi="宋体" w:cs="宋体"/>
                <w:bCs/>
                <w:highlight w:val="none"/>
                <w:u w:val="single"/>
              </w:rPr>
            </w:pPr>
            <w:r>
              <w:rPr>
                <w:rFonts w:hint="eastAsia" w:hAnsi="宋体" w:cs="宋体"/>
                <w:highlight w:val="none"/>
              </w:rPr>
              <w:t>履约保证金</w:t>
            </w:r>
            <w:r>
              <w:rPr>
                <w:rFonts w:hint="eastAsia" w:hAnsi="宋体" w:cs="宋体"/>
                <w:bCs/>
                <w:highlight w:val="none"/>
              </w:rPr>
              <w:t>的期限：</w:t>
            </w:r>
            <w:r>
              <w:rPr>
                <w:rFonts w:hint="eastAsia" w:hAnsi="宋体" w:cs="宋体"/>
                <w:bCs/>
                <w:highlight w:val="none"/>
                <w:u w:val="single"/>
              </w:rPr>
              <w:t>履约保证金自合同生效之日起生效，在合同货物验收证书或验收款支付函签署之日起 28 日后失效。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项目负责人</w:t>
            </w:r>
          </w:p>
          <w:p>
            <w:pPr>
              <w:snapToGrid w:val="0"/>
              <w:spacing w:line="360" w:lineRule="auto"/>
              <w:rPr>
                <w:rFonts w:hAnsi="宋体" w:cs="宋体"/>
                <w:bCs/>
                <w:highlight w:val="none"/>
              </w:rPr>
            </w:pPr>
            <w:r>
              <w:rPr>
                <w:rFonts w:hint="eastAsia" w:hAnsi="宋体" w:cs="宋体"/>
                <w:bCs/>
                <w:highlight w:val="none"/>
              </w:rPr>
              <w:t>姓    名：</w:t>
            </w:r>
          </w:p>
          <w:p>
            <w:pPr>
              <w:snapToGrid w:val="0"/>
              <w:spacing w:line="360" w:lineRule="auto"/>
              <w:rPr>
                <w:rFonts w:hAnsi="宋体" w:cs="宋体"/>
                <w:bCs/>
                <w:highlight w:val="none"/>
              </w:rPr>
            </w:pPr>
            <w:r>
              <w:rPr>
                <w:rFonts w:hint="eastAsia" w:hAnsi="宋体" w:cs="宋体"/>
                <w:bCs/>
                <w:highlight w:val="none"/>
              </w:rPr>
              <w:t>身份证号：</w:t>
            </w:r>
          </w:p>
          <w:p>
            <w:pPr>
              <w:snapToGrid w:val="0"/>
              <w:spacing w:line="360" w:lineRule="auto"/>
              <w:rPr>
                <w:rFonts w:hAnsi="宋体" w:cs="宋体"/>
                <w:bCs/>
                <w:highlight w:val="none"/>
              </w:rPr>
            </w:pPr>
            <w:r>
              <w:rPr>
                <w:rFonts w:hint="eastAsia" w:hAnsi="宋体" w:cs="宋体"/>
                <w:bCs/>
                <w:highlight w:val="none"/>
              </w:rPr>
              <w:t>执业资格等级：</w:t>
            </w:r>
          </w:p>
          <w:p>
            <w:pPr>
              <w:snapToGrid w:val="0"/>
              <w:spacing w:line="360" w:lineRule="auto"/>
              <w:rPr>
                <w:rFonts w:hAnsi="宋体" w:cs="宋体"/>
                <w:bCs/>
                <w:highlight w:val="none"/>
              </w:rPr>
            </w:pPr>
            <w:r>
              <w:rPr>
                <w:rFonts w:hint="eastAsia" w:hAnsi="宋体" w:cs="宋体"/>
                <w:bCs/>
                <w:highlight w:val="none"/>
              </w:rPr>
              <w:t>注册证书号：</w:t>
            </w:r>
          </w:p>
        </w:tc>
      </w:tr>
    </w:tbl>
    <w:p>
      <w:pPr>
        <w:pStyle w:val="20"/>
        <w:spacing w:line="360" w:lineRule="auto"/>
        <w:ind w:firstLine="420"/>
        <w:rPr>
          <w:rFonts w:ascii="Times New Roman" w:hAnsi="Times New Roman" w:cs="宋体"/>
          <w:snapToGrid w:val="0"/>
          <w:sz w:val="21"/>
          <w:szCs w:val="21"/>
          <w:highlight w:val="none"/>
        </w:rPr>
      </w:pPr>
    </w:p>
    <w:p>
      <w:pPr>
        <w:pStyle w:val="4"/>
        <w:spacing w:before="0" w:after="0"/>
        <w:ind w:left="240" w:leftChars="100"/>
        <w:rPr>
          <w:rFonts w:cs="黑体"/>
          <w:bCs w:val="0"/>
          <w:highlight w:val="none"/>
        </w:rPr>
      </w:pPr>
      <w:bookmarkStart w:id="701" w:name="_Toc26700665"/>
      <w:bookmarkStart w:id="702" w:name="_Toc24965165"/>
      <w:bookmarkStart w:id="703" w:name="_Toc26721399"/>
      <w:bookmarkStart w:id="704" w:name="_Toc15753921"/>
      <w:bookmarkStart w:id="705" w:name="_Toc26700495"/>
      <w:bookmarkStart w:id="706" w:name="_Toc17100685"/>
      <w:bookmarkStart w:id="707" w:name="_Toc392227867"/>
      <w:bookmarkStart w:id="708" w:name="_Toc26721554"/>
      <w:r>
        <w:rPr>
          <w:rFonts w:hint="eastAsia" w:cs="黑体"/>
          <w:bCs w:val="0"/>
          <w:highlight w:val="none"/>
        </w:rPr>
        <w:t>1. 一般约定</w:t>
      </w:r>
      <w:bookmarkEnd w:id="701"/>
      <w:bookmarkEnd w:id="702"/>
      <w:bookmarkEnd w:id="703"/>
      <w:bookmarkEnd w:id="704"/>
      <w:bookmarkEnd w:id="705"/>
      <w:bookmarkEnd w:id="706"/>
      <w:bookmarkEnd w:id="707"/>
      <w:bookmarkEnd w:id="708"/>
    </w:p>
    <w:p>
      <w:pPr>
        <w:pStyle w:val="5"/>
        <w:spacing w:before="0" w:after="0"/>
        <w:rPr>
          <w:rFonts w:ascii="黑体" w:hAnsi="黑体" w:cs="黑体"/>
          <w:szCs w:val="24"/>
          <w:highlight w:val="none"/>
        </w:rPr>
      </w:pPr>
      <w:bookmarkStart w:id="709" w:name="_Toc392227868"/>
      <w:r>
        <w:rPr>
          <w:rFonts w:hint="eastAsia" w:ascii="黑体" w:hAnsi="黑体" w:cs="黑体"/>
          <w:szCs w:val="24"/>
          <w:highlight w:val="none"/>
        </w:rPr>
        <w:t>1.1 词语定义</w:t>
      </w:r>
      <w:bookmarkEnd w:id="709"/>
    </w:p>
    <w:p>
      <w:pPr>
        <w:spacing w:line="360" w:lineRule="auto"/>
        <w:ind w:firstLine="480" w:firstLineChars="200"/>
        <w:rPr>
          <w:rFonts w:hAnsi="宋体" w:cs="宋体"/>
          <w:highlight w:val="none"/>
        </w:rPr>
      </w:pPr>
      <w:r>
        <w:rPr>
          <w:rFonts w:hint="eastAsia" w:hAnsi="宋体" w:cs="宋体"/>
          <w:highlight w:val="none"/>
        </w:rPr>
        <w:t>1.1.1 合同</w:t>
      </w:r>
    </w:p>
    <w:p>
      <w:pPr>
        <w:spacing w:line="360" w:lineRule="auto"/>
        <w:ind w:firstLine="480" w:firstLineChars="200"/>
        <w:rPr>
          <w:rFonts w:hAnsi="宋体" w:cs="宋体"/>
          <w:highlight w:val="none"/>
        </w:rPr>
      </w:pPr>
      <w:r>
        <w:rPr>
          <w:rFonts w:hint="eastAsia" w:hAnsi="宋体" w:cs="宋体"/>
          <w:highlight w:val="none"/>
        </w:rPr>
        <w:t>1.1.1.10 其他合同文件：</w:t>
      </w:r>
      <w:r>
        <w:rPr>
          <w:rFonts w:hint="eastAsia" w:hAnsi="宋体" w:cs="宋体"/>
          <w:highlight w:val="none"/>
          <w:u w:val="single"/>
        </w:rPr>
        <w:t xml:space="preserve">指经合同双方当事人确认构成合同文件的其他文件。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1.1.13 工程</w:t>
      </w:r>
    </w:p>
    <w:p>
      <w:pPr>
        <w:spacing w:line="360" w:lineRule="auto"/>
        <w:ind w:firstLine="729" w:firstLineChars="304"/>
        <w:rPr>
          <w:rFonts w:hAnsi="宋体" w:cs="宋体"/>
          <w:highlight w:val="none"/>
        </w:rPr>
      </w:pPr>
      <w:r>
        <w:rPr>
          <w:rFonts w:hint="eastAsia" w:hAnsi="宋体" w:cs="宋体"/>
          <w:highlight w:val="none"/>
        </w:rPr>
        <w:t>1.1.13.1工程：。</w:t>
      </w:r>
    </w:p>
    <w:p>
      <w:pPr>
        <w:spacing w:line="360" w:lineRule="auto"/>
        <w:ind w:firstLine="729" w:firstLineChars="304"/>
        <w:rPr>
          <w:rFonts w:hAnsi="宋体" w:cs="宋体"/>
          <w:highlight w:val="none"/>
        </w:rPr>
      </w:pPr>
      <w:r>
        <w:rPr>
          <w:rFonts w:hint="eastAsia" w:hAnsi="宋体" w:cs="宋体"/>
          <w:highlight w:val="none"/>
        </w:rPr>
        <w:t xml:space="preserve">1.1.13.2 施工场地（或称工地、施工现场）：。 </w:t>
      </w:r>
    </w:p>
    <w:p>
      <w:pPr>
        <w:spacing w:line="360" w:lineRule="auto"/>
        <w:rPr>
          <w:rFonts w:hAnsi="宋体" w:cs="宋体"/>
          <w:highlight w:val="none"/>
        </w:rPr>
      </w:pPr>
      <w:r>
        <w:rPr>
          <w:rFonts w:hint="eastAsia" w:hAnsi="宋体" w:cs="宋体"/>
          <w:highlight w:val="none"/>
        </w:rPr>
        <w:t xml:space="preserve">    对通用合同条款中词语定义的不同约定： 。</w:t>
      </w:r>
    </w:p>
    <w:p>
      <w:pPr>
        <w:spacing w:line="360" w:lineRule="auto"/>
        <w:ind w:firstLine="137"/>
        <w:outlineLvl w:val="3"/>
        <w:rPr>
          <w:rFonts w:hAnsi="宋体" w:cs="宋体"/>
          <w:highlight w:val="none"/>
        </w:rPr>
      </w:pPr>
      <w:bookmarkStart w:id="710" w:name="_Toc392227869"/>
      <w:r>
        <w:rPr>
          <w:rFonts w:hint="eastAsia" w:hAnsi="宋体" w:cs="宋体"/>
          <w:highlight w:val="none"/>
        </w:rPr>
        <w:t>1.3 合同文件的优先顺序</w:t>
      </w:r>
      <w:bookmarkEnd w:id="710"/>
    </w:p>
    <w:p>
      <w:pPr>
        <w:spacing w:line="360" w:lineRule="auto"/>
        <w:ind w:firstLine="480" w:firstLineChars="200"/>
        <w:rPr>
          <w:rFonts w:hAnsi="宋体" w:cs="宋体"/>
          <w:highlight w:val="none"/>
        </w:rPr>
      </w:pPr>
      <w:r>
        <w:rPr>
          <w:rFonts w:hint="eastAsia" w:hAnsi="宋体" w:cs="宋体"/>
          <w:highlight w:val="none"/>
        </w:rPr>
        <w:t>解释合同文件的优先顺序：</w:t>
      </w:r>
      <w:r>
        <w:rPr>
          <w:rFonts w:hint="eastAsia" w:hAnsi="宋体" w:cs="宋体"/>
          <w:highlight w:val="none"/>
          <w:u w:val="single"/>
        </w:rPr>
        <w:t>1.本合同协议书；2.中标通知书；3.本合同专用条款及补充条款；4.招标文件；5.本合同通用条款；6.技术标准和要求；7.图纸；8.投标书及其附件；9.已标价工程量清单；10.其他合同文件。</w:t>
      </w:r>
      <w:r>
        <w:rPr>
          <w:rFonts w:hint="eastAsia" w:hAnsi="宋体" w:cs="宋体"/>
          <w:highlight w:val="none"/>
        </w:rPr>
        <w:t>。</w:t>
      </w:r>
    </w:p>
    <w:p>
      <w:pPr>
        <w:spacing w:line="360" w:lineRule="auto"/>
        <w:ind w:firstLine="137"/>
        <w:outlineLvl w:val="3"/>
        <w:rPr>
          <w:rFonts w:hAnsi="宋体" w:cs="宋体"/>
          <w:highlight w:val="none"/>
        </w:rPr>
      </w:pPr>
      <w:bookmarkStart w:id="711" w:name="_Toc392227870"/>
      <w:r>
        <w:rPr>
          <w:rFonts w:hint="eastAsia" w:hAnsi="宋体" w:cs="宋体"/>
          <w:highlight w:val="none"/>
        </w:rPr>
        <w:t>1.4 合同的生效及变更</w:t>
      </w:r>
      <w:bookmarkEnd w:id="711"/>
    </w:p>
    <w:p>
      <w:pPr>
        <w:spacing w:line="360" w:lineRule="auto"/>
        <w:ind w:firstLine="480" w:firstLineChars="200"/>
        <w:rPr>
          <w:rFonts w:hAnsi="宋体" w:cs="宋体"/>
          <w:highlight w:val="none"/>
        </w:rPr>
      </w:pPr>
      <w:r>
        <w:rPr>
          <w:rFonts w:hint="eastAsia" w:hAnsi="宋体" w:cs="宋体"/>
          <w:highlight w:val="none"/>
        </w:rPr>
        <w:t>1.4.1 合同生效条件：</w:t>
      </w:r>
      <w:r>
        <w:rPr>
          <w:rFonts w:hint="eastAsia" w:hAnsi="宋体" w:cs="宋体"/>
          <w:highlight w:val="none"/>
          <w:u w:val="single"/>
        </w:rPr>
        <w:t xml:space="preserve">双方签字并盖章后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1.4.2 合同变更的方式：</w:t>
      </w:r>
      <w:r>
        <w:rPr>
          <w:rFonts w:hint="eastAsia" w:hAnsi="宋体" w:cs="宋体"/>
          <w:highlight w:val="none"/>
          <w:u w:val="single"/>
        </w:rPr>
        <w:t>执行通用条款</w:t>
      </w:r>
      <w:r>
        <w:rPr>
          <w:rFonts w:hint="eastAsia" w:hAnsi="宋体" w:cs="宋体"/>
          <w:highlight w:val="none"/>
        </w:rPr>
        <w:t>。</w:t>
      </w:r>
    </w:p>
    <w:p>
      <w:pPr>
        <w:spacing w:line="360" w:lineRule="auto"/>
        <w:ind w:firstLine="137"/>
        <w:outlineLvl w:val="3"/>
        <w:rPr>
          <w:rFonts w:hAnsi="宋体" w:cs="宋体"/>
          <w:highlight w:val="none"/>
        </w:rPr>
      </w:pPr>
      <w:bookmarkStart w:id="712" w:name="_Toc392227871"/>
      <w:r>
        <w:rPr>
          <w:rFonts w:hint="eastAsia" w:hAnsi="宋体" w:cs="宋体"/>
          <w:highlight w:val="none"/>
        </w:rPr>
        <w:t>1.5 联络</w:t>
      </w:r>
      <w:bookmarkEnd w:id="712"/>
    </w:p>
    <w:p>
      <w:pPr>
        <w:spacing w:line="360" w:lineRule="auto"/>
        <w:ind w:firstLine="480" w:firstLineChars="200"/>
        <w:rPr>
          <w:rFonts w:hAnsi="宋体" w:cs="宋体"/>
          <w:highlight w:val="none"/>
          <w:u w:val="single"/>
        </w:rPr>
      </w:pPr>
      <w:r>
        <w:rPr>
          <w:rFonts w:hint="eastAsia" w:hAnsi="宋体" w:cs="宋体"/>
          <w:highlight w:val="none"/>
        </w:rPr>
        <w:t>买方指定的联系人和联系方式；</w:t>
      </w:r>
    </w:p>
    <w:p>
      <w:pPr>
        <w:spacing w:line="360" w:lineRule="auto"/>
        <w:ind w:firstLine="480" w:firstLineChars="200"/>
        <w:rPr>
          <w:rFonts w:hAnsi="宋体" w:cs="宋体"/>
          <w:highlight w:val="none"/>
        </w:rPr>
      </w:pPr>
      <w:r>
        <w:rPr>
          <w:rFonts w:hint="eastAsia" w:hAnsi="宋体" w:cs="宋体"/>
          <w:highlight w:val="none"/>
        </w:rPr>
        <w:t>卖方指定的联系人和联系方式。</w:t>
      </w:r>
    </w:p>
    <w:p>
      <w:pPr>
        <w:spacing w:line="360" w:lineRule="auto"/>
        <w:ind w:firstLine="137"/>
        <w:outlineLvl w:val="3"/>
        <w:rPr>
          <w:rFonts w:hAnsi="宋体" w:cs="宋体"/>
          <w:highlight w:val="none"/>
        </w:rPr>
      </w:pPr>
      <w:bookmarkStart w:id="713" w:name="_Toc392227872"/>
      <w:r>
        <w:rPr>
          <w:rFonts w:hint="eastAsia" w:hAnsi="宋体" w:cs="宋体"/>
          <w:highlight w:val="none"/>
        </w:rPr>
        <w:t>1.6 联合体</w:t>
      </w:r>
      <w:bookmarkEnd w:id="713"/>
    </w:p>
    <w:p>
      <w:pPr>
        <w:spacing w:line="360" w:lineRule="auto"/>
        <w:ind w:firstLine="480" w:firstLineChars="200"/>
        <w:rPr>
          <w:rFonts w:hAnsi="宋体" w:cs="宋体"/>
          <w:highlight w:val="none"/>
        </w:rPr>
      </w:pPr>
      <w:r>
        <w:rPr>
          <w:rFonts w:hint="eastAsia" w:hAnsi="宋体" w:cs="宋体"/>
          <w:highlight w:val="none"/>
        </w:rPr>
        <w:t>1.6.3 联合体各方对联合体牵头人的授权范围：。</w:t>
      </w:r>
    </w:p>
    <w:p>
      <w:pPr>
        <w:pStyle w:val="4"/>
        <w:spacing w:before="0" w:after="0"/>
        <w:ind w:left="240" w:leftChars="100"/>
        <w:rPr>
          <w:rFonts w:cs="黑体"/>
          <w:highlight w:val="none"/>
        </w:rPr>
      </w:pPr>
      <w:bookmarkStart w:id="714" w:name="_Toc15753922"/>
      <w:bookmarkStart w:id="715" w:name="_Toc26700496"/>
      <w:bookmarkStart w:id="716" w:name="_Toc24965166"/>
      <w:bookmarkStart w:id="717" w:name="_Toc26721555"/>
      <w:bookmarkStart w:id="718" w:name="_Toc17100686"/>
      <w:bookmarkStart w:id="719" w:name="_Toc392227873"/>
      <w:bookmarkStart w:id="720" w:name="_Toc26721400"/>
      <w:bookmarkStart w:id="721" w:name="_Toc26700666"/>
      <w:r>
        <w:rPr>
          <w:rFonts w:hint="eastAsia" w:cs="黑体"/>
          <w:highlight w:val="none"/>
        </w:rPr>
        <w:t>3. 合同价格与支付</w:t>
      </w:r>
      <w:bookmarkEnd w:id="714"/>
      <w:bookmarkEnd w:id="715"/>
      <w:bookmarkEnd w:id="716"/>
      <w:bookmarkEnd w:id="717"/>
      <w:bookmarkEnd w:id="718"/>
      <w:bookmarkEnd w:id="719"/>
      <w:bookmarkEnd w:id="720"/>
      <w:bookmarkEnd w:id="721"/>
    </w:p>
    <w:p>
      <w:pPr>
        <w:pStyle w:val="5"/>
        <w:spacing w:before="0" w:after="0"/>
        <w:rPr>
          <w:rFonts w:ascii="黑体" w:hAnsi="黑体" w:cs="黑体"/>
          <w:szCs w:val="24"/>
          <w:highlight w:val="none"/>
        </w:rPr>
      </w:pPr>
      <w:bookmarkStart w:id="722" w:name="_Toc392227874"/>
      <w:r>
        <w:rPr>
          <w:rFonts w:hint="eastAsia" w:ascii="黑体" w:hAnsi="黑体" w:cs="黑体"/>
          <w:szCs w:val="24"/>
          <w:highlight w:val="none"/>
        </w:rPr>
        <w:t>3.1 合同价格</w:t>
      </w:r>
      <w:bookmarkEnd w:id="722"/>
    </w:p>
    <w:p>
      <w:pPr>
        <w:spacing w:line="360" w:lineRule="auto"/>
        <w:ind w:firstLine="480" w:firstLineChars="200"/>
        <w:rPr>
          <w:rFonts w:hAnsi="宋体" w:cs="宋体"/>
          <w:highlight w:val="none"/>
        </w:rPr>
      </w:pPr>
      <w:r>
        <w:rPr>
          <w:rFonts w:hint="eastAsia" w:hAnsi="宋体" w:cs="宋体"/>
          <w:highlight w:val="none"/>
        </w:rPr>
        <w:t xml:space="preserve">3.1.2合同价格形式： </w:t>
      </w:r>
      <w:r>
        <w:rPr>
          <w:rFonts w:hint="eastAsia" w:hAnsi="宋体" w:cs="宋体"/>
          <w:highlight w:val="none"/>
          <w:u w:val="single"/>
        </w:rPr>
        <w:t xml:space="preserve">  </w:t>
      </w:r>
      <w:r>
        <w:rPr>
          <w:rFonts w:hint="eastAsia" w:ascii="MS Mincho" w:hAnsi="MS Mincho" w:eastAsia="MS Mincho" w:cs="MS Mincho"/>
          <w:highlight w:val="none"/>
          <w:u w:val="single"/>
        </w:rPr>
        <w:t>☑</w:t>
      </w:r>
      <w:r>
        <w:rPr>
          <w:rFonts w:hint="eastAsia" w:hAnsi="宋体" w:cs="宋体"/>
          <w:highlight w:val="none"/>
          <w:u w:val="single"/>
        </w:rPr>
        <w:t xml:space="preserve">固定价格  □可调价格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采用可调价格合同时，采用以下第种方式对合同价格进行调整：</w:t>
      </w:r>
    </w:p>
    <w:p>
      <w:pPr>
        <w:adjustRightInd w:val="0"/>
        <w:spacing w:line="360" w:lineRule="auto"/>
        <w:ind w:firstLine="480" w:firstLineChars="200"/>
        <w:rPr>
          <w:rFonts w:hAnsi="宋体" w:cs="宋体"/>
          <w:highlight w:val="none"/>
        </w:rPr>
      </w:pPr>
      <w:r>
        <w:rPr>
          <w:rFonts w:hint="eastAsia" w:hAnsi="宋体" w:cs="宋体"/>
          <w:highlight w:val="none"/>
        </w:rPr>
        <w:t>第1种方式：</w:t>
      </w:r>
    </w:p>
    <w:p>
      <w:pPr>
        <w:adjustRightInd w:val="0"/>
        <w:spacing w:line="360" w:lineRule="auto"/>
        <w:ind w:firstLine="480" w:firstLineChars="200"/>
        <w:rPr>
          <w:rFonts w:hAnsi="宋体" w:cs="宋体"/>
          <w:highlight w:val="none"/>
        </w:rPr>
      </w:pPr>
      <w:r>
        <w:rPr>
          <w:rFonts w:hint="eastAsia" w:hAnsi="宋体" w:cs="宋体"/>
          <w:highlight w:val="none"/>
        </w:rPr>
        <w:t>（1）关于基准价格的约定：。</w:t>
      </w:r>
    </w:p>
    <w:p>
      <w:pPr>
        <w:adjustRightInd w:val="0"/>
        <w:spacing w:line="360" w:lineRule="auto"/>
        <w:ind w:firstLine="480" w:firstLineChars="200"/>
        <w:rPr>
          <w:rFonts w:hAnsi="宋体" w:cs="宋体"/>
          <w:highlight w:val="none"/>
        </w:rPr>
      </w:pPr>
      <w:r>
        <w:rPr>
          <w:rFonts w:hint="eastAsia" w:hAnsi="宋体" w:cs="宋体"/>
          <w:highlight w:val="none"/>
        </w:rPr>
        <w:t>①卖方在分项报价表中载明的货物单价低于基准价格的：专用合同条款合同履行期间货物单价涨幅以基准价格为基础超过%时，或货物单价跌幅以分项报价表中载明货物单价为基础超过%时，其超过部分据实调整。</w:t>
      </w:r>
    </w:p>
    <w:p>
      <w:pPr>
        <w:adjustRightInd w:val="0"/>
        <w:spacing w:line="360" w:lineRule="auto"/>
        <w:ind w:firstLine="480" w:firstLineChars="200"/>
        <w:rPr>
          <w:rFonts w:hAnsi="宋体" w:cs="宋体"/>
          <w:highlight w:val="none"/>
        </w:rPr>
      </w:pPr>
      <w:r>
        <w:rPr>
          <w:rFonts w:hint="eastAsia" w:hAnsi="宋体" w:cs="宋体"/>
          <w:highlight w:val="none"/>
        </w:rPr>
        <w:t>②卖方在分项报价表中载明的货物单价高于基准价格的：专用合同条款合同履行期间货物单价跌幅以基准价格为基础超过%时，货物单价涨幅以分项报价表中载明货物单价为基础超过%时，其超过部分据实调整。</w:t>
      </w:r>
    </w:p>
    <w:p>
      <w:pPr>
        <w:adjustRightInd w:val="0"/>
        <w:spacing w:line="360" w:lineRule="auto"/>
        <w:ind w:firstLine="480" w:firstLineChars="200"/>
        <w:rPr>
          <w:rFonts w:hAnsi="宋体" w:cs="宋体"/>
          <w:highlight w:val="none"/>
        </w:rPr>
      </w:pPr>
      <w:r>
        <w:rPr>
          <w:rFonts w:hint="eastAsia" w:hAnsi="宋体" w:cs="宋体"/>
          <w:highlight w:val="none"/>
        </w:rPr>
        <w:t>③卖方在分项报价表中载明的货物单价等于基准单价的：专用合同条款合同履行期间货物单价涨跌幅以基准单价为基础超过±%时，其超过部分据实调整。</w:t>
      </w:r>
    </w:p>
    <w:p>
      <w:pPr>
        <w:spacing w:line="360" w:lineRule="auto"/>
        <w:ind w:firstLine="480" w:firstLineChars="200"/>
        <w:rPr>
          <w:rFonts w:hAnsi="宋体" w:cs="宋体"/>
          <w:highlight w:val="none"/>
        </w:rPr>
      </w:pPr>
      <w:r>
        <w:rPr>
          <w:rFonts w:hint="eastAsia" w:hAnsi="宋体" w:cs="宋体"/>
          <w:highlight w:val="none"/>
        </w:rPr>
        <w:t>第2种方式：。</w:t>
      </w:r>
    </w:p>
    <w:p>
      <w:pPr>
        <w:pStyle w:val="5"/>
        <w:spacing w:before="0" w:after="0"/>
        <w:rPr>
          <w:rFonts w:ascii="黑体" w:hAnsi="黑体" w:cs="黑体"/>
          <w:szCs w:val="24"/>
          <w:highlight w:val="none"/>
        </w:rPr>
      </w:pPr>
      <w:bookmarkStart w:id="723" w:name="_Toc392227875"/>
      <w:r>
        <w:rPr>
          <w:rFonts w:hint="eastAsia" w:ascii="黑体" w:hAnsi="黑体" w:cs="黑体"/>
          <w:szCs w:val="24"/>
          <w:highlight w:val="none"/>
        </w:rPr>
        <w:t>3.2 合同价款的支付</w:t>
      </w:r>
      <w:bookmarkEnd w:id="723"/>
    </w:p>
    <w:p>
      <w:pPr>
        <w:spacing w:line="360" w:lineRule="auto"/>
        <w:ind w:firstLine="480" w:firstLineChars="200"/>
        <w:rPr>
          <w:rFonts w:hAnsi="宋体" w:cs="宋体"/>
          <w:highlight w:val="none"/>
        </w:rPr>
      </w:pPr>
      <w:r>
        <w:rPr>
          <w:rFonts w:hint="eastAsia" w:hAnsi="宋体" w:cs="宋体"/>
          <w:highlight w:val="none"/>
        </w:rPr>
        <w:t>买方应通过以下方式和比例向卖方支付合同价款：</w:t>
      </w:r>
    </w:p>
    <w:p>
      <w:pPr>
        <w:spacing w:line="360" w:lineRule="auto"/>
        <w:ind w:firstLine="480" w:firstLineChars="200"/>
        <w:rPr>
          <w:rFonts w:hAnsi="宋体" w:cs="宋体"/>
          <w:highlight w:val="none"/>
        </w:rPr>
      </w:pPr>
      <w:r>
        <w:rPr>
          <w:rFonts w:hint="eastAsia" w:hAnsi="宋体" w:cs="宋体"/>
          <w:highlight w:val="none"/>
        </w:rPr>
        <w:t>3.2.1 预付款</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3.2.2 交货款 </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3.2.3 验收款 </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3.2.4结清款</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jc w:val="left"/>
        <w:rPr>
          <w:rFonts w:hAnsi="宋体" w:cs="宋体"/>
          <w:highlight w:val="none"/>
        </w:rPr>
      </w:pPr>
      <w:r>
        <w:rPr>
          <w:rFonts w:hint="eastAsia" w:hAnsi="宋体" w:cs="宋体"/>
          <w:highlight w:val="none"/>
        </w:rPr>
        <w:t>在不适用通用合同条款所约定的支付方式时，其他支付方式的约定：</w:t>
      </w:r>
      <w:bookmarkStart w:id="724" w:name="_Toc392227876"/>
      <w:bookmarkStart w:id="725" w:name="_Toc17100687"/>
      <w:bookmarkStart w:id="726" w:name="_Toc26700497"/>
      <w:bookmarkStart w:id="727" w:name="_Toc26721401"/>
      <w:bookmarkStart w:id="728" w:name="_Toc26700667"/>
      <w:bookmarkStart w:id="729" w:name="_Toc26721556"/>
      <w:bookmarkStart w:id="730" w:name="_Toc15753923"/>
      <w:bookmarkStart w:id="731" w:name="_Toc24965167"/>
      <w:bookmarkStart w:id="732" w:name="_Toc392346758"/>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主要设备全部进场付至合同价的 80%，工程完工后付至合同价款的 90%，工程竣工验收合格后（以竣工验收备案为准）付清余款。</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如中标人采用现金或银行保函或保证保险</w:t>
      </w:r>
      <w:r>
        <w:rPr>
          <w:rFonts w:hint="eastAsia" w:hAnsi="宋体" w:cs="宋体"/>
          <w:highlight w:val="none"/>
          <w:lang w:val="en-US" w:eastAsia="zh-CN"/>
        </w:rPr>
        <w:t>或电子保函</w:t>
      </w:r>
      <w:r>
        <w:rPr>
          <w:rFonts w:hint="eastAsia" w:ascii="宋体" w:hAnsi="宋体" w:eastAsia="宋体" w:cs="宋体"/>
          <w:highlight w:val="none"/>
        </w:rPr>
        <w:t>等方式提交等额余款，则在结算完成后招标人应付至最终结算价款的100%。以现金形式提交余款的（含从合同价款中以扣留方式提交的）同时退还银行同期活期存款利息。</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备注：中标人应提交银行、保险公司、担保公司等金融机构出具的预付款保函或其他担保措施;如中标人在签订合同时书面明确表示无需预付款的,可不提供预付款保函或其他担保措施，招标人将按照合同约定支付款项。</w:t>
      </w:r>
    </w:p>
    <w:p>
      <w:pPr>
        <w:spacing w:line="360" w:lineRule="auto"/>
        <w:ind w:firstLine="480" w:firstLineChars="200"/>
        <w:rPr>
          <w:rFonts w:cs="黑体"/>
          <w:highlight w:val="none"/>
        </w:rPr>
      </w:pPr>
      <w:r>
        <w:rPr>
          <w:rFonts w:hint="eastAsia" w:cs="黑体"/>
          <w:highlight w:val="none"/>
        </w:rPr>
        <w:t>4. 监造及交货前检验</w:t>
      </w:r>
      <w:bookmarkEnd w:id="724"/>
      <w:bookmarkEnd w:id="725"/>
      <w:bookmarkEnd w:id="726"/>
      <w:bookmarkEnd w:id="727"/>
      <w:bookmarkEnd w:id="728"/>
      <w:bookmarkEnd w:id="729"/>
      <w:bookmarkEnd w:id="730"/>
      <w:bookmarkEnd w:id="731"/>
    </w:p>
    <w:p>
      <w:pPr>
        <w:pStyle w:val="5"/>
        <w:spacing w:before="0" w:after="0"/>
        <w:rPr>
          <w:rFonts w:ascii="黑体" w:hAnsi="黑体" w:cs="黑体"/>
          <w:szCs w:val="24"/>
          <w:highlight w:val="none"/>
        </w:rPr>
      </w:pPr>
      <w:bookmarkStart w:id="733" w:name="_Toc392227877"/>
      <w:r>
        <w:rPr>
          <w:rFonts w:hint="eastAsia" w:ascii="黑体" w:hAnsi="黑体" w:cs="黑体"/>
          <w:szCs w:val="24"/>
          <w:highlight w:val="none"/>
        </w:rPr>
        <w:t>4.1 监造</w:t>
      </w:r>
      <w:bookmarkEnd w:id="733"/>
    </w:p>
    <w:p>
      <w:pPr>
        <w:spacing w:line="360" w:lineRule="auto"/>
        <w:ind w:firstLine="480" w:firstLineChars="200"/>
        <w:rPr>
          <w:rFonts w:hAnsi="宋体" w:cs="宋体"/>
          <w:highlight w:val="none"/>
        </w:rPr>
      </w:pPr>
      <w:r>
        <w:rPr>
          <w:rFonts w:hint="eastAsia" w:hAnsi="宋体" w:cs="宋体"/>
          <w:highlight w:val="none"/>
        </w:rPr>
        <w:t>买方是否对合同设备进行监造：</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4.1.1 监造范围、方式：</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4.1.2 监造场所及配合：</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     买方监造人员的交通、食宿费用承担：</w:t>
      </w:r>
      <w:r>
        <w:rPr>
          <w:rFonts w:hint="eastAsia" w:hAnsi="宋体" w:cs="宋体"/>
          <w:highlight w:val="none"/>
          <w:u w:val="single"/>
        </w:rPr>
        <w:t xml:space="preserve">      否       </w:t>
      </w:r>
      <w:r>
        <w:rPr>
          <w:rFonts w:hint="eastAsia" w:hAnsi="宋体" w:cs="宋体"/>
          <w:highlight w:val="none"/>
        </w:rPr>
        <w:t>。</w:t>
      </w:r>
    </w:p>
    <w:p>
      <w:pPr>
        <w:spacing w:line="360" w:lineRule="auto"/>
        <w:rPr>
          <w:rFonts w:hAnsi="宋体" w:cs="宋体"/>
          <w:highlight w:val="none"/>
        </w:rPr>
      </w:pPr>
      <w:r>
        <w:rPr>
          <w:rFonts w:hint="eastAsia" w:hAnsi="宋体" w:cs="宋体"/>
          <w:highlight w:val="none"/>
        </w:rPr>
        <w:t xml:space="preserve">    4.1.3 卖方提前通知买方监造的期限的约定：</w:t>
      </w:r>
      <w:r>
        <w:rPr>
          <w:rFonts w:hint="eastAsia" w:hAnsi="宋体" w:cs="宋体"/>
          <w:highlight w:val="none"/>
          <w:u w:val="single"/>
        </w:rPr>
        <w:t xml:space="preserve">     否        </w:t>
      </w:r>
      <w:r>
        <w:rPr>
          <w:rFonts w:hint="eastAsia" w:hAnsi="宋体" w:cs="宋体"/>
          <w:highlight w:val="none"/>
        </w:rPr>
        <w:t>。</w:t>
      </w:r>
    </w:p>
    <w:p>
      <w:pPr>
        <w:pStyle w:val="5"/>
        <w:spacing w:before="0" w:after="0"/>
        <w:rPr>
          <w:rFonts w:ascii="黑体" w:hAnsi="黑体" w:cs="黑体"/>
          <w:szCs w:val="24"/>
          <w:highlight w:val="none"/>
        </w:rPr>
      </w:pPr>
      <w:bookmarkStart w:id="734" w:name="_Toc392227878"/>
      <w:r>
        <w:rPr>
          <w:rFonts w:hint="eastAsia" w:ascii="黑体" w:hAnsi="黑体" w:cs="黑体"/>
          <w:szCs w:val="24"/>
          <w:highlight w:val="none"/>
        </w:rPr>
        <w:t>4.2 交货前检验</w:t>
      </w:r>
      <w:bookmarkEnd w:id="734"/>
    </w:p>
    <w:p>
      <w:pPr>
        <w:spacing w:line="360" w:lineRule="auto"/>
        <w:ind w:firstLine="480" w:firstLineChars="200"/>
        <w:rPr>
          <w:rFonts w:hAnsi="宋体" w:cs="宋体"/>
          <w:highlight w:val="none"/>
        </w:rPr>
      </w:pPr>
      <w:r>
        <w:rPr>
          <w:rFonts w:hint="eastAsia" w:hAnsi="宋体" w:cs="宋体"/>
          <w:highlight w:val="none"/>
        </w:rPr>
        <w:t>买方是否参与交货前检验：</w:t>
      </w:r>
      <w:r>
        <w:rPr>
          <w:rFonts w:hint="eastAsia" w:hAnsi="宋体" w:cs="宋体"/>
          <w:highlight w:val="none"/>
          <w:u w:val="single"/>
        </w:rPr>
        <w:t xml:space="preserve">          是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4.2.1 买方代表的交通、食宿费用承担：</w:t>
      </w:r>
      <w:r>
        <w:rPr>
          <w:rFonts w:hint="eastAsia" w:hAnsi="宋体" w:cs="宋体"/>
          <w:highlight w:val="none"/>
          <w:u w:val="single"/>
        </w:rPr>
        <w:t xml:space="preserve">   卖方承担    </w:t>
      </w:r>
      <w:r>
        <w:rPr>
          <w:rFonts w:hint="eastAsia" w:hAnsi="宋体" w:cs="宋体"/>
          <w:highlight w:val="none"/>
        </w:rPr>
        <w:t>。</w:t>
      </w:r>
    </w:p>
    <w:p>
      <w:pPr>
        <w:spacing w:line="360" w:lineRule="auto"/>
        <w:rPr>
          <w:rFonts w:hAnsi="宋体" w:cs="宋体"/>
          <w:highlight w:val="none"/>
        </w:rPr>
      </w:pPr>
      <w:r>
        <w:rPr>
          <w:rFonts w:hint="eastAsia" w:hAnsi="宋体" w:cs="宋体"/>
          <w:highlight w:val="none"/>
        </w:rPr>
        <w:t xml:space="preserve">    4.2.2卖方提前通知买方检验的期限的约定</w:t>
      </w:r>
      <w:r>
        <w:rPr>
          <w:rFonts w:hint="eastAsia" w:hAnsi="宋体" w:cs="宋体"/>
          <w:highlight w:val="none"/>
          <w:u w:val="single"/>
        </w:rPr>
        <w:t xml:space="preserve">  执行通用条款</w:t>
      </w:r>
      <w:r>
        <w:rPr>
          <w:rFonts w:hint="eastAsia" w:hAnsi="宋体" w:cs="宋体"/>
          <w:highlight w:val="none"/>
        </w:rPr>
        <w:t>。</w:t>
      </w:r>
    </w:p>
    <w:p>
      <w:pPr>
        <w:pStyle w:val="4"/>
        <w:spacing w:before="0" w:after="0"/>
        <w:ind w:left="240" w:leftChars="100"/>
        <w:rPr>
          <w:rFonts w:cs="黑体"/>
          <w:highlight w:val="none"/>
        </w:rPr>
      </w:pPr>
      <w:bookmarkStart w:id="735" w:name="_Toc26700668"/>
      <w:bookmarkStart w:id="736" w:name="_Toc24965168"/>
      <w:bookmarkStart w:id="737" w:name="_Toc26700498"/>
      <w:bookmarkStart w:id="738" w:name="_Toc17100688"/>
      <w:bookmarkStart w:id="739" w:name="_Toc26721402"/>
      <w:bookmarkStart w:id="740" w:name="_Toc26721557"/>
      <w:bookmarkStart w:id="741" w:name="_Toc15753924"/>
      <w:r>
        <w:rPr>
          <w:rFonts w:hint="eastAsia" w:cs="黑体"/>
          <w:highlight w:val="none"/>
        </w:rPr>
        <w:t>5. 包装、标记、运输和交付</w:t>
      </w:r>
      <w:bookmarkEnd w:id="732"/>
      <w:bookmarkEnd w:id="735"/>
      <w:bookmarkEnd w:id="736"/>
      <w:bookmarkEnd w:id="737"/>
      <w:bookmarkEnd w:id="738"/>
      <w:bookmarkEnd w:id="739"/>
      <w:bookmarkEnd w:id="740"/>
      <w:bookmarkEnd w:id="741"/>
    </w:p>
    <w:p>
      <w:pPr>
        <w:pStyle w:val="5"/>
        <w:spacing w:before="0" w:after="0"/>
        <w:rPr>
          <w:rFonts w:ascii="黑体" w:hAnsi="黑体" w:cs="黑体"/>
          <w:szCs w:val="24"/>
          <w:highlight w:val="none"/>
        </w:rPr>
      </w:pPr>
      <w:bookmarkStart w:id="742" w:name="_Toc392346759"/>
      <w:r>
        <w:rPr>
          <w:rFonts w:hint="eastAsia" w:ascii="黑体" w:hAnsi="黑体" w:cs="黑体"/>
          <w:szCs w:val="24"/>
          <w:highlight w:val="none"/>
        </w:rPr>
        <w:t>5.1 包装</w:t>
      </w:r>
      <w:bookmarkEnd w:id="742"/>
    </w:p>
    <w:p>
      <w:pPr>
        <w:spacing w:line="360" w:lineRule="auto"/>
        <w:ind w:firstLine="480" w:firstLineChars="200"/>
        <w:rPr>
          <w:rFonts w:hAnsi="宋体" w:cs="宋体"/>
          <w:highlight w:val="none"/>
        </w:rPr>
      </w:pPr>
      <w:r>
        <w:rPr>
          <w:rFonts w:hint="eastAsia" w:hAnsi="宋体" w:cs="宋体"/>
          <w:highlight w:val="none"/>
        </w:rPr>
        <w:t>5.1.1 包装的其他要求：</w:t>
      </w:r>
      <w:r>
        <w:rPr>
          <w:rFonts w:hint="eastAsia" w:hAnsi="宋体" w:cs="宋体"/>
          <w:highlight w:val="none"/>
          <w:u w:val="single"/>
        </w:rPr>
        <w:t xml:space="preserve">   执行通用条款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5.1.3 买方是否需将包装物退还给卖方：</w:t>
      </w:r>
      <w:r>
        <w:rPr>
          <w:rFonts w:hint="eastAsia" w:hAnsi="宋体" w:cs="宋体"/>
          <w:highlight w:val="none"/>
          <w:u w:val="single"/>
        </w:rPr>
        <w:t xml:space="preserve">   不需要  </w:t>
      </w:r>
      <w:r>
        <w:rPr>
          <w:rFonts w:hint="eastAsia" w:hAnsi="宋体" w:cs="宋体"/>
          <w:highlight w:val="none"/>
        </w:rPr>
        <w:t>。</w:t>
      </w:r>
    </w:p>
    <w:p>
      <w:pPr>
        <w:pStyle w:val="5"/>
        <w:spacing w:before="0" w:after="0"/>
        <w:rPr>
          <w:rFonts w:ascii="黑体" w:hAnsi="黑体" w:cs="黑体"/>
          <w:szCs w:val="24"/>
          <w:highlight w:val="none"/>
        </w:rPr>
      </w:pPr>
      <w:bookmarkStart w:id="743" w:name="_Toc392346760"/>
      <w:r>
        <w:rPr>
          <w:rFonts w:hint="eastAsia" w:ascii="黑体" w:hAnsi="黑体" w:cs="黑体"/>
          <w:szCs w:val="24"/>
          <w:highlight w:val="none"/>
        </w:rPr>
        <w:t>5.2 标记</w:t>
      </w:r>
      <w:bookmarkEnd w:id="743"/>
    </w:p>
    <w:p>
      <w:pPr>
        <w:spacing w:line="360" w:lineRule="auto"/>
        <w:ind w:firstLine="480" w:firstLineChars="200"/>
        <w:rPr>
          <w:rFonts w:hAnsi="宋体" w:cs="宋体"/>
          <w:highlight w:val="none"/>
        </w:rPr>
      </w:pPr>
      <w:r>
        <w:rPr>
          <w:rFonts w:hint="eastAsia" w:hAnsi="宋体" w:cs="宋体"/>
          <w:highlight w:val="none"/>
        </w:rPr>
        <w:t>5.2.1标记要求：</w:t>
      </w:r>
      <w:r>
        <w:rPr>
          <w:rFonts w:hint="eastAsia" w:hAnsi="宋体" w:cs="宋体"/>
          <w:highlight w:val="none"/>
          <w:u w:val="single"/>
        </w:rPr>
        <w:t xml:space="preserve">  执行通用条款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5.2.2 超大超重件：</w:t>
      </w:r>
      <w:r>
        <w:rPr>
          <w:rFonts w:hint="eastAsia" w:hAnsi="宋体" w:cs="宋体"/>
          <w:snapToGrid w:val="0"/>
          <w:highlight w:val="none"/>
          <w:u w:val="single"/>
        </w:rPr>
        <w:t xml:space="preserve"> 执行通用条款 </w:t>
      </w:r>
      <w:r>
        <w:rPr>
          <w:rFonts w:hint="eastAsia" w:hAnsi="宋体" w:cs="宋体"/>
          <w:highlight w:val="none"/>
        </w:rPr>
        <w:t>。</w:t>
      </w:r>
    </w:p>
    <w:p>
      <w:pPr>
        <w:pStyle w:val="5"/>
        <w:spacing w:before="0" w:after="0"/>
        <w:rPr>
          <w:rFonts w:ascii="黑体" w:hAnsi="黑体" w:cs="黑体"/>
          <w:szCs w:val="24"/>
          <w:highlight w:val="none"/>
        </w:rPr>
      </w:pPr>
      <w:bookmarkStart w:id="744" w:name="_Toc392346761"/>
      <w:r>
        <w:rPr>
          <w:rFonts w:hint="eastAsia" w:ascii="黑体" w:hAnsi="黑体" w:cs="黑体"/>
          <w:szCs w:val="24"/>
          <w:highlight w:val="none"/>
        </w:rPr>
        <w:t>5.3 运输</w:t>
      </w:r>
      <w:bookmarkEnd w:id="744"/>
    </w:p>
    <w:p>
      <w:pPr>
        <w:snapToGrid w:val="0"/>
        <w:spacing w:line="360" w:lineRule="auto"/>
        <w:ind w:firstLine="480" w:firstLineChars="200"/>
        <w:rPr>
          <w:rFonts w:hAnsi="宋体" w:cs="宋体"/>
          <w:highlight w:val="none"/>
        </w:rPr>
      </w:pPr>
      <w:r>
        <w:rPr>
          <w:rFonts w:hint="eastAsia" w:hAnsi="宋体" w:cs="宋体"/>
          <w:highlight w:val="none"/>
        </w:rPr>
        <w:t>5.3.2整套装运要求：</w:t>
      </w:r>
      <w:r>
        <w:rPr>
          <w:rFonts w:hint="eastAsia" w:hAnsi="宋体" w:cs="宋体"/>
          <w:highlight w:val="none"/>
          <w:u w:val="single"/>
        </w:rPr>
        <w:t xml:space="preserve">  执行通用条款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5.3.3装运通知</w:t>
      </w:r>
    </w:p>
    <w:p>
      <w:pPr>
        <w:snapToGrid w:val="0"/>
        <w:spacing w:line="360" w:lineRule="auto"/>
        <w:ind w:firstLine="1080" w:firstLineChars="450"/>
        <w:rPr>
          <w:rFonts w:hAnsi="宋体" w:cs="宋体"/>
          <w:highlight w:val="none"/>
        </w:rPr>
      </w:pPr>
      <w:r>
        <w:rPr>
          <w:rFonts w:hint="eastAsia" w:hAnsi="宋体" w:cs="宋体"/>
          <w:highlight w:val="none"/>
        </w:rPr>
        <w:t>通知时间：</w:t>
      </w:r>
      <w:r>
        <w:rPr>
          <w:rFonts w:hint="eastAsia" w:hAnsi="宋体" w:cs="宋体"/>
          <w:highlight w:val="none"/>
          <w:u w:val="single"/>
        </w:rPr>
        <w:t xml:space="preserve">执行通用条款 </w:t>
      </w:r>
      <w:r>
        <w:rPr>
          <w:rFonts w:hint="eastAsia" w:hAnsi="宋体" w:cs="宋体"/>
          <w:highlight w:val="none"/>
        </w:rPr>
        <w:t>。</w:t>
      </w:r>
    </w:p>
    <w:p>
      <w:pPr>
        <w:snapToGrid w:val="0"/>
        <w:spacing w:line="360" w:lineRule="auto"/>
        <w:ind w:firstLine="1080" w:firstLineChars="450"/>
        <w:rPr>
          <w:rFonts w:hAnsi="宋体" w:cs="宋体"/>
          <w:highlight w:val="none"/>
        </w:rPr>
      </w:pPr>
      <w:r>
        <w:rPr>
          <w:rFonts w:hint="eastAsia" w:hAnsi="宋体" w:cs="宋体"/>
          <w:highlight w:val="none"/>
        </w:rPr>
        <w:t>通知内容：</w:t>
      </w:r>
      <w:r>
        <w:rPr>
          <w:rFonts w:hint="eastAsia" w:hAnsi="宋体" w:cs="宋体"/>
          <w:highlight w:val="none"/>
          <w:u w:val="single"/>
        </w:rPr>
        <w:t xml:space="preserve"> 执行通用条款</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5.3.4 超大超重包装：</w:t>
      </w:r>
      <w:r>
        <w:rPr>
          <w:rFonts w:hint="eastAsia" w:hAnsi="宋体" w:cs="宋体"/>
          <w:snapToGrid w:val="0"/>
          <w:highlight w:val="none"/>
          <w:u w:val="single"/>
        </w:rPr>
        <w:t xml:space="preserve"> 执行通用条款 </w:t>
      </w:r>
      <w:r>
        <w:rPr>
          <w:rFonts w:hint="eastAsia" w:hAnsi="宋体" w:cs="宋体"/>
          <w:highlight w:val="none"/>
        </w:rPr>
        <w:t>。</w:t>
      </w:r>
    </w:p>
    <w:p>
      <w:pPr>
        <w:pStyle w:val="5"/>
        <w:spacing w:before="0" w:after="0"/>
        <w:rPr>
          <w:rFonts w:ascii="黑体" w:hAnsi="黑体" w:cs="黑体"/>
          <w:szCs w:val="24"/>
          <w:highlight w:val="none"/>
        </w:rPr>
      </w:pPr>
      <w:bookmarkStart w:id="745" w:name="_Toc392346762"/>
      <w:r>
        <w:rPr>
          <w:rFonts w:hint="eastAsia" w:ascii="黑体" w:hAnsi="黑体" w:cs="黑体"/>
          <w:szCs w:val="24"/>
          <w:highlight w:val="none"/>
        </w:rPr>
        <w:t>5.4 交付</w:t>
      </w:r>
      <w:bookmarkEnd w:id="745"/>
    </w:p>
    <w:p>
      <w:pPr>
        <w:tabs>
          <w:tab w:val="left" w:pos="540"/>
          <w:tab w:val="left" w:pos="1260"/>
        </w:tabs>
        <w:adjustRightInd w:val="0"/>
        <w:snapToGrid w:val="0"/>
        <w:spacing w:line="360" w:lineRule="auto"/>
        <w:ind w:firstLine="480" w:firstLineChars="200"/>
        <w:rPr>
          <w:rFonts w:hAnsi="宋体" w:cs="宋体"/>
          <w:snapToGrid w:val="0"/>
          <w:highlight w:val="none"/>
          <w:u w:val="single"/>
        </w:rPr>
      </w:pPr>
      <w:r>
        <w:rPr>
          <w:rFonts w:hint="eastAsia" w:hAnsi="宋体" w:cs="宋体"/>
          <w:highlight w:val="none"/>
        </w:rPr>
        <w:t>4.4.1 交付时间、批次：</w:t>
      </w:r>
      <w:r>
        <w:rPr>
          <w:rFonts w:hint="eastAsia" w:hAnsi="宋体" w:cs="宋体"/>
          <w:snapToGrid w:val="0"/>
          <w:highlight w:val="none"/>
          <w:u w:val="single"/>
        </w:rPr>
        <w:t xml:space="preserve"> 根据买方具体通知</w:t>
      </w:r>
      <w:r>
        <w:rPr>
          <w:rFonts w:hint="eastAsia" w:hAnsi="宋体" w:cs="宋体"/>
          <w:highlight w:val="none"/>
        </w:rPr>
        <w:t>。</w:t>
      </w:r>
    </w:p>
    <w:p>
      <w:pPr>
        <w:tabs>
          <w:tab w:val="left" w:pos="540"/>
          <w:tab w:val="left" w:pos="1260"/>
        </w:tabs>
        <w:adjustRightInd w:val="0"/>
        <w:snapToGrid w:val="0"/>
        <w:spacing w:line="360" w:lineRule="auto"/>
        <w:ind w:firstLine="480" w:firstLineChars="200"/>
        <w:rPr>
          <w:rFonts w:hAnsi="宋体" w:cs="宋体"/>
          <w:highlight w:val="none"/>
          <w:u w:val="single"/>
        </w:rPr>
      </w:pPr>
      <w:r>
        <w:rPr>
          <w:rFonts w:hint="eastAsia" w:hAnsi="宋体" w:cs="宋体"/>
          <w:highlight w:val="none"/>
        </w:rPr>
        <w:t>交付地点：</w:t>
      </w:r>
      <w:r>
        <w:rPr>
          <w:rFonts w:hint="eastAsia" w:hAnsi="宋体" w:cs="宋体"/>
          <w:highlight w:val="none"/>
          <w:u w:val="single"/>
        </w:rPr>
        <w:t>根据买方具体通知</w:t>
      </w:r>
      <w:r>
        <w:rPr>
          <w:rFonts w:hint="eastAsia" w:hAnsi="宋体" w:cs="宋体"/>
          <w:highlight w:val="none"/>
        </w:rPr>
        <w:t>。</w:t>
      </w:r>
    </w:p>
    <w:p>
      <w:pPr>
        <w:tabs>
          <w:tab w:val="left" w:pos="540"/>
          <w:tab w:val="left" w:pos="1260"/>
        </w:tabs>
        <w:adjustRightInd w:val="0"/>
        <w:snapToGrid w:val="0"/>
        <w:spacing w:line="360" w:lineRule="auto"/>
        <w:ind w:firstLine="480" w:firstLineChars="200"/>
        <w:rPr>
          <w:rFonts w:hAnsi="宋体" w:cs="宋体"/>
          <w:snapToGrid w:val="0"/>
          <w:highlight w:val="none"/>
          <w:u w:val="single"/>
        </w:rPr>
      </w:pPr>
      <w:r>
        <w:rPr>
          <w:rFonts w:hint="eastAsia" w:hAnsi="宋体" w:cs="宋体"/>
          <w:highlight w:val="none"/>
        </w:rPr>
        <w:t>交付方式：</w:t>
      </w:r>
      <w:r>
        <w:rPr>
          <w:rFonts w:hint="eastAsia" w:hAnsi="宋体" w:cs="宋体"/>
          <w:highlight w:val="none"/>
          <w:u w:val="single"/>
        </w:rPr>
        <w:t>根据买方具体通知</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5.4.3 技术资料免费补齐的时间：</w:t>
      </w:r>
      <w:r>
        <w:rPr>
          <w:rFonts w:hint="eastAsia" w:hAnsi="宋体" w:cs="宋体"/>
          <w:highlight w:val="none"/>
          <w:u w:val="single"/>
        </w:rPr>
        <w:t xml:space="preserve"> 根据买方具体通知</w:t>
      </w:r>
      <w:r>
        <w:rPr>
          <w:rFonts w:hint="eastAsia" w:hAnsi="宋体" w:cs="宋体"/>
          <w:highlight w:val="none"/>
        </w:rPr>
        <w:t>。</w:t>
      </w:r>
    </w:p>
    <w:p>
      <w:pPr>
        <w:pStyle w:val="4"/>
        <w:spacing w:before="0" w:after="0"/>
        <w:ind w:left="240" w:leftChars="100"/>
        <w:rPr>
          <w:rFonts w:cs="黑体"/>
          <w:highlight w:val="none"/>
        </w:rPr>
      </w:pPr>
      <w:bookmarkStart w:id="746" w:name="_Toc26721558"/>
      <w:bookmarkStart w:id="747" w:name="_Toc26700669"/>
      <w:bookmarkStart w:id="748" w:name="_Toc392346763"/>
      <w:bookmarkStart w:id="749" w:name="_Toc26700499"/>
      <w:bookmarkStart w:id="750" w:name="_Toc15753925"/>
      <w:bookmarkStart w:id="751" w:name="_Toc17100689"/>
      <w:bookmarkStart w:id="752" w:name="_Toc24965169"/>
      <w:bookmarkStart w:id="753" w:name="_Toc26721403"/>
      <w:r>
        <w:rPr>
          <w:rFonts w:hint="eastAsia" w:cs="黑体"/>
          <w:highlight w:val="none"/>
        </w:rPr>
        <w:t>6. 开箱检验、安装、调试、考核、验收</w:t>
      </w:r>
      <w:bookmarkEnd w:id="746"/>
      <w:bookmarkEnd w:id="747"/>
      <w:bookmarkEnd w:id="748"/>
      <w:bookmarkEnd w:id="749"/>
      <w:bookmarkEnd w:id="750"/>
      <w:bookmarkEnd w:id="751"/>
      <w:bookmarkEnd w:id="752"/>
      <w:bookmarkEnd w:id="753"/>
    </w:p>
    <w:p>
      <w:pPr>
        <w:pStyle w:val="5"/>
        <w:spacing w:before="0" w:after="0"/>
        <w:rPr>
          <w:rFonts w:ascii="黑体" w:hAnsi="黑体" w:cs="黑体"/>
          <w:szCs w:val="24"/>
          <w:highlight w:val="none"/>
        </w:rPr>
      </w:pPr>
      <w:r>
        <w:rPr>
          <w:rFonts w:hint="eastAsia" w:ascii="黑体" w:hAnsi="黑体" w:cs="黑体"/>
          <w:szCs w:val="24"/>
          <w:highlight w:val="none"/>
        </w:rPr>
        <w:t>6.1 开箱检验</w:t>
      </w:r>
    </w:p>
    <w:p>
      <w:pPr>
        <w:spacing w:line="360" w:lineRule="auto"/>
        <w:ind w:firstLine="480" w:firstLineChars="200"/>
        <w:rPr>
          <w:rFonts w:hAnsi="宋体" w:cs="宋体"/>
          <w:highlight w:val="none"/>
        </w:rPr>
      </w:pPr>
      <w:r>
        <w:rPr>
          <w:rFonts w:hint="eastAsia" w:hAnsi="宋体" w:cs="宋体"/>
          <w:highlight w:val="none"/>
        </w:rPr>
        <w:t>6.1.1 开箱检验的时间按以下第_</w:t>
      </w:r>
      <w:r>
        <w:rPr>
          <w:rFonts w:hint="eastAsia" w:hAnsi="宋体" w:cs="宋体"/>
          <w:highlight w:val="none"/>
          <w:u w:val="single"/>
        </w:rPr>
        <w:t>（1）_</w:t>
      </w:r>
      <w:r>
        <w:rPr>
          <w:rFonts w:hint="eastAsia" w:hAnsi="宋体" w:cs="宋体"/>
          <w:highlight w:val="none"/>
        </w:rPr>
        <w:t>种方式确定。</w:t>
      </w:r>
    </w:p>
    <w:p>
      <w:pPr>
        <w:snapToGrid w:val="0"/>
        <w:spacing w:line="360" w:lineRule="auto"/>
        <w:ind w:firstLine="480" w:firstLineChars="200"/>
        <w:rPr>
          <w:rFonts w:hAnsi="宋体" w:cs="宋体"/>
          <w:snapToGrid w:val="0"/>
          <w:highlight w:val="none"/>
          <w:u w:val="single"/>
        </w:rPr>
      </w:pPr>
      <w:r>
        <w:rPr>
          <w:rFonts w:hint="eastAsia" w:hAnsi="宋体" w:cs="宋体"/>
          <w:snapToGrid w:val="0"/>
          <w:highlight w:val="none"/>
          <w:u w:val="single"/>
        </w:rPr>
        <w:t xml:space="preserve">（1）合同设备交付时； </w:t>
      </w:r>
    </w:p>
    <w:p>
      <w:pPr>
        <w:snapToGrid w:val="0"/>
        <w:spacing w:line="360" w:lineRule="auto"/>
        <w:ind w:firstLine="480" w:firstLineChars="200"/>
        <w:rPr>
          <w:rFonts w:hAnsi="宋体" w:cs="宋体"/>
          <w:snapToGrid w:val="0"/>
          <w:highlight w:val="none"/>
        </w:rPr>
      </w:pPr>
      <w:r>
        <w:rPr>
          <w:rFonts w:hint="eastAsia" w:hAnsi="宋体" w:cs="宋体"/>
          <w:snapToGrid w:val="0"/>
          <w:highlight w:val="none"/>
          <w:u w:val="single"/>
        </w:rPr>
        <w:t>（2）合同设备交付后的一定期限内。如开箱检验不在合同设备交付时进行，买方应在开箱检验   日前将开箱检验的时间和地点通知卖方。</w:t>
      </w:r>
    </w:p>
    <w:p>
      <w:pPr>
        <w:snapToGrid w:val="0"/>
        <w:spacing w:line="360" w:lineRule="auto"/>
        <w:ind w:firstLine="480" w:firstLineChars="200"/>
        <w:rPr>
          <w:rFonts w:hAnsi="宋体" w:cs="宋体"/>
          <w:highlight w:val="none"/>
        </w:rPr>
      </w:pPr>
      <w:r>
        <w:rPr>
          <w:rFonts w:hint="eastAsia" w:hAnsi="宋体" w:cs="宋体"/>
          <w:highlight w:val="none"/>
        </w:rPr>
        <w:t>6.1.2 合同设备的开箱检验地点：</w:t>
      </w:r>
      <w:r>
        <w:rPr>
          <w:rFonts w:hint="eastAsia" w:hAnsi="宋体" w:cs="宋体"/>
          <w:highlight w:val="none"/>
          <w:u w:val="single"/>
        </w:rPr>
        <w:t xml:space="preserve">根据买方具体通知 </w:t>
      </w:r>
      <w:r>
        <w:rPr>
          <w:rFonts w:hint="eastAsia" w:hAnsi="宋体" w:cs="宋体"/>
          <w:highlight w:val="none"/>
        </w:rPr>
        <w:t>。</w:t>
      </w:r>
    </w:p>
    <w:p>
      <w:pPr>
        <w:snapToGrid w:val="0"/>
        <w:spacing w:line="360" w:lineRule="auto"/>
        <w:ind w:firstLine="480" w:firstLineChars="200"/>
        <w:rPr>
          <w:rFonts w:hAnsi="宋体" w:cs="宋体"/>
          <w:snapToGrid w:val="0"/>
          <w:highlight w:val="none"/>
        </w:rPr>
      </w:pPr>
      <w:r>
        <w:rPr>
          <w:rFonts w:hint="eastAsia" w:hAnsi="宋体" w:cs="宋体"/>
          <w:highlight w:val="none"/>
        </w:rPr>
        <w:t>6.1.6 合同设备的短缺、损坏或其它与合同约定不符的情形：</w:t>
      </w:r>
      <w:r>
        <w:rPr>
          <w:rFonts w:hint="eastAsia" w:hAnsi="宋体" w:cs="宋体"/>
          <w:snapToGrid w:val="0"/>
          <w:highlight w:val="none"/>
          <w:u w:val="single"/>
        </w:rPr>
        <w:t xml:space="preserve"> 执行通用条款，并按短缺、损坏的设备相应货款的30%处以违约金</w:t>
      </w:r>
      <w:r>
        <w:rPr>
          <w:rFonts w:hint="eastAsia" w:hAnsi="宋体" w:cs="宋体"/>
          <w:snapToGrid w:val="0"/>
          <w:highlight w:val="none"/>
        </w:rPr>
        <w:t>。</w:t>
      </w:r>
    </w:p>
    <w:p>
      <w:pPr>
        <w:spacing w:line="360" w:lineRule="auto"/>
        <w:ind w:firstLine="480" w:firstLineChars="200"/>
        <w:rPr>
          <w:rFonts w:hAnsi="宋体" w:cs="宋体"/>
          <w:highlight w:val="none"/>
        </w:rPr>
      </w:pPr>
      <w:r>
        <w:rPr>
          <w:rFonts w:hint="eastAsia" w:hAnsi="宋体" w:cs="宋体"/>
          <w:highlight w:val="none"/>
        </w:rPr>
        <w:t>6.1.7 第三方检测机构的委托要求、费用承担和检验效力：</w:t>
      </w:r>
      <w:r>
        <w:rPr>
          <w:rFonts w:hint="eastAsia" w:hAnsi="宋体" w:cs="宋体"/>
          <w:highlight w:val="none"/>
          <w:u w:val="single"/>
        </w:rPr>
        <w:t>买方委托，费用卖方承担</w:t>
      </w:r>
      <w:r>
        <w:rPr>
          <w:rFonts w:hint="eastAsia" w:hAnsi="宋体" w:cs="宋体"/>
          <w:highlight w:val="none"/>
        </w:rPr>
        <w:t>。</w:t>
      </w:r>
    </w:p>
    <w:p>
      <w:pPr>
        <w:pStyle w:val="5"/>
        <w:spacing w:before="0" w:after="0"/>
        <w:rPr>
          <w:rFonts w:ascii="黑体" w:hAnsi="黑体" w:cs="黑体"/>
          <w:szCs w:val="24"/>
          <w:highlight w:val="none"/>
        </w:rPr>
      </w:pPr>
      <w:r>
        <w:rPr>
          <w:rFonts w:hint="eastAsia" w:ascii="黑体" w:hAnsi="黑体" w:cs="黑体"/>
          <w:szCs w:val="24"/>
          <w:highlight w:val="none"/>
        </w:rPr>
        <w:t>6.2 安装、调试</w:t>
      </w:r>
    </w:p>
    <w:p>
      <w:pPr>
        <w:snapToGrid w:val="0"/>
        <w:spacing w:line="360" w:lineRule="auto"/>
        <w:ind w:firstLine="480" w:firstLineChars="200"/>
        <w:rPr>
          <w:rFonts w:hAnsi="宋体" w:cs="宋体"/>
          <w:highlight w:val="none"/>
        </w:rPr>
      </w:pPr>
      <w:r>
        <w:rPr>
          <w:rFonts w:hint="eastAsia" w:hAnsi="宋体" w:cs="宋体"/>
          <w:highlight w:val="none"/>
        </w:rPr>
        <w:t>6.2.1 安装、调试按照下列</w:t>
      </w:r>
      <w:r>
        <w:rPr>
          <w:rFonts w:hint="eastAsia" w:hAnsi="宋体" w:cs="宋体"/>
          <w:highlight w:val="none"/>
          <w:u w:val="single"/>
        </w:rPr>
        <w:t xml:space="preserve"> （1）</w:t>
      </w:r>
      <w:r>
        <w:rPr>
          <w:rFonts w:hint="eastAsia" w:hAnsi="宋体" w:cs="宋体"/>
          <w:highlight w:val="none"/>
        </w:rPr>
        <w:t>方式进行：</w:t>
      </w:r>
    </w:p>
    <w:p>
      <w:pPr>
        <w:snapToGrid w:val="0"/>
        <w:spacing w:line="360" w:lineRule="auto"/>
        <w:ind w:firstLine="480" w:firstLineChars="200"/>
        <w:rPr>
          <w:rFonts w:hAnsi="宋体" w:cs="宋体"/>
          <w:highlight w:val="none"/>
        </w:rPr>
      </w:pPr>
      <w:r>
        <w:rPr>
          <w:rFonts w:hint="eastAsia" w:hAnsi="宋体" w:cs="宋体"/>
          <w:highlight w:val="none"/>
        </w:rPr>
        <w:t>（1）卖方按照合同约定完成合同设备的安装、调试工作；</w:t>
      </w:r>
    </w:p>
    <w:p>
      <w:pPr>
        <w:snapToGrid w:val="0"/>
        <w:spacing w:line="360" w:lineRule="auto"/>
        <w:ind w:firstLine="480" w:firstLineChars="200"/>
        <w:rPr>
          <w:rFonts w:hAnsi="宋体" w:cs="宋体"/>
          <w:highlight w:val="none"/>
        </w:rPr>
      </w:pPr>
      <w:r>
        <w:rPr>
          <w:rFonts w:hint="eastAsia" w:hAnsi="宋体" w:cs="宋体"/>
          <w:highlight w:val="none"/>
        </w:rPr>
        <w:t>（2）买方或买方安排第三方负责合同设备的安装、调试工作，卖方提供技术服务。</w:t>
      </w:r>
    </w:p>
    <w:p>
      <w:pPr>
        <w:snapToGrid w:val="0"/>
        <w:spacing w:line="360" w:lineRule="auto"/>
        <w:ind w:firstLine="480" w:firstLineChars="200"/>
        <w:rPr>
          <w:rFonts w:hAnsi="宋体" w:cs="宋体"/>
          <w:highlight w:val="none"/>
        </w:rPr>
      </w:pPr>
      <w:r>
        <w:rPr>
          <w:rFonts w:hint="eastAsia" w:hAnsi="宋体" w:cs="宋体"/>
          <w:highlight w:val="none"/>
          <w:lang w:val="zh-CN"/>
        </w:rPr>
        <w:t>买方</w:t>
      </w:r>
      <w:r>
        <w:rPr>
          <w:rFonts w:hint="eastAsia" w:hAnsi="宋体" w:cs="宋体"/>
          <w:highlight w:val="none"/>
        </w:rPr>
        <w:t>或买方安排的第三方</w:t>
      </w:r>
      <w:r>
        <w:rPr>
          <w:rFonts w:hint="eastAsia" w:hAnsi="宋体" w:cs="宋体"/>
          <w:highlight w:val="none"/>
          <w:lang w:val="zh-CN"/>
        </w:rPr>
        <w:t>未按照卖方现场服务人员的指导导致安装、调试不成功和（或）出现合同货物损坏的责任承担：</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6.2.2 安装、调试所需的动力、耗材和原材料（如需要）：</w:t>
      </w:r>
      <w:r>
        <w:rPr>
          <w:rFonts w:hint="eastAsia" w:hAnsi="宋体" w:cs="宋体"/>
          <w:highlight w:val="none"/>
          <w:u w:val="single"/>
        </w:rPr>
        <w:t>由卖方承担。</w:t>
      </w:r>
    </w:p>
    <w:p>
      <w:pPr>
        <w:pStyle w:val="5"/>
        <w:spacing w:before="0" w:after="0"/>
        <w:rPr>
          <w:rFonts w:ascii="黑体" w:hAnsi="黑体" w:cs="黑体"/>
          <w:szCs w:val="24"/>
          <w:highlight w:val="none"/>
        </w:rPr>
      </w:pPr>
      <w:bookmarkStart w:id="754" w:name="_Toc392227887"/>
      <w:r>
        <w:rPr>
          <w:rFonts w:hint="eastAsia" w:ascii="黑体" w:hAnsi="黑体" w:cs="黑体"/>
          <w:szCs w:val="24"/>
          <w:highlight w:val="none"/>
        </w:rPr>
        <w:t>6.3 考核</w:t>
      </w:r>
      <w:bookmarkEnd w:id="754"/>
    </w:p>
    <w:p>
      <w:pPr>
        <w:snapToGrid w:val="0"/>
        <w:spacing w:line="360" w:lineRule="auto"/>
        <w:ind w:firstLine="480" w:firstLineChars="200"/>
        <w:rPr>
          <w:rFonts w:hAnsi="宋体" w:cs="宋体"/>
          <w:highlight w:val="none"/>
        </w:rPr>
      </w:pPr>
      <w:r>
        <w:rPr>
          <w:rFonts w:hint="eastAsia" w:hAnsi="宋体" w:cs="宋体"/>
          <w:highlight w:val="none"/>
        </w:rPr>
        <w:t>6.3.1 考核所需的动力、耗材和原材料（如需要）的承担：</w:t>
      </w:r>
      <w:r>
        <w:rPr>
          <w:rFonts w:hint="eastAsia" w:hAnsi="宋体" w:cs="宋体"/>
          <w:highlight w:val="none"/>
          <w:u w:val="single"/>
        </w:rPr>
        <w:t>由卖方承担。</w:t>
      </w:r>
    </w:p>
    <w:p>
      <w:pPr>
        <w:snapToGrid w:val="0"/>
        <w:spacing w:line="360" w:lineRule="auto"/>
        <w:ind w:firstLine="480" w:firstLineChars="200"/>
        <w:rPr>
          <w:rFonts w:hAnsi="宋体" w:cs="宋体"/>
          <w:highlight w:val="none"/>
        </w:rPr>
      </w:pPr>
      <w:r>
        <w:rPr>
          <w:rFonts w:hint="eastAsia" w:hAnsi="宋体" w:cs="宋体"/>
          <w:highlight w:val="none"/>
        </w:rPr>
        <w:t>6.3.2 技术性能考核指标：</w:t>
      </w:r>
      <w:r>
        <w:rPr>
          <w:rFonts w:hint="eastAsia" w:hAnsi="宋体" w:cs="宋体"/>
          <w:highlight w:val="none"/>
          <w:u w:val="single"/>
        </w:rPr>
        <w:t>满足技术规范书及图纸要求。</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6.3.3 对卖方进行考核的次数：</w:t>
      </w:r>
      <w:r>
        <w:rPr>
          <w:rFonts w:hint="eastAsia" w:hAnsi="宋体" w:cs="宋体"/>
          <w:highlight w:val="none"/>
          <w:u w:val="single"/>
        </w:rPr>
        <w:t xml:space="preserve">  3  </w:t>
      </w:r>
      <w:r>
        <w:rPr>
          <w:rFonts w:hint="eastAsia" w:hAnsi="宋体" w:cs="宋体"/>
          <w:highlight w:val="none"/>
        </w:rPr>
        <w:t>次。</w:t>
      </w:r>
    </w:p>
    <w:p>
      <w:pPr>
        <w:snapToGrid w:val="0"/>
        <w:spacing w:line="360" w:lineRule="auto"/>
        <w:ind w:firstLine="480" w:firstLineChars="200"/>
        <w:rPr>
          <w:rFonts w:hAnsi="宋体" w:cs="宋体"/>
          <w:highlight w:val="none"/>
          <w:u w:val="single"/>
        </w:rPr>
      </w:pPr>
      <w:r>
        <w:rPr>
          <w:rFonts w:hint="eastAsia" w:hAnsi="宋体" w:cs="宋体"/>
          <w:highlight w:val="none"/>
        </w:rPr>
        <w:t>考核均未能达到合同约定的技术性能考核指标的处理办法：</w:t>
      </w:r>
      <w:r>
        <w:rPr>
          <w:rFonts w:hint="eastAsia" w:hAnsi="宋体" w:cs="宋体"/>
          <w:highlight w:val="none"/>
          <w:u w:val="single"/>
        </w:rPr>
        <w:t>执行通用条款，</w:t>
      </w:r>
    </w:p>
    <w:p>
      <w:pPr>
        <w:snapToGrid w:val="0"/>
        <w:spacing w:line="360" w:lineRule="auto"/>
        <w:ind w:firstLine="480" w:firstLineChars="200"/>
        <w:rPr>
          <w:rFonts w:hAnsi="宋体" w:cs="宋体"/>
          <w:highlight w:val="none"/>
          <w:u w:val="single"/>
        </w:rPr>
      </w:pPr>
      <w:r>
        <w:rPr>
          <w:rFonts w:hint="eastAsia" w:hAnsi="宋体" w:cs="宋体"/>
          <w:highlight w:val="none"/>
          <w:u w:val="single"/>
        </w:rPr>
        <w:t>并按设备相应货款的 30%处以违约金</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视为合同货物已达到技术性能考核指标时的减价或向买方支付补偿金的标准：</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如果买方委托第三方检测机构对合同设备进行技术性能考核，则第三方检测机构的检验结果对双方均具有约束力。检测费用由</w:t>
      </w:r>
      <w:r>
        <w:rPr>
          <w:rFonts w:hint="eastAsia" w:hAnsi="宋体" w:cs="宋体"/>
          <w:highlight w:val="none"/>
          <w:u w:val="single"/>
        </w:rPr>
        <w:t>卖方</w:t>
      </w:r>
      <w:r>
        <w:rPr>
          <w:rFonts w:hint="eastAsia" w:hAnsi="宋体" w:cs="宋体"/>
          <w:highlight w:val="none"/>
        </w:rPr>
        <w:t>承担。</w:t>
      </w:r>
    </w:p>
    <w:p>
      <w:pPr>
        <w:pStyle w:val="5"/>
        <w:spacing w:before="0" w:after="0"/>
        <w:rPr>
          <w:rFonts w:ascii="黑体" w:hAnsi="黑体" w:cs="黑体"/>
          <w:szCs w:val="24"/>
          <w:highlight w:val="none"/>
        </w:rPr>
      </w:pPr>
      <w:bookmarkStart w:id="755" w:name="_Toc392227888"/>
      <w:r>
        <w:rPr>
          <w:rFonts w:hint="eastAsia" w:ascii="黑体" w:hAnsi="黑体" w:cs="黑体"/>
          <w:szCs w:val="24"/>
          <w:highlight w:val="none"/>
        </w:rPr>
        <w:t>6.4 验收</w:t>
      </w:r>
      <w:bookmarkEnd w:id="755"/>
    </w:p>
    <w:p>
      <w:pPr>
        <w:snapToGrid w:val="0"/>
        <w:spacing w:line="360" w:lineRule="auto"/>
        <w:ind w:firstLine="480" w:firstLineChars="200"/>
        <w:rPr>
          <w:rFonts w:hAnsi="宋体" w:cs="宋体"/>
          <w:highlight w:val="none"/>
        </w:rPr>
      </w:pPr>
      <w:r>
        <w:rPr>
          <w:rFonts w:hint="eastAsia" w:hAnsi="宋体" w:cs="宋体"/>
          <w:highlight w:val="none"/>
        </w:rPr>
        <w:t>6.4.1 签署合同货物验收证书的时间：</w:t>
      </w:r>
      <w:r>
        <w:rPr>
          <w:rFonts w:hint="eastAsia" w:hAnsi="宋体" w:cs="宋体"/>
          <w:highlight w:val="none"/>
          <w:u w:val="single"/>
        </w:rPr>
        <w:t>达到合同及招标文件约定的标准后</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6.4.2 由于买方原因造成未能达到技术性能考核指标时签署验收款支付函的时间：</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未能达到技术性能考核指标时卖方提供的技术服务的期限：</w:t>
      </w:r>
      <w:r>
        <w:rPr>
          <w:rFonts w:hint="eastAsia" w:hAnsi="宋体" w:cs="宋体"/>
          <w:highlight w:val="none"/>
          <w:u w:val="single"/>
        </w:rPr>
        <w:t>执行通用条款</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6.4.3 由于买方原因未进行考核时验收款支付的期限：</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Style w:val="65"/>
          <w:rFonts w:hint="eastAsia" w:hAnsi="宋体" w:cs="宋体"/>
          <w:sz w:val="24"/>
          <w:highlight w:val="none"/>
        </w:rPr>
        <w:t>验收款支付函</w:t>
      </w:r>
      <w:r>
        <w:rPr>
          <w:rFonts w:hint="eastAsia" w:hAnsi="宋体" w:cs="宋体"/>
          <w:highlight w:val="none"/>
        </w:rPr>
        <w:t>签署后卖方提供的技术服务的期限：</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756" w:name="_Toc24965170"/>
      <w:bookmarkStart w:id="757" w:name="_Toc392346764"/>
      <w:bookmarkStart w:id="758" w:name="_Toc17100690"/>
      <w:bookmarkStart w:id="759" w:name="_Toc15753926"/>
      <w:bookmarkStart w:id="760" w:name="_Toc26721559"/>
      <w:bookmarkStart w:id="761" w:name="_Toc26700500"/>
      <w:bookmarkStart w:id="762" w:name="_Toc26721404"/>
      <w:bookmarkStart w:id="763" w:name="_Toc26700670"/>
      <w:r>
        <w:rPr>
          <w:rFonts w:hint="eastAsia" w:cs="黑体"/>
          <w:highlight w:val="none"/>
        </w:rPr>
        <w:t xml:space="preserve">7. </w:t>
      </w:r>
      <w:bookmarkEnd w:id="756"/>
      <w:bookmarkEnd w:id="757"/>
      <w:bookmarkEnd w:id="758"/>
      <w:bookmarkEnd w:id="759"/>
      <w:r>
        <w:rPr>
          <w:rFonts w:hint="eastAsia" w:cs="黑体"/>
          <w:highlight w:val="none"/>
        </w:rPr>
        <w:t>技术服务</w:t>
      </w:r>
      <w:bookmarkEnd w:id="760"/>
      <w:bookmarkEnd w:id="761"/>
      <w:bookmarkEnd w:id="762"/>
      <w:bookmarkEnd w:id="763"/>
    </w:p>
    <w:p>
      <w:pPr>
        <w:spacing w:line="360" w:lineRule="auto"/>
        <w:ind w:firstLine="480" w:firstLineChars="200"/>
        <w:rPr>
          <w:rFonts w:hAnsi="宋体" w:cs="宋体"/>
          <w:highlight w:val="none"/>
        </w:rPr>
      </w:pPr>
      <w:r>
        <w:rPr>
          <w:rFonts w:hint="eastAsia" w:hAnsi="宋体" w:cs="宋体"/>
          <w:highlight w:val="none"/>
        </w:rPr>
        <w:t>7.2卖方技术人员的费用承担：</w:t>
      </w:r>
      <w:r>
        <w:rPr>
          <w:rFonts w:hint="eastAsia" w:hAnsi="宋体" w:cs="宋体"/>
          <w:highlight w:val="none"/>
          <w:u w:val="single"/>
        </w:rPr>
        <w:t xml:space="preserve">卖方承担 </w:t>
      </w:r>
      <w:r>
        <w:rPr>
          <w:rFonts w:hint="eastAsia" w:hAnsi="宋体" w:cs="宋体"/>
          <w:highlight w:val="none"/>
        </w:rPr>
        <w:t>。</w:t>
      </w:r>
    </w:p>
    <w:p>
      <w:pPr>
        <w:pStyle w:val="4"/>
        <w:spacing w:before="0" w:after="0"/>
        <w:ind w:left="240" w:leftChars="100"/>
        <w:rPr>
          <w:rFonts w:cs="黑体"/>
          <w:highlight w:val="none"/>
        </w:rPr>
      </w:pPr>
      <w:bookmarkStart w:id="764" w:name="_Toc24965171"/>
      <w:bookmarkStart w:id="765" w:name="_Toc26700501"/>
      <w:bookmarkStart w:id="766" w:name="_Toc26721405"/>
      <w:bookmarkStart w:id="767" w:name="_Toc15753927"/>
      <w:bookmarkStart w:id="768" w:name="_Toc26721560"/>
      <w:bookmarkStart w:id="769" w:name="_Toc26700671"/>
      <w:bookmarkStart w:id="770" w:name="_Toc17100691"/>
      <w:bookmarkStart w:id="771" w:name="_Toc392346765"/>
      <w:r>
        <w:rPr>
          <w:rFonts w:hint="eastAsia" w:cs="黑体"/>
          <w:highlight w:val="none"/>
        </w:rPr>
        <w:t>8. 质量保证期</w:t>
      </w:r>
      <w:bookmarkEnd w:id="764"/>
      <w:bookmarkEnd w:id="765"/>
      <w:bookmarkEnd w:id="766"/>
      <w:bookmarkEnd w:id="767"/>
      <w:bookmarkEnd w:id="768"/>
      <w:bookmarkEnd w:id="769"/>
      <w:bookmarkEnd w:id="770"/>
      <w:bookmarkEnd w:id="771"/>
    </w:p>
    <w:p>
      <w:pPr>
        <w:spacing w:line="360" w:lineRule="auto"/>
        <w:ind w:firstLine="480" w:firstLineChars="200"/>
        <w:rPr>
          <w:rFonts w:hAnsi="宋体" w:cs="宋体"/>
          <w:highlight w:val="none"/>
        </w:rPr>
      </w:pPr>
      <w:r>
        <w:rPr>
          <w:rFonts w:hint="eastAsia" w:hAnsi="宋体" w:cs="宋体"/>
          <w:highlight w:val="none"/>
        </w:rPr>
        <w:t>8.1 合同货物整体质量保证期：</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napToGrid w:val="0"/>
        <w:spacing w:line="360" w:lineRule="auto"/>
        <w:ind w:firstLine="960" w:firstLineChars="400"/>
        <w:rPr>
          <w:rFonts w:hAnsi="宋体" w:cs="宋体"/>
          <w:highlight w:val="none"/>
        </w:rPr>
      </w:pPr>
      <w:r>
        <w:rPr>
          <w:rFonts w:hint="eastAsia" w:hAnsi="宋体" w:cs="宋体"/>
          <w:highlight w:val="none"/>
        </w:rPr>
        <w:t>关键部件质保期的特殊约定：</w:t>
      </w:r>
      <w:r>
        <w:rPr>
          <w:rFonts w:hint="eastAsia" w:ascii="Times New Roman"/>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8.3 出具质量保证期届满证书的时间：</w:t>
      </w:r>
      <w:r>
        <w:rPr>
          <w:rFonts w:hint="eastAsia" w:hAnsi="宋体" w:cs="宋体"/>
          <w:highlight w:val="none"/>
          <w:u w:val="single"/>
        </w:rPr>
        <w:t>整体质量保证期满后且校方确认后</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8.4由于买方原因合同货物未能达到技术性能考核指标时签署结清款支付函的期限：</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8.5 由于买方原因合同货物未进行考核或未达到技术性能考核指标时签署结清款支付函的期限：</w:t>
      </w:r>
      <w:r>
        <w:rPr>
          <w:rFonts w:hint="eastAsia" w:hAnsi="宋体" w:cs="宋体"/>
          <w:highlight w:val="none"/>
          <w:u w:val="single"/>
        </w:rPr>
        <w:t xml:space="preserve">     /       </w:t>
      </w:r>
      <w:r>
        <w:rPr>
          <w:rFonts w:hint="eastAsia" w:hAnsi="宋体" w:cs="宋体"/>
          <w:highlight w:val="none"/>
        </w:rPr>
        <w:t>。</w:t>
      </w:r>
    </w:p>
    <w:p>
      <w:pPr>
        <w:pStyle w:val="4"/>
        <w:spacing w:before="0" w:after="0"/>
        <w:ind w:left="240" w:leftChars="100"/>
        <w:rPr>
          <w:rFonts w:cs="黑体"/>
          <w:highlight w:val="none"/>
        </w:rPr>
      </w:pPr>
      <w:bookmarkStart w:id="772" w:name="_Toc26700672"/>
      <w:bookmarkStart w:id="773" w:name="_Toc24965172"/>
      <w:bookmarkStart w:id="774" w:name="_Toc15753928"/>
      <w:bookmarkStart w:id="775" w:name="_Toc26700502"/>
      <w:bookmarkStart w:id="776" w:name="_Toc512544417"/>
      <w:bookmarkStart w:id="777" w:name="_Toc26721406"/>
      <w:bookmarkStart w:id="778" w:name="_Toc527622464"/>
      <w:bookmarkStart w:id="779" w:name="_Toc512611674"/>
      <w:bookmarkStart w:id="780" w:name="_Toc512544524"/>
      <w:bookmarkStart w:id="781" w:name="_Toc26721561"/>
      <w:bookmarkStart w:id="782" w:name="_Toc525761973"/>
      <w:bookmarkStart w:id="783" w:name="_Toc17100692"/>
      <w:bookmarkStart w:id="784" w:name="_Toc392346766"/>
      <w:r>
        <w:rPr>
          <w:rFonts w:hint="eastAsia" w:cs="黑体"/>
          <w:highlight w:val="none"/>
        </w:rPr>
        <w:t>9. 质保期服务</w:t>
      </w:r>
      <w:bookmarkEnd w:id="772"/>
      <w:bookmarkEnd w:id="773"/>
      <w:bookmarkEnd w:id="774"/>
      <w:bookmarkEnd w:id="775"/>
      <w:bookmarkEnd w:id="776"/>
      <w:bookmarkEnd w:id="777"/>
      <w:bookmarkEnd w:id="778"/>
      <w:bookmarkEnd w:id="779"/>
      <w:bookmarkEnd w:id="780"/>
      <w:bookmarkEnd w:id="781"/>
      <w:bookmarkEnd w:id="782"/>
      <w:bookmarkEnd w:id="783"/>
    </w:p>
    <w:p>
      <w:pPr>
        <w:snapToGrid w:val="0"/>
        <w:spacing w:line="360" w:lineRule="auto"/>
        <w:ind w:firstLine="480" w:firstLineChars="200"/>
        <w:rPr>
          <w:rFonts w:hAnsi="宋体" w:cs="宋体"/>
          <w:highlight w:val="none"/>
        </w:rPr>
      </w:pPr>
      <w:r>
        <w:rPr>
          <w:rFonts w:hint="eastAsia" w:hAnsi="宋体" w:cs="宋体"/>
          <w:highlight w:val="none"/>
        </w:rPr>
        <w:t>9.1 质保期服务响应、到达现场和解决问题的时间：</w:t>
      </w:r>
      <w:r>
        <w:rPr>
          <w:rFonts w:hint="eastAsia" w:hAnsi="宋体" w:cs="宋体"/>
          <w:highlight w:val="none"/>
          <w:u w:val="single"/>
        </w:rPr>
        <w:t xml:space="preserve"> 24 小时 </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9.2 卖方技术人员的交通、食宿费用：</w:t>
      </w:r>
      <w:r>
        <w:rPr>
          <w:rFonts w:hint="eastAsia" w:hAnsi="宋体" w:cs="宋体"/>
          <w:highlight w:val="none"/>
          <w:u w:val="single"/>
        </w:rPr>
        <w:t>卖方承担</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9.4 质保期服务情况记录：</w:t>
      </w:r>
      <w:r>
        <w:rPr>
          <w:rFonts w:hint="eastAsia" w:hAnsi="宋体" w:cs="宋体"/>
          <w:highlight w:val="none"/>
          <w:u w:val="single"/>
        </w:rPr>
        <w:t xml:space="preserve">执行通用条款 </w:t>
      </w:r>
      <w:r>
        <w:rPr>
          <w:rFonts w:hint="eastAsia" w:hAnsi="宋体" w:cs="宋体"/>
          <w:highlight w:val="none"/>
        </w:rPr>
        <w:t>。</w:t>
      </w:r>
    </w:p>
    <w:p>
      <w:pPr>
        <w:pStyle w:val="4"/>
        <w:spacing w:before="0" w:after="0"/>
        <w:ind w:left="240" w:leftChars="100"/>
        <w:rPr>
          <w:rFonts w:cs="黑体"/>
          <w:highlight w:val="none"/>
        </w:rPr>
      </w:pPr>
      <w:bookmarkStart w:id="785" w:name="_Toc26700673"/>
      <w:bookmarkStart w:id="786" w:name="_Toc26700503"/>
      <w:bookmarkStart w:id="787" w:name="_Toc15753929"/>
      <w:bookmarkStart w:id="788" w:name="_Toc26721407"/>
      <w:bookmarkStart w:id="789" w:name="_Toc17100693"/>
      <w:bookmarkStart w:id="790" w:name="_Toc24965173"/>
      <w:bookmarkStart w:id="791" w:name="_Toc26721562"/>
      <w:r>
        <w:rPr>
          <w:rFonts w:hint="eastAsia" w:cs="黑体"/>
          <w:highlight w:val="none"/>
        </w:rPr>
        <w:t>10. 履约保证金</w:t>
      </w:r>
      <w:bookmarkEnd w:id="784"/>
      <w:bookmarkEnd w:id="785"/>
      <w:bookmarkEnd w:id="786"/>
      <w:bookmarkEnd w:id="787"/>
      <w:bookmarkEnd w:id="788"/>
      <w:bookmarkEnd w:id="789"/>
      <w:bookmarkEnd w:id="790"/>
      <w:bookmarkEnd w:id="791"/>
    </w:p>
    <w:p>
      <w:pPr>
        <w:spacing w:line="360" w:lineRule="auto"/>
        <w:ind w:firstLine="480" w:firstLineChars="200"/>
        <w:rPr>
          <w:rFonts w:hAnsi="宋体" w:cs="宋体"/>
          <w:highlight w:val="none"/>
          <w:u w:val="single"/>
        </w:rPr>
      </w:pPr>
      <w:r>
        <w:rPr>
          <w:rFonts w:hint="eastAsia" w:hAnsi="宋体" w:cs="宋体"/>
          <w:highlight w:val="none"/>
        </w:rPr>
        <w:t>履约保证金：见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履约保证金的形式：现金（银行转账、银行电汇）或银行保函或担保机构担保或保证保险。</w:t>
      </w:r>
    </w:p>
    <w:p>
      <w:pPr>
        <w:spacing w:line="360" w:lineRule="auto"/>
        <w:ind w:firstLine="480" w:firstLineChars="200"/>
        <w:rPr>
          <w:rFonts w:hAnsi="宋体" w:cs="宋体"/>
          <w:highlight w:val="none"/>
        </w:rPr>
      </w:pPr>
      <w:r>
        <w:rPr>
          <w:rFonts w:hint="eastAsia" w:hAnsi="宋体" w:cs="宋体"/>
          <w:highlight w:val="none"/>
        </w:rPr>
        <w:t>履约保证金的金额：见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履约保证金提交期限的要求：签订合同前。</w:t>
      </w:r>
    </w:p>
    <w:p>
      <w:pPr>
        <w:spacing w:line="360" w:lineRule="auto"/>
        <w:ind w:firstLine="480" w:firstLineChars="200"/>
        <w:rPr>
          <w:rFonts w:hAnsi="宋体" w:cs="宋体"/>
          <w:highlight w:val="none"/>
        </w:rPr>
      </w:pPr>
      <w:r>
        <w:rPr>
          <w:rFonts w:hint="eastAsia" w:hAnsi="宋体" w:cs="宋体"/>
          <w:highlight w:val="none"/>
        </w:rPr>
        <w:t>履约保证金的期限：见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履约保证金退还时限：见</w:t>
      </w:r>
      <w:r>
        <w:rPr>
          <w:rFonts w:hint="eastAsia" w:hAnsi="宋体" w:cs="宋体"/>
          <w:highlight w:val="none"/>
          <w:u w:val="single"/>
        </w:rPr>
        <w:t>《专用合同条款数据表》。</w:t>
      </w:r>
    </w:p>
    <w:p>
      <w:pPr>
        <w:pStyle w:val="4"/>
        <w:spacing w:before="0" w:after="0"/>
        <w:ind w:left="240" w:leftChars="100"/>
        <w:rPr>
          <w:rFonts w:cs="黑体"/>
          <w:highlight w:val="none"/>
        </w:rPr>
      </w:pPr>
      <w:bookmarkStart w:id="792" w:name="_Toc15753930"/>
      <w:bookmarkStart w:id="793" w:name="_Toc26721563"/>
      <w:bookmarkStart w:id="794" w:name="_Toc392346767"/>
      <w:bookmarkStart w:id="795" w:name="_Toc26700504"/>
      <w:bookmarkStart w:id="796" w:name="_Toc26700674"/>
      <w:bookmarkStart w:id="797" w:name="_Toc24965174"/>
      <w:bookmarkStart w:id="798" w:name="_Toc17100694"/>
      <w:bookmarkStart w:id="799" w:name="_Toc26721408"/>
      <w:r>
        <w:rPr>
          <w:rFonts w:hint="eastAsia" w:cs="黑体"/>
          <w:highlight w:val="none"/>
        </w:rPr>
        <w:t>11. 保证</w:t>
      </w:r>
      <w:bookmarkEnd w:id="792"/>
      <w:bookmarkEnd w:id="793"/>
      <w:bookmarkEnd w:id="794"/>
      <w:bookmarkEnd w:id="795"/>
      <w:bookmarkEnd w:id="796"/>
      <w:bookmarkEnd w:id="797"/>
      <w:bookmarkEnd w:id="798"/>
      <w:bookmarkEnd w:id="799"/>
    </w:p>
    <w:p>
      <w:pPr>
        <w:spacing w:line="360" w:lineRule="auto"/>
        <w:ind w:firstLine="480" w:firstLineChars="200"/>
        <w:rPr>
          <w:rFonts w:hAnsi="宋体" w:cs="宋体"/>
          <w:highlight w:val="none"/>
        </w:rPr>
      </w:pPr>
      <w:r>
        <w:rPr>
          <w:rFonts w:hint="eastAsia" w:hAnsi="宋体" w:cs="宋体"/>
          <w:highlight w:val="none"/>
        </w:rPr>
        <w:t>11.4 合同货物技术规格、质量标准的特殊要求：</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11.7 合同货物设计使用寿命期内备品备件停止生产时卖方的通知和配合义务：</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800" w:name="_Toc26700675"/>
      <w:bookmarkStart w:id="801" w:name="_Toc527622467"/>
      <w:bookmarkStart w:id="802" w:name="_Toc26721409"/>
      <w:bookmarkStart w:id="803" w:name="_Toc17100695"/>
      <w:bookmarkStart w:id="804" w:name="_Toc512611677"/>
      <w:bookmarkStart w:id="805" w:name="_Toc512544420"/>
      <w:bookmarkStart w:id="806" w:name="_Toc512544527"/>
      <w:bookmarkStart w:id="807" w:name="_Toc26700505"/>
      <w:bookmarkStart w:id="808" w:name="_Toc525761976"/>
      <w:bookmarkStart w:id="809" w:name="_Toc15753931"/>
      <w:bookmarkStart w:id="810" w:name="_Toc26721564"/>
      <w:bookmarkStart w:id="811" w:name="_Toc24965175"/>
      <w:bookmarkStart w:id="812" w:name="_Toc392346768"/>
      <w:r>
        <w:rPr>
          <w:rFonts w:hint="eastAsia" w:cs="黑体"/>
          <w:highlight w:val="none"/>
        </w:rPr>
        <w:t>12. 知识产权</w:t>
      </w:r>
      <w:bookmarkEnd w:id="800"/>
      <w:bookmarkEnd w:id="801"/>
      <w:bookmarkEnd w:id="802"/>
      <w:bookmarkEnd w:id="803"/>
      <w:bookmarkEnd w:id="804"/>
      <w:bookmarkEnd w:id="805"/>
      <w:bookmarkEnd w:id="806"/>
      <w:bookmarkEnd w:id="807"/>
      <w:bookmarkEnd w:id="808"/>
      <w:bookmarkEnd w:id="809"/>
      <w:bookmarkEnd w:id="810"/>
      <w:bookmarkEnd w:id="811"/>
    </w:p>
    <w:p>
      <w:pPr>
        <w:spacing w:line="360" w:lineRule="auto"/>
        <w:ind w:firstLine="480" w:firstLineChars="200"/>
        <w:rPr>
          <w:rFonts w:hAnsi="宋体" w:cs="宋体"/>
          <w:highlight w:val="none"/>
          <w:u w:val="single"/>
        </w:rPr>
      </w:pPr>
      <w:r>
        <w:rPr>
          <w:rFonts w:hint="eastAsia" w:hAnsi="宋体" w:cs="宋体"/>
          <w:highlight w:val="none"/>
        </w:rPr>
        <w:t>12.2 卖方提供给买方</w:t>
      </w:r>
      <w:r>
        <w:rPr>
          <w:rStyle w:val="65"/>
          <w:rFonts w:hint="eastAsia" w:hAnsi="宋体" w:cs="宋体"/>
          <w:sz w:val="24"/>
          <w:highlight w:val="none"/>
        </w:rPr>
        <w:t>的图纸、文件、配套软件、电子辅助程序和其他含有数据和信息的资料</w:t>
      </w:r>
      <w:r>
        <w:rPr>
          <w:rFonts w:hint="eastAsia" w:hAnsi="宋体" w:cs="宋体"/>
          <w:highlight w:val="none"/>
        </w:rPr>
        <w:t>的知识产权：</w:t>
      </w:r>
      <w:r>
        <w:rPr>
          <w:rFonts w:hint="eastAsia" w:hAnsi="宋体" w:cs="宋体"/>
          <w:highlight w:val="none"/>
          <w:u w:val="single"/>
        </w:rPr>
        <w:t>归买方及校方所有</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12.4 卖方应当对买方收到</w:t>
      </w:r>
      <w:r>
        <w:rPr>
          <w:rStyle w:val="65"/>
          <w:rFonts w:hint="eastAsia" w:hAnsi="宋体" w:cs="宋体"/>
          <w:sz w:val="24"/>
          <w:highlight w:val="none"/>
        </w:rPr>
        <w:t>任何第三方有关</w:t>
      </w:r>
      <w:r>
        <w:rPr>
          <w:rFonts w:hint="eastAsia" w:hAnsi="宋体" w:cs="宋体"/>
          <w:highlight w:val="none"/>
        </w:rPr>
        <w:t>知识产权导致的主张、索赔或诉讼进行处理的期限：</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813" w:name="_Toc24965176"/>
      <w:bookmarkStart w:id="814" w:name="_Toc26721410"/>
      <w:bookmarkStart w:id="815" w:name="_Toc17100696"/>
      <w:bookmarkStart w:id="816" w:name="_Toc26721565"/>
      <w:bookmarkStart w:id="817" w:name="_Toc15753932"/>
      <w:bookmarkStart w:id="818" w:name="_Toc26700506"/>
      <w:bookmarkStart w:id="819" w:name="_Toc26700676"/>
      <w:r>
        <w:rPr>
          <w:rFonts w:hint="eastAsia" w:cs="黑体"/>
          <w:highlight w:val="none"/>
        </w:rPr>
        <w:t>14. 违约</w:t>
      </w:r>
      <w:bookmarkEnd w:id="812"/>
      <w:r>
        <w:rPr>
          <w:rFonts w:hint="eastAsia" w:cs="黑体"/>
          <w:highlight w:val="none"/>
        </w:rPr>
        <w:t>责任</w:t>
      </w:r>
      <w:bookmarkEnd w:id="813"/>
      <w:bookmarkEnd w:id="814"/>
      <w:bookmarkEnd w:id="815"/>
      <w:bookmarkEnd w:id="816"/>
      <w:bookmarkEnd w:id="817"/>
      <w:bookmarkEnd w:id="818"/>
      <w:bookmarkEnd w:id="819"/>
    </w:p>
    <w:p>
      <w:pPr>
        <w:spacing w:line="360" w:lineRule="auto"/>
        <w:ind w:firstLine="480" w:firstLineChars="200"/>
        <w:rPr>
          <w:rFonts w:hAnsi="宋体" w:cs="宋体"/>
          <w:highlight w:val="none"/>
        </w:rPr>
      </w:pPr>
      <w:r>
        <w:rPr>
          <w:rFonts w:hint="eastAsia" w:hAnsi="宋体" w:cs="宋体"/>
          <w:highlight w:val="none"/>
        </w:rPr>
        <w:t>14.2迟延交付违约金的计算方法：</w:t>
      </w:r>
      <w:r>
        <w:rPr>
          <w:rFonts w:hint="eastAsia" w:hAnsi="宋体" w:cs="宋体"/>
          <w:highlight w:val="none"/>
          <w:u w:val="single"/>
        </w:rPr>
        <w:t xml:space="preserve">按招标文件约定执行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14.3迟延付款违约金的计算方法：</w:t>
      </w:r>
      <w:r>
        <w:rPr>
          <w:rFonts w:hint="eastAsia" w:hAnsi="宋体" w:cs="宋体"/>
          <w:highlight w:val="none"/>
          <w:u w:val="single"/>
        </w:rPr>
        <w:t xml:space="preserve">      /            </w:t>
      </w:r>
      <w:r>
        <w:rPr>
          <w:rFonts w:hint="eastAsia" w:hAnsi="宋体" w:cs="宋体"/>
          <w:highlight w:val="none"/>
        </w:rPr>
        <w:t>。</w:t>
      </w:r>
    </w:p>
    <w:p>
      <w:pPr>
        <w:pStyle w:val="4"/>
        <w:spacing w:before="0" w:after="0"/>
        <w:ind w:left="240" w:leftChars="100"/>
        <w:rPr>
          <w:rFonts w:cs="黑体"/>
          <w:highlight w:val="none"/>
        </w:rPr>
      </w:pPr>
      <w:bookmarkStart w:id="820" w:name="_Toc392346769"/>
      <w:bookmarkStart w:id="821" w:name="_Toc26700507"/>
      <w:bookmarkStart w:id="822" w:name="_Toc26700677"/>
      <w:bookmarkStart w:id="823" w:name="_Toc24965177"/>
      <w:bookmarkStart w:id="824" w:name="_Toc26721566"/>
      <w:bookmarkStart w:id="825" w:name="_Toc26721411"/>
      <w:bookmarkStart w:id="826" w:name="_Toc17100697"/>
      <w:bookmarkStart w:id="827" w:name="_Toc15753933"/>
      <w:r>
        <w:rPr>
          <w:rFonts w:hint="eastAsia" w:cs="黑体"/>
          <w:highlight w:val="none"/>
        </w:rPr>
        <w:t>15. 合同</w:t>
      </w:r>
      <w:bookmarkEnd w:id="820"/>
      <w:r>
        <w:rPr>
          <w:rFonts w:hint="eastAsia" w:cs="黑体"/>
          <w:highlight w:val="none"/>
        </w:rPr>
        <w:t>的解除</w:t>
      </w:r>
      <w:bookmarkEnd w:id="821"/>
      <w:bookmarkEnd w:id="822"/>
      <w:bookmarkEnd w:id="823"/>
      <w:bookmarkEnd w:id="824"/>
      <w:bookmarkEnd w:id="825"/>
      <w:bookmarkEnd w:id="826"/>
      <w:bookmarkEnd w:id="827"/>
    </w:p>
    <w:p>
      <w:pPr>
        <w:spacing w:line="360" w:lineRule="auto"/>
        <w:ind w:firstLine="480" w:firstLineChars="200"/>
        <w:rPr>
          <w:rFonts w:hAnsi="宋体" w:cs="宋体"/>
          <w:highlight w:val="none"/>
        </w:rPr>
      </w:pPr>
      <w:r>
        <w:rPr>
          <w:rFonts w:hint="eastAsia" w:hAnsi="宋体" w:cs="宋体"/>
          <w:highlight w:val="none"/>
        </w:rPr>
        <w:t>合同解除的其他情形：</w:t>
      </w:r>
      <w:r>
        <w:rPr>
          <w:rFonts w:hint="eastAsia" w:hAnsi="宋体" w:cs="宋体"/>
          <w:highlight w:val="none"/>
          <w:u w:val="single"/>
        </w:rPr>
        <w:t xml:space="preserve">执行通用条款 </w:t>
      </w:r>
      <w:r>
        <w:rPr>
          <w:rFonts w:hint="eastAsia" w:hAnsi="宋体" w:cs="宋体"/>
          <w:highlight w:val="none"/>
        </w:rPr>
        <w:t>。</w:t>
      </w:r>
    </w:p>
    <w:p>
      <w:pPr>
        <w:pStyle w:val="4"/>
        <w:spacing w:before="0" w:after="0"/>
        <w:ind w:left="240" w:leftChars="100"/>
        <w:rPr>
          <w:rFonts w:cs="黑体"/>
          <w:highlight w:val="none"/>
        </w:rPr>
      </w:pPr>
      <w:bookmarkStart w:id="828" w:name="_Toc24965178"/>
      <w:bookmarkStart w:id="829" w:name="_Toc26721567"/>
      <w:bookmarkStart w:id="830" w:name="_Toc512544530"/>
      <w:bookmarkStart w:id="831" w:name="_Toc17100698"/>
      <w:bookmarkStart w:id="832" w:name="_Toc527622470"/>
      <w:bookmarkStart w:id="833" w:name="_Toc512611680"/>
      <w:bookmarkStart w:id="834" w:name="_Toc26721412"/>
      <w:bookmarkStart w:id="835" w:name="_Toc26700508"/>
      <w:bookmarkStart w:id="836" w:name="_Toc525761979"/>
      <w:bookmarkStart w:id="837" w:name="_Toc512544423"/>
      <w:bookmarkStart w:id="838" w:name="_Toc26700678"/>
      <w:bookmarkStart w:id="839" w:name="_Toc15753934"/>
      <w:bookmarkStart w:id="840" w:name="_Toc392346770"/>
      <w:r>
        <w:rPr>
          <w:rFonts w:hint="eastAsia" w:cs="黑体"/>
          <w:highlight w:val="none"/>
        </w:rPr>
        <w:t>16. 不可抗力</w:t>
      </w:r>
      <w:bookmarkEnd w:id="828"/>
      <w:bookmarkEnd w:id="829"/>
      <w:bookmarkEnd w:id="830"/>
      <w:bookmarkEnd w:id="831"/>
      <w:bookmarkEnd w:id="832"/>
      <w:bookmarkEnd w:id="833"/>
      <w:bookmarkEnd w:id="834"/>
      <w:bookmarkEnd w:id="835"/>
      <w:bookmarkEnd w:id="836"/>
      <w:bookmarkEnd w:id="837"/>
      <w:bookmarkEnd w:id="838"/>
      <w:bookmarkEnd w:id="839"/>
    </w:p>
    <w:p>
      <w:pPr>
        <w:snapToGrid w:val="0"/>
        <w:spacing w:line="360" w:lineRule="auto"/>
        <w:ind w:firstLine="480" w:firstLineChars="200"/>
        <w:rPr>
          <w:rFonts w:hAnsi="宋体" w:cs="宋体"/>
          <w:highlight w:val="none"/>
          <w:u w:val="single"/>
        </w:rPr>
      </w:pPr>
      <w:r>
        <w:rPr>
          <w:rFonts w:hint="eastAsia" w:hAnsi="宋体" w:cs="宋体"/>
          <w:highlight w:val="none"/>
        </w:rPr>
        <w:t>16.1 不可抗力的其它情形：</w:t>
      </w:r>
      <w:r>
        <w:rPr>
          <w:rFonts w:hint="eastAsia" w:hAnsi="宋体" w:cs="宋体"/>
          <w:highlight w:val="none"/>
          <w:u w:val="single"/>
        </w:rPr>
        <w:t>执行通用条款（第 3 条除外）</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16.3 可以解除合同的不可抗力事件影响持续期限：</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841" w:name="_Toc15753935"/>
      <w:bookmarkStart w:id="842" w:name="_Toc26700509"/>
      <w:bookmarkStart w:id="843" w:name="_Toc26721568"/>
      <w:bookmarkStart w:id="844" w:name="_Toc17100699"/>
      <w:bookmarkStart w:id="845" w:name="_Toc24965179"/>
      <w:bookmarkStart w:id="846" w:name="_Toc26700679"/>
      <w:bookmarkStart w:id="847" w:name="_Toc26721413"/>
      <w:r>
        <w:rPr>
          <w:rFonts w:hint="eastAsia" w:cs="黑体"/>
          <w:highlight w:val="none"/>
        </w:rPr>
        <w:t>17. 争议的解决</w:t>
      </w:r>
      <w:bookmarkEnd w:id="840"/>
      <w:bookmarkEnd w:id="841"/>
      <w:bookmarkEnd w:id="842"/>
      <w:bookmarkEnd w:id="843"/>
      <w:bookmarkEnd w:id="844"/>
      <w:bookmarkEnd w:id="845"/>
      <w:bookmarkEnd w:id="846"/>
      <w:bookmarkEnd w:id="847"/>
    </w:p>
    <w:p>
      <w:pPr>
        <w:spacing w:line="360" w:lineRule="auto"/>
        <w:ind w:firstLine="480" w:firstLineChars="200"/>
        <w:rPr>
          <w:rFonts w:hAnsi="宋体" w:cs="宋体"/>
          <w:bCs/>
          <w:highlight w:val="none"/>
        </w:rPr>
      </w:pPr>
      <w:r>
        <w:rPr>
          <w:rFonts w:hint="eastAsia" w:hAnsi="宋体" w:cs="宋体"/>
          <w:highlight w:val="none"/>
          <w:shd w:val="clear" w:color="auto" w:fill="FFFFFF"/>
        </w:rPr>
        <w:t>因合同引起的或与合同有关的任何争议，</w:t>
      </w:r>
      <w:r>
        <w:rPr>
          <w:rFonts w:hint="eastAsia" w:hAnsi="宋体" w:cs="宋体"/>
          <w:bCs/>
          <w:highlight w:val="none"/>
        </w:rPr>
        <w:t>按下列第</w:t>
      </w:r>
      <w:r>
        <w:rPr>
          <w:rFonts w:hint="eastAsia" w:hAnsi="宋体" w:cs="宋体"/>
          <w:highlight w:val="none"/>
          <w:u w:val="single"/>
        </w:rPr>
        <w:t xml:space="preserve"> （2）</w:t>
      </w:r>
      <w:r>
        <w:rPr>
          <w:rFonts w:hint="eastAsia" w:hAnsi="宋体" w:cs="宋体"/>
          <w:bCs/>
          <w:highlight w:val="none"/>
        </w:rPr>
        <w:t>种方式解决：</w:t>
      </w:r>
    </w:p>
    <w:p>
      <w:pPr>
        <w:spacing w:line="360" w:lineRule="auto"/>
        <w:ind w:firstLine="360" w:firstLineChars="150"/>
        <w:rPr>
          <w:rFonts w:hAnsi="宋体" w:cs="宋体"/>
          <w:bCs/>
          <w:highlight w:val="none"/>
        </w:rPr>
      </w:pPr>
      <w:r>
        <w:rPr>
          <w:rFonts w:hint="eastAsia" w:hAnsi="宋体" w:cs="宋体"/>
          <w:bCs/>
          <w:highlight w:val="none"/>
        </w:rPr>
        <w:t>（1）向</w:t>
      </w:r>
      <w:r>
        <w:rPr>
          <w:rFonts w:hint="eastAsia" w:hAnsi="宋体" w:cs="宋体"/>
          <w:highlight w:val="none"/>
          <w:u w:val="single"/>
        </w:rPr>
        <w:t xml:space="preserve">  合肥 </w:t>
      </w:r>
      <w:r>
        <w:rPr>
          <w:rFonts w:hint="eastAsia" w:hAnsi="宋体" w:cs="宋体"/>
          <w:bCs/>
          <w:highlight w:val="none"/>
        </w:rPr>
        <w:t>仲裁委员会申请仲裁；</w:t>
      </w:r>
    </w:p>
    <w:p>
      <w:pPr>
        <w:spacing w:line="360" w:lineRule="auto"/>
        <w:ind w:firstLine="360" w:firstLineChars="150"/>
        <w:rPr>
          <w:rFonts w:hAnsi="宋体" w:cs="宋体"/>
          <w:bCs/>
          <w:highlight w:val="none"/>
        </w:rPr>
      </w:pPr>
      <w:r>
        <w:rPr>
          <w:rFonts w:hint="eastAsia" w:hAnsi="宋体" w:cs="宋体"/>
          <w:bCs/>
          <w:highlight w:val="none"/>
        </w:rPr>
        <w:t>（2）向</w:t>
      </w:r>
      <w:r>
        <w:rPr>
          <w:rFonts w:hint="eastAsia" w:hAnsi="宋体" w:cs="宋体"/>
          <w:highlight w:val="none"/>
          <w:u w:val="single"/>
        </w:rPr>
        <w:t xml:space="preserve"> 肥东县 </w:t>
      </w:r>
      <w:r>
        <w:rPr>
          <w:rFonts w:hint="eastAsia" w:hAnsi="宋体" w:cs="宋体"/>
          <w:bCs/>
          <w:highlight w:val="none"/>
        </w:rPr>
        <w:t>人民法院起诉。</w:t>
      </w:r>
    </w:p>
    <w:p>
      <w:pPr>
        <w:spacing w:line="360" w:lineRule="auto"/>
        <w:ind w:firstLine="480" w:firstLineChars="200"/>
        <w:rPr>
          <w:rFonts w:hAnsi="宋体" w:cs="宋体"/>
          <w:highlight w:val="none"/>
          <w:shd w:val="clear" w:color="auto" w:fill="FFFFFF"/>
        </w:rPr>
      </w:pPr>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附件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附件1：供货要求（见招标文件第五章）</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附件2：分项报价表（见投标文件）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附件3：履约保证金</w:t>
      </w:r>
    </w:p>
    <w:p>
      <w:pPr>
        <w:spacing w:line="360" w:lineRule="auto"/>
        <w:ind w:firstLine="480" w:firstLineChars="200"/>
        <w:jc w:val="center"/>
        <w:rPr>
          <w:rFonts w:ascii="Times New Roman"/>
          <w:b/>
          <w:highlight w:val="none"/>
        </w:rPr>
      </w:pPr>
      <w:r>
        <w:rPr>
          <w:rFonts w:hint="eastAsia" w:hAnsi="宋体" w:cs="宋体"/>
          <w:bCs/>
          <w:snapToGrid w:val="0"/>
          <w:highlight w:val="none"/>
        </w:rPr>
        <w:t>附件4：廉政协议</w:t>
      </w:r>
      <w:r>
        <w:rPr>
          <w:rFonts w:ascii="Times New Roman"/>
          <w:b/>
          <w:highlight w:val="none"/>
        </w:rPr>
        <w:br w:type="page"/>
      </w:r>
      <w:bookmarkStart w:id="848" w:name="_Toc29298"/>
      <w:bookmarkEnd w:id="848"/>
      <w:bookmarkStart w:id="849" w:name="_Toc369531676"/>
      <w:bookmarkEnd w:id="849"/>
      <w:bookmarkStart w:id="850" w:name="_Toc9766"/>
      <w:bookmarkEnd w:id="850"/>
      <w:bookmarkStart w:id="851" w:name="_Toc246996319"/>
      <w:bookmarkEnd w:id="851"/>
      <w:bookmarkStart w:id="852" w:name="_Toc296602565"/>
      <w:bookmarkEnd w:id="852"/>
      <w:bookmarkStart w:id="853" w:name="_Toc247085834"/>
      <w:bookmarkEnd w:id="853"/>
      <w:bookmarkStart w:id="854" w:name="_Toc246997062"/>
      <w:bookmarkEnd w:id="854"/>
      <w:bookmarkStart w:id="855" w:name="_Toc184635117"/>
      <w:bookmarkEnd w:id="855"/>
      <w:bookmarkStart w:id="856" w:name="_Toc369531675"/>
      <w:bookmarkEnd w:id="856"/>
      <w:bookmarkStart w:id="857" w:name="_Toc26369"/>
      <w:bookmarkStart w:id="858" w:name="_Toc140069434"/>
      <w:bookmarkStart w:id="859" w:name="_Toc501460713"/>
      <w:r>
        <w:rPr>
          <w:rFonts w:ascii="Times New Roman"/>
          <w:b/>
          <w:highlight w:val="none"/>
        </w:rPr>
        <w:t>第三节合同附件格式</w:t>
      </w:r>
      <w:bookmarkEnd w:id="857"/>
      <w:bookmarkEnd w:id="858"/>
      <w:bookmarkEnd w:id="859"/>
    </w:p>
    <w:p>
      <w:pPr>
        <w:pStyle w:val="4"/>
        <w:spacing w:before="0" w:after="0"/>
        <w:ind w:firstLine="137"/>
        <w:rPr>
          <w:rFonts w:ascii="宋体" w:hAnsi="宋体" w:eastAsia="宋体" w:cs="宋体"/>
          <w:highlight w:val="none"/>
        </w:rPr>
      </w:pPr>
      <w:r>
        <w:rPr>
          <w:rFonts w:ascii="Times New Roman" w:hAnsi="Times New Roman"/>
          <w:highlight w:val="none"/>
        </w:rPr>
        <w:br w:type="page"/>
      </w:r>
      <w:bookmarkEnd w:id="697"/>
      <w:bookmarkEnd w:id="698"/>
      <w:bookmarkEnd w:id="699"/>
      <w:bookmarkEnd w:id="700"/>
      <w:bookmarkStart w:id="860" w:name="_Toc501460714"/>
      <w:r>
        <w:rPr>
          <w:rFonts w:hint="eastAsia" w:cs="黑体"/>
          <w:highlight w:val="none"/>
        </w:rPr>
        <w:t>附件一：合同协议书</w:t>
      </w:r>
      <w:bookmarkEnd w:id="860"/>
    </w:p>
    <w:p>
      <w:pPr>
        <w:spacing w:line="360" w:lineRule="auto"/>
        <w:rPr>
          <w:rFonts w:hAnsi="宋体" w:cs="宋体"/>
          <w:highlight w:val="none"/>
        </w:rPr>
      </w:pPr>
    </w:p>
    <w:p>
      <w:pPr>
        <w:spacing w:line="360" w:lineRule="auto"/>
        <w:jc w:val="center"/>
        <w:rPr>
          <w:rFonts w:ascii="黑体" w:hAnsi="黑体" w:eastAsia="黑体" w:cs="黑体"/>
          <w:highlight w:val="none"/>
        </w:rPr>
      </w:pPr>
      <w:r>
        <w:rPr>
          <w:rFonts w:hint="eastAsia" w:ascii="黑体" w:hAnsi="黑体" w:eastAsia="黑体" w:cs="黑体"/>
          <w:highlight w:val="none"/>
        </w:rPr>
        <w:t>合同协议书</w:t>
      </w:r>
    </w:p>
    <w:p>
      <w:pPr>
        <w:spacing w:line="360" w:lineRule="auto"/>
        <w:rPr>
          <w:rFonts w:hAnsi="宋体" w:cs="宋体"/>
          <w:highlight w:val="none"/>
        </w:rPr>
      </w:pPr>
    </w:p>
    <w:p>
      <w:pPr>
        <w:spacing w:line="360" w:lineRule="auto"/>
        <w:ind w:firstLine="484" w:firstLineChars="202"/>
        <w:rPr>
          <w:rFonts w:hAnsi="宋体" w:cs="宋体"/>
          <w:highlight w:val="none"/>
        </w:rPr>
      </w:pPr>
      <w:r>
        <w:rPr>
          <w:rFonts w:hint="eastAsia" w:hAnsi="宋体" w:cs="宋体"/>
          <w:highlight w:val="none"/>
        </w:rPr>
        <w:t>（买方名称，以下简称“买方”）为获得（招标项目名称）合同货物和相关服务，已接受（卖方名称，以下简称“卖方”）为提供上述合同货物和相关服务所作的投标，买方和卖方共同达成如下协议：</w:t>
      </w:r>
    </w:p>
    <w:p>
      <w:pPr>
        <w:spacing w:line="360" w:lineRule="auto"/>
        <w:ind w:firstLine="480" w:firstLineChars="200"/>
        <w:rPr>
          <w:rFonts w:hAnsi="宋体" w:cs="宋体"/>
          <w:highlight w:val="none"/>
        </w:rPr>
      </w:pPr>
      <w:r>
        <w:rPr>
          <w:rFonts w:hint="eastAsia" w:hAnsi="宋体" w:cs="宋体"/>
          <w:highlight w:val="none"/>
        </w:rPr>
        <w:t>1.本协议书与下列文件一起构成合同文件：</w:t>
      </w:r>
    </w:p>
    <w:p>
      <w:pPr>
        <w:spacing w:line="360" w:lineRule="auto"/>
        <w:ind w:firstLine="480" w:firstLineChars="200"/>
        <w:rPr>
          <w:rFonts w:hAnsi="宋体" w:cs="宋体"/>
          <w:highlight w:val="none"/>
        </w:rPr>
      </w:pPr>
      <w:r>
        <w:rPr>
          <w:rFonts w:hint="eastAsia" w:hAnsi="宋体" w:cs="宋体"/>
          <w:highlight w:val="none"/>
        </w:rPr>
        <w:t>（1）中标通知书；</w:t>
      </w:r>
    </w:p>
    <w:p>
      <w:pPr>
        <w:spacing w:line="360" w:lineRule="auto"/>
        <w:ind w:firstLine="480" w:firstLineChars="200"/>
        <w:rPr>
          <w:rFonts w:hAnsi="宋体" w:cs="宋体"/>
          <w:highlight w:val="none"/>
        </w:rPr>
      </w:pPr>
      <w:r>
        <w:rPr>
          <w:rFonts w:hint="eastAsia" w:hAnsi="宋体" w:cs="宋体"/>
          <w:highlight w:val="none"/>
        </w:rPr>
        <w:t>（2）投标函；</w:t>
      </w:r>
    </w:p>
    <w:p>
      <w:pPr>
        <w:spacing w:line="360" w:lineRule="auto"/>
        <w:ind w:firstLine="480" w:firstLineChars="200"/>
        <w:rPr>
          <w:rFonts w:hAnsi="宋体" w:cs="宋体"/>
          <w:highlight w:val="none"/>
        </w:rPr>
      </w:pPr>
      <w:r>
        <w:rPr>
          <w:rFonts w:hint="eastAsia" w:hAnsi="宋体" w:cs="宋体"/>
          <w:highlight w:val="none"/>
        </w:rPr>
        <w:t>（3）商务和技术偏差表；</w:t>
      </w:r>
    </w:p>
    <w:p>
      <w:pPr>
        <w:spacing w:line="360" w:lineRule="auto"/>
        <w:ind w:firstLine="480" w:firstLineChars="200"/>
        <w:rPr>
          <w:rFonts w:hAnsi="宋体" w:cs="宋体"/>
          <w:highlight w:val="none"/>
        </w:rPr>
      </w:pPr>
      <w:r>
        <w:rPr>
          <w:rFonts w:hint="eastAsia" w:hAnsi="宋体" w:cs="宋体"/>
          <w:highlight w:val="none"/>
        </w:rPr>
        <w:t>（4）专用合同条款；</w:t>
      </w:r>
    </w:p>
    <w:p>
      <w:pPr>
        <w:spacing w:line="360" w:lineRule="auto"/>
        <w:ind w:firstLine="480" w:firstLineChars="200"/>
        <w:rPr>
          <w:rFonts w:hAnsi="宋体" w:cs="宋体"/>
          <w:highlight w:val="none"/>
        </w:rPr>
      </w:pPr>
      <w:r>
        <w:rPr>
          <w:rFonts w:hint="eastAsia" w:hAnsi="宋体" w:cs="宋体"/>
          <w:highlight w:val="none"/>
        </w:rPr>
        <w:t>（5）通用合同条款；</w:t>
      </w:r>
    </w:p>
    <w:p>
      <w:pPr>
        <w:spacing w:line="360" w:lineRule="auto"/>
        <w:ind w:firstLine="480" w:firstLineChars="200"/>
        <w:rPr>
          <w:rFonts w:hAnsi="宋体" w:cs="宋体"/>
          <w:highlight w:val="none"/>
        </w:rPr>
      </w:pPr>
      <w:r>
        <w:rPr>
          <w:rFonts w:hint="eastAsia" w:hAnsi="宋体" w:cs="宋体"/>
          <w:highlight w:val="none"/>
        </w:rPr>
        <w:t>（6）供货要求；</w:t>
      </w:r>
    </w:p>
    <w:p>
      <w:pPr>
        <w:spacing w:line="360" w:lineRule="auto"/>
        <w:ind w:firstLine="480" w:firstLineChars="200"/>
        <w:rPr>
          <w:rFonts w:hAnsi="宋体" w:cs="宋体"/>
          <w:highlight w:val="none"/>
        </w:rPr>
      </w:pPr>
      <w:r>
        <w:rPr>
          <w:rFonts w:hint="eastAsia" w:hAnsi="宋体" w:cs="宋体"/>
          <w:highlight w:val="none"/>
        </w:rPr>
        <w:t>（7）分项报价表；</w:t>
      </w:r>
    </w:p>
    <w:p>
      <w:pPr>
        <w:spacing w:line="360" w:lineRule="auto"/>
        <w:ind w:firstLine="480" w:firstLineChars="200"/>
        <w:rPr>
          <w:rFonts w:hAnsi="宋体" w:cs="宋体"/>
          <w:highlight w:val="none"/>
        </w:rPr>
      </w:pPr>
      <w:r>
        <w:rPr>
          <w:rFonts w:hint="eastAsia" w:hAnsi="宋体" w:cs="宋体"/>
          <w:highlight w:val="none"/>
        </w:rPr>
        <w:t>（8）中标货物技术性能指标的详细描述；</w:t>
      </w:r>
    </w:p>
    <w:p>
      <w:pPr>
        <w:spacing w:line="360" w:lineRule="auto"/>
        <w:ind w:firstLine="480" w:firstLineChars="200"/>
        <w:rPr>
          <w:rFonts w:hAnsi="宋体" w:cs="宋体"/>
          <w:highlight w:val="none"/>
        </w:rPr>
      </w:pPr>
      <w:r>
        <w:rPr>
          <w:rFonts w:hint="eastAsia" w:hAnsi="宋体" w:cs="宋体"/>
          <w:highlight w:val="none"/>
        </w:rPr>
        <w:t>（9）相关服务计划；</w:t>
      </w:r>
    </w:p>
    <w:p>
      <w:pPr>
        <w:spacing w:line="360" w:lineRule="auto"/>
        <w:ind w:firstLine="480" w:firstLineChars="200"/>
        <w:rPr>
          <w:rFonts w:hAnsi="宋体" w:cs="宋体"/>
          <w:highlight w:val="none"/>
        </w:rPr>
      </w:pPr>
      <w:r>
        <w:rPr>
          <w:rFonts w:hint="eastAsia" w:hAnsi="宋体" w:cs="宋体"/>
          <w:highlight w:val="none"/>
        </w:rPr>
        <w:t>（10）其他合同文件。</w:t>
      </w:r>
    </w:p>
    <w:p>
      <w:pPr>
        <w:spacing w:line="360" w:lineRule="auto"/>
        <w:ind w:firstLine="480" w:firstLineChars="200"/>
        <w:rPr>
          <w:rFonts w:hAnsi="宋体" w:cs="宋体"/>
          <w:highlight w:val="none"/>
        </w:rPr>
      </w:pPr>
      <w:r>
        <w:rPr>
          <w:rFonts w:hint="eastAsia" w:hAnsi="宋体" w:cs="宋体"/>
          <w:highlight w:val="none"/>
        </w:rPr>
        <w:t>2.上述合同文件互相补充和解释。如果合同文件之间存在矛盾或不一致之处，以上述文件的排列顺序在先者为准。</w:t>
      </w:r>
    </w:p>
    <w:p>
      <w:pPr>
        <w:spacing w:line="360" w:lineRule="auto"/>
        <w:ind w:firstLine="480" w:firstLineChars="200"/>
        <w:rPr>
          <w:rFonts w:hAnsi="宋体" w:cs="宋体"/>
          <w:highlight w:val="none"/>
        </w:rPr>
      </w:pPr>
      <w:r>
        <w:rPr>
          <w:rFonts w:hint="eastAsia" w:hAnsi="宋体" w:cs="宋体"/>
          <w:highlight w:val="none"/>
        </w:rPr>
        <w:t>3. 签约合同价：人民币（大写）（¥）。</w:t>
      </w:r>
    </w:p>
    <w:p>
      <w:pPr>
        <w:spacing w:line="360" w:lineRule="auto"/>
        <w:ind w:firstLine="480" w:firstLineChars="200"/>
        <w:rPr>
          <w:rFonts w:hAnsi="宋体" w:cs="宋体"/>
          <w:highlight w:val="none"/>
        </w:rPr>
      </w:pPr>
      <w:r>
        <w:rPr>
          <w:rFonts w:hint="eastAsia" w:hAnsi="宋体" w:cs="宋体"/>
          <w:highlight w:val="none"/>
        </w:rPr>
        <w:t>4.卖方承诺保证完全按照合同约定提供合同货物和相关服务并修补缺陷。</w:t>
      </w:r>
    </w:p>
    <w:p>
      <w:pPr>
        <w:spacing w:line="360" w:lineRule="auto"/>
        <w:ind w:firstLine="480" w:firstLineChars="200"/>
        <w:rPr>
          <w:rFonts w:hAnsi="宋体" w:cs="宋体"/>
          <w:highlight w:val="none"/>
        </w:rPr>
      </w:pPr>
      <w:r>
        <w:rPr>
          <w:rFonts w:hint="eastAsia" w:hAnsi="宋体" w:cs="宋体"/>
          <w:highlight w:val="none"/>
        </w:rPr>
        <w:t>5.买方承诺保证按照合同约定的条件、时间和方式向卖方支付合同价款。</w:t>
      </w:r>
    </w:p>
    <w:p>
      <w:pPr>
        <w:spacing w:line="360" w:lineRule="auto"/>
        <w:ind w:firstLine="480" w:firstLineChars="200"/>
        <w:rPr>
          <w:rFonts w:hAnsi="宋体" w:cs="宋体"/>
          <w:highlight w:val="none"/>
        </w:rPr>
      </w:pPr>
      <w:r>
        <w:rPr>
          <w:rFonts w:hint="eastAsia" w:hAnsi="宋体" w:cs="宋体"/>
          <w:highlight w:val="none"/>
        </w:rPr>
        <w:t>6.本合同协议书一式份，合同双方各执份。</w:t>
      </w:r>
    </w:p>
    <w:p>
      <w:pPr>
        <w:spacing w:line="360" w:lineRule="auto"/>
        <w:ind w:firstLine="480" w:firstLineChars="200"/>
        <w:rPr>
          <w:rFonts w:hAnsi="宋体" w:cs="宋体"/>
          <w:highlight w:val="none"/>
        </w:rPr>
      </w:pPr>
      <w:r>
        <w:rPr>
          <w:rFonts w:hint="eastAsia" w:hAnsi="宋体" w:cs="宋体"/>
          <w:highlight w:val="none"/>
        </w:rPr>
        <w:t>7.合同未尽事宜，双方另行签订补充协议，补充协议是合同的组成部分。</w:t>
      </w:r>
    </w:p>
    <w:p>
      <w:pPr>
        <w:adjustRightInd w:val="0"/>
        <w:snapToGrid w:val="0"/>
        <w:spacing w:line="360" w:lineRule="auto"/>
        <w:rPr>
          <w:rFonts w:hAnsi="宋体" w:cs="宋体"/>
          <w:highlight w:val="none"/>
        </w:rPr>
      </w:pPr>
    </w:p>
    <w:p>
      <w:pPr>
        <w:tabs>
          <w:tab w:val="left" w:pos="4395"/>
        </w:tabs>
        <w:spacing w:line="360" w:lineRule="auto"/>
        <w:ind w:firstLine="3000" w:firstLineChars="1250"/>
        <w:rPr>
          <w:rFonts w:hAnsi="宋体" w:cs="宋体"/>
          <w:highlight w:val="none"/>
        </w:rPr>
      </w:pPr>
      <w:r>
        <w:rPr>
          <w:rFonts w:hint="eastAsia" w:hAnsi="宋体" w:cs="宋体"/>
          <w:highlight w:val="none"/>
        </w:rPr>
        <w:t>买方：（盖单位章）</w:t>
      </w:r>
    </w:p>
    <w:p>
      <w:pPr>
        <w:tabs>
          <w:tab w:val="left" w:pos="4395"/>
        </w:tabs>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4867" w:firstLineChars="2028"/>
        <w:jc w:val="right"/>
        <w:rPr>
          <w:rFonts w:hAnsi="宋体" w:cs="宋体"/>
          <w:highlight w:val="none"/>
        </w:rPr>
      </w:pPr>
      <w:r>
        <w:rPr>
          <w:rFonts w:hint="eastAsia" w:hAnsi="宋体" w:cs="宋体"/>
          <w:highlight w:val="none"/>
        </w:rPr>
        <w:t>年月日</w:t>
      </w:r>
    </w:p>
    <w:p>
      <w:pPr>
        <w:tabs>
          <w:tab w:val="left" w:pos="4395"/>
        </w:tabs>
        <w:spacing w:line="360" w:lineRule="auto"/>
        <w:rPr>
          <w:rFonts w:hAnsi="宋体" w:cs="宋体"/>
          <w:highlight w:val="none"/>
        </w:rPr>
      </w:pPr>
    </w:p>
    <w:p>
      <w:pPr>
        <w:tabs>
          <w:tab w:val="left" w:pos="4395"/>
        </w:tabs>
        <w:spacing w:line="360" w:lineRule="auto"/>
        <w:rPr>
          <w:rFonts w:hAnsi="宋体" w:cs="宋体"/>
          <w:highlight w:val="none"/>
        </w:rPr>
      </w:pPr>
    </w:p>
    <w:p>
      <w:pPr>
        <w:tabs>
          <w:tab w:val="left" w:pos="4395"/>
        </w:tabs>
        <w:spacing w:line="360" w:lineRule="auto"/>
        <w:ind w:firstLine="2880" w:firstLineChars="1200"/>
        <w:rPr>
          <w:rFonts w:hAnsi="宋体" w:cs="宋体"/>
          <w:highlight w:val="none"/>
        </w:rPr>
      </w:pPr>
      <w:r>
        <w:rPr>
          <w:rFonts w:hint="eastAsia" w:hAnsi="宋体" w:cs="宋体"/>
          <w:highlight w:val="none"/>
        </w:rPr>
        <w:t>卖方：（盖单位章）</w:t>
      </w:r>
    </w:p>
    <w:p>
      <w:pPr>
        <w:tabs>
          <w:tab w:val="left" w:pos="4395"/>
        </w:tabs>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4867" w:firstLineChars="2028"/>
        <w:jc w:val="right"/>
        <w:rPr>
          <w:rFonts w:hAnsi="宋体" w:cs="宋体"/>
          <w:highlight w:val="none"/>
        </w:rPr>
      </w:pPr>
      <w:r>
        <w:rPr>
          <w:rFonts w:hint="eastAsia" w:hAnsi="宋体" w:cs="宋体"/>
          <w:highlight w:val="none"/>
        </w:rPr>
        <w:t>年月日</w:t>
      </w:r>
    </w:p>
    <w:p>
      <w:pPr>
        <w:adjustRightInd w:val="0"/>
        <w:snapToGrid w:val="0"/>
        <w:spacing w:line="360" w:lineRule="auto"/>
        <w:rPr>
          <w:rFonts w:hAnsi="宋体" w:cs="宋体"/>
          <w:highlight w:val="none"/>
        </w:rPr>
      </w:pPr>
      <w:r>
        <w:rPr>
          <w:rFonts w:hint="eastAsia" w:hAnsi="宋体" w:cs="宋体"/>
          <w:highlight w:val="none"/>
        </w:rPr>
        <w:br w:type="page"/>
      </w:r>
    </w:p>
    <w:p>
      <w:pPr>
        <w:pStyle w:val="4"/>
        <w:spacing w:before="0" w:after="0"/>
        <w:ind w:firstLine="137"/>
        <w:rPr>
          <w:rFonts w:cs="黑体"/>
          <w:highlight w:val="none"/>
        </w:rPr>
      </w:pPr>
      <w:bookmarkStart w:id="861" w:name="_Toc501460715"/>
      <w:r>
        <w:rPr>
          <w:rFonts w:hint="eastAsia" w:cs="黑体"/>
          <w:highlight w:val="none"/>
        </w:rPr>
        <w:t>附件二：履约保证金格式</w:t>
      </w:r>
      <w:bookmarkEnd w:id="861"/>
    </w:p>
    <w:p>
      <w:pPr>
        <w:spacing w:line="360" w:lineRule="auto"/>
        <w:rPr>
          <w:rFonts w:hAnsi="宋体" w:cs="宋体"/>
          <w:highlight w:val="none"/>
        </w:rPr>
      </w:pPr>
      <w:r>
        <w:rPr>
          <w:rFonts w:hint="eastAsia" w:hAnsi="宋体" w:cs="宋体"/>
          <w:highlight w:val="none"/>
        </w:rPr>
        <w:t>如采用银行保函，格式如下。</w:t>
      </w:r>
    </w:p>
    <w:p>
      <w:pPr>
        <w:spacing w:line="360" w:lineRule="auto"/>
        <w:jc w:val="center"/>
        <w:rPr>
          <w:rFonts w:ascii="黑体" w:hAnsi="黑体" w:eastAsia="黑体" w:cs="黑体"/>
          <w:highlight w:val="none"/>
        </w:rPr>
      </w:pPr>
      <w:r>
        <w:rPr>
          <w:rFonts w:hint="eastAsia" w:ascii="黑体" w:hAnsi="黑体" w:eastAsia="黑体" w:cs="黑体"/>
          <w:highlight w:val="none"/>
        </w:rPr>
        <w:t>履约保证金</w:t>
      </w:r>
    </w:p>
    <w:p>
      <w:pPr>
        <w:spacing w:line="360" w:lineRule="auto"/>
        <w:jc w:val="center"/>
        <w:rPr>
          <w:rFonts w:hAnsi="宋体" w:cs="宋体"/>
          <w:highlight w:val="none"/>
          <w:u w:val="single"/>
        </w:rPr>
      </w:pPr>
    </w:p>
    <w:p>
      <w:pPr>
        <w:spacing w:line="360" w:lineRule="auto"/>
        <w:rPr>
          <w:rFonts w:hAnsi="宋体" w:cs="宋体"/>
          <w:highlight w:val="none"/>
        </w:rPr>
      </w:pPr>
      <w:r>
        <w:rPr>
          <w:rFonts w:hint="eastAsia" w:hAnsi="宋体" w:cs="宋体"/>
          <w:highlight w:val="none"/>
        </w:rPr>
        <w:t>（买方名称）：</w:t>
      </w:r>
    </w:p>
    <w:p>
      <w:pPr>
        <w:spacing w:line="360" w:lineRule="auto"/>
        <w:ind w:firstLine="480" w:firstLineChars="200"/>
        <w:rPr>
          <w:rFonts w:hAnsi="宋体" w:cs="宋体"/>
          <w:highlight w:val="none"/>
        </w:rPr>
      </w:pPr>
      <w:r>
        <w:rPr>
          <w:rFonts w:hint="eastAsia" w:hAnsi="宋体" w:cs="宋体"/>
          <w:highlight w:val="none"/>
        </w:rPr>
        <w:t>鉴于（卖方名称，以下称“卖方”） 为（项目名称）的中标（成交）人，应卖方申请，我方愿意无条件地、不可撤销地就卖方履行与你方签订的合同，向你方提供连带责任担保。我方愿意无条件地、不可撤销地就卖方履行与你方订立的合同，向你方提供连带责任担保。</w:t>
      </w:r>
    </w:p>
    <w:p>
      <w:pPr>
        <w:spacing w:line="360" w:lineRule="auto"/>
        <w:ind w:firstLine="480" w:firstLineChars="200"/>
        <w:rPr>
          <w:rFonts w:hAnsi="宋体" w:cs="宋体"/>
          <w:highlight w:val="none"/>
        </w:rPr>
      </w:pPr>
      <w:r>
        <w:rPr>
          <w:rFonts w:hint="eastAsia" w:hAnsi="宋体" w:cs="宋体"/>
          <w:highlight w:val="none"/>
        </w:rPr>
        <w:t>1. 担保金额人民币（大写）（¥）。</w:t>
      </w:r>
    </w:p>
    <w:p>
      <w:pPr>
        <w:spacing w:line="360" w:lineRule="auto"/>
        <w:ind w:firstLine="480" w:firstLineChars="200"/>
        <w:rPr>
          <w:rFonts w:hAnsi="宋体" w:cs="宋体"/>
          <w:highlight w:val="none"/>
        </w:rPr>
      </w:pPr>
      <w:r>
        <w:rPr>
          <w:rFonts w:hint="eastAsia" w:hAnsi="宋体" w:cs="宋体"/>
          <w:highlight w:val="none"/>
        </w:rPr>
        <w:t>2. 担保有效期自买方与卖方签订的合同生效之日起至你方</w:t>
      </w:r>
      <w:r>
        <w:rPr>
          <w:rFonts w:hint="eastAsia" w:hAnsi="宋体" w:cs="宋体"/>
          <w:bCs/>
          <w:highlight w:val="none"/>
        </w:rPr>
        <w:t>签发合同货物验收证书或验收款支付函且卖方按照合同约定缴纳质量保证金之日为止。</w:t>
      </w:r>
      <w:r>
        <w:rPr>
          <w:rStyle w:val="67"/>
          <w:rFonts w:hint="eastAsia" w:hAnsi="宋体" w:cs="宋体"/>
          <w:highlight w:val="none"/>
        </w:rPr>
        <w:footnoteReference w:id="0"/>
      </w:r>
    </w:p>
    <w:p>
      <w:pPr>
        <w:spacing w:line="360" w:lineRule="auto"/>
        <w:ind w:firstLine="480" w:firstLineChars="200"/>
        <w:rPr>
          <w:rFonts w:hAnsi="宋体" w:cs="宋体"/>
          <w:highlight w:val="none"/>
        </w:rPr>
      </w:pPr>
      <w:r>
        <w:rPr>
          <w:rFonts w:hint="eastAsia" w:hAnsi="宋体" w:cs="宋体"/>
          <w:highlight w:val="none"/>
        </w:rPr>
        <w:t>3. 在本担保有效期内，如果卖方不履行合同约定的义务或其履行不符合合同的约定，我方在收到你方以书面形式提出的在担保金额内的赔偿要求后，在7日内无条件支付。</w:t>
      </w:r>
    </w:p>
    <w:p>
      <w:pPr>
        <w:spacing w:line="360" w:lineRule="auto"/>
        <w:ind w:firstLine="480" w:firstLineChars="200"/>
        <w:rPr>
          <w:rFonts w:hAnsi="宋体" w:cs="宋体"/>
          <w:highlight w:val="none"/>
        </w:rPr>
      </w:pPr>
      <w:r>
        <w:rPr>
          <w:rFonts w:hint="eastAsia" w:hAnsi="宋体" w:cs="宋体"/>
          <w:highlight w:val="none"/>
        </w:rPr>
        <w:t>4. 买方和卖方按合同约定变更合同时</w:t>
      </w:r>
      <w:bookmarkStart w:id="862" w:name="_Toc361508743"/>
      <w:bookmarkStart w:id="863" w:name="_Toc369531685"/>
      <w:bookmarkStart w:id="864" w:name="_Toc247085851"/>
      <w:bookmarkStart w:id="865" w:name="_Toc246997079"/>
      <w:bookmarkStart w:id="866" w:name="_Toc361231267"/>
      <w:bookmarkStart w:id="867" w:name="_Toc247514198"/>
      <w:bookmarkStart w:id="868" w:name="_Toc247527799"/>
      <w:bookmarkStart w:id="869" w:name="_Toc296602586"/>
      <w:bookmarkStart w:id="870" w:name="_Toc184635123"/>
      <w:bookmarkStart w:id="871" w:name="_Toc384308366"/>
      <w:bookmarkStart w:id="872" w:name="_Toc300835200"/>
      <w:bookmarkStart w:id="873" w:name="_Toc246996336"/>
      <w:r>
        <w:rPr>
          <w:rFonts w:hint="eastAsia" w:hAnsi="宋体" w:cs="宋体"/>
          <w:highlight w:val="none"/>
        </w:rPr>
        <w:t>，无论我方是否收到该</w:t>
      </w:r>
      <w:bookmarkEnd w:id="862"/>
      <w:bookmarkEnd w:id="863"/>
      <w:bookmarkEnd w:id="864"/>
      <w:bookmarkEnd w:id="865"/>
      <w:bookmarkEnd w:id="866"/>
      <w:bookmarkEnd w:id="867"/>
      <w:bookmarkEnd w:id="868"/>
      <w:bookmarkEnd w:id="869"/>
      <w:bookmarkEnd w:id="870"/>
      <w:bookmarkEnd w:id="871"/>
      <w:bookmarkEnd w:id="872"/>
      <w:bookmarkEnd w:id="873"/>
      <w:r>
        <w:rPr>
          <w:rFonts w:hint="eastAsia" w:hAnsi="宋体" w:cs="宋体"/>
          <w:highlight w:val="none"/>
        </w:rPr>
        <w:t>变</w:t>
      </w:r>
      <w:bookmarkStart w:id="874" w:name="_Toc152045768"/>
      <w:bookmarkStart w:id="875" w:name="_Toc247514199"/>
      <w:bookmarkStart w:id="876" w:name="_Toc144974827"/>
      <w:bookmarkStart w:id="877" w:name="_Toc384308367"/>
      <w:bookmarkStart w:id="878" w:name="_Toc179632786"/>
      <w:bookmarkStart w:id="879" w:name="_Toc247085852"/>
      <w:bookmarkStart w:id="880" w:name="_Toc247527800"/>
      <w:bookmarkStart w:id="881" w:name="_Toc152042547"/>
      <w:bookmarkStart w:id="882" w:name="_Toc300835201"/>
      <w:bookmarkStart w:id="883" w:name="_Toc361231268"/>
      <w:bookmarkStart w:id="884" w:name="_Toc246996337"/>
      <w:bookmarkStart w:id="885" w:name="_Toc369531686"/>
      <w:bookmarkStart w:id="886" w:name="_Toc361508744"/>
      <w:bookmarkStart w:id="887" w:name="_Toc246997080"/>
      <w:bookmarkStart w:id="888" w:name="_Toc5746"/>
      <w:r>
        <w:rPr>
          <w:rFonts w:hint="eastAsia" w:hAnsi="宋体" w:cs="宋体"/>
          <w:highlight w:val="none"/>
        </w:rPr>
        <w:t>更，我方承担本</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Pr>
          <w:rFonts w:hint="eastAsia" w:hAnsi="宋体" w:cs="宋体"/>
          <w:highlight w:val="none"/>
        </w:rPr>
        <w:t>担保规定的义务不变。</w:t>
      </w:r>
    </w:p>
    <w:p>
      <w:pPr>
        <w:spacing w:line="360" w:lineRule="auto"/>
        <w:ind w:firstLine="480" w:firstLineChars="200"/>
        <w:rPr>
          <w:rFonts w:hAnsi="宋体" w:cs="宋体"/>
          <w:highlight w:val="none"/>
        </w:rPr>
      </w:pPr>
      <w:r>
        <w:rPr>
          <w:rFonts w:hint="eastAsia" w:hAnsi="宋体" w:cs="宋体"/>
          <w:highlight w:val="none"/>
        </w:rPr>
        <w:t>5. 因本保函发生的纠纷，可由双方协商解决，协商不成的，任何一方均可提请仲裁委员会仲裁。</w:t>
      </w:r>
    </w:p>
    <w:p>
      <w:pPr>
        <w:spacing w:line="360" w:lineRule="auto"/>
        <w:ind w:firstLine="480" w:firstLineChars="200"/>
        <w:rPr>
          <w:rFonts w:hAnsi="宋体" w:cs="宋体"/>
          <w:highlight w:val="none"/>
        </w:rPr>
      </w:pPr>
      <w:r>
        <w:rPr>
          <w:rFonts w:hint="eastAsia" w:hAnsi="宋体" w:cs="宋体"/>
          <w:highlight w:val="none"/>
        </w:rPr>
        <w:t>6. 本保函自我方法定代表人（或其授权代理人）签字并加盖公章之日起生效。</w:t>
      </w:r>
    </w:p>
    <w:p>
      <w:pPr>
        <w:spacing w:line="360" w:lineRule="auto"/>
        <w:ind w:firstLine="2640" w:firstLineChars="1100"/>
        <w:rPr>
          <w:rFonts w:hAnsi="宋体" w:cs="宋体"/>
          <w:highlight w:val="none"/>
        </w:rPr>
      </w:pPr>
    </w:p>
    <w:p>
      <w:pPr>
        <w:spacing w:line="360" w:lineRule="auto"/>
        <w:jc w:val="right"/>
        <w:rPr>
          <w:rFonts w:hAnsi="宋体" w:cs="宋体"/>
          <w:highlight w:val="none"/>
        </w:rPr>
      </w:pPr>
      <w:r>
        <w:rPr>
          <w:rFonts w:hint="eastAsia" w:hAnsi="宋体" w:cs="宋体"/>
          <w:highlight w:val="none"/>
        </w:rPr>
        <w:t>担保人名称：（盖单位章）</w:t>
      </w:r>
    </w:p>
    <w:p>
      <w:pPr>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2640" w:firstLineChars="1100"/>
        <w:rPr>
          <w:rFonts w:hAnsi="宋体" w:cs="宋体"/>
          <w:highlight w:val="none"/>
        </w:rPr>
      </w:pPr>
      <w:r>
        <w:rPr>
          <w:rFonts w:hint="eastAsia" w:hAnsi="宋体" w:cs="宋体"/>
          <w:highlight w:val="none"/>
        </w:rPr>
        <w:t>地址：</w:t>
      </w:r>
    </w:p>
    <w:p>
      <w:pPr>
        <w:spacing w:line="360" w:lineRule="auto"/>
        <w:ind w:firstLine="2640" w:firstLineChars="1100"/>
        <w:rPr>
          <w:rFonts w:hAnsi="宋体" w:cs="宋体"/>
          <w:highlight w:val="none"/>
        </w:rPr>
      </w:pPr>
      <w:r>
        <w:rPr>
          <w:rFonts w:hint="eastAsia" w:hAnsi="宋体" w:cs="宋体"/>
          <w:highlight w:val="none"/>
        </w:rPr>
        <w:t>邮政编码：</w:t>
      </w:r>
    </w:p>
    <w:p>
      <w:pPr>
        <w:spacing w:line="360" w:lineRule="auto"/>
        <w:ind w:firstLine="2640" w:firstLineChars="1100"/>
        <w:rPr>
          <w:rFonts w:hAnsi="宋体" w:cs="宋体"/>
          <w:highlight w:val="none"/>
        </w:rPr>
      </w:pPr>
      <w:r>
        <w:rPr>
          <w:rFonts w:hint="eastAsia" w:hAnsi="宋体" w:cs="宋体"/>
          <w:highlight w:val="none"/>
        </w:rPr>
        <w:t>电话：</w:t>
      </w:r>
    </w:p>
    <w:p>
      <w:pPr>
        <w:spacing w:line="360" w:lineRule="auto"/>
        <w:ind w:right="840" w:rightChars="350" w:firstLine="2640" w:firstLineChars="1100"/>
        <w:jc w:val="right"/>
        <w:rPr>
          <w:rFonts w:hAnsi="宋体" w:cs="宋体"/>
          <w:highlight w:val="none"/>
        </w:rPr>
      </w:pPr>
      <w:r>
        <w:rPr>
          <w:rFonts w:hint="eastAsia" w:hAnsi="宋体" w:cs="宋体"/>
          <w:highlight w:val="none"/>
        </w:rPr>
        <w:t>年月日</w:t>
      </w:r>
    </w:p>
    <w:p>
      <w:pPr>
        <w:outlineLvl w:val="2"/>
        <w:rPr>
          <w:rFonts w:ascii="黑体" w:hAnsi="黑体" w:eastAsia="黑体" w:cs="黑体"/>
          <w:bCs/>
          <w:highlight w:val="none"/>
        </w:rPr>
      </w:pPr>
      <w:r>
        <w:rPr>
          <w:rFonts w:hint="eastAsia" w:ascii="黑体" w:hAnsi="黑体" w:eastAsia="黑体" w:cs="黑体"/>
          <w:bCs/>
          <w:highlight w:val="none"/>
        </w:rPr>
        <w:br w:type="page"/>
      </w:r>
      <w:r>
        <w:rPr>
          <w:rFonts w:hint="eastAsia" w:ascii="黑体" w:hAnsi="黑体" w:eastAsia="黑体" w:cs="黑体"/>
          <w:bCs/>
          <w:highlight w:val="none"/>
        </w:rPr>
        <w:t>附</w:t>
      </w:r>
      <w:bookmarkStart w:id="889" w:name="_Toc296346732"/>
      <w:bookmarkStart w:id="890" w:name="_Toc296944570"/>
      <w:bookmarkStart w:id="891" w:name="_Toc296891271"/>
      <w:bookmarkStart w:id="892" w:name="_Toc296347230"/>
      <w:bookmarkStart w:id="893" w:name="_Toc296503231"/>
      <w:bookmarkStart w:id="894" w:name="_Toc296891059"/>
      <w:r>
        <w:rPr>
          <w:rFonts w:hint="eastAsia" w:ascii="黑体" w:hAnsi="黑体" w:eastAsia="黑体" w:cs="黑体"/>
          <w:bCs/>
          <w:highlight w:val="none"/>
        </w:rPr>
        <w:t>件三：廉政协议</w:t>
      </w:r>
    </w:p>
    <w:bookmarkEnd w:id="889"/>
    <w:bookmarkEnd w:id="890"/>
    <w:bookmarkEnd w:id="891"/>
    <w:bookmarkEnd w:id="892"/>
    <w:bookmarkEnd w:id="893"/>
    <w:bookmarkEnd w:id="894"/>
    <w:p>
      <w:pPr>
        <w:widowControl/>
        <w:spacing w:line="360" w:lineRule="auto"/>
        <w:ind w:firstLine="643"/>
        <w:jc w:val="center"/>
        <w:outlineLvl w:val="0"/>
        <w:rPr>
          <w:rFonts w:hAnsi="宋体" w:cs="宋体"/>
          <w:bCs/>
          <w:highlight w:val="none"/>
        </w:rPr>
      </w:pPr>
      <w:bookmarkStart w:id="895" w:name="_Toc140069435"/>
      <w:bookmarkStart w:id="896" w:name="_Toc117002184"/>
      <w:r>
        <w:rPr>
          <w:rFonts w:hint="eastAsia" w:hAnsi="宋体" w:cs="宋体"/>
          <w:bCs/>
          <w:highlight w:val="none"/>
        </w:rPr>
        <w:t>廉政协议</w:t>
      </w:r>
      <w:bookmarkEnd w:id="895"/>
      <w:bookmarkEnd w:id="896"/>
    </w:p>
    <w:p>
      <w:pPr>
        <w:widowControl/>
        <w:spacing w:line="360" w:lineRule="auto"/>
        <w:ind w:firstLine="480" w:firstLineChars="200"/>
        <w:jc w:val="left"/>
        <w:rPr>
          <w:rFonts w:hAnsi="宋体" w:cs="宋体"/>
          <w:highlight w:val="none"/>
        </w:rPr>
      </w:pPr>
      <w:r>
        <w:rPr>
          <w:rFonts w:hint="eastAsia" w:hAnsi="宋体" w:cs="宋体"/>
          <w:highlight w:val="none"/>
        </w:rPr>
        <w:t>为促进双方诚信经营、廉洁从业，防范商业贿赂，保护国家、集体和当事人的合法权益，根据国家有关法律法规和安徽省、合肥市廉政建设的规定，（买方名称，以下简称“买方”）与（卖方名称，以下称“卖方”），特此订立本协议共同遵照执行。</w:t>
      </w:r>
    </w:p>
    <w:p>
      <w:pPr>
        <w:widowControl/>
        <w:spacing w:line="360" w:lineRule="auto"/>
        <w:ind w:firstLine="480" w:firstLineChars="200"/>
        <w:jc w:val="left"/>
        <w:outlineLvl w:val="0"/>
        <w:rPr>
          <w:rFonts w:hAnsi="宋体" w:cs="宋体"/>
          <w:highlight w:val="none"/>
        </w:rPr>
      </w:pPr>
      <w:bookmarkStart w:id="897" w:name="_Toc117002185"/>
      <w:bookmarkStart w:id="898" w:name="_Toc140069436"/>
      <w:r>
        <w:rPr>
          <w:rFonts w:hint="eastAsia" w:hAnsi="宋体" w:cs="宋体"/>
          <w:highlight w:val="none"/>
        </w:rPr>
        <w:t>第一条 买卖双方的权利和义务</w:t>
      </w:r>
      <w:bookmarkEnd w:id="897"/>
      <w:bookmarkEnd w:id="898"/>
    </w:p>
    <w:p>
      <w:pPr>
        <w:widowControl/>
        <w:spacing w:line="360" w:lineRule="auto"/>
        <w:ind w:firstLine="480" w:firstLineChars="200"/>
        <w:jc w:val="left"/>
        <w:rPr>
          <w:rFonts w:hAnsi="宋体" w:cs="宋体"/>
          <w:highlight w:val="none"/>
        </w:rPr>
      </w:pPr>
      <w:r>
        <w:rPr>
          <w:rFonts w:hint="eastAsia" w:hAnsi="宋体" w:cs="宋体"/>
          <w:highlight w:val="none"/>
        </w:rPr>
        <w:t>（一）买卖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80" w:firstLineChars="200"/>
        <w:jc w:val="left"/>
        <w:rPr>
          <w:rFonts w:hAnsi="宋体" w:cs="宋体"/>
          <w:highlight w:val="none"/>
        </w:rPr>
      </w:pPr>
      <w:r>
        <w:rPr>
          <w:rFonts w:hint="eastAsia" w:hAnsi="宋体" w:cs="宋体"/>
          <w:highlight w:val="none"/>
        </w:rPr>
        <w:t>（二）严格执行的合同要求，自觉履行合同约定的相关义务。</w:t>
      </w:r>
    </w:p>
    <w:p>
      <w:pPr>
        <w:widowControl/>
        <w:spacing w:line="360" w:lineRule="auto"/>
        <w:ind w:firstLine="480" w:firstLineChars="200"/>
        <w:jc w:val="left"/>
        <w:rPr>
          <w:rFonts w:hAnsi="宋体" w:cs="宋体"/>
          <w:highlight w:val="none"/>
        </w:rPr>
      </w:pPr>
      <w:r>
        <w:rPr>
          <w:rFonts w:hint="eastAsia" w:hAnsi="宋体" w:cs="宋体"/>
          <w:highlight w:val="none"/>
        </w:rPr>
        <w:t>（三）在业务活动中坚持公开、公正、诚信、透明的原则，不得损害国家、集体利益。</w:t>
      </w:r>
    </w:p>
    <w:p>
      <w:pPr>
        <w:widowControl/>
        <w:spacing w:line="360" w:lineRule="auto"/>
        <w:ind w:firstLine="480" w:firstLineChars="200"/>
        <w:jc w:val="left"/>
        <w:rPr>
          <w:rFonts w:hAnsi="宋体" w:cs="宋体"/>
          <w:highlight w:val="none"/>
        </w:rPr>
      </w:pPr>
      <w:r>
        <w:rPr>
          <w:rFonts w:hint="eastAsia" w:hAnsi="宋体" w:cs="宋体"/>
          <w:highlight w:val="none"/>
        </w:rPr>
        <w:t>（四）建立健全廉政制度，开展廉政教育，公布举报电话，监督并认真查处违法违纪行为。</w:t>
      </w:r>
    </w:p>
    <w:p>
      <w:pPr>
        <w:widowControl/>
        <w:spacing w:line="360" w:lineRule="auto"/>
        <w:ind w:firstLine="480" w:firstLineChars="200"/>
        <w:jc w:val="left"/>
        <w:rPr>
          <w:rFonts w:hAnsi="宋体" w:cs="宋体"/>
          <w:highlight w:val="none"/>
        </w:rPr>
      </w:pPr>
      <w:r>
        <w:rPr>
          <w:rFonts w:hint="eastAsia" w:hAnsi="宋体" w:cs="宋体"/>
          <w:highlight w:val="none"/>
        </w:rPr>
        <w:t>（五）发现对方在业务活动中有违反廉政规定的行为，应及时提醒对方纠正。情节严重的，应向其上级有关部门举报、建议给予处理，并有权要求告知处理结果。</w:t>
      </w:r>
    </w:p>
    <w:p>
      <w:pPr>
        <w:widowControl/>
        <w:spacing w:line="360" w:lineRule="auto"/>
        <w:ind w:firstLine="480" w:firstLineChars="200"/>
        <w:jc w:val="left"/>
        <w:outlineLvl w:val="0"/>
        <w:rPr>
          <w:rFonts w:hAnsi="宋体" w:cs="宋体"/>
          <w:highlight w:val="none"/>
        </w:rPr>
      </w:pPr>
      <w:bookmarkStart w:id="899" w:name="_Toc117002186"/>
      <w:bookmarkStart w:id="900" w:name="_Toc140069437"/>
      <w:r>
        <w:rPr>
          <w:rFonts w:hint="eastAsia" w:hAnsi="宋体" w:cs="宋体"/>
          <w:highlight w:val="none"/>
        </w:rPr>
        <w:t>第二条 买方的义务</w:t>
      </w:r>
      <w:bookmarkEnd w:id="899"/>
      <w:bookmarkEnd w:id="900"/>
    </w:p>
    <w:p>
      <w:pPr>
        <w:widowControl/>
        <w:spacing w:line="360" w:lineRule="auto"/>
        <w:ind w:firstLine="600" w:firstLineChars="250"/>
        <w:jc w:val="left"/>
        <w:rPr>
          <w:rFonts w:hAnsi="宋体" w:cs="宋体"/>
          <w:highlight w:val="none"/>
        </w:rPr>
      </w:pPr>
      <w:r>
        <w:rPr>
          <w:rFonts w:hint="eastAsia" w:hAnsi="宋体" w:cs="宋体"/>
          <w:highlight w:val="none"/>
        </w:rPr>
        <w:t>（一）买方及其工作人员不得索要或接受卖方的礼金、有价证券和贵重物品，不得在卖方报销任何应由买方单位或个人支付的费用等。</w:t>
      </w:r>
    </w:p>
    <w:p>
      <w:pPr>
        <w:widowControl/>
        <w:spacing w:line="360" w:lineRule="auto"/>
        <w:ind w:firstLine="480" w:firstLineChars="200"/>
        <w:jc w:val="left"/>
        <w:rPr>
          <w:rFonts w:hAnsi="宋体" w:cs="宋体"/>
          <w:highlight w:val="none"/>
        </w:rPr>
      </w:pPr>
      <w:r>
        <w:rPr>
          <w:rFonts w:hint="eastAsia" w:hAnsi="宋体" w:cs="宋体"/>
          <w:highlight w:val="none"/>
        </w:rPr>
        <w:t>（二）买方工作人员不得参加卖方安排的可能影响相关业务公开、公正、公平性的宴请和娱乐活动；不得参与任何形式的赌博，严禁通过赌博方式取得卖方及其工作人员的财物；不得接受卖方提供的通讯工具和高档办公用品等。</w:t>
      </w:r>
    </w:p>
    <w:p>
      <w:pPr>
        <w:widowControl/>
        <w:spacing w:line="360" w:lineRule="auto"/>
        <w:ind w:firstLine="480" w:firstLineChars="200"/>
        <w:jc w:val="left"/>
        <w:rPr>
          <w:rFonts w:hAnsi="宋体" w:cs="宋体"/>
          <w:highlight w:val="none"/>
        </w:rPr>
      </w:pPr>
      <w:r>
        <w:rPr>
          <w:rFonts w:hint="eastAsia" w:hAnsi="宋体" w:cs="宋体"/>
          <w:highlight w:val="none"/>
        </w:rPr>
        <w:t>（三）买方及其工作人员不得要求或者接受卖方为其住房装修、婚丧嫁娶活动、配偶子女工作安排以及出国出境、旅游等提供方便等。</w:t>
      </w:r>
    </w:p>
    <w:p>
      <w:pPr>
        <w:widowControl/>
        <w:spacing w:line="360" w:lineRule="auto"/>
        <w:ind w:firstLine="480" w:firstLineChars="200"/>
        <w:jc w:val="left"/>
        <w:rPr>
          <w:rFonts w:hAnsi="宋体" w:cs="宋体"/>
          <w:highlight w:val="none"/>
        </w:rPr>
      </w:pPr>
      <w:r>
        <w:rPr>
          <w:rFonts w:hint="eastAsia" w:hAnsi="宋体" w:cs="宋体"/>
          <w:highlight w:val="none"/>
        </w:rPr>
        <w:t>（四）买方工作人员不得在卖方有股权关联的企业兼职，不得向卖方介绍家属或者亲友从事与买方业务有关的经济活动。</w:t>
      </w:r>
    </w:p>
    <w:p>
      <w:pPr>
        <w:widowControl/>
        <w:spacing w:line="360" w:lineRule="auto"/>
        <w:ind w:firstLine="480" w:firstLineChars="200"/>
        <w:jc w:val="left"/>
        <w:rPr>
          <w:rFonts w:hAnsi="宋体" w:cs="宋体"/>
          <w:highlight w:val="none"/>
        </w:rPr>
      </w:pPr>
      <w:r>
        <w:rPr>
          <w:rFonts w:hint="eastAsia" w:hAnsi="宋体" w:cs="宋体"/>
          <w:highlight w:val="none"/>
        </w:rPr>
        <w:t>（五）买方工作人员不得以明显低于市场的价格向卖方购买房屋、汽车等物品；不得以明显高于市场的价格向卖方出售房屋、汽车等物品；不得以其他交易形式非法收受请托人财物。</w:t>
      </w:r>
    </w:p>
    <w:p>
      <w:pPr>
        <w:widowControl/>
        <w:spacing w:line="360" w:lineRule="auto"/>
        <w:ind w:firstLine="480" w:firstLineChars="200"/>
        <w:jc w:val="left"/>
        <w:rPr>
          <w:rFonts w:hAnsi="宋体" w:cs="宋体"/>
          <w:highlight w:val="none"/>
        </w:rPr>
      </w:pPr>
      <w:r>
        <w:rPr>
          <w:rFonts w:hint="eastAsia" w:hAnsi="宋体" w:cs="宋体"/>
          <w:highlight w:val="none"/>
        </w:rPr>
        <w:t>（六）买方工作人员不得利用职务之便收受卖方以回扣、手续费、加班费、咨询费、劳务费、协调费、辛苦费等各种名义给予或赠送的钱物。</w:t>
      </w:r>
    </w:p>
    <w:p>
      <w:pPr>
        <w:widowControl/>
        <w:spacing w:line="360" w:lineRule="auto"/>
        <w:ind w:firstLine="480" w:firstLineChars="200"/>
        <w:jc w:val="left"/>
        <w:rPr>
          <w:rFonts w:hAnsi="宋体" w:cs="宋体"/>
          <w:highlight w:val="none"/>
        </w:rPr>
      </w:pPr>
      <w:r>
        <w:rPr>
          <w:rFonts w:hint="eastAsia" w:hAnsi="宋体" w:cs="宋体"/>
          <w:highlight w:val="none"/>
        </w:rPr>
        <w:t>（七）买方工作人员不得接受卖方给予或赠送的干股或红利。</w:t>
      </w:r>
    </w:p>
    <w:p>
      <w:pPr>
        <w:widowControl/>
        <w:spacing w:line="360" w:lineRule="auto"/>
        <w:ind w:firstLine="480" w:firstLineChars="200"/>
        <w:jc w:val="left"/>
        <w:rPr>
          <w:rFonts w:hAnsi="宋体" w:cs="宋体"/>
          <w:highlight w:val="none"/>
        </w:rPr>
      </w:pPr>
      <w:r>
        <w:rPr>
          <w:rFonts w:hint="eastAsia" w:hAnsi="宋体" w:cs="宋体"/>
          <w:highlight w:val="none"/>
        </w:rPr>
        <w:t>（八）买方任何人不得以个人的名义向卖方推荐设备、部件等供货商以及其它合作单位。</w:t>
      </w:r>
    </w:p>
    <w:p>
      <w:pPr>
        <w:widowControl/>
        <w:spacing w:line="360" w:lineRule="auto"/>
        <w:ind w:firstLine="480" w:firstLineChars="200"/>
        <w:jc w:val="left"/>
        <w:outlineLvl w:val="0"/>
        <w:rPr>
          <w:rFonts w:hAnsi="宋体" w:cs="宋体"/>
          <w:highlight w:val="none"/>
        </w:rPr>
      </w:pPr>
      <w:bookmarkStart w:id="901" w:name="_Toc140069438"/>
      <w:bookmarkStart w:id="902" w:name="_Toc117002187"/>
      <w:r>
        <w:rPr>
          <w:rFonts w:hint="eastAsia" w:hAnsi="宋体" w:cs="宋体"/>
          <w:highlight w:val="none"/>
        </w:rPr>
        <w:t>第三条 卖方的义务</w:t>
      </w:r>
      <w:bookmarkEnd w:id="901"/>
      <w:bookmarkEnd w:id="902"/>
    </w:p>
    <w:p>
      <w:pPr>
        <w:widowControl/>
        <w:spacing w:line="360" w:lineRule="auto"/>
        <w:ind w:firstLine="484" w:firstLineChars="202"/>
        <w:jc w:val="left"/>
        <w:rPr>
          <w:rFonts w:hAnsi="宋体" w:cs="宋体"/>
          <w:highlight w:val="none"/>
        </w:rPr>
      </w:pPr>
      <w:r>
        <w:rPr>
          <w:rFonts w:hint="eastAsia" w:hAnsi="宋体" w:cs="宋体"/>
          <w:highlight w:val="none"/>
        </w:rPr>
        <w:t>（一）卖方不得以任何理由向买方及其工作人员行贿或馈赠礼金、有价证券、贵重礼品。</w:t>
      </w:r>
    </w:p>
    <w:p>
      <w:pPr>
        <w:widowControl/>
        <w:spacing w:line="360" w:lineRule="auto"/>
        <w:ind w:firstLine="484" w:firstLineChars="202"/>
        <w:jc w:val="left"/>
        <w:rPr>
          <w:rFonts w:hAnsi="宋体" w:cs="宋体"/>
          <w:highlight w:val="none"/>
        </w:rPr>
      </w:pPr>
      <w:r>
        <w:rPr>
          <w:rFonts w:hint="eastAsia" w:hAnsi="宋体" w:cs="宋体"/>
          <w:highlight w:val="none"/>
        </w:rPr>
        <w:t>（二）卖方不得以任何名义为买方及其工作人员报销应由买方单位或个人支付的任何费用。</w:t>
      </w:r>
    </w:p>
    <w:p>
      <w:pPr>
        <w:widowControl/>
        <w:spacing w:line="360" w:lineRule="auto"/>
        <w:ind w:firstLine="484" w:firstLineChars="202"/>
        <w:jc w:val="left"/>
        <w:rPr>
          <w:rFonts w:hAnsi="宋体" w:cs="宋体"/>
          <w:highlight w:val="none"/>
        </w:rPr>
      </w:pPr>
      <w:r>
        <w:rPr>
          <w:rFonts w:hint="eastAsia" w:hAnsi="宋体" w:cs="宋体"/>
          <w:highlight w:val="none"/>
        </w:rPr>
        <w:t>（三）卖方不得以任何理由安排买方工作人员参加可能影响相关业务公开、公正、公平性的宴请及娱乐活动。</w:t>
      </w:r>
    </w:p>
    <w:p>
      <w:pPr>
        <w:widowControl/>
        <w:spacing w:line="360" w:lineRule="auto"/>
        <w:ind w:firstLine="480" w:firstLineChars="200"/>
        <w:jc w:val="left"/>
        <w:rPr>
          <w:rFonts w:hAnsi="宋体" w:cs="宋体"/>
          <w:highlight w:val="none"/>
        </w:rPr>
      </w:pPr>
      <w:r>
        <w:rPr>
          <w:rFonts w:hint="eastAsia" w:hAnsi="宋体" w:cs="宋体"/>
          <w:highlight w:val="none"/>
        </w:rPr>
        <w:t>（四）卖方不得为买方单位和个人购置或提供通讯工具和高档办公用品等物品，也不得为买方提供与工作无关的房屋、汽车等。</w:t>
      </w:r>
    </w:p>
    <w:p>
      <w:pPr>
        <w:widowControl/>
        <w:spacing w:line="360" w:lineRule="auto"/>
        <w:ind w:firstLine="480" w:firstLineChars="200"/>
        <w:jc w:val="left"/>
        <w:rPr>
          <w:rFonts w:hAnsi="宋体" w:cs="宋体"/>
          <w:highlight w:val="none"/>
        </w:rPr>
      </w:pPr>
      <w:r>
        <w:rPr>
          <w:rFonts w:hint="eastAsia" w:hAnsi="宋体" w:cs="宋体"/>
          <w:highlight w:val="none"/>
        </w:rPr>
        <w:t>（五）卖方不得与买方工作人员就合同中的质量、数量、价格、工程量、验收等条款进行私下商谈或者达成默契。</w:t>
      </w:r>
    </w:p>
    <w:p>
      <w:pPr>
        <w:widowControl/>
        <w:spacing w:line="360" w:lineRule="auto"/>
        <w:ind w:firstLine="480" w:firstLineChars="200"/>
        <w:jc w:val="left"/>
        <w:rPr>
          <w:rFonts w:hAnsi="宋体" w:cs="宋体"/>
          <w:highlight w:val="none"/>
        </w:rPr>
      </w:pPr>
      <w:r>
        <w:rPr>
          <w:rFonts w:hint="eastAsia" w:hAnsi="宋体" w:cs="宋体"/>
          <w:highlight w:val="none"/>
        </w:rPr>
        <w:t>（六）卖方不得以回扣、手续费、加班费、咨询费、劳务费、协调费、辛苦费等各种名义向买方工作人员给予或赠送钱物。</w:t>
      </w:r>
    </w:p>
    <w:p>
      <w:pPr>
        <w:widowControl/>
        <w:spacing w:line="360" w:lineRule="auto"/>
        <w:ind w:firstLine="480" w:firstLineChars="200"/>
        <w:jc w:val="left"/>
        <w:rPr>
          <w:rFonts w:hAnsi="宋体" w:cs="宋体"/>
          <w:highlight w:val="none"/>
        </w:rPr>
      </w:pPr>
      <w:r>
        <w:rPr>
          <w:rFonts w:hint="eastAsia" w:hAnsi="宋体" w:cs="宋体"/>
          <w:highlight w:val="none"/>
        </w:rPr>
        <w:t>（七）卖方不得向买方工作人员提供干股或红利。</w:t>
      </w:r>
    </w:p>
    <w:p>
      <w:pPr>
        <w:widowControl/>
        <w:spacing w:line="360" w:lineRule="auto"/>
        <w:ind w:firstLine="480" w:firstLineChars="200"/>
        <w:jc w:val="left"/>
        <w:rPr>
          <w:rFonts w:hAnsi="宋体" w:cs="宋体"/>
          <w:highlight w:val="none"/>
        </w:rPr>
      </w:pPr>
      <w:r>
        <w:rPr>
          <w:rFonts w:hint="eastAsia" w:hAnsi="宋体" w:cs="宋体"/>
          <w:highlight w:val="none"/>
        </w:rPr>
        <w:t>（八）卖方须按专项纪检监察工作组（如有）要求开展相关工作。</w:t>
      </w:r>
    </w:p>
    <w:p>
      <w:pPr>
        <w:widowControl/>
        <w:spacing w:line="360" w:lineRule="auto"/>
        <w:ind w:firstLine="480" w:firstLineChars="200"/>
        <w:jc w:val="left"/>
        <w:outlineLvl w:val="0"/>
        <w:rPr>
          <w:rFonts w:hAnsi="宋体" w:cs="宋体"/>
          <w:highlight w:val="none"/>
        </w:rPr>
      </w:pPr>
      <w:bookmarkStart w:id="903" w:name="_Toc117002188"/>
      <w:bookmarkStart w:id="904" w:name="_Toc140069439"/>
      <w:r>
        <w:rPr>
          <w:rFonts w:hint="eastAsia" w:hAnsi="宋体" w:cs="宋体"/>
          <w:highlight w:val="none"/>
        </w:rPr>
        <w:t>第四条 违约责任</w:t>
      </w:r>
      <w:bookmarkEnd w:id="903"/>
      <w:bookmarkEnd w:id="904"/>
    </w:p>
    <w:p>
      <w:pPr>
        <w:widowControl/>
        <w:spacing w:line="360" w:lineRule="auto"/>
        <w:ind w:firstLine="480" w:firstLineChars="200"/>
        <w:jc w:val="left"/>
        <w:rPr>
          <w:rFonts w:hAnsi="宋体" w:cs="宋体"/>
          <w:highlight w:val="none"/>
        </w:rPr>
      </w:pPr>
      <w:r>
        <w:rPr>
          <w:rFonts w:hint="eastAsia" w:hAnsi="宋体" w:cs="宋体"/>
          <w:highlight w:val="none"/>
        </w:rPr>
        <w:t>（一）买方及其工作人员违反本协议第一、二条规定。买方按管理权限，对相关责任人依据有关规定给予党纪、政纪处分或组织处理；涉嫌犯罪的，移交司法机关追究刑事责任；给卖方单位造成经济损失的，应予以赔偿。</w:t>
      </w:r>
    </w:p>
    <w:p>
      <w:pPr>
        <w:widowControl/>
        <w:spacing w:line="360" w:lineRule="auto"/>
        <w:ind w:firstLine="480" w:firstLineChars="200"/>
        <w:jc w:val="left"/>
        <w:rPr>
          <w:rFonts w:hAnsi="宋体" w:cs="宋体"/>
          <w:highlight w:val="none"/>
        </w:rPr>
      </w:pPr>
      <w:r>
        <w:rPr>
          <w:rFonts w:hint="eastAsia" w:hAnsi="宋体" w:cs="宋体"/>
          <w:highlight w:val="none"/>
        </w:rPr>
        <w:t>买方投诉联系部门：，联系电话：。</w:t>
      </w:r>
    </w:p>
    <w:p>
      <w:pPr>
        <w:widowControl/>
        <w:spacing w:line="360" w:lineRule="auto"/>
        <w:ind w:firstLine="480" w:firstLineChars="200"/>
        <w:jc w:val="left"/>
        <w:rPr>
          <w:rFonts w:hAnsi="宋体" w:cs="宋体"/>
          <w:highlight w:val="none"/>
        </w:rPr>
      </w:pPr>
      <w:r>
        <w:rPr>
          <w:rFonts w:hint="eastAsia" w:hAnsi="宋体" w:cs="宋体"/>
          <w:highlight w:val="none"/>
        </w:rPr>
        <w:t>（二）卖方及其工作人员违反本协议第一、三条规定。根据具体情节和造成的后果，买方有权对卖方采取以下一种或多种处理办法：</w:t>
      </w:r>
    </w:p>
    <w:p>
      <w:pPr>
        <w:widowControl/>
        <w:spacing w:line="360" w:lineRule="auto"/>
        <w:ind w:firstLine="480" w:firstLineChars="200"/>
        <w:jc w:val="left"/>
        <w:rPr>
          <w:rFonts w:hAnsi="宋体" w:cs="宋体"/>
          <w:highlight w:val="none"/>
        </w:rPr>
      </w:pPr>
      <w:r>
        <w:rPr>
          <w:rFonts w:hint="eastAsia" w:hAnsi="宋体" w:cs="宋体"/>
          <w:highlight w:val="none"/>
        </w:rPr>
        <w:t xml:space="preserve">1.全额收取卖方合同履约保证金不予退还； </w:t>
      </w:r>
    </w:p>
    <w:p>
      <w:pPr>
        <w:widowControl/>
        <w:spacing w:line="360" w:lineRule="auto"/>
        <w:ind w:firstLine="480" w:firstLineChars="200"/>
        <w:jc w:val="left"/>
        <w:rPr>
          <w:rFonts w:hAnsi="宋体" w:cs="宋体"/>
          <w:highlight w:val="none"/>
        </w:rPr>
      </w:pPr>
      <w:r>
        <w:rPr>
          <w:rFonts w:hint="eastAsia" w:hAnsi="宋体" w:cs="宋体"/>
          <w:highlight w:val="none"/>
        </w:rPr>
        <w:t>2.追究卖方其他违约责任；</w:t>
      </w:r>
    </w:p>
    <w:p>
      <w:pPr>
        <w:widowControl/>
        <w:spacing w:line="360" w:lineRule="auto"/>
        <w:ind w:firstLine="480" w:firstLineChars="200"/>
        <w:jc w:val="left"/>
        <w:rPr>
          <w:rFonts w:hAnsi="宋体" w:cs="宋体"/>
          <w:highlight w:val="none"/>
        </w:rPr>
      </w:pPr>
      <w:r>
        <w:rPr>
          <w:rFonts w:hint="eastAsia" w:hAnsi="宋体" w:cs="宋体"/>
          <w:highlight w:val="none"/>
        </w:rPr>
        <w:t>3.终止或解除双方已签订的包括本合同在内的所有合同；</w:t>
      </w:r>
    </w:p>
    <w:p>
      <w:pPr>
        <w:widowControl/>
        <w:spacing w:line="360" w:lineRule="auto"/>
        <w:ind w:firstLine="480" w:firstLineChars="200"/>
        <w:jc w:val="left"/>
        <w:rPr>
          <w:rFonts w:hAnsi="宋体" w:cs="宋体"/>
          <w:highlight w:val="none"/>
        </w:rPr>
      </w:pPr>
      <w:r>
        <w:rPr>
          <w:rFonts w:hint="eastAsia" w:hAnsi="宋体" w:cs="宋体"/>
          <w:highlight w:val="none"/>
        </w:rPr>
        <w:t>4.卖方一定期限内（6个月至3年，具体由买方根据情况而定）不得参与买方作为发包人（业主）的项目投标。</w:t>
      </w:r>
    </w:p>
    <w:p>
      <w:pPr>
        <w:widowControl/>
        <w:spacing w:line="360" w:lineRule="auto"/>
        <w:ind w:firstLine="480" w:firstLineChars="200"/>
        <w:jc w:val="left"/>
        <w:rPr>
          <w:rFonts w:hAnsi="宋体" w:cs="宋体"/>
          <w:highlight w:val="none"/>
        </w:rPr>
      </w:pPr>
      <w:r>
        <w:rPr>
          <w:rFonts w:hint="eastAsia" w:hAnsi="宋体" w:cs="宋体"/>
          <w:highlight w:val="none"/>
        </w:rPr>
        <w:t>买方作出的处理意见，卖方应无条件接受并承担给买方造成的损失，全额返还通过不正当手段从买方获取的非法所得，并承担相应的法律责任。</w:t>
      </w:r>
    </w:p>
    <w:p>
      <w:pPr>
        <w:widowControl/>
        <w:spacing w:line="360" w:lineRule="auto"/>
        <w:ind w:firstLine="480" w:firstLineChars="200"/>
        <w:jc w:val="left"/>
        <w:outlineLvl w:val="0"/>
        <w:rPr>
          <w:rFonts w:hAnsi="宋体" w:cs="宋体"/>
          <w:highlight w:val="none"/>
        </w:rPr>
      </w:pPr>
      <w:bookmarkStart w:id="905" w:name="_Toc140069440"/>
      <w:bookmarkStart w:id="906" w:name="_Toc117002189"/>
      <w:r>
        <w:rPr>
          <w:rFonts w:hint="eastAsia" w:hAnsi="宋体" w:cs="宋体"/>
          <w:highlight w:val="none"/>
        </w:rPr>
        <w:t>第五条 双方约定</w:t>
      </w:r>
      <w:bookmarkEnd w:id="905"/>
      <w:bookmarkEnd w:id="906"/>
    </w:p>
    <w:p>
      <w:pPr>
        <w:widowControl/>
        <w:spacing w:line="360" w:lineRule="auto"/>
        <w:ind w:firstLine="480" w:firstLineChars="200"/>
        <w:jc w:val="left"/>
        <w:rPr>
          <w:rFonts w:hAnsi="宋体" w:cs="宋体"/>
          <w:highlight w:val="none"/>
        </w:rPr>
      </w:pPr>
      <w:r>
        <w:rPr>
          <w:rFonts w:hint="eastAsia" w:hAnsi="宋体" w:cs="宋体"/>
          <w:highlight w:val="none"/>
        </w:rPr>
        <w:t>本协议由双方或双方上级单位负责监督。可由买方或买方上级单位的纪检监察部门约请卖方或卖方上级单位的纪检监察部门对本协议履行情况进行检查，提出在本协议规定范围内的裁定意见。</w:t>
      </w:r>
    </w:p>
    <w:p>
      <w:pPr>
        <w:widowControl/>
        <w:spacing w:line="360" w:lineRule="auto"/>
        <w:ind w:firstLine="480" w:firstLineChars="200"/>
        <w:jc w:val="left"/>
        <w:outlineLvl w:val="0"/>
        <w:rPr>
          <w:rFonts w:hAnsi="宋体" w:cs="宋体"/>
          <w:highlight w:val="none"/>
        </w:rPr>
      </w:pPr>
      <w:bookmarkStart w:id="907" w:name="_Toc117002190"/>
      <w:bookmarkStart w:id="908" w:name="_Toc140069441"/>
      <w:r>
        <w:rPr>
          <w:rFonts w:hint="eastAsia" w:hAnsi="宋体" w:cs="宋体"/>
          <w:highlight w:val="none"/>
        </w:rPr>
        <w:t>第六条  本协议有效期为买卖双方签署之日起至合同终止。</w:t>
      </w:r>
      <w:bookmarkEnd w:id="907"/>
      <w:bookmarkEnd w:id="908"/>
    </w:p>
    <w:p>
      <w:pPr>
        <w:widowControl/>
        <w:spacing w:line="360" w:lineRule="auto"/>
        <w:ind w:firstLine="480" w:firstLineChars="200"/>
        <w:jc w:val="left"/>
        <w:outlineLvl w:val="0"/>
        <w:rPr>
          <w:rFonts w:hAnsi="宋体" w:cs="宋体"/>
          <w:highlight w:val="none"/>
        </w:rPr>
      </w:pPr>
      <w:bookmarkStart w:id="909" w:name="_Toc140069442"/>
      <w:r>
        <w:rPr>
          <w:rFonts w:hint="eastAsia" w:hAnsi="宋体" w:cs="宋体"/>
          <w:highlight w:val="none"/>
        </w:rPr>
        <w:t>第七条  本协议作为合同的附件，与本合同具有同等法律效力。</w:t>
      </w:r>
      <w:bookmarkEnd w:id="909"/>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买方（盖章）：            卖方（盖章）：</w:t>
      </w:r>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法定代表人或                            法定代表人或</w:t>
      </w:r>
    </w:p>
    <w:p>
      <w:pPr>
        <w:widowControl/>
        <w:spacing w:line="360" w:lineRule="auto"/>
        <w:ind w:firstLine="480" w:firstLineChars="200"/>
        <w:jc w:val="left"/>
        <w:rPr>
          <w:rFonts w:hAnsi="宋体" w:cs="宋体"/>
          <w:highlight w:val="none"/>
        </w:rPr>
      </w:pPr>
      <w:r>
        <w:rPr>
          <w:rFonts w:hint="eastAsia" w:hAnsi="宋体" w:cs="宋体"/>
          <w:highlight w:val="none"/>
        </w:rPr>
        <w:t>授权代表：</w:t>
      </w:r>
      <w:r>
        <w:rPr>
          <w:rFonts w:hint="eastAsia" w:hAnsi="宋体" w:cs="宋体"/>
          <w:highlight w:val="none"/>
          <w:u w:val="single"/>
        </w:rPr>
        <w:t xml:space="preserve">            （</w:t>
      </w:r>
      <w:r>
        <w:rPr>
          <w:rFonts w:hint="eastAsia" w:hAnsi="宋体" w:cs="宋体"/>
          <w:highlight w:val="none"/>
        </w:rPr>
        <w:t>职务）           授权代表：</w:t>
      </w:r>
      <w:r>
        <w:rPr>
          <w:rFonts w:hint="eastAsia" w:hAnsi="宋体" w:cs="宋体"/>
          <w:highlight w:val="none"/>
          <w:u w:val="single"/>
        </w:rPr>
        <w:t xml:space="preserve">         （</w:t>
      </w:r>
      <w:r>
        <w:rPr>
          <w:rFonts w:hint="eastAsia" w:hAnsi="宋体" w:cs="宋体"/>
          <w:highlight w:val="none"/>
        </w:rPr>
        <w:t>职务）</w:t>
      </w:r>
    </w:p>
    <w:p>
      <w:pPr>
        <w:widowControl/>
        <w:spacing w:line="360" w:lineRule="auto"/>
        <w:ind w:firstLine="480" w:firstLineChars="200"/>
        <w:jc w:val="left"/>
        <w:rPr>
          <w:rFonts w:hAnsi="宋体" w:cs="宋体"/>
          <w:highlight w:val="none"/>
        </w:rPr>
      </w:pPr>
      <w:r>
        <w:rPr>
          <w:rFonts w:hint="eastAsia" w:hAnsi="宋体" w:cs="宋体"/>
          <w:highlight w:val="none"/>
        </w:rPr>
        <w:t>姓名：                      姓名：</w:t>
      </w:r>
    </w:p>
    <w:p>
      <w:pPr>
        <w:widowControl/>
        <w:spacing w:line="360" w:lineRule="auto"/>
        <w:ind w:firstLine="480" w:firstLineChars="200"/>
        <w:jc w:val="left"/>
        <w:rPr>
          <w:rFonts w:hAnsi="宋体" w:cs="宋体"/>
          <w:highlight w:val="none"/>
        </w:rPr>
      </w:pPr>
      <w:r>
        <w:rPr>
          <w:rFonts w:hint="eastAsia" w:hAnsi="宋体" w:cs="宋体"/>
          <w:highlight w:val="none"/>
        </w:rPr>
        <w:t>签字：                      签字：</w:t>
      </w:r>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廉政监督联系人                           廉政监督联系人</w:t>
      </w:r>
    </w:p>
    <w:p>
      <w:pPr>
        <w:widowControl/>
        <w:spacing w:line="360" w:lineRule="auto"/>
        <w:ind w:firstLine="480" w:firstLineChars="200"/>
        <w:jc w:val="left"/>
        <w:rPr>
          <w:rFonts w:hAnsi="宋体" w:cs="宋体"/>
          <w:highlight w:val="none"/>
        </w:rPr>
      </w:pPr>
      <w:r>
        <w:rPr>
          <w:rFonts w:hint="eastAsia" w:hAnsi="宋体" w:cs="宋体"/>
          <w:highlight w:val="none"/>
        </w:rPr>
        <w:t>姓名：            姓名：</w:t>
      </w:r>
    </w:p>
    <w:p>
      <w:pPr>
        <w:widowControl/>
        <w:spacing w:line="360" w:lineRule="auto"/>
        <w:ind w:firstLine="480" w:firstLineChars="200"/>
        <w:jc w:val="left"/>
        <w:rPr>
          <w:rFonts w:hAnsi="宋体" w:cs="宋体"/>
          <w:highlight w:val="none"/>
        </w:rPr>
      </w:pPr>
      <w:r>
        <w:rPr>
          <w:rFonts w:hint="eastAsia" w:hAnsi="宋体" w:cs="宋体"/>
          <w:highlight w:val="none"/>
        </w:rPr>
        <w:t>签字：            签字：</w:t>
      </w:r>
    </w:p>
    <w:p>
      <w:pPr>
        <w:widowControl/>
        <w:spacing w:line="360" w:lineRule="auto"/>
        <w:ind w:firstLine="480" w:firstLineChars="200"/>
        <w:jc w:val="left"/>
        <w:rPr>
          <w:rFonts w:hAnsi="宋体" w:cs="宋体"/>
          <w:highlight w:val="none"/>
        </w:rPr>
      </w:pPr>
      <w:r>
        <w:rPr>
          <w:rFonts w:hint="eastAsia" w:hAnsi="宋体" w:cs="宋体"/>
          <w:highlight w:val="none"/>
        </w:rPr>
        <w:t>电话：            电话：</w:t>
      </w:r>
    </w:p>
    <w:p>
      <w:pPr>
        <w:widowControl/>
        <w:spacing w:line="360" w:lineRule="auto"/>
        <w:ind w:firstLine="480" w:firstLineChars="200"/>
        <w:jc w:val="left"/>
        <w:rPr>
          <w:rFonts w:hAnsi="宋体" w:cs="宋体"/>
          <w:highlight w:val="none"/>
        </w:rPr>
      </w:pPr>
      <w:r>
        <w:rPr>
          <w:rFonts w:hint="eastAsia" w:hAnsi="宋体" w:cs="宋体"/>
          <w:highlight w:val="none"/>
        </w:rPr>
        <w:t>地址：            地址：</w:t>
      </w:r>
    </w:p>
    <w:p>
      <w:pPr>
        <w:widowControl/>
        <w:spacing w:line="360" w:lineRule="auto"/>
        <w:ind w:firstLine="480" w:firstLineChars="200"/>
        <w:jc w:val="left"/>
        <w:rPr>
          <w:rFonts w:hAnsi="宋体" w:cs="宋体"/>
          <w:highlight w:val="none"/>
        </w:rPr>
      </w:pPr>
      <w:r>
        <w:rPr>
          <w:rFonts w:hint="eastAsia" w:hAnsi="宋体" w:cs="宋体"/>
          <w:highlight w:val="none"/>
        </w:rPr>
        <w:t>日期：            日期：</w:t>
      </w:r>
    </w:p>
    <w:p>
      <w:pPr>
        <w:pStyle w:val="2"/>
        <w:spacing w:before="240" w:beforeLines="100" w:after="240" w:afterLines="100" w:line="240" w:lineRule="auto"/>
        <w:jc w:val="center"/>
        <w:rPr>
          <w:highlight w:val="none"/>
        </w:rPr>
      </w:pPr>
      <w:r>
        <w:rPr>
          <w:rFonts w:hint="eastAsia" w:eastAsia="黑体"/>
          <w:b w:val="0"/>
          <w:highlight w:val="none"/>
        </w:rPr>
        <w:br w:type="page"/>
      </w:r>
      <w:bookmarkStart w:id="910" w:name="_Toc30332"/>
      <w:r>
        <w:rPr>
          <w:rFonts w:hint="eastAsia"/>
          <w:highlight w:val="none"/>
        </w:rPr>
        <w:t xml:space="preserve">第五章  </w:t>
      </w:r>
      <w:r>
        <w:rPr>
          <w:rFonts w:hint="eastAsia" w:hAnsi="宋体" w:cs="宋体"/>
          <w:highlight w:val="none"/>
        </w:rPr>
        <w:t>供货要求</w:t>
      </w:r>
      <w:bookmarkEnd w:id="910"/>
    </w:p>
    <w:p>
      <w:pPr>
        <w:pStyle w:val="3"/>
        <w:spacing w:before="0" w:after="0" w:line="360" w:lineRule="auto"/>
        <w:rPr>
          <w:rFonts w:hint="eastAsia" w:ascii="黑体" w:hAnsi="黑体" w:eastAsia="黑体" w:cs="黑体"/>
          <w:b w:val="0"/>
          <w:sz w:val="28"/>
          <w:szCs w:val="28"/>
          <w:highlight w:val="none"/>
        </w:rPr>
      </w:pPr>
      <w:bookmarkStart w:id="911" w:name="_Toc13784"/>
      <w:bookmarkStart w:id="912" w:name="_Toc3606"/>
      <w:bookmarkStart w:id="913" w:name="_Toc501460778"/>
      <w:bookmarkStart w:id="914" w:name="_Toc26181"/>
      <w:r>
        <w:rPr>
          <w:rFonts w:hint="eastAsia" w:ascii="黑体" w:hAnsi="黑体" w:eastAsia="黑体" w:cs="黑体"/>
          <w:b w:val="0"/>
          <w:sz w:val="28"/>
          <w:szCs w:val="28"/>
          <w:highlight w:val="none"/>
        </w:rPr>
        <w:t>一、项目概况</w:t>
      </w:r>
      <w:bookmarkEnd w:id="911"/>
      <w:bookmarkEnd w:id="912"/>
      <w:bookmarkEnd w:id="913"/>
      <w:bookmarkEnd w:id="914"/>
    </w:p>
    <w:p>
      <w:pPr>
        <w:spacing w:line="400" w:lineRule="exact"/>
        <w:ind w:firstLine="480" w:firstLineChars="200"/>
        <w:rPr>
          <w:rFonts w:hint="eastAsia" w:hAnsi="宋体" w:cs="宋体"/>
          <w:highlight w:val="none"/>
        </w:rPr>
      </w:pPr>
      <w:r>
        <w:rPr>
          <w:rFonts w:hint="eastAsia" w:hAnsi="宋体" w:cs="宋体"/>
          <w:highlight w:val="none"/>
        </w:rPr>
        <w:t xml:space="preserve"> </w:t>
      </w:r>
      <w:r>
        <w:rPr>
          <w:rFonts w:hint="eastAsia" w:ascii="宋体" w:hAnsi="宋体" w:cs="宋体"/>
          <w:sz w:val="24"/>
          <w:highlight w:val="none"/>
        </w:rPr>
        <w:t>包括</w:t>
      </w:r>
      <w:r>
        <w:rPr>
          <w:rFonts w:hint="eastAsia" w:ascii="宋体" w:hAnsi="宋体" w:eastAsia="宋体" w:cs="宋体"/>
          <w:sz w:val="24"/>
          <w:highlight w:val="none"/>
          <w:lang w:val="en-US" w:eastAsia="zh-CN"/>
        </w:rPr>
        <w:t>信息基础设施（</w:t>
      </w:r>
      <w:r>
        <w:rPr>
          <w:rFonts w:hint="eastAsia" w:ascii="宋体" w:hAnsi="宋体" w:eastAsia="宋体" w:cs="宋体"/>
          <w:sz w:val="24"/>
          <w:highlight w:val="none"/>
        </w:rPr>
        <w:t>综合布线系统</w:t>
      </w:r>
      <w:r>
        <w:rPr>
          <w:rFonts w:hint="eastAsia" w:ascii="宋体" w:hAnsi="宋体" w:eastAsia="宋体" w:cs="宋体"/>
          <w:sz w:val="24"/>
          <w:highlight w:val="none"/>
          <w:lang w:eastAsia="zh-CN"/>
        </w:rPr>
        <w:t>、综合管路系统、计算机网络系统、机房工程）、</w:t>
      </w:r>
      <w:r>
        <w:rPr>
          <w:rFonts w:hint="eastAsia" w:ascii="宋体" w:hAnsi="宋体" w:eastAsia="宋体" w:cs="宋体"/>
          <w:sz w:val="24"/>
          <w:highlight w:val="none"/>
          <w:lang w:val="en-US" w:eastAsia="zh-CN"/>
        </w:rPr>
        <w:t>综合安保设施（视频监控系统、门禁管理系统、停车场管理系统）、医技配套设施（护理呼叫系统、排队叫号系统）、信息发布与显示设施（信息发布系统、公共广播系统、多媒体会议系统）</w:t>
      </w:r>
      <w:r>
        <w:rPr>
          <w:rFonts w:hint="eastAsia" w:ascii="宋体" w:hAnsi="宋体" w:eastAsia="宋体" w:cs="宋体"/>
          <w:sz w:val="24"/>
          <w:highlight w:val="none"/>
        </w:rPr>
        <w:t>设内容。</w:t>
      </w:r>
    </w:p>
    <w:p>
      <w:pPr>
        <w:spacing w:line="360" w:lineRule="auto"/>
        <w:ind w:firstLine="410" w:firstLineChars="171"/>
        <w:rPr>
          <w:rFonts w:hint="eastAsia" w:hAnsi="宋体" w:cs="宋体"/>
          <w:highlight w:val="none"/>
        </w:rPr>
      </w:pPr>
    </w:p>
    <w:p>
      <w:pPr>
        <w:pStyle w:val="3"/>
        <w:spacing w:before="0" w:after="0" w:line="360" w:lineRule="auto"/>
        <w:rPr>
          <w:rFonts w:hint="eastAsia" w:ascii="黑体" w:hAnsi="黑体" w:eastAsia="黑体" w:cs="黑体"/>
          <w:b w:val="0"/>
          <w:sz w:val="28"/>
          <w:szCs w:val="28"/>
          <w:highlight w:val="none"/>
        </w:rPr>
      </w:pPr>
      <w:bookmarkStart w:id="915" w:name="_Toc3053"/>
      <w:bookmarkStart w:id="916" w:name="_Toc32277"/>
      <w:bookmarkStart w:id="917" w:name="_Toc501460779"/>
      <w:bookmarkStart w:id="918" w:name="_Toc12928"/>
      <w:r>
        <w:rPr>
          <w:rFonts w:hint="eastAsia" w:ascii="黑体" w:hAnsi="黑体" w:eastAsia="黑体" w:cs="黑体"/>
          <w:b w:val="0"/>
          <w:sz w:val="28"/>
          <w:szCs w:val="28"/>
          <w:highlight w:val="none"/>
        </w:rPr>
        <w:t>二、设备需求一览表</w:t>
      </w:r>
      <w:bookmarkEnd w:id="915"/>
      <w:bookmarkEnd w:id="916"/>
      <w:bookmarkEnd w:id="917"/>
      <w:bookmarkEnd w:id="918"/>
    </w:p>
    <w:p>
      <w:pPr>
        <w:spacing w:line="360" w:lineRule="auto"/>
        <w:ind w:firstLine="410" w:firstLineChars="171"/>
        <w:rPr>
          <w:rFonts w:hint="eastAsia" w:hAnsi="宋体" w:cs="宋体"/>
          <w:highlight w:val="none"/>
        </w:rPr>
      </w:pPr>
      <w:r>
        <w:rPr>
          <w:rFonts w:hint="eastAsia" w:hAnsi="宋体" w:cs="宋体"/>
          <w:highlight w:val="none"/>
        </w:rPr>
        <w:t>本次招标范围包括下表所列所有设备的供货、包装运输及保险、装卸、安装、调试、考核（检测）验收、培训及质保期内免费维修保养服务等全部内容。</w:t>
      </w:r>
    </w:p>
    <w:p>
      <w:pPr>
        <w:spacing w:line="360" w:lineRule="auto"/>
        <w:ind w:firstLine="410" w:firstLineChars="171"/>
        <w:rPr>
          <w:highlight w:val="none"/>
        </w:rPr>
      </w:pPr>
      <w:r>
        <w:rPr>
          <w:rFonts w:ascii="宋体" w:hAnsi="宋体" w:eastAsia="宋体" w:cs="宋体"/>
          <w:sz w:val="24"/>
          <w:szCs w:val="24"/>
          <w:highlight w:val="none"/>
        </w:rPr>
        <w:t>本项目投标人投标时不需要提供（除商务文件评分标准技术评审指标中要求外）所列产品参数的证明文件（如检测报告、测试报告、认证、证书、专利，以及其他须加盖原厂公章相关证明材料）。</w:t>
      </w:r>
    </w:p>
    <w:tbl>
      <w:tblPr>
        <w:tblStyle w:val="52"/>
        <w:tblW w:w="8840"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080"/>
        <w:gridCol w:w="4224"/>
        <w:gridCol w:w="663"/>
        <w:gridCol w:w="662"/>
        <w:gridCol w:w="725"/>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spacing w:before="152" w:after="160"/>
              <w:jc w:val="center"/>
              <w:rPr>
                <w:rFonts w:hint="eastAsia" w:ascii="宋体" w:hAnsi="宋体" w:eastAsia="宋体" w:cs="宋体"/>
                <w:b/>
                <w:bCs/>
                <w:i w:val="0"/>
                <w:iCs w:val="0"/>
                <w:color w:val="000000"/>
                <w:sz w:val="24"/>
                <w:szCs w:val="24"/>
                <w:highlight w:val="none"/>
                <w:u w:val="none"/>
              </w:rPr>
            </w:pPr>
            <w:r>
              <w:rPr>
                <w:rFonts w:hint="eastAsia" w:hAnsi="宋体" w:cs="仿宋"/>
                <w:sz w:val="21"/>
                <w:szCs w:val="21"/>
                <w:highlight w:val="none"/>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before="152" w:after="160"/>
              <w:jc w:val="center"/>
              <w:rPr>
                <w:rFonts w:hint="eastAsia" w:ascii="宋体" w:hAnsi="宋体" w:eastAsia="宋体" w:cs="宋体"/>
                <w:b/>
                <w:bCs/>
                <w:i w:val="0"/>
                <w:iCs w:val="0"/>
                <w:color w:val="000000"/>
                <w:sz w:val="24"/>
                <w:szCs w:val="24"/>
                <w:highlight w:val="none"/>
                <w:u w:val="none"/>
              </w:rPr>
            </w:pPr>
            <w:r>
              <w:rPr>
                <w:rFonts w:hAnsi="宋体" w:cs="仿宋"/>
                <w:sz w:val="21"/>
                <w:szCs w:val="21"/>
                <w:highlight w:val="none"/>
              </w:rPr>
              <w:t>设备名称</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spacing w:before="152" w:after="160"/>
              <w:jc w:val="center"/>
              <w:rPr>
                <w:rFonts w:hint="eastAsia" w:ascii="宋体" w:hAnsi="宋体" w:eastAsia="宋体" w:cs="宋体"/>
                <w:b/>
                <w:bCs/>
                <w:i w:val="0"/>
                <w:iCs w:val="0"/>
                <w:color w:val="000000"/>
                <w:sz w:val="24"/>
                <w:szCs w:val="24"/>
                <w:highlight w:val="none"/>
                <w:u w:val="none"/>
              </w:rPr>
            </w:pPr>
            <w:r>
              <w:rPr>
                <w:rFonts w:hAnsi="宋体" w:cs="仿宋"/>
                <w:sz w:val="21"/>
                <w:szCs w:val="21"/>
                <w:highlight w:val="none"/>
              </w:rPr>
              <w:t>规格</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before="152" w:after="160"/>
              <w:jc w:val="center"/>
              <w:rPr>
                <w:rFonts w:hint="eastAsia" w:ascii="宋体" w:hAnsi="宋体" w:eastAsia="宋体" w:cs="宋体"/>
                <w:b/>
                <w:bCs/>
                <w:i w:val="0"/>
                <w:iCs w:val="0"/>
                <w:color w:val="000000"/>
                <w:sz w:val="24"/>
                <w:szCs w:val="24"/>
                <w:highlight w:val="none"/>
                <w:u w:val="none"/>
              </w:rPr>
            </w:pPr>
            <w:r>
              <w:rPr>
                <w:rFonts w:hAnsi="宋体" w:cs="仿宋"/>
                <w:sz w:val="21"/>
                <w:szCs w:val="21"/>
                <w:highlight w:val="none"/>
              </w:rPr>
              <w:t>单位</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spacing w:before="152" w:after="160"/>
              <w:jc w:val="center"/>
              <w:rPr>
                <w:rFonts w:hint="eastAsia" w:ascii="宋体" w:hAnsi="宋体" w:eastAsia="宋体" w:cs="宋体"/>
                <w:b/>
                <w:bCs/>
                <w:i w:val="0"/>
                <w:iCs w:val="0"/>
                <w:color w:val="000000"/>
                <w:sz w:val="24"/>
                <w:szCs w:val="24"/>
                <w:highlight w:val="none"/>
                <w:u w:val="none"/>
                <w:lang w:eastAsia="zh-CN"/>
              </w:rPr>
            </w:pPr>
            <w:r>
              <w:rPr>
                <w:rFonts w:hint="eastAsia" w:hAnsi="宋体" w:cs="仿宋"/>
                <w:sz w:val="21"/>
                <w:szCs w:val="21"/>
                <w:highlight w:val="none"/>
                <w:lang w:val="en-US" w:eastAsia="zh-CN"/>
              </w:rPr>
              <w:t>数量</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before="152" w:after="160"/>
              <w:jc w:val="center"/>
              <w:rPr>
                <w:rFonts w:hint="eastAsia" w:ascii="宋体" w:hAnsi="宋体" w:eastAsia="宋体" w:cs="宋体"/>
                <w:b/>
                <w:bCs/>
                <w:i w:val="0"/>
                <w:iCs w:val="0"/>
                <w:color w:val="000000"/>
                <w:kern w:val="2"/>
                <w:sz w:val="24"/>
                <w:szCs w:val="24"/>
                <w:highlight w:val="none"/>
                <w:u w:val="none"/>
                <w:lang w:val="en-US" w:eastAsia="zh-CN" w:bidi="ar-SA"/>
              </w:rPr>
            </w:pPr>
            <w:r>
              <w:rPr>
                <w:rFonts w:hAnsi="宋体" w:cs="仿宋"/>
                <w:sz w:val="21"/>
                <w:szCs w:val="21"/>
                <w:highlight w:val="none"/>
              </w:rPr>
              <w:t>交货及安装周期</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before="152" w:after="160"/>
              <w:jc w:val="center"/>
              <w:rPr>
                <w:rFonts w:hint="eastAsia" w:ascii="宋体" w:hAnsi="宋体" w:eastAsia="宋体" w:cs="宋体"/>
                <w:b/>
                <w:bCs/>
                <w:i w:val="0"/>
                <w:iCs w:val="0"/>
                <w:color w:val="000000"/>
                <w:kern w:val="2"/>
                <w:sz w:val="24"/>
                <w:szCs w:val="24"/>
                <w:highlight w:val="none"/>
                <w:u w:val="none"/>
                <w:lang w:val="en-US" w:eastAsia="zh-CN" w:bidi="ar-SA"/>
              </w:rPr>
            </w:pPr>
            <w:r>
              <w:rPr>
                <w:rFonts w:hAnsi="宋体" w:cs="仿宋"/>
                <w:sz w:val="21"/>
                <w:szCs w:val="21"/>
                <w:highlight w:val="none"/>
              </w:rPr>
              <w:t>交货及安装地点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综合布线系统</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单口信息面板</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1、采用优质 PC 料，阻燃抗冲击；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2、扣位式面板设计可防止施工时污染面板。</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双口信息面板</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1、采用优质 PC 料，阻燃抗冲击；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2、扣位式面板设计可防止施工时污染面板。</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六类非屏蔽模块</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1、六类非屏蔽模块，模块自带旋转工具端接，端接次数≥5；插拔次数≥2500；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2、材料：优质工程塑料（PC  料）及镀金铜丝；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3、防火级别：UL-94V0。</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397</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3米六类非屏蔽数据跳线</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1、水晶头簧片表面镀金50μ，保证了良好的接触与信号传输性能；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2、插拔次数大于等于 750 次。</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297</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3米语音跳线</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1、水晶头簧片表面镀金50μ，保证了良好的接触与信号传输性能；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2、插拔次数大于等于 750 次。</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六类非屏蔽双绞线</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1、六类非屏蔽线缆，十字骨架式设计，可有效防止因线对之间绞距变化带来的性能下降；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2、线规：23AWG，线径≥0.565mm，外径≥6.2mm； 超过六类标准 7db 性能余量，防火级别达到 UL-CMR等级；</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36600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12芯室内单模光缆</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1、多根单模或多模紧套光纤外覆芳纶纱，挤制聚氯乙烯（PVC）护套成缆；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2、适用于多芯光纤活动连接器，建筑物内水平布线,也可作为垂直布线使用、符合标准：YD/T1258.4-2005 、IEC 60794-2-20/21；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3、护套为LSZH或PVC材料。</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24芯室内单模光缆</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1、多根单模或多模紧套光纤外覆芳纶纱，挤制聚氯乙烯（PVC）护套成缆；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2、适用于多芯光纤活动连接器，建筑物内水平布线,也可作为垂直布线使用、符合标准：YD/T1258.4-2005 、IEC 60794-2-20/21；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3、护套为LSZH或PVC材料。</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8芯室外单模光缆</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1、多根单模或多模紧套光纤外覆芳纶纱，挤制聚氯乙烯（PVC）护套成缆；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2、适用于多芯光纤活动连接器，建筑物内水平布线,也可作为垂直布线使用、符合标准：YD/T1258.4-2005 、IEC 60794-2-20/21；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3、护套为LSZH或PVC材料。</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3类25对室内大对数电缆</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1、PE料采用优质原料，韧性及抗温差能力好；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2、芯线铜丝直径超越 AWG 要求，符合 EIA/TIA568B的标准；线对之间对绞以减少串音；UL-94V-0阻燃级别；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3、线规：24AWG；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4、导体断裂伸长率≥15%；绝缘断裂伸长 率≥300%；护套断裂伸长率≥150%；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5、特性阻抗：100±15Ω；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6、衰减：16MHz，≤13.09dB。</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2米语音跳线</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1、水晶头簧片表面镀金50μ，保证了良好的接触与信号传输性能；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2、插拔次数大于等于 750 次。</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2米数据跳线</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1、水晶头簧片表面镀金50μ，保证了良好的接触与信号传输性能；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2、插拔次数大于等于 750 次。</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24口六类非屏蔽配线架</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1、标准要求；满足或优于现行的超五类传输标准；兼容19英寸设备机架、机柜和墙装支架；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2、端接口外壳材料采用高强度 PC 材料，IDC打线柱夹子为磷青铜，端接次数≥250次；接触针耐用性为1500次插拔；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3、24口配线架有含模块、水平空架角型空架单独兼容网络模块和语音模块安装三种种规 格供现场选择使用；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4、配线架水平空架为每6个端口为一组，可前端拆卸管理，背架采用冷轧钢板加镀锌设计 5、所有端口前端均有标号，前端大型标签位置方便客户的端口标识；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6、背面具有线缆管理器，能有效地将线缆引导至端接点。</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1U理线架</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1、适用19”网络机柜安装，机架式；组合式结构，上下翻盖式理线架；脱卸挂式设计，方便施工；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2、材料：优质冷轧钢板或铝塑两种材质 1.0mm/1.2mm；                                 3、尺寸：1U 高度；管理环：24 位。</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50对110语音配线架</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1、采用镀镍锡磷青铜的IDC技术设计，上下两排进出线缆均在正面端接，使施工、维护更快捷；机架式 50对110配线架配：冷轧钢板背板、4对 5 对连接块和标识卡；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2、有标准19英寸机架型、有腿型及无腿型，适用范围广，满足不同的施工现场需要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3、额定电流：1.5Amp；拔出力:≥20N；抗张力:≥133N ；卡接导体线规:22~26AWG。</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100对110语音配线架</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1、采用镀镍锡磷青铜的IDC技术设计，上下两排进出线缆均在正面端接，使施工、维护更快捷；机架式 100对110配线架配：冷轧钢板背板、4对 5 对连接块和标识卡；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2、有标准19英寸机架型、有腿型及无腿型，适用范围广，满足不同的施工现场需要                                      3、额定电流：1.5Amp；拔出力:≥20N；抗张力:≥133N ；卡接导体线规:22~26AWG；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4、工作温度:-25~60℃；250 次插拔。</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2米语音跳线</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1、水晶头簧片表面镀金50μ，保证了良好的接触与信号传输性能；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2、插拔次数大于等于 750 次。</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24口光纤配线架</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1、产品严格遵循YD/T778-2006《光纤配线架》要求支持19″标准安装，适用于多种机架、机柜上的安装；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2、材料结构：优质钢板，金属框架，表面涂装静电喷塑，塑料组件；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3、适用于束状和带状光缆，进出光纤方便灵活，有充裕的光纤盘存空间；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4、抽拉式设计，每盘端口数量：24位；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5、端口类型：ST 、FC、SC、LC双工通用。</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48口光纤配线架</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1、产品严格遵循YD/T778-2006《光纤配线架》要求支持19″标准安装，适用于多种机架、机柜上的安装；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2、材料结构：优质钢板，金属框架，表面涂装静电喷塑，塑料组件；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3、适用于束状和带状光缆，进出光纤方便灵活，有充裕的光纤盘存空间；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4、抽拉式设计，每盘端口数量：48位；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5、端口类型：ST 、FC、SC、LC双工通用。</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8口光纤盒</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1、产品严格遵循YD/T778-2006《光纤配线架》要求支持19″标准安装，适用于多种机架、机柜上的安装；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2、材料结构：优质钢板，金属框架，表面涂装静电喷塑，塑料组件；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3、适用于束状和带状光缆，进出光纤方便灵活，有充裕的光纤盘存空间；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4、抽拉式设计，每盘端口数量：8位；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5、端口类型：ST 、FC、SC、LC双工通用。</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4口光线盒</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1、产品严格遵循YD/T778-2006《光纤配线架》要求支持19″标准安装，适用于多种机架、机柜上的安装；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2、材料结构：优质钢板，金属框架，表面涂装静电喷塑，塑料组件；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3、适用于束状和带状光缆，进出光纤方便灵活，有充裕的光纤盘存空间；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4、抽拉式设计，每盘端口数量：4位；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5、端口类型：ST 、FC、SC、LC双工通用。</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光纤收发器</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千兆单模，1光4电</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语音光端机</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16口语音带千兆网口</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1.5米万兆单模LC-LC跳线</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1、符合标准：IEC 60332-3C/IEC60754-2/IEC61034-2；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2、依据工厂标准出厂前100%光学测试，确保可靠性；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3、光纤规格：OS1（9/125μm）；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4、插入损耗（含重复性）：≤0.2dB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5、互换性：≤0.2dB；回波损耗：≥50dB；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6、接头材料：氧化锆陶瓷插芯；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7、重复性：≥1000次；</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42U机柜</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规格：600x600x2200mm，含顶盖，1块竖直 理线板，不含侧板，含底板</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服务器机柜</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规格：600x1100x2200mm，含顶盖，1块竖直 理线板，含底板及侧板</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PDU</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8口10A</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YJV3*2.5</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RVV2*1.0</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RVVP6*1.0</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RVV4*1.0</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RVV2*1.5</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RVV3*1.0</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视频监控系统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bCs/>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红外枪式摄像机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1、不低于500万像素1/2.7英寸CMOS传感器 筒型摄像机；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2、最低照度：彩色：≤0.001lx(F=1.6,AGCON)，应能分辨反射式视频矩阵测试卡中彩色色块；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3、焦距：4mm/6mm/8mm定焦镜头可选；补光灯类型：红外补光，有效红外距离不小于80m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4、摄像机应支持G.711A、G.711U、ADPCM_D音频编码标准，音频采样率应支持8kbps、32kbps、48kbps 可设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5、应能支持拌线、周界智能分析功能；应支持自动白平衡、自动增益功能、背光补偿、强光抑制、数字降噪功能；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6、开启走廊模式后，监控画面应能实现90°旋转并自动调整宽高比；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7、电源功耗应≤5W，应能在DC12V土25％的供电条件下正常工作；支持反向12V输出 ；支持POE供电。</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红外半球摄像机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1、不低于500万像素1/2.7英寸CMOS传感器 半球型摄像机；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2、最低照度：彩色：≤0.001lx(F=1.6,AGCON)，应能分辨反射式视频矩阵测试卡中彩色色块；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3、焦距：2.8mm/4mm/6mm定焦镜头可选；补光灯类型：红外补光，有效红外距离不小于50m；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4、摄像机应支持不少于1个10/100M或10/100/1000M 以太网接口，应符合IEEE802.3标准，采用RJ45连接；可选用射频无线接口或光纤接口连接，内置MIC；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5、摄像机应支持G.711A、G.711U、ADPCM_D音频编码标准，音频采样率应支持8kbps、32kbps、48kbps 可设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6、应能支持拌线、周界智能分析功能；应支持自动白平衡、自动增益功能、背光补偿、强光抑制、数字降噪功能；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7、屏幕字符显示应能设置字体为16×16像素、32×32像素、48×48像素、64×64像素；支持时间、日期、星期叠加；支持最大叠加5行字符，每行16个汉字；支持点阵字库类型设置；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8、电源功耗应≤5W，应能在DC12V土25％的供电条件下正常工作；支持反向12V输出 ；支持POE供电。</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红外球机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1、不低于500万像素1/1.8英寸CMOS传感器 球型摄像机；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2、最低照度：彩色：≤0.002lx（AGC ON）黑白：≤0.001lx（AGC ON）；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3、设备需内置双核GPU芯片，镜头焦距不低于4.6mm～152mm；支持不低于33倍光学变倍和16倍数字变倍； 红外灯数量不少于10颗，有效红外补光距离不小于180m；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3、应能在AC24V±30%、DC24V～DC48V的供电条件下正常工作，外壳防护等级≥IP67。</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电梯摄像机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1、1/2.8英寸200万像素CMOS传感器；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2、2.8mm高清定焦镜头；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3、1颗白光（暖光）补光灯，1颗红外补光；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4、内置MIC，扬声器，双向对讲，全向拾音，拾音距离3米。</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无线网桥</w:t>
            </w:r>
          </w:p>
        </w:tc>
        <w:tc>
          <w:tcPr>
            <w:tcW w:w="422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采用高性能工业级嵌入式微控制器</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人脸识别一体机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1、500万像素传感器，图像分辨率≥2592×1944，8~12mm电动变焦镜头，最低照度：0．0007lx（彩色模式），0．0005lx（黑白模式），能基本分辨被摄目标的轮廓特征；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2、支持密码安全功能检查，在客户端软件或 IE 浏览器下，设置密码时可自动提示密码复杂度为弱、中、强。且多次输入密码错误会锁定登录；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3、同一静止场景相同图像质量下，在H．265 编码方式时，开启智能编码功能和不开启智能编码相比，码率应能节约 95％以上；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4、应能在 DC12V 士30％的供电条件下正常工作；支持 POE供电；支持反向输出 DC12V 供电。</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车辆抓拍一体机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1、500万像素传感器，图像分辨率≥2592×1944，支持2.8～12mm电动变焦镜头，最低照度：0.0003lx（彩色模式），0.0001lx（黑白模式），能基本分辨被摄目标的轮廓特征；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人脸检测、人脸跟踪、人脸抓拍功能，人脸抓拍数量1~10张可设；具有人脸全景图片抓拍和人脸特写图片抓拍功能；可设置人脸检测区域；支持人脸检测的最小人脸尺寸设置，最小可设置12像素；能对同时出现在静态图片中的至少32个人脸目标进行检测并框出人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人脸抓拍照片上报时间不超过2s,支持对人脸以最优策略、最快速度等方式进行抓拍；支持人脸抓拍，可将人脸抓拍图片分别存储为场景大图和人脸小图，场景大图和人脸小图可关联存储；支持遮挡人脸抓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4、人脸抓拍捕获率≥99%（人脸正对摄像机，且人脸尺寸不小于12像素）；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5、电源；DV12V±20%的供电条件下正常工作，支持反向12V输出；支持POE供电。</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枪机安装支架</w:t>
            </w:r>
          </w:p>
        </w:tc>
        <w:tc>
          <w:tcPr>
            <w:tcW w:w="422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定制，加厚金属材质</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球机安装支架</w:t>
            </w:r>
          </w:p>
        </w:tc>
        <w:tc>
          <w:tcPr>
            <w:tcW w:w="422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定制，加厚金属材质</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网络存储服务器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1、支持不少于16个SATA硬盘接口，应支持接入1TB、2TB、3TB、4TB、6TB、8TB、10TB容量的SATA接口硬盘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2、可接入不少于160路4K（3840×2160）、5MP 、1080P的视频信号，接入带宽≥400M，转发带宽≥200M；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3、支持GB/T 28181协议设置选项。</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55寸液晶拼接屏</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55寸液晶面板拼接显示单元，3*3显示单元；显示尺寸：1213.7mm*684.5mm；标准颜色：16.7M，屏幕比例：16:9，可视角度：水平170°，垂直170°，分辨率：1920*1080，拼接缝隙：≤3.5mm，屏体亮度：≥500cd/m²，屏体具有超广域色温调节技术，色温范围2800K-12800K，亮度均匀性≥97%，色域覆盖率≥32%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2、屏幕支持232串口、遥控、网口控制、手机、平板控制，可接入分布式系统远程控制，支持视频会议高清或网络摄像头显示；</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拼接屏柜体</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屏底离地高度60公分，箱体总厚度500MM，采用钣金材质，钣金厚度1.5cm，采用喷涂技术烤漆。钢架结构整体美观整齐、牢固稳定。标准工艺、再进行有效而统一的装饰处理。</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解码拼控一体机</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1、支持不少于1对音频输入／输出接口、2个RJ45千兆网络接口、2个RS485、2个RS-232、2个USB2.0、1个USB3.0、2个HDMI输入接口、9个 HDMI输出接口，具有开关按键、复位键，支持不少于8路报警输入、8路报警输出；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2、支持不少于2路本地高清视频输入，不少于9路视频解码输出，支持4K高分辨率输入输出，支持 H.265、H.264（Baseline/Main/High Profile)、MPEG4、MJPEG 视频解码，支持G.711A、G.711U、AAC、ADPCM音频解码；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3、支持12MP（4000×3072）、4K（3840×2160）、UXGA（1600×1200）、SXGA（1280×1024）、 QXGA（2048×1536）、XGA（1024×768）、1080P（1920×1080）、960P（1280×960）、960H （960×576）、720P（1280×720）、VGA（640×480）、4CIF（704×576）、CIF （352×288）分辨率解码；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4、能设置不少于16个系统预案，并支持预案快速调取，支持不少于9块屏级联拼接、开窗、叠加、漫游、跨屏等功能，支持不低于4K（分辨率 3840×2160）底图显示（可通过 U 盘读入），应能在系统未添加通道时显示背景底图；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5、支持远程获取和配置参数，应支持远程导出和导入参数；应支持远程获取系统运行状态、系统日志；应支持远程重启、恢复默认配置、升级等日常维护。</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四联操作台</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长2400mm；宽900mm；高750mm，产品整体钢木铝结合材质；箱体为优质冷轧钢板，板材厚度后背支架2.0MM；箱体框架1.2MM；前后门1.0MM；经过酸洗磷化防锈处理；表面静电喷涂。台面为环保25MM厚度实木颗粒板；表面HPL抗划贴面；前端封黑色聚氨酯鸭嘴软边。侧板密度板环保烤漆；后背2.0MM氧化铝型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2、配套4把工作椅：1)、面料：网布饰面，厚度：1.5-2.0mm；2)、海绵：优质高密度定型海绵；3)、坐板：曲木板材；4)、扶手：采用PP耐冲击塑料一级新料一体注塑成型。</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硬盘</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1、8TB视频存储专用硬盘;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2、缓存:256MB;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3、转速：7200转/分。</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专线链路</w:t>
            </w:r>
          </w:p>
        </w:tc>
        <w:tc>
          <w:tcPr>
            <w:tcW w:w="422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人脸识别、车辆抓拍数据接入肥东县公安局社会资源整合平台运营商100M光纤专线链路，免费运维期内由中标供应商承担，免费运维期结束由业主单位另行采购</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门卫室解码器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1、视频接入：不低于32路;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2、视频输出：1路VGA，1路HDMI，支持VGA/HDMI视频同源互斥输出;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3、以太网口*1;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4、前置USB2.0接口*1,后置USB2.0接口*1;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5、电源接口*1。</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门卫室监控监视器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1、屏幕尺寸：不低于50英寸；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2、分辨率：1080P（1920*1080）；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3、屏幕比例：16:9；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4、接口：HDMI*1、VGA1*1、网络接口*1。</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控制终端</w:t>
            </w:r>
          </w:p>
        </w:tc>
        <w:tc>
          <w:tcPr>
            <w:tcW w:w="422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处理器主频不低于3.0 GHz、24寸宽屏液晶显示器、4GB内存、1T SATA硬盘，含操作系统、键盘、鼠标。</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室内设备箱</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1、导轨安装2P/C16空气开关*1、8口插线板*1；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2、尺寸：700mm*900mm*250mm；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3、冷压钢板材质；</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室外设备箱</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1、导轨安装2P/C16空气开关*1、8口插线板*1；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2、尺寸：600mm*600mm*450mm；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3、不锈钢材质；</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开关电源</w:t>
            </w:r>
          </w:p>
        </w:tc>
        <w:tc>
          <w:tcPr>
            <w:tcW w:w="422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12V/20A</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抱杆箱</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1、导轨安装2P/C16空气开关*1、4口插线板*1；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2、尺寸：250mm*300mm*160mm；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3、不锈钢材质；</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立杆及基础</w:t>
            </w:r>
          </w:p>
        </w:tc>
        <w:tc>
          <w:tcPr>
            <w:tcW w:w="422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高度3.5m，镀锌钢管，白色喷塑；含地垄及浇筑，室外红外枪式摄像机及球机配套使用；</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立杆及基础</w:t>
            </w:r>
          </w:p>
        </w:tc>
        <w:tc>
          <w:tcPr>
            <w:tcW w:w="422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高度2.5m，镀锌钢管，白色喷塑；含地垄及浇筑，人脸抓拍一体机配套使用；</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立杆及基础</w:t>
            </w:r>
          </w:p>
        </w:tc>
        <w:tc>
          <w:tcPr>
            <w:tcW w:w="422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高度80cm，镀锌钢管，白色喷塑，车辆抓拍一体机配套使用；</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计算机网络系统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内网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内网核心交换机</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1、要求设备千兆SFP光口≥24个，独立千兆电口≥8个，SFP+万兆光口≥4个，USB配置接口≥1，Console配置口≥1，冗余交流电源输入，不接受RPS电源方式；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2、支持主备电源切换，交换容量≥792Gbps/7.92Tbps，包转发率≥384Mpps/3840Mpps；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3、支持4K个802.1Q VLAN，Super vlan，支持基于端口、MAC、IP子网、协议的VLAN；支持STP/RSTP/MSTP，支持静态路由、RIP、ISIS、RIPng和BGP、BGP4+、OSPF、OSPFv3等动态路由协议，支持BFD for VRRP/Static/RIP/OSPF/ISIS等。支持IGMP、IGMP Snooping；支持PIM-SM、PIM-DM等三层组播协议。持手工隧道、支持ISATAP、支持6to4隧道，支持IPV4/IPV6双栈功能；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4、支持≥8台横向虚拟化功能，实现多个物理设备虚拟为一个逻辑设备进行管理的虚拟化功能，同时支持纵向虚拟化功能，接入交换机作为核心交换机的端口扩展板卡进行配置统一管理, 支持≥128台设备虚拟成一台设备。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5、支持MAC绑定，ACL，流分类，QOS，支持抗大流量攻击，支持抗Ping Flood攻击，支持抗SYN Flood攻击，支持畸形包过滤；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6、支持CPU 保护功能，如ICMP Flood拦截、SYN Flood攻击拦截等，CPU根据不同协议进行限速保护，支持MSTP协议国密算法加密，RIP、OSPF协议支持国密认证算法，支持配置文件国密算法加密，防护设备配置环境信息泄漏；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7、为了满足网络未来的发展趋势，要求设备支持SDN功能，支持Netconf协议，支持SDN控制器的统一管理，支持环网G.8032协议，实现ms级业务倒换，支持二层VXLAN网关，支持ZTP,可实现零配置，零IP开局；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8、支持远程运维平台管理，设备可通过运维平台实现远程访问设备WEB管理界面。同时为保证远程访问设备WEB的安全性，要求远程访问隧道基于HTTPS。</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24口POE千兆接入交换机（内网）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1、要求设备千兆电口≥24个，千兆光口≥2个，支持POE，POE输出功率≥370W，金属外壳，标准1U设备，19寸机柜安装；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2、交换容量≥52Gbps，包转发率≥38.69Mpps；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3、支持端口延长开关及VLAN开关；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4、提供工信部要求的电信设备进网许可证。</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48口千兆接入交换机（内网）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1、要求设备千兆电口≥48个，千兆SFP光口≥4个，双电源。USB配置接口≥1，Console配置口≥1，交换容量≥598Gbps/5.98Tbps，包转发率≥160Mpps/1600Mpps；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2、支持DHCP SERVER,支持静态路由、RIPV1/V2、OSPF动态路由；支持IGMP、IGMP Snooping；支持PIM-SM等三层组播协议；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3、支持≥8台横向虚拟化功能，实现多个物理设备虚拟为一个逻辑设备进行管理的虚拟化功能，同时支持纵向虚拟化功能，接入交换机作为核心交换机的端口扩展板卡进行配置统一管理, 支持≥128台设备虚拟成一台设备。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4、支持CPU 保护功能，如ICMP Flood拦截、SYN Flood攻击拦截等，CPU根据不同协议进行限速保护，支持MSTP协议国密算法加密，RIP、OSPF协议支持国密认证算法，支持配置文件国密算法加密，防护设备配置环境信息泄漏；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5、为了满足网络未来的发展趋势，要求设备支持SDN功能，需要支持Netconf协议，支持SDN控制器的统一管理；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6、支持环网G.8032协议，实现ms级业务倒换，支持U盘开局,可实现零配置，零IP开局，支持终端扫描功能，能针对接入终端进行扫描，支持包括终端类型、终端IP、终端MAC、终端操作系统等内容；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7、支持Console口登录管理、HTTP、Telnet（VTY）远程管理、WEB管理、SSH管理、SNMP V1/V2/V3、RMON 1/2/3/9、SYSLOG、DDMI、广播风暴显示。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8、支持远程运维平台管理，设备可通过运维平台实现远程访问设备WEB管理界面。同时为保证远程访问设备WEB的安全性，要求远程访问隧道基于HTTPS。</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24口千兆接入交换机（内网）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1、要求设备千兆电口≥24个，千兆SFP光口≥2个，金属外壳，标准1U设备，19寸机柜安装；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2、交换容量≥56Gbps，包转发率≥39Mpps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3、支持流控开关；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4、提供工信部要求的电信设备进网许可证，提供CQC证书；</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千兆单模光模块</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千兆单模光模块，单模，1310nm，LC，传输20Km</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外网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智能网关</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1、要求设备采用标准1U机架式设计；为保证设备坚固耐用，要求设备采用金属外壳；要求设备配置固化10/100/1000M电接口≥12个，最大支持的WAN口数量≥6个，支持带宽≥1000M；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2、可靠性方面，支持多WAN上行，支持多WAN负载均衡、互联网线路检测、支持IPsec VPN；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3、安全功能上支持应用/URL 识别与控制，支持ACL 访问控制，支持针对内容过滤，如关键字、邮件、文件类型等，支持应用审计、入侵防御检测（单包攻击、FlOOD攻击、URPF攻击等常规攻击手段检测）、IPv4/IPV6攻击黑名单；支持接口流量过滤，WAN口默认禁ping；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4、用户认证，支持WPA PSK、WPA2 PSK认证，支持内置和外置portal认证，支持智能自动漫游技术无需终端重新认证，支持用户免认证，认证支持外置Radius认证，AP有线接口支持802.1X或portal认证以及端口禁用，内置portal支持页面定制以及可选择免密wif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5、设备管理，设备支持零配置开局，支持配置向导；支持云管平台管理，可实现设备远程管理、设备远程升级，设备告警通知等功能，支持微信小程序管理；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6、提供原厂边缘路由器产品的入网许可证。</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外网核心交换机</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1、要求设备千兆SFP光口≥24个，独立千兆电口≥8个，SFP+万兆光口≥4个，USB配置接口≥1，Console配置口≥1，冗余交流电源输入，不接受RPS电源方式；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2、支持主备电源切换，交换容量≥792Gbps/7.92Tbps，包转发率≥384Mpps/3840Mpps；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3、支持4K个802.1Q VLAN，Super vlan，支持基于端口、MAC、IP子网、协议的VLAN；支持STP/RSTP/MSTP，支持静态路由、RIP、ISIS、RIPng和BGP、BGP4+、OSPF、OSPFv3等动态路由协议，支持BGP、OSPF协议的密文验证，支持BFD for VRRP/Static/RIP/OSPF/ISIS等。支持IGMP、IGMP Snooping；支持PIM-SM、PIM-DM等三层组播协议。持手工隧道、支持ISATAP、支持6to4隧道，支持IPV4/IPV6双栈功能；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4、支持MAC绑定，ACL，流分类，QOS，支持抗大流量攻击，支持抗Ping Flood攻击，支持抗SYN Flood攻击，支持畸形包过滤，支持安全审计功能，安全日志功能，操作日志功能；</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8口POE千兆接入交换机（外网）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1、要求设备千兆电口≥9个，千兆光口≥1个，支持POE，POE输出功率≥120W，1U可上机架；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2、交换容量≥20Gbps，包转发率≥14.88Mpps；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3、提供工信部要求的电信设备进网许可证,提供CQC证书；</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24口POE千兆接入交换机（外网）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1、要求设备千兆电口≥24个，千兆光口≥2个，支持POE，POE输出功率≥370W，金属外壳，标准1U设备，19寸机柜安装；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2、交换容量≥52Gbps，包转发率≥38.69Mpps；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3、支持端口延长开关及VLAN开关；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4、相关产品对外界辐射、干扰、以及设备本身抗干扰能力等应符合国内、国际标准，通过电磁兼容认证证书（CE-EMC）；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5、为确保设备用电的安全性，相关产品应提供低电压指令认证；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6、相关产品所用材料应满足绿色环保要求，相关限制类重金属含量在标准范围之内，通过有害成分认证（RoHS）；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7、提供工信部要求的电信设备进网许可证。</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24口千兆接入交换机（外网）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1、要求设备千兆电口≥24个，千兆SFP光口≥2个，金属外壳，标准1U设备，19寸机柜安装；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2、交换容量≥56Gbps，包转发率≥39Mpps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3、支持流控开关；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4、提供工信部要求的电信设备进网许可证，提供CQC证书；</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无线AP主机</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1、吸顶式无线接入设备，设备支持2个；10/100/1000Base-T以太网口，支持802.3af PoE供电；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2、设备支持802.11a/b/g/n/a标准，并且支持802.11ac wave2标准，WIFI5产品，整机≥1276Mbps；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3、支持无线功能，支持SSID隐藏，支持二层漫游，支持AP定时重启，支持SSID≥8个，支持每个SSID可配置单独的认证方式、加密机制，VLAN属性，弱信号下线和禁止接入；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4、支持基于终端数或流量的智能负载均衡，支持基于SSID的用户数限制，支持基于射频卡的用户数限制；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5、支持多种安全功能，支持用户二层隔离（同AP同SSID），支持基于AP、SSID、终端QoS带宽控制策略，支持基于全局和SSID的黑名单，支持AP逃生；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6、设备要求支持桥模式，支持静态IP地址或DHCP获取，支持802.1Q的VLAN，支持VLAN透传，能同时透传tag和untag报文，支持IPv6基本协议；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7、支持Web管理，AP设备应支持软件版本升级功能，可通过本地和远程进行；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8、提供与型号一致的SRRC报告、无线电核准证书。</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千兆单模光模块</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千兆单模光模块，单模，1310nm，LC，传输20Km</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设备网核心交换机</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1、要求设备千兆SFP光口≥24个，独立千兆电口≥8个，SFP+万兆光口≥4个，USB配置接口≥1，Console配置口≥1，冗余交流电源输入，不接受RPS电源方式；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2、支持主备电源切换，交换容量≥598Gbps/5.98Tbps，包转发率≥216Mpps/2160Mpps；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3、支持4K个802.1Q VLAN，Super vlan，支持基于端口、MAC、IP子网、协议的VLAN；支持STP/RSTP/MSTP，支持静态路由、RIP、ISIS、RIPng和BGP、BGP4+、OSPF、OSPFv3等动态路由协议，支持BGP、OSPF协议的密文验证，支持BFD for VRRP/Static/RIP/OSPF/ISIS等。支持IGMP、IGMP Snooping；支持PIM-SM、PIM-DM等三层组播协议。持手工隧道、支持ISATAP、支持6to4隧道，支持IPV4/IPV6双栈功能；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4、支持≥8台横向虚拟化功能，实现多个物理设备虚拟为一个逻辑设备进行管理的虚拟化功能，同时支持纵向虚拟化功能，接入交换机作为核心交换机的端口扩展板卡进行配置统一管理, 支持≥128台设备虚拟成一台设备。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5、支持MAC绑定，ACL，流分类，QOS，支持抗大流量攻击，支持抗Ping Flood攻击，支持抗SYN Flood攻击，支持畸形包过滤，支持安全审计功能，安全日志功能，操作日志功能；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6、支持CPU 保护功能，如ICMP Flood拦截、SYN Flood攻击拦截等，CPU根据不同协议进行限速保护，支持MSTP协议国密算法加密，RIP、OSPF协议支持国密认证算法，支持配置文件国密算法加密，防护设备配置环境信息泄漏；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7、为了满足网络未来的发展趋势，要求设备支持SDN功能，支持Netconf协议，支持SDN控制器的统一管理，支持环网G.8032协议，实现ms级业务倒换，支持二层VXLAN网关，支持ZTP,可实现零配置，零IP开局；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8、支持远程运维平台管理，设备可通过运维平台实现远程访问设备WEB管理界面。同时为保证远程访问设备WEB的安全性，要求远程访问隧道基于HTTPS。</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24口POE千兆接入交换机（设备网）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1、要求设备千兆电口≥24个，千兆光口≥2个，支持POE，POE输出功率≥370W，金属外壳，标准1U设备，19寸机柜安装；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2、交换容量≥52Gbps，包转发率≥38.69Mpps；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3、支持端口延长开关及VLAN开关；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4、相关产品对外界辐射、干扰、以及设备本身抗干扰能力等应符合国内、国际标准，通过电磁兼容认证证书（CE-EMC）；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5、为确保设备用电的安全性，相关产品应提供低电压指令认证；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6、相关产品所用材料应满足绿色环保要求，相关限制类重金属含量在标准范围之内，通过有害成分认证（RoHS）；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7、提供工信部要求的电信设备进网许可证。</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8口POE千兆接入交换机（设备网）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1、要求设备千兆电口≥9个，千兆光口≥1个，支持POE，POE输出功率≥120W，1U可上机架；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2、交换容量≥20Gbps，包转发率≥14.88Mpps；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3、提供工信部要求的电信设备进网许可证,提供CQC证书。</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8口千兆交换机（设备网）</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1、要求设备千兆电口≥8个，千兆光口≥2个，金属外壳，桌面型交换机；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2、交换容量≥20Gbps，包转发率≥14.88Mpps；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3、提供工信部要求的电信设备进网许可证。</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千兆单模光模块</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千兆单模光模块，单模，1310nm，LC，传输20Km</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网络安全设备</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下一代防火墙</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1、硬件架构：标准1U机架式设备，9个千兆电口，最大吞吐量2Gbps，IPSec吞吐量700Mbps，IPS吞吐量600Mbps，AV吞吐量400Mbps，最大并发连接数60万，每秒新建连接数2.5万，IPSec隧道数2000，最大支持500个SSL VPN用户数，标配8个 SSL VPN用户数；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须技术实力领先且防护能力先进，须同时具备中国网络安全审查技术与认证中心IT产品信息安全认证（评估保障级4增强级）；要求产品自主研发，可根据安全需求开发新功能和修复产品漏洞，具备僵尸网络C&amp;C防御、IP信誉、云沙箱、攻击防护、高性能IPv6防火墙、虚拟化安全网关等功能；</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日志审计</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1、1U设备，专用硬件安全审计设备，非通用WINDOWS平台，存储容量：4TB；日志处理速度：50,000事件/秒；存储能力：至少在2G链路下有180天的存储能力,日志采集源不少于300个；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2、设备监控要求,支持各类型日志磁盘存储占比统计、各类型日志接收趋势统计、设备日志接收趋势统计、发送日志的设备状态监控、硬盘健康状态及Raid状态监控；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URL日志审计：可详细地记录URL日志信息（包括时间、源地址、目的地址、源端口、目的端口、以及NAT转换后地址、端口、URL地址、用户等信息），可以收集、存储上述URL日志并提供快速的搜索查询功能；IM上下线审计：可以对IM上下线（包括移动QQ）日志进行详细的记录（包括时间、内网地址、端口、NAT后的地址和端口、IM类型等信息）可以对上述信息进行采集、存储并提供快速检索查询的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日志备份：提供了日志备份的功能。针对客户海量的NAT日志、URL日志和IM上下线日志，可以通过手动或者自动两种方式，把日志备份到第三方的存储空间，保证了日志数据的完整性。提供直观、丰富的统计报表，通过对设备信息、网络访问和用户；报表系统：行为进行综合分析，为用户呈现全方位、多角度的统计数据和图表。支持按照天、周、月、季等周期生成周期性统计报表，统计粒度可达到分钟、小时和天，并能够通过邮件发送给指定人员。内置多种报表模板，支持报表定制，包括支持报表组件和报表模板定制，报表组件定制支持统计的报表内容包括：设备状态、流量报表、网页浏览审计报表、即时通信审计报表、网络行为审计报表、病毒过滤审计报表、设备的病毒数统计信息支持自定义报表任务和系统的预定义报表任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日志扩容与备份：支持外接NFS服务器存储日志，支持自动磁盘清理，支持分布式设置，支持FTP和SFTP设置，实现日志的备份，实名制审计：具备与深澜、城市热点认证系统联动，实现实名制审计，满足合规性与监管要求，支持各类型日志磁盘存储占比统计和各类型日志接收趋势统计；支持各设备日志接收趋势统计；支持对发送日志的设备状态监控，支持硬盘健康状态及Raid状态监控，支持自定义监控面板和监控内容；</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门禁管理系统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门禁管理系统</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1、工作模式：支持脱机和联网验证两种工作模式；在线升级：远程下载，在线更新嵌入式程序；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2、远程开关门：突发事件，通过软件进行控制，强制开启或关闭门禁；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3、区域管理：按照区域进行授权、授禁、权限控制等业务管理；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4、假日管理：管理假日期间的授权业务处理，设定假日时间范围内，支持按照假日开放模式工作；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5、实时监控：可通过电子地图监控观察所有门的工作状态，各个门的人员进出情况等；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6、丰富的报表查询：名单状态查询、人员状态查询、区域内人数查询、报警记录查询等；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7、具备B/S及C/S门禁管理系统认证。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8、为了确保数据传输的稳定性和安全性，具备信息同步管理系统认证。</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四门门禁控制器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1、通信方式：TCP/IP；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2、读卡器接口数：8个；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3、门锁继电器：4个；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4、管理门数：4个；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5、电压输入：AC 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6、电压输出：DC 12V；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7、运行温度：-25℃至70℃；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8、数据存储：35000张注册卡，150000条读卡记录， 20000条门磁、按钮、报警记录；数据扩充：可扩充为70000张注册卡，300000条读卡记录， 40000条门磁、按钮、报警记录。</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门禁读卡器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1、门禁读卡器外形尺寸：86*86mm；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2、感应卡片：M1；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3、感应距离：≤8cm；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4、电源：DC9~15V；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5、电流：≤100mA；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6、工作温度：-20℃~70℃；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7、通讯方式：Wiegand26。</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单门磁力锁</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1、安装方式：外挂安装；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2、工作电压：12V；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3、工作电流：900mA；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4、承受拉力：280公斤；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5、通电上锁，优质纯铜线圈，性能稳定；独特的电镀工艺，不掉色，不生锈；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6、精细的表面处理，外形美观，无残磁、无机械磨损；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7、锁状态信号NO/NC输出、LED指示；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8、适用于90度开的任何有框门（无框门或内推门可选择配件）。</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双门磁力锁</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1、安装方式：外挂安装；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2、工作电压：12V；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3、工作电流：900mA；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4、承受拉力：280公斤*2；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5、通电上锁，优质纯铜线圈，性能稳定；独特的电镀工艺，不掉色，不生锈；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6、精细的表面处理，外形美观，无残磁、无机械磨损；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7、锁状态信号NO/NC输出、LED指示；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8、适用于90度开的任何有框门（无框门或内推门可选择配件）。</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出门按钮</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1、输出NC/NO信号；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2、86式安装；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3、开关自动复位。</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发卡器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1、卡片授权、发行；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2、设备接口：USB；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3、读卡速度：0.3S；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4、读卡类型：IC卡；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5、工作频率:IC卡 13.56MHz；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6、读卡距离：IC卡 10～50mm。</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IC卡</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MIFARE ONE 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1、数据保存期为10年，可改写10万次，读无限次；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2、自带天线，内含加密控制逻辑电路和通讯逻辑电路；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3、工作频率：13.56MHz；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4、可根据客户需求定制印刷。</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电源箱</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含电源12V/7A；所有对外输出电源与控制器电源隔离并具有过流保护。</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停车场管理系统</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停车场管理系统</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1、操作界面统一：统一的操作界面，易学易用，操作简单，主监控人性化：主监控界面人性化设计，美观大方，自然清晰;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2、收费标准灵活：可支持多种类别车辆(由用户自由添加，无限制)的不同收费标准的收费，打印报表详细：可打印输出几十种报表，各种数据一目了然;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3、车辆管理完善：系统提供车辆的注册、延期、充值、禁用、恢复、更换、注销、基本资料查询等管理;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4、无牌车解决办法：系统同时支持用人工录入车牌作为凭证进出车场，弥补无车牌的新车等特殊情况下车辆的进出;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5、权限控制完善：系统的每个操作模块都可以进行权限控制，权限又细分为：浏览、增加、修改、删除、审核、打印等，只有拥有了权限的系统用户才能进行操作;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多停车场管理：系统支持对大型停车场中的各分车场的进出控制和管理，分车场的数量不限，由客户自己设置。例如：地面停车场内包含多个地下停车场，实现分别进行权限控制;实时检测设备：系统实时检测各种设备的工作状态并图文显示，方便设备的检修和维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7、具备B/S及C/S停车场管理系统认证。</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道闸</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1、采用Renesas专用INV芯片+STC的处理器；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2、结合工业PLC控制标准，MCU电路全隔离，抗干扰能力大大提高；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3、输入输出采用高速光耦隔离，输入IO刷新设置为20MS防止干扰信号侵入；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4、MCU电源经三级处理，确保隔离后的元器件安全及干扰源入侵；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5、具备防撞、防砸功能，可通过手动、遥控或程序自动控制档杆起落；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6、适配闸杆：直杆≦6米，曲杆≦5.0米，栅栏杆≦4.5米；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7、闸杆起落时间：1.5S～5S；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8、防护等级: IP66。</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车辆检测器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1、工作电压：220V Ac±10%；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2、额定功率：＜5W；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3、工作频率：20KHz-170KHz（4级可调节）；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4、反应时间：10ms；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5、存在时间：无限存在/有限存在10分钟；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6、灵敏度：8级可调。</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车牌识别一体机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1、高清车牌识别一体机集车牌识别、补光灯、LED屏等一体，面板钢化玻璃、静电喷粉烤漆；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2、基于车牌自动曝光控制算法，结合出入口现场特殊场景进行开发优化，完美实现对出入口车辆的视频检测及车辆信息的识别；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3、支持车牌、车牌颜色、车身颜色、车标（目前支持25种车标识别）等车辆信息的识别；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4、设备外壳应能承受对每个能正常接触到的表面施加0.5J的机械冲击强度，不应产生永久的变形；设备外壳应带有锁止装置；设备内的接线端子与引线的连接应牢固可靠，应有防止连接松动的措施；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5、最大抓拍图片分辨率：1920×1080；视频帧率：25帧/秒；码率设置功能：32kbps～8Mbps；图像调节功能：可对图像亮度、对比和饱和度进行设置；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6、抗电强度试验：AC1.5kV、1min无击穿、飞弧现象；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7、防护等级：IP5X 试验时间8h 试验后，设备能正常工作；IPX4 10（1+5%）L/min，至少5min。</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安全岛</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1、双车道安全岛，采用国标425#硅酸盐水泥、中砂砌筑；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2、尺寸：3800mm*600mm*150mm,带圆弧倒角,满足使用需求。</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控制终端</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处理器主频不低于3.0 GHz、24寸宽屏液晶显示器、4GB内存、1T SATA硬盘，含操作系统、键盘、鼠标。</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护理呼叫系统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数据交互管理系统</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HIS数据同步功能：医疗对讲系统需要使用HIS系统中的部分数据，作为系统运行的基础数据。由于日常的医疗运作（如病人入院、出院、医生发布医嘱、医院每天定时产生住院病人费用清单等医疗行为），HIS系统的数据不断在更新变化。医护对讲系统需要把HIS系统的数据同步到本地。需同步数据包括：病人资料、一日清单、医嘱、预约检查等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2、实时数据同步：要求医疗对讲系统在最短时间内同步HIS的更新数据，并在短时间内完成收敛，保持系统内部数据一致性。同步过程不宜产生较大的数据流量，应只进行增量数据同步；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3、根据数据信息的实时性要求，可通过配置设定每次数据同步的时间间隔。部分数据（如一日清单）每天更新几次，可通过配置设定每天做数据同步的定时时间。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4、手动管理数据同步操作：管理中心系统用户管理界面提供操作管理数据同步的功能；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5、数据同步的参数设置；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6、启动或暂停数据同步操作功能；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7、显示当前同步状态；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8、显示操作日志内容等。</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数据库服务器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4310(12C/2.1GHZ)/32G DDR4/2*2T SATA/1000M*2/550W单电源</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病房门口显示屏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1、尺寸：≥10.1英寸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2、分辨率：≥1024*600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3、触摸：触摸设计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4、音频编解码：支持PCM、ADPCM、AMR、AAC、G.711格式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5、音频采样率：8KHz或16KHz采样率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6、网卡：10Mb/100Mb自适应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7、自带告警门灯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8、通讯接口：RJ45, TCP/IP协议，供电方式：DC 12V。</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走廊显示屏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1、双面双行12中文显示窗口，24数字显示；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2、显示病区的呼叫信息、日期、时间、标语提示；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3、当患者通过床头呼叫终端发起呼叫时，走廊显示屏显示，例如：“101床呼叫”，同时语音播报；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4、当医护人员进入病房护理时，走廊显示屏显示，例如：“101病房进入护理中”或“101床进入护理中”；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5、当护士通过床头呼叫终端发出增援时，走廊信息屏显示，例如：“101床请求增援”，同时语音播报。</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护士站综合信息显示屏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1、尺寸：43寸液晶显示一体机；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2.病人呼叫时，在屏上多行显示，并显示正在排队的呼叫数量，可设置是否显示接受呼叫信息；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3.无呼叫时显示时间 标语 通知 温馨提示等信息；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4.适时显示住院人数、出入院人数、住院病人手术安排等；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5.适时显示病区公告信息、值班医生信息、播放病区信息公告、病区宣教信息幻灯片。</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护士站主机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1、尺寸：≥10英寸；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2、分辨率：≥1024*600；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3、触摸：触摸设计；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4、音频编解码：支持PCM、ADPCM、AMR、AAC、G.711格式；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5、音频采样率：8KHz或16KHz采样率；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6、网卡：10Mb/100Mb自适应；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7、通讯接口：RJ45/WIFI, TCP/IP协议；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8、供电方式：DC 12V。</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床头分机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1、外壳材料：ABS面板；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2、操作方式：机械按键操作；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3、传输方式：RJ45接口，模拟信号，485总线控制；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4、输入电源：12VDC/由病房控制器供电；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5、设备功耗：待机1.5W，最大2W；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6、安装方式：设备带上，外挂式安装。</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卫生间分机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1、供电方式：连接病房设备，由病房设备供电；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2、工作电压：DC12V；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3、功耗： 最大0.5W；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4、控制方式：GPIO方式；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5、安装方式：嵌入式（标准86盒）。</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输液大厅无线呼叫器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手柄分机；无线频段：315MHz；</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输液大厅无线呼叫接收器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无线频段：315MHz；支持不低于24路分机接入；内置中文液晶信息显示屏。</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输液大厅液晶电视</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1、屏幕尺寸：55英寸；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2、CPU核心数：四核；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3、存储内存：8GB；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4、运行内存/RAM：1.5GB；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5、WIFI频段：2.4G；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6、CPU架构：四核A35；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7、HDMI(ARC)接口：2个；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8、屏幕分辨率：超高清4K。</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排队叫号系统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体检中心</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数据交互管理系统</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1、系统应能够与HIS、PACS、LIS等信息系统进行数据交互，支持按照序号或签到顺序自动生成排队队列；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2、数据库管理系统（支持国产数据库）；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3、可通过对数据库的导入和导出来维护数据；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4、具有联网和远程控制功能，对终端可以远程管理和维护；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5、配置各个科室的就诊流程，系统根据配置就诊流程，灵活配置叫号机制，适应各种队列排序方式、各种呼叫模式、各种显示样式、各种语音等效果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6、系统应支持候诊区分诊以及诊室门口分诊或特殊科室需要的多级分诊模式。有多种排队信息屏显示模板选择；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7、支持手动维护医生信息，可上传医生信息（如：照片、职称、个人简介等）；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8、要求候诊区域分诊屏、医生所在诊室门口的分诊屏显示各自对应的叫号信息，并实现对应的叫号语音同步播报。</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诊室门口显示屏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1、尺寸：21.5寸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2、可视角度：垂直：178°，水平：178°；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3、亮度：350cd/m²；对比度：1000：1；响应时间≤5ms；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4、对比度：1000：1；响应时间≤5ms；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5、控制主机：Android 系统，4核处理器，内存：2GB，硬盘：8GB；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6、视觉舒适度：( VIcO指数）范围在0-1级,满足CSA035.2-2017标准。</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采血窗口信息屏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1、32寸 LED背光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2、屏体分辨率/显示比例  1920*1080/16：9显示区域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3、视角/颜色  89/89/89/89(L/R/U/D)/ 16．7M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4、亮度/对比度  350cd/m2 /500：1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5、CPU RK3288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6、内存 2G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7、内置存储器  NAND FLASH 8G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8、解码分辨率  最高支持1080P。</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自助取号机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1、19寸AOU液晶显示屏、19寸电容触摸屏；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2、屏体分辨率/显示比例  1280*1024 /16：9显示区域；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3、视角/颜色  89/89/89/89(L/R/U/D)/ 16．7M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4、亮度/对比度  350cd/m2 /500：1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5、CPU  I3双核2.4G；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6、内存 4G DDR3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7、存储器 120G固态硬盘；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8、操作系统 支持win7操作系统。</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排队信息显示屏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1、55寸 LED背光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2、屏体分辨率/显示比例  1920*1080/16：9显示区域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3、视角/颜色  89/89/89/89(L/R/U/D)/ 16．7M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4、亮度/对比度  350cd/m2 /500：1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5、CPU A40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6、内存 1G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7、内置存储器  NAND FLASH 8G/16G(可选)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8、解码分辨率 最高支持1080P 。</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软件叫号器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1、支持医生账户登录和诊室登录；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2、支持通过快捷键和切换菜单实现正常版本和简单版本相互切换；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3、系统查看医生信息、诊室信息和叫号信息；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4、同一患者检查多个项目时，诊结后会自动提示下一个检查项目；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5、支持暂停服务及暂停分配号票；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6、支持过号（呼叫未到）患者可自动重排；支持可选择呼叫过号患者就诊功能；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7、可显示当前呼叫患者检查项目；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8、支持查看各个科室总的票号，等候票号，完成票号，可设置各科室是否正常取票。</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TTS语音叫号模块</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1、支持中文、数字的语音自动合成，叫号信息内容可灵活变更、设定；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2、支持TTS语音，声音亲切温柔。</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计免接种</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bCs/>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登记台信息显示屏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1、32寸 LED背光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2、屏体分辨率/显示比例 1920*1080/16：9显示区域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3、视角/颜色 89/89/89/89(L/R/U/D)/ 16．7M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4、亮度/对比度 350cd/m2 /500：1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5、CPU RK3288；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6、内存 2G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7、内置存储器 NAND FLASH 8G；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8、解码分辨率 最高支持1080P 。</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接种台信息显示屏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1、32寸 LED背光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2、屏体分辨率/显示比例  1920*1080/16：9显示区域；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3、视角/颜色  89/89/89/89(L/R/U/D)/ 16．7M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4、亮度/对比度 350cd/m2 /500：1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5、CPU RK3288；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6、内存 2G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7、内置存储器 NAND FLASH 8G；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8、解码分辨率 最高支持1080P 。</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自助取号机</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1、19寸AOU液晶显示屏、19寸电容触摸屏；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2、屏体分辨率/显示比例 1280*1024 /16：9显示区域；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3、视角/颜色 89/89/89/89(L/R/U/D)/ 16．7M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4、亮度/对比度 350cd/m2 /500：1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5、CPU I3双核2.4G；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6、内存 4G DDR3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7、存储器 120G固态硬盘；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8、操作系统 支持win7操作系统 。</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接种等候区综合信息显示屏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1、55寸 LED背光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2、屏体分辨率/显示比例  1920*1080/16：9显示区域；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3、视角/颜色 89/89/89/89(L/R/U/D)/ 16．7M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4、亮度/对比度 350cd/m2 /500：1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5、CPU A40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6、内存 1G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7、内置存储器 NAND FLASH 8G/16G(可选)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8、解码分辨率 最高支持1080P 。</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儿童活动区综合信息显示屏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1、55寸 LED背光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2、屏体分辨率/显示比例 1920*1080/16：9显示区域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3、视角/颜色 89/89/89/89(L/R/U/D)/ 16．7M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4、亮度/对比度 350cd/m2 /500：1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5、CPU A40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6、内存 1G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7、内置存储器 NAND FLASH 8G/16G(可选)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8、解码分辨率 最高支持1080P 。</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PAD叫号器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1、RK3128 4核  1G+16G  安卓6.1/7.0；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2、8英寸，5点触控电容屏；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3、分辨率：1280*800 IPS；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4、扬声器：内置双喇叭；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5、接口TF 卡槽、标准USB接口X2、以太网接口、ＨＤＭＩ输出接口、3.5mm双声道音频输出接口、DC电源接口，12V 2.4A；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6、物理尺寸：196*108mm。</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TTS语音叫号模块</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1、支持中文、数字的语音自动合成，叫号信息内容可灵活变更、设定；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2、支持TTS语音，声音亲切温柔。</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信息发布系统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门诊中庭LED显示大屏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1、屏幕尺寸不小于6.4米（宽）*3.52米（高），物理点间距：2.0mm；物理密度：160000点/㎡，白平衡亮度：≥800cd/㎡；刷新率：≥3840Hz；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2、为保障显示屏的用电安全，显示屏需具有安全监测模块，可对电路线缆温度、环境温度、漏电（剩余电流）等进行实时监测，可对电流、电压、温度、过载等数据设置报警值，超过限值自动报警；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3、显示屏具有一定抵抗无线电骚扰、谐波及静电放电功能；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显示单元的纵向拉伸承载力≥2t，横向拉伸承载力≥2t；四侧面平面度公差≤0.02mm，四侧面垂直度公差≤0.02mm，产品带有断电现场记忆保护功能且电源支持热拔插，避免临时断电影响屏幕使用，显示屏需通过在频率范围（10~30~10Hz）、（30~55~30Hz），振动幅值0.75mm、0.15mm的环境下，设备在X、Y、Z轴向下，扫描循环5次的振动测试后样品外观结构正常，设备正常启动工作。</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1、输入频率：200VAC-240VAC；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2、输入电压：176VAC～264Vac   输入电流47HZ-63Hz；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3、防火阻燃：套件及PCB印制板具有防火阻燃性，防火阻燃等级V-0；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4、工作温度:-40-70度，符合GB2324测试标准；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5、保护功能：过载保护，超电流保护，输入欠压，短路保护，无风扇设计，宁静工作，适合各类环境使用；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6、散热方式：自然对流散热。</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钢结构</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1、安装方式：壁挂式安装。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2、钢架结构采用国标30mm*30mm镀锌钢管，中间采用50mm*30mm国标镀锌方管等，外部装潢采用不锈钢包边。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3、钢架结构整体美观整齐、牢固稳定。标准工艺、采用焊接角铁及方管的方式组成框架，再进行有效而统一的装饰处理。</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控制系统</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1、集成HUB75，无需再配转接板，更方便，成本更低；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2、减少接插连接件，减少故障点，故障率更低；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3、支持常规芯片实现高刷新、高灰度、高亮度；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4、全新灰度引擎，低灰度表现更佳；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5、细节处理更完美，可消除单元板设计引起的某行偏暗、低灰偏红、鬼影等细节问题；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6、支持14bit精度的色度、亮度一体化逐点校正；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7、支持所有常规芯片、PWM芯片和灯饰芯片；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8、支持静态屏、1/2~1/64扫之间的任意扫描类型。</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视频处理器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1、支持丰富的数字信号接口，包括1路SDI，1路HDMI，2路DVI；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2、最大输入分辨率1920*1200@60Hz，支持分辨率任意设置；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3、最大带载390万像素，最宽可达8192点，或最高可达4096点；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4、支持视频源任意切换，任意缩放；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5、支持三画面显示，位置、大小可自由调节；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6、支持HDCP高带宽数字内容保护技术；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7、双USB2.0高速通讯接口，用于电脑调试和主控间任意级联。</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多媒体播放器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1、专业BS架构，可通过百兆网口/WiFi/4G模块接入网络，进行云集群管理；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2、自带8G内存，用户可用5G存储容量，支持USB播放；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3、全面兼容常规同步控制系统节目管理及配置方式；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4、全部采用工业级元器件，产品稳定可靠；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5、系统权限认证，数据通道加密；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6、多级权限管理，节目审核后发布；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7、播放内容实时监测，运行状态及时反馈；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8、智能控制，管理方便，支持U盘即插即播。</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扩声音箱</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1、单元≥6"同轴×1；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2、额定功率≥40W；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3、输入阻抗：8Ω；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4、灵敏度≥88dB；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5、最大声压≥104dB；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6、频率响应:50Hz-20KHz。</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扩声功放</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1、采用双混响芯片设计，支持MP3及蓝牙功能，具有自动抑制啸叫功能；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2、采用专业数码混响IC，话筒特设有立体声效果，运用最新科技卡拉OK杜比降噪系统；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3、设有完善的安全保护系统，具有自动故障检测功能；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4、8Ω输出功率≥150W*2，4Ω输出功率≥260W*2；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5、频率响应：20-20KHz，信噪比≥70db；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6、输入灵敏度：mic≥12mV，MUSIC≥300mV。</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药房窗口LED显示屏</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1、屏幕尺寸不小于4.48米（宽）*0.64（高），物理点间距：1.86mm；物理密度：289050点/㎡，白平衡亮度：≥800cd/㎡；刷新率：≥3840Hz；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2、屏幕支持开机保护功能，内置智能开机延时模块，实现显示单元逐一延迟开机启动，有效防止同时开机造成大的电流冲击，引起显示单元损坏。屏幕连续工作 200 小时，不出现电路、机械、操作系统等故障，设备画面可正常显示，颜色正常无衰减；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对比度：＞8000:1使图像更加清晰醒目，色彩更加鲜明艳丽，细节表现突出及灰度层次感强，显示效果更加出色，显示屏需具有播放防卡死功能，播放过程中视频、图片等播放文件出现卡死现象，软件能快速停止当前播放文件，切换到下一个媒体播放且可满足用户开机自定义画面，开机LOGO定制功能；显示屏需通过光生物安全及蓝光检测、高低温工作试验、高低温存储试验、温升试验、盐雾、紫外老化、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4、为保障显示屏的用电安全，显示屏需具有安全监测模块，可对电路线缆温度、环境温度、漏电（剩余电流）等进行实时监测，可对电流、电压、温度、过载等数据设置报警值，超过限值自动报警；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为保障显示屏的播放效果，显示屏可在1/1500秒专业相机拍摄情况下，画面无频闪线、无晃动，完全满足现场直播镜头切换无闪烁无黑场需求，且具有动态检测技术有效消除杂色和干扰，显示屏可连续工作200小时，无电路、机械、操作系统等故障，设备画面可正常显示，颜色正常无衰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为降低国家资源浪费，倡导节能环保，LED显示屏所使用的开关电源在100%负载的情况下，功率因数达到0.95以上，显示屏为大功率用电设备，为了更安全的使用设备，显示屏的接地端子与可触及金属部件之间的阻抗≤0.05Ω且可触及接地零部件，接触电流限制≤2.1mA并在抗电强度测试中显示模组电源接口和外壳裸露金属部件施加AC3000v的试验电压1min不发生绝缘击穿，电源适应性：LED显示单元电源模块能在正常电压的±15%范围内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7、显示屏具有一定抵抗无线电骚扰、谐波及静电放电功能；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显示单元的纵向拉伸承载力≥2t，横向拉伸承载力≥2t；四侧面平面度公差≤0.02mm，四侧面垂直度公差≤0.02mm，产品带有断电现场记忆保护功能且电源支持热拔插，避免临时断电影响屏幕使用，显示屏需通过在频率范围（10~30~10Hz）、（30~55~30Hz），振动幅值0.75mm、0.15mm的环境下，设备在X、Y、Z轴向下，扫描循环5次的振动测试后样品外观结构正常，设备正常启动工作。</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2.87</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1、输入频率：200VAC-240VAC；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2、输入电压：176VAC～264Vac 输入电流47HZ-63Hz；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3、防火阻燃：套件及PCB印制板具有防火阻燃性，防火阻燃等级V-0；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4、工作温度:-40-70度，符合GB2324测试标准；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5、保护功能：过载保护，超电流保护，输入欠压，短路保护，无风扇设计，宁静工作，适合各类环境使用；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6、待机功耗：输出负载为电源空载或电源整机待机时，功耗≤0.25W；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7、设备开机瞬间爬升至稳定状态期间过冲幅度＜5%，过冲电压小于输出电压标准最大值；电压爬升期间不可出现掉电现象；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8、散热方式：自然对流散热。</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钢结构</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1、安装方式：壁挂式安装。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2、钢架结构采用国标30mm*30mm镀锌钢管，中间采用50mm*30mm国标镀锌方管等，外部装潢采用不锈钢包边。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3、钢架结构整体美观整齐、牢固稳定。标准工艺、采用焊接角铁及方管的方式组成框架，再进行有效而统一的装饰处理。</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2.87</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控制系统</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1、集成HUB75，无需再配转接板，更方便，成本更低；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2、减少接插连接件，减少故障点，故障率更低；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3、支持常规芯片实现高刷新、高灰度、高亮度；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4、全新灰度引擎，低灰度表现更佳；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5、细节处理更完美，可消除单元板设计引起的某行偏暗、低灰偏红、鬼影等细节问题；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6、支持14bit精度的色度、亮度一体化逐点校正；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7、支持所有常规芯片、PWM芯片和灯饰芯片；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8、支持静态屏、1/2~1/64扫之间的任意扫描类型。</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视频处理器</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1、最大带载面积130万像素，最宽4096像素，最高2560像素；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2、兼容常规同步控制系统节目管理及显示屏配置方式；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3、沿用软件进行节目编辑，功能全面，操作灵活方便；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4、支持多窗口，可自由设定窗口大小和位置，并支持窗口叠加；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5、支持丰富的媒体素材，如图片、视频、文本、时钟等；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6、支持多节目页播放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7、支持自动缩放功能；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8、全部采用工业级元器件，产品稳定可靠。</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智能配电箱</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20KW智能配电箱：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1.含智能控制系统，使用 RS232 串口或千兆网口通信，支持中控对接，支持用网口级联在接收卡之间或最后；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2.具有定时功能，可以替代定时器和延时器。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3、为保证系统的稳定性，要求配电箱与大屏为同一品牌，具备智慧安全用电监控管理平台自主知识产权。</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播控软件</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1、根据不同的使用环境，软件可播放不低于5种不同类型数据库、实时天气预报、在线流媒体视频、不低于4种环境信息；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2、能实时监控LED显示屏的各种运行状态:包括每个显示模块的运行状态；每天显示模组的运行状态；每个发送盒（发送卡）的运行状态等。能够通过计算机的显示界面实时监测当前LED显示屏的主要运行参数；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3、支持LED显示屏修缝和逐点矫正功能，快速修复模组之间的缝隙、亮暗线、色差；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4、支持实时显示温度、湿度、烟雾等监控信息，并实时控制LED显示屏亮度、温湿度及开关电源等；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5、具有强大的运算功能，软件支持在设计大屏时提前模拟现场情况选定发送设备，更有效的辅助提前展示现场效果。</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控制终端</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处理器主频不低于3.0 GHz、24寸宽屏液晶显示器、4GB内存、1T SATA硬盘，含操作系统、键盘、鼠标。</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管线及辅材</w:t>
            </w:r>
          </w:p>
        </w:tc>
        <w:tc>
          <w:tcPr>
            <w:tcW w:w="42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国标铜芯动力电源线，6类国标网线，连接线、接头、插头等满足现场施工需要。</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多媒体会议系统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大会议室</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室内P1.86全彩屏</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1、屏幕尺寸不小于5.44米（宽）*3.04米（高），物理点间距：1.86mm；物理密度：289050点/㎡，白平衡亮度：≥800cd/㎡；刷新率：≥3840Hz；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2、屏幕支持开机保护功能，内置智能开机延时模块，实现显示单元逐一延迟开机启动，有效防止同时开机造成大的电流冲击，引起显示单元损坏。屏幕连续工作 200 小时，不出现电路、机械、操作系统等故障，设备画面可正常显示，颜色正常无衰减；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对比度：＞8000:1使图像更加清晰醒目，色彩更加鲜明艳丽，细节表现突出及灰度层次感强，显示效果更加出色，显示屏需具有播放防卡死功能，播放过程中视频、图片等播放文件出现卡死现象，软件能快速停止当前播放文件，切换到下一个媒体播放且可满足用户开机自定义画面，开机LOGO定制功能；显示屏需通过光生物安全及蓝光检测、高低温工作试验、高低温存储试验、温升试验、盐雾、紫外老化、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4、为保障显示屏的用电安全，显示屏需具有安全监测模块，可对电路线缆温度、环境温度、漏电（剩余电流）等进行实时监测，可对电流、电压、温度、过载等数据设置报警值，超过限值自动报警；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为保障显示屏的播放效果，显示屏可在1/1500秒专业相机拍摄情况下，画面无频闪线、无晃动，完全满足现场直播镜头切换无闪烁无黑场需求，且具有动态检测技术有效消除杂色和干扰，显示屏可连续工作200小时，无电路、机械、操作系统等故障，设备画面可正常显示，颜色正常无衰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为降低国家资源浪费，倡导节能环保，LED显示屏所使用的开关电源在100%负载的情况下，功率因数达到0.95以上，显示屏为大功率用电设备，为了更安全的使用设备，显示屏的接地端子与可触及金属部件之间的阻抗≤0.05Ω且可触及接地零部件，接触电流限制≤2.1mA并在抗电强度测试中显示模组电源接口和外壳裸露金属部件施加AC3000v的试验电压1min不发生绝缘击穿，电源适应性：LED显示单元电源模块能在正常电压的±15%范围内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7、显示屏具有一定抵抗无线电骚扰、谐波及静电放电功能；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显示单元的纵向拉伸承载力≥2t，横向拉伸承载力≥2t；四侧面平面度公差≤0.02mm，四侧面垂直度公差≤0.02mm，产品带有断电现场记忆保护功能且电源支持热拔插，避免临时断电影响屏幕使用，显示屏需通过在频率范围（10~30~10Hz）、（30~55~30Hz），振动幅值0.75mm、0.15mm的环境下，设备在X、Y、Z轴向下，扫描循环5次的振动测试后样品外观结构正常，设备正常启动工作。</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1、输入频率：200VAC-240VAC；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2、输入电压：176VAC～264Vac   输入电流47HZ-63Hz；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3、防火阻燃：套件及PCB印制板具有防火阻燃性，防火阻燃等级V-0；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4、工作温度:-40-70度，符合GB2324测试标准；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5、保护功能：过载保护，超电流保护，输入欠压，短路保护，无风扇设计，宁静工作，适合各类环境使用；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6、待机功耗：输出负载为电源空载或电源整机待机时，功耗≤0.25W；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7、设备开机瞬间爬升至稳定状态期间过冲幅度＜5%，过冲电压小于输出电压标准最大值；电压爬升期间不可出现掉电现象；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8、散热方式：自然对流散热。</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控制系统</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1、集成HUB75，无需再配转接板，更方便，成本更低；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2、减少接插连接件，减少故障点，故障率更低；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3、支持常规芯片实现高刷新、高灰度、高亮度；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4、全新灰度引擎，低灰度表现更佳；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5、细节处理更完美，可消除单元板设计引起的某行偏暗、低灰偏红、鬼影等细节问题；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6、支持14bit精度的色度、亮度一体化逐点校正；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7、支持所有常规芯片、PWM芯片和灯饰芯片；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8、支持静态屏、1/2~1/64扫之间的任意扫描类型。</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视频处理器</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1、具备8个千兆网口输出，单机可支持最宽8192像素，或最高4096像素的LED显示屏；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2、支持丰富的数字信号接口，包括1路SDI，1路HDMI，2路DVI；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3、最大输入分辨率1920*1200@60Hz，支持分辨率任意设置；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4、最大带载520万像素，最宽可达8192点，或最高可达4096点；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5、支持视频源任意切换，任意缩放；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6、支持三画面显示，位置、大小可自由调节；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7、支持HDCP1.4；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8、双USB2.0高速通讯接口，用于电脑调试和主控间任意级联。</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钢结构</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1、安装方式：壁挂式安装。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2、钢架结构采用国标30mm*30mm镀锌钢管，中间采用50mm*30mm国标镀锌方管等，外部装潢采用不锈钢包边。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3、钢架结构整体美观整齐、牢固稳定。标准工艺、采用焊接角铁及方管的方式组成框架，再进行有效而统一的装饰处理。</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智能配电箱</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15KW智能配电箱：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1、含智能控制系统，使用 RS232 串口或千兆网口通信，支持中控对接，支持用网口级联在接收卡之间或最后；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2、具有定时功能，可以替代定时器和延时器。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3、为保证系统的稳定性，要求配电箱与大屏为同一品牌，具备智慧安全用电监控管理平台自主知识产权。</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壁挂扬声器</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1、低音单元≥1×8″，高音单元≥1×1″；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2、额定阻抗：8Ω，额定功率≥150W；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3、灵敏度≥93dB 1w/1m；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4、最大声压≥114dB；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5、频率响应：50Hz-20KHz。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6、符合GB8898-2011《音频、视频及类似电子设备安全要求》检验依据且通过在跌落不少于50次试验后无安全损伤；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7、符合GB8898-2011《音频、视频及类似电子设备安全要求》检验依据且通过冲击锤试验“对保护危险带电零部件的外壳和可能是薄弱部位的外壳的每一点，通过向表面垂直按压释放锥，使设备承受三次冲击”；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8、符合GB8898-2011《音频、视频及类似电子设备安全要求》检验依据且通过应力消除试验“70℃，7h试验，外壳无软化、收缩或开裂，内部部件不会曝露，无危险”。</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功放</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1、具有BRI桥接、STE立体声、PAR立体声等模式，≥2种增益开关可选；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2、8Ω立体声额定功率≥250W×2；4Ω立体声额定功率≥450W×2；8Ω桥接功率≥620W，输入阻抗:10KΩ非平衡.20KΩ平衡；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3、频率响应(@1W功率下）:20-20KHz/±0.5dB，信噪比(A计权)：≥90dB，额定源电动势不劣于630mV；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4、保护方式:直流保护、超高频保护、短路保护、过载保护、开机关机保护、温度保护。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5、符合GB8898-2011《音频、视频及类似电子设备安全要求》检验依据且通过绝缘电阻和抗电强度；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6、符合GB8898-2011《音频、视频及类似电子设备安全要求》检验依据且通过在跌落不少于50次试验后无安全损伤；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7、符合GB8898-2011《音频、视频及类似电子设备安全要求》检验依据且通过冲击锤试验“对保护危险带电零部件的外壳和可能是薄弱部位的外壳的每一点，通过向表面垂直按压释放锥，使设备承受三次冲击”。</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调音台</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1、支持不少于12路话筒平衡输入和4路立体声输入，话筒输入支持48V幻象电源供电；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2、支持≥2路立体声输出、≥2组编组输出、≥2路辅助输出，编组信号支持叠加到主输出；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3、支持立体声监听输出，可外接监听耳机或监听音箱，可通过旋钮对监听音量进行调节；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4、带有液晶显示屏和标准双12段光柱电平表，具有当前效果模式选择显示，精确指示电平大小；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5、输出支持≥7段均衡，具有直通和均衡切换开关；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6、内置DSP数字效果器，具有不少于≥32种效果，可根据各种场景需求进行选择。</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音频处理器</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1、采用高性能专业音箱处理器技术，采样率不劣于96k/24bit；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2、内置压缩器、限副器、分频器、延时器、均衡器、混音矩阵等DSP功能；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3、前面板具有LCD显示器，显示当前设备的IP地址；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4、≥3路MIC输入，≥6路平衡音频输出通道，输入具有噪声门功能，输出提供压缩器、压缩限幅器功能；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5、输入输出通道具有≥7段均衡调节、高低通滤波器，支持通道延时调节功能，支持全通滤波器AIIpass；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6、内置信号发生器，具有正弦波信号、粉红噪声、白噪声等功能丰富，更适合项目现场调试；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7、支持通过软件调节，控制软件支持一键静音，操作界面支持中英文切换，并且可实现多台处理器集中控制；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8、具有多功能网络音频处理自主知识产权。</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反馈抑制器</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1、采用TFT彩屏，可在主界面显示陷波器开关、频移量、均衡开关、当前用户模式、系统上锁情况等状态信息，并带有双排9段电平指示灯；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2、双通道设置，采用两组平衡/非平衡输入，两组平衡/非平衡输出接口；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3、双通道所有参数均可独立调节也可以进行联通调节；支持一键默音功能；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4、内置-64db到6dB增益调节，噪声门为0dB到-90dB范围可调，移频器支持0Hz-8Hz多级调节；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5、啸叫抑制响应采用三种模式检测和抑制，快、默认、慢三个速度可设定，满足不同的需求；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6、参数调节可以设置两级面板锁，分别是参数锁定和整机锁定功能；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7、不低于20种模式保存与调用，在使用不同的场所直接调用；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8、实现PC软件控制，界面简单易懂，保存模式后可脱离PC运行。</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一拖四会议话筒</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1、一拖四无线麦克风，1U标准机柜设计，采用PLL射频稳定技术；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2、支持电子音量控制；支持上锁/解锁ID功能，保障系统稳定运行；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3、内置抗干扰天线，有效工作距离不低于60米；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4、采用UHF640.00-689.750MHZ频段载波，具备超强抗RF/GSM信号干扰能力；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5、支持平衡和非平衡两种选择输出端口，适应不同的设备连接需求；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6、音频频响：60-13000Hz；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7、谐波失真：≤0.5%；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8、信噪比≥50dB。</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一拖二领夹话筒</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1、UHF频段、PLL2通道无线会议接收机，采用640-690MHz频率进行覆盖；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2、选配头戴式麦克风，可用于实现多场合的使用场所；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3、红外对码，采用“SET”一键配对，一键上锁功能；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4、屏幕显示当前频段、≥5级调频信号接收电平、≥5级音频强度、静音状态等信息；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5、内置高低两种功率选择，方便不同的会议室使用，同时主机内置最大音量控制控制功能，防止会场误操作；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6、不少于1路左右通道平衡输出，不少于1路非平衡输出接口，以适应不同的使用环境。</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一拖四手持话筒</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1、一拖四无线麦克风，1U标准机柜设计，采用PLL射频稳定技术；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2、支持电子音量控制；支持上锁/解锁ID功能，保障系统稳定运行；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3、内置抗干扰天线，有效工作距离不低于60米；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4、采用UHF640.00-689.750MHZ频段载波，具备超强抗RF/GSM信号干扰能力；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5、支持平衡和非平衡两种选择输出端口，适应不同的设备连接需求；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6、音频频响：60-13000Hz；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7、谐波失真：≤0.5%；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8.信噪比≥50dB。</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电源时序器</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1、带有电流缓冲功能，减少电流冲击的影响，支持面板Lock锁定功能，防止人为误操作；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2、支持有效按开机先前及后、关机则先后及前的顺序开关，每路输出带指示灯，开关控制电源；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3、具有≥8路电源时序管理，单路延时开启及关闭时间可在0-999秒自由设定，同时还具有≥2路辅助通道，可以用于设备供电；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4、主机配置有一路短路输入和输出口，可实现多台链接使用；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5、配置RS232接口，支持外部中央控制设备控制，≥6种波特率可选择；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6、支持实现远程集中控制，每台设备自带设备编码ID检测和设置；</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机柜</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规格：600x600x2200mm，含顶盖，1块竖直 理线板，不含侧板，含底板</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多媒体插座</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卡侬母座≥1个；网络接口≥1个；RCA莲花AV接口≥1个；HDMI高清接口(转弯口）≥1个；手拉手大八芯≥1个。</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控制终端</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处理器主频不低于3.0 GHz、24寸宽屏液晶显示器、4GB内存、1T SATA硬盘，含操作系统、键盘、鼠标。</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音频连接线、专业音响线、音响欧姆头等</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小会议室</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室内P1.86全彩屏</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1、屏幕尺寸不小于3.2米（宽）*1.6米（高），物理点间距：1.86mm；物理密度：289050点/㎡，白平衡亮度：≥800cd/㎡；刷新率：≥3840Hz；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2、屏幕支持开机保护功能，内置智能开机延时模块，实现显示单元逐一延迟开机启动，有效防止同时开机造成大的电流冲击，引起显示单元损坏。屏幕连续工作 200 小时，不出现电路、机械、操作系统等故障，设备画面可正常显示，颜色正常无衰减；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对比度：＞8000:1使图像更加清晰醒目，色彩更加鲜明艳丽，细节表现突出及灰度层次感强，显示效果更加出色，显示屏需具有播放防卡死功能，播放过程中视频、图片等播放文件出现卡死现象，软件能快速停止当前播放文件，切换到下一个媒体播放且可满足用户开机自定义画面，开机LOGO定制功能；显示屏需通过光生物安全及蓝光检测、高低温工作试验、高低温存储试验、温升试验、盐雾、紫外老化、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4、为保障显示屏的用电安全，显示屏需具有安全监测模块，可对电路线缆温度、环境温度、漏电（剩余电流）等进行实时监测，可对电流、电压、温度、过载等数据设置报警值，超过限值自动报警；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为保障显示屏的播放效果，显示屏可在1/1500秒专业相机拍摄情况下，画面无频闪线、无晃动，完全满足现场直播镜头切换无闪烁无黑场需求，且具有动态检测技术有效消除杂色和干扰，显示屏可连续工作200小时，无电路、机械、操作系统等故障，设备画面可正常显示，颜色正常无衰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为降低国家资源浪费，倡导节能环保，LED显示屏所使用的开关电源在100%负载的情况下，功率因数达到0.95以上，显示屏为大功率用电设备，为了更安全的使用设备，显示屏的接地端子与可触及金属部件之间的阻抗≤0.05Ω且可触及接地零部件，接触电流限制≤2.1mA并在抗电强度测试中显示模组电源接口和外壳裸露金属部件施加AC3000v的试验电压1min不发生绝缘击穿，电源适应性：LED显示单元电源模块能在正常电压的±15%范围内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7、显示屏具有一定抵抗无线电骚扰、谐波及静电放电功能；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显示单元的纵向拉伸承载力≥2t，横向拉伸承载力≥2t；四侧面平面度公差≤0.02mm，四侧面垂直度公差≤0.02mm，产品带有断电现场记忆保护功能且电源支持热拔插，避免临时断电影响屏幕使用，显示屏需通过在频率范围（10~30~10Hz）、（30~55~30Hz），振动幅值0.75mm、0.15mm的环境下，设备在X、Y、Z轴向下，扫描循环5次的振动测试后样品外观结构正常，设备正常启动工作。</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1、输入频率：200VAC-240VAC；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2、输入电压：176VAC～264Vac   输入电流47HZ-63Hz；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3、防火阻燃：套件及PCB印制板具有防火阻燃性，防火阻燃等级V-0；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4、工作温度:-40-70度，符合GB2324测试标准；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5、保护功能：过载保护，超电流保护，输入欠压，短路保护，无风扇设计，宁静工作，适合各类环境使用；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6、待机功耗：输出负载为电源空载或电源整机待机时，功耗≤0.25W；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7、设备开机瞬间爬升至稳定状态期间过冲幅度＜5%，过冲电压小于输出电压标准最大值；电压爬升期间不可出现掉电现象；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8、散热方式：自然对流散热。</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控制系统</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1、集成HUB75，无需再配转接板，更方便，成本更低；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2、减少接插连接件，减少故障点，故障率更低；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3、支持常规芯片实现高刷新、高灰度、高亮度；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4、全新灰度引擎，低灰度表现更佳；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5、细节处理更完美，可消除单元板设计引起的某行偏暗、低灰偏红、鬼影等细节问题；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6、支持14bit精度的色度、亮度一体化逐点校正；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7、支持所有常规芯片、PWM芯片和灯饰芯片；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8、支持静态屏、1/2~1/64扫之间的任意扫描类型。</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视频处理器</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1、具有2类视频输入接口，包括1路HDMI和2路DVI；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2、最大输入分辨率1920×1200@60Hz，支持分辨率任意设置；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3、最大带载260万像素，最宽可达4096点，或最高可达2560点；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4、支持视频源任意切换，缩放和裁剪；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5、支持画面偏移；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6、双USB 2.0高速通讯接口，用于电脑调试和主控间任意级联；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7、支持亮度和色温调节；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8、支持低亮高灰。</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钢结构</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1、安装方式：壁挂式安装。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2、钢架结构采用国标30mm*30mm镀锌钢管，中间采用50mm*30mm国标镀锌方管等，外部装潢采用不锈钢包边。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3、钢架结构整体美观整齐、牢固稳定。标准工艺、采用焊接角铁及方管的方式组成框架，再进行有效而统一的装饰处理。</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智能配电箱</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10KW智能配电箱：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1、含智能控制系统，使用 RS232 串口或千兆网口通信，支持中控对接，支持用网口级联在接收卡之间或最后；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2、具有定时功能，可以替代定时器和延时器。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3、为保证系统的稳定性，要求配电箱与大屏为同一品牌，具备智慧安全用电监控管理平台认证。</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吸顶扬声器</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1、单元≥6"同轴×1；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2、额定功率≥40W；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3、输入阻抗：8Ω；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4、灵敏度≥88dB；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5、最大声压≥104dB；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6、频率响应:50Hz-20KHz。</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功放</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1、采用双混响芯片设计，支持MP3及蓝牙功能，具有自动抑制啸叫功能；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2、采用专业数码混响IC，话筒特设有立体声效果，运用最新科技卡拉OK杜比降噪系统；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3、设有完善的安全保护系统，具有自动故障检测功能；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4、8Ω输出功率≥150W*2，4Ω输出功率≥260W*2；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5、频率响应：20-20KHz，信噪比≥70db；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6、输入灵敏度：mic≥12mV，MUSIC≥300mV。</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机柜</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22U标准机柜，静态载重≥300KG。</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多媒体插座</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卡侬母座≥1个；网络接口≥1个；RCA莲花AV接口≥1个；HDMI高清接口(转弯口）≥1个；手拉手大八芯≥1个。</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控制终端</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14英寸宽屏/处理器主频不低于3.0 GHz/16G/512GB SSD</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音频连接线、专业音响线、音响欧姆头等</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公共广播系统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公共广播主机</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1、云平台广播系统中央服务器，提供核心应用程序后台服务，采用不小于15英寸LED液晶显示屏设计，具有简单易用的触摸屏操控，内置抽拉式键盘，操作方便；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2、支持≥4路声卡，具有DVI高清数字接口和HDMI高清输出接口，内置EZ系统调整模式,可对控制主机内嵌核心部件进行温度检测；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3、采用工业级专用主板设计，自带开关机设置功能，可以用于定时驱动开机运行，实现无人值守；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4、内置不劣于7.1声道高品质RealtekALC887声卡，具有高保真的线路音频，可以实现高品质的音频传输；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5、具有不少于1路RJ45网络接口、1路PS/2接口、1路RS232通信串口、2路DVI视频接口、1路HDMI视频接口、1路VGA视频接口、4路USB 2.0/3.0接口和3路3.5mm/RCA音频接口。</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广播系统服务软件</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1、平台首页具有终端总数、在线终端数、离线终端数显示，可通过扇形图进行直观显示离线设备数、在线设备数、设备总数的占比；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设备信息界面可以看到全部的设备信息，可对通过网络状态（所有、在线、离线）、设备类型（IP网络音箱、IP网络音柱、IP话筒、IP壁挂式终端、IP音频采集器、IP报警器、IP可视化主机、IP可视化话筒、IP网络功放）、设备名称、设备ID进行搜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集配置界面可以显示全部采集器信息，包括设备ID、设备IP、设备端口以及网络状态等信息，报警任务支持添加、编辑、删除、播放、停止等操作，任务名称、任务音量、播放模式、音源类型和音频文件可自由选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4、报警触发任务，可根据需求给0-32端口单个设置端口触发任务，同时支持自由配置触发继电器1-8个和设置报警触发后的延迟时间；</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网络监听音箱</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1、一体化壁挂式设计，集成≥2×20W数字功放、网络解码和音箱，支持外扩≥20W/8Ω无源定阻音箱；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2、支持AUX本地音频输入和本地话筒输入；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3、采用静态IP地址设计，当网络发生改变时地址不会丢失，可以保障工作稳定运行；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4、支持IP网络传输音频文件，可以本地解码CD级音质和播放高音质发烧级别的音频文件；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5、支持文字广播，可直接将文字转换为音频文件，并通过平台实现对终端的播放；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6、具有电源状态、网络状态、蓝牙状态和故障状态等多种状态指示灯，可以清晰了解音箱的工作状态；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7、支持APR、IP、UDP、TCP、ICPM和IGPM等网络协议，支持跨网段跨路由设置，支持局域网和广域网；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8、网络延迟：文件播放：&lt;50ms，实时讲话：&lt;150ms，音频位率：8Kbps-320Kbps自适应。</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网络音箱辅箱</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1、单元≥4.5"全频×1；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2、额定功率≥20W；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3、输入阻抗:8Ω；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4、灵敏度≥90dB；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5、最大声压级≥94dB；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6、频率响应:130Hz-13KHz。</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IP分区呼叫话筒</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釆用≥7英寸电容触屏显示屏设计，支持通过触屏对U盘/SD卡内文件进行本地播放和实现本地扩声，并发送到指定终端播放；配置页面可显示当前设备的配置信息，支持修改设备IP地址、子网掩码、默认网关、服务器地址、服务器端口和WEB端口等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2、具有不同的亮度级调节和一键全区报警按钮，点击时可以触发平台预设好的全区报警任务，可再次点击报警按钮关闭报警任务，也可通过触屏关闭；具有“亮度级调节、一键全区报警”认证；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3、配置≥3W监听喇叭，具有任务监听功能，可实现任意监听其他终端的实时任务；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4、报警音频/短路音频输入时，具有不少于两路短路输出可以用于触发预置语音提示和控制门禁联动输入短路信号；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5、支持≥1路标准3.5mm音频输入接口，用于接收外部音频输入，支持≥1路标准3.5mm音频输出接口，用于将终端的音频输送给外部播出设备；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6、支持DHCP,兼容路由器、交换机、网桥网关、Modem, Intelnet、2G、3G、4G、组播、单播等任意网络结构。</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消防接口单元</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1、标准机柜式设计，1U高度，高档拉丝铝合金面板，工艺考究，尽显高档气质；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2、直接接入广播系统使用，无需外接其他转换设备，信号路数随意扩展；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3、自带不少于32路信号输入及8路信号输出，可实现自动强插；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4、支持≥1路紧急话筒输入，可用于现场应急指挥或实现话筒录音功能；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5、配置≥1个RJ45网口，支持ARP、IP、UDP、TCP、ICMP、IGMP等网络协议；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6、物理按键不少于：1×录音按键、1×录音播放按键、1×本地报警按键、1×网络报警按键；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7、支持自定义报警声，可对不同地点不同场合设置不同的报警铃声。</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吸顶喇叭</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1、单元≥5.25"×1；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2、额定功率≥3W/6W；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3、最大功率≥6W；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4、灵敏度≥91dB；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5、输入电压:70V/100V；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6、频率响应:110Hz-18KHz。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7、为保证产品的质量安全和使用安全，需提供通过冲击试验、应力消除试验、稳定性和机械危险等检验项目且符合GB8898-2011《音频、视频及类似电子设备安全要求》检验依据。</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网络功放（260W）</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1、支持网络音频流的同步接收和解码，具有单向接收及主控单向呼叫功能，采用程序固化设计，不易丢失及受病毒干扰；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2、支持TCP/IP高品质的数字音频传输，可以本地解码CD级音质和播放高音质发烧级别的音频文件；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3、采用静态IP地址设计，当网络发生改变时地址不会丢失，可以保障工作稳定运行；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4、集成IP网络广播解码板和大功率模拟功率放大器，≥260W的输出功率，支持直接接入定压喇叭；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5、具有高低音调节功能和多个等级优先灵敏度调节功能，可以自由选择信号优先输入；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6、支持本地话筒和线路输入的音量调节，当无网络信号时，本地话筒可选择手动或自动的方式对本机进行寻呼；</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草地音箱</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1、单元≥6(1/2)"防水同轴×1；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2、额定功率≥30W；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3、灵敏度≥96dB；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4、输入电压70V/100V；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5、频率响应:80Hz-16KHz；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6、防护等级:IP44；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7、含安装基础。</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网络功放（500W）</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1、配置≥4.3英寸全彩色显示屏，具有不少于四个物理按键，支持上下翻页、确认和返回等功能，配合屏幕操作使用；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2、支持网络音频流的同步接收和解码，具有单向接收及主控单向呼叫功能，采用程序固化设计，不易丢失及受病毒干扰；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3、支持TCP/IP高品质的数字音频传输，可以本地解码CD级音质和播放高音质发烧级别的音频文件；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4、采用静态IP地址设计，当网络发生改变时地址不会丢失，可以保障工作稳定运行；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5、集成IP网络广播解码板和大功率模拟功率放大器，≥500W的输出功率，支持直接接入定压喇叭；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6、具有高低音调节功能和多个等级优先灵敏度调节功能，可以自由选择信号优先输入；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7、支持本地话筒和线路输入的音量调节，当无网络信号时，本地话筒可选择手动或自动的方式对本机进行寻呼；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8、支持文字广播，可直接将文字转换为音频文件，并通过平台实现对终端的播放。</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十一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机房工程</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UPS主机</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1、双变换在线式三进三出20KVA工频不间断UPS主机1台，带液晶中英文显示操作面板。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2、输入电压范围 380VAC±25%,频率范围 50/60Hz±10%；输出电压：380VAC±1%。冗余并机模式：可进行 8 台并机，按 UPS 大小自动分配负载量；并采用IGBT技术。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3、逆变器效率93%以上，输入输出功率均大于0.8。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4、带输出隔离变压器，保证负载和公用电网全隔离。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5、智能调速风扇，低噪音。旁路过载能力：150%&lt; 负载 &lt;180%,工作时间长于1分钟，负载&gt;180%,工作时间长于100ms。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6、自我诊断，纪录工作历史数据500条以上。配置双 DSP控制器，整流、逆变、充电、放电全部实现 DSP数字化控制，功率模块独立自主均流控制，无单点故障风险。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7、系统具有独立充电系统，强大的充电能力，延长电池寿命，配置电池组节数30到50可调。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8、UPS原制造厂商具备UPS电源产品研发能力，具备节能产品认证、泰尔认证。</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电池</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1、阀控式12V/100AH密封铅酸蓄电池，同组蓄电池10h率容量实验时，最大实际容量与最小实际容量差值≤5%；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2、为提高一致性，蓄电池所用的外壳应是电池制造商自产且与电池同一品牌；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3、自放电损失：完全充电的蓄电池，在25±5℃的环境中，静置28天后，其容量保持率应在95％以上。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4、应有较好的放电性能，即深度放电性能好，过放电后充电能力强，在正常工作中应无酸雾逸出，在充电过程中遇有明火，内部不应引爆，密封反应效率≥95%以上。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应能承受50kPa的正压或负压而不破裂，压力释放后壳体无残余变形。安全阀应具有滤酸和自动开启、自动关闭的功能，其开阀压力应为10kPa～49kPa，闭阀压力应为1kPa～15kPa。在使用中应无渗液、漏液、爬液和膨胀现象。极性正确，正负极性及端子有明显标志，便于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6、浮充电压值及范围：13.50V-13.80V，浮充电流值及范围: 50-100mA/200Ah；充电（恒压）电压值及范围: 14.40V，充电电流值及范围: 0.1C10-0.2C10。</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电池柜</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UPS 专用电池柜，整机经磷化喷塑，耐磨防蚀，采用 1.25mm 钢板制成；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2.可拆装式全开放式结构，安装检修方便，造型美观，曲线流畅，拆装方便。</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UPS配电柜</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定制，满足使用需求</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防雷器</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4P/40KA</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接地铜排</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30*3</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接地引线</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BVR16</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接地引线</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BVR6</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接地端子箱</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弱电桥架</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200mm*100mm</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UPS输入输出线缆</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YJV5*16</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供电线缆</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RVV-3*2.5mm</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线管</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JDG25</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全钢无边抗静电地板</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600mm*600mm*35mm</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不锈钢踢脚线</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8cm不锈钢踢脚线</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十二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综合管路系统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垂直桥架</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250*150，金属桥架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水平桥架</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200*100，金属桥架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桥架支架</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定制，满足使用需求</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防火封堵</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定制，满足使用需求</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线管</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PVC25，含开槽恢复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线管</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PVC20，含开槽恢复</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接线盒</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86型，PVC材质</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PVC线管连接件</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定制，满足使用需求</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PE50管</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国标产品，含开挖恢复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PE40管</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国标产品，含开挖恢复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SC50管</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国标产品，含开挖恢复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SC110管</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国标产品，含开挖恢复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手井</w:t>
            </w:r>
          </w:p>
        </w:tc>
        <w:tc>
          <w:tcPr>
            <w:tcW w:w="4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尺寸：600mm（长）*600（宽）*600mm（深）</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180日历天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合肥市肥东县</w:t>
            </w:r>
          </w:p>
        </w:tc>
      </w:tr>
    </w:tbl>
    <w:p>
      <w:pPr>
        <w:pStyle w:val="3"/>
        <w:spacing w:before="0" w:after="0" w:line="360" w:lineRule="auto"/>
        <w:rPr>
          <w:rFonts w:hint="eastAsia" w:ascii="黑体" w:hAnsi="黑体" w:eastAsia="黑体" w:cs="黑体"/>
          <w:b w:val="0"/>
          <w:sz w:val="28"/>
          <w:szCs w:val="28"/>
          <w:highlight w:val="none"/>
        </w:rPr>
      </w:pPr>
      <w:bookmarkStart w:id="919" w:name="_Toc501460780"/>
      <w:bookmarkStart w:id="920" w:name="_Toc28008"/>
      <w:bookmarkStart w:id="921" w:name="_Toc25604"/>
      <w:bookmarkStart w:id="922" w:name="_Toc19102"/>
    </w:p>
    <w:p>
      <w:pPr>
        <w:pStyle w:val="3"/>
        <w:spacing w:before="0" w:after="0" w:line="360" w:lineRule="auto"/>
        <w:rPr>
          <w:rFonts w:hint="eastAsia" w:ascii="黑体" w:hAnsi="黑体" w:eastAsia="黑体" w:cs="黑体"/>
          <w:b w:val="0"/>
          <w:sz w:val="28"/>
          <w:szCs w:val="28"/>
          <w:highlight w:val="none"/>
        </w:rPr>
      </w:pPr>
      <w:r>
        <w:rPr>
          <w:rFonts w:hint="eastAsia" w:ascii="黑体" w:hAnsi="黑体" w:eastAsia="黑体" w:cs="黑体"/>
          <w:b w:val="0"/>
          <w:sz w:val="28"/>
          <w:szCs w:val="28"/>
          <w:highlight w:val="none"/>
        </w:rPr>
        <w:t>三、技术性能指标</w:t>
      </w:r>
      <w:bookmarkEnd w:id="919"/>
      <w:bookmarkEnd w:id="920"/>
      <w:bookmarkEnd w:id="921"/>
      <w:bookmarkEnd w:id="922"/>
    </w:p>
    <w:p>
      <w:pPr>
        <w:spacing w:line="360" w:lineRule="auto"/>
        <w:ind w:firstLine="410" w:firstLineChars="171"/>
        <w:outlineLvl w:val="2"/>
        <w:rPr>
          <w:rFonts w:hint="eastAsia" w:hAnsi="宋体" w:cs="宋体"/>
          <w:highlight w:val="none"/>
        </w:rPr>
      </w:pPr>
      <w:r>
        <w:rPr>
          <w:rFonts w:hint="eastAsia" w:hAnsi="宋体" w:cs="宋体"/>
          <w:highlight w:val="none"/>
        </w:rPr>
        <w:t>（一）说明</w:t>
      </w:r>
    </w:p>
    <w:p>
      <w:pPr>
        <w:spacing w:line="360" w:lineRule="auto"/>
        <w:ind w:firstLine="410" w:firstLineChars="171"/>
        <w:rPr>
          <w:rFonts w:hint="eastAsia" w:hAnsi="宋体" w:cs="宋体"/>
          <w:highlight w:val="none"/>
        </w:rPr>
      </w:pPr>
      <w:r>
        <w:rPr>
          <w:rFonts w:hint="eastAsia" w:hAnsi="宋体" w:cs="宋体"/>
          <w:highlight w:val="none"/>
        </w:rPr>
        <w:t>1. 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360" w:lineRule="auto"/>
        <w:ind w:firstLine="410" w:firstLineChars="171"/>
        <w:rPr>
          <w:rFonts w:hint="eastAsia" w:hAnsi="宋体" w:cs="宋体"/>
          <w:highlight w:val="none"/>
        </w:rPr>
      </w:pPr>
      <w:r>
        <w:rPr>
          <w:rFonts w:hint="eastAsia" w:hAnsi="宋体" w:cs="宋体"/>
          <w:highlight w:val="none"/>
        </w:rPr>
        <w:t>2. 为鼓励不同品牌的充分竞争，如某设备的某技术参数或要求属于个别品牌专有，则该技术参数及要求不具有限制性，投标人可对该参数或要求的响应情况进行说明，且该说明须经评标委员会审核认可；</w:t>
      </w:r>
    </w:p>
    <w:p>
      <w:pPr>
        <w:spacing w:line="360" w:lineRule="auto"/>
        <w:ind w:firstLine="410" w:firstLineChars="171"/>
        <w:rPr>
          <w:rFonts w:hint="eastAsia" w:hAnsi="宋体" w:cs="宋体"/>
          <w:highlight w:val="none"/>
        </w:rPr>
      </w:pPr>
      <w:r>
        <w:rPr>
          <w:rFonts w:hint="eastAsia" w:hAnsi="宋体" w:cs="宋体"/>
          <w:highlight w:val="none"/>
        </w:rPr>
        <w:t>3. 如供货要求中提供了推荐品牌（或型号）、参考品牌（或型号）等，为有助于投标人选择投标产品，上述品牌（或型号）仅供参考，并无限制性。投标人可以选择性能不低于推荐（或参考）的品牌（或型号）的其他品牌产品，但投标时应当提供有关技术证明资料，未提供的可能导致投标无效。</w:t>
      </w:r>
    </w:p>
    <w:p>
      <w:pPr>
        <w:spacing w:line="360" w:lineRule="auto"/>
        <w:ind w:firstLine="410" w:firstLineChars="171"/>
        <w:rPr>
          <w:rFonts w:hint="eastAsia" w:hAnsi="宋体" w:cs="宋体"/>
          <w:highlight w:val="none"/>
        </w:rPr>
      </w:pPr>
      <w:r>
        <w:rPr>
          <w:rFonts w:hint="eastAsia" w:hAnsi="宋体" w:cs="宋体"/>
          <w:highlight w:val="none"/>
        </w:rPr>
        <w:t>4. 投标人应自行踏勘本项目实施现场，核对设备安装现场的土建尺寸等可能影响后期安装的全部因素，确保所投设备满足现场实际安装要求。</w:t>
      </w:r>
    </w:p>
    <w:p>
      <w:pPr>
        <w:spacing w:line="360" w:lineRule="auto"/>
        <w:ind w:firstLine="410" w:firstLineChars="171"/>
        <w:rPr>
          <w:rFonts w:hint="eastAsia" w:hAnsi="宋体" w:cs="宋体"/>
          <w:highlight w:val="none"/>
        </w:rPr>
      </w:pPr>
      <w:r>
        <w:rPr>
          <w:rFonts w:hint="eastAsia" w:hAnsi="宋体" w:cs="宋体"/>
          <w:highlight w:val="none"/>
        </w:rPr>
        <w:t>5. 招标人保留在签订合同之前对本技术规格及要求进行补充和修改的权利，投标人应予以配合。</w:t>
      </w:r>
    </w:p>
    <w:p>
      <w:pPr>
        <w:spacing w:line="360" w:lineRule="auto"/>
        <w:ind w:firstLine="410" w:firstLineChars="171"/>
        <w:outlineLvl w:val="2"/>
        <w:rPr>
          <w:rFonts w:hint="eastAsia" w:hAnsi="宋体" w:cs="宋体"/>
          <w:highlight w:val="none"/>
        </w:rPr>
      </w:pPr>
      <w:r>
        <w:rPr>
          <w:rFonts w:hint="eastAsia" w:hAnsi="宋体" w:cs="宋体"/>
          <w:highlight w:val="none"/>
        </w:rPr>
        <w:t>（二）总体要求</w:t>
      </w:r>
    </w:p>
    <w:p>
      <w:pPr>
        <w:spacing w:line="360" w:lineRule="auto"/>
        <w:ind w:firstLine="480" w:firstLineChars="200"/>
        <w:rPr>
          <w:rFonts w:ascii="宋体"/>
          <w:kern w:val="0"/>
          <w:sz w:val="24"/>
          <w:szCs w:val="20"/>
          <w:highlight w:val="none"/>
        </w:rPr>
      </w:pPr>
      <w:bookmarkStart w:id="923" w:name="_Toc25566"/>
      <w:bookmarkStart w:id="924" w:name="_Toc501460781"/>
      <w:bookmarkStart w:id="925" w:name="_Toc12504"/>
      <w:bookmarkStart w:id="926" w:name="_Toc3254"/>
      <w:r>
        <w:rPr>
          <w:rFonts w:hint="eastAsia" w:ascii="宋体"/>
          <w:kern w:val="0"/>
          <w:sz w:val="24"/>
          <w:szCs w:val="20"/>
          <w:highlight w:val="none"/>
        </w:rPr>
        <w:t>各系统所使用设备和材料必须技术先进，性能优良，在施工中所采用的任何设备及产品的技术资料、使用说明书、出厂质量检验报告、产品合格证、仪表工具、备品备件等必须齐全完好，在满足招标要求的前提下尽可能选用先进性、稳定性产品。</w:t>
      </w:r>
    </w:p>
    <w:p>
      <w:pPr>
        <w:spacing w:line="360" w:lineRule="auto"/>
        <w:ind w:firstLine="480" w:firstLineChars="200"/>
        <w:rPr>
          <w:rFonts w:ascii="宋体"/>
          <w:kern w:val="0"/>
          <w:sz w:val="24"/>
          <w:szCs w:val="20"/>
          <w:highlight w:val="none"/>
        </w:rPr>
      </w:pPr>
      <w:r>
        <w:rPr>
          <w:rFonts w:hint="eastAsia" w:ascii="宋体"/>
          <w:kern w:val="0"/>
          <w:sz w:val="24"/>
          <w:szCs w:val="20"/>
          <w:highlight w:val="none"/>
        </w:rPr>
        <w:t>投标人应充分的考虑本项目的弱电智能化专业工程安装及调试(含单机调试和联动调试)、试运行、工程验收、系统集成、相关软件的免费升级、与各机电设备的接口对接等工作，并在投标中给予充分的考虑。</w:t>
      </w:r>
    </w:p>
    <w:p>
      <w:pPr>
        <w:spacing w:line="360" w:lineRule="auto"/>
        <w:ind w:firstLine="480" w:firstLineChars="200"/>
        <w:rPr>
          <w:rFonts w:ascii="宋体"/>
          <w:kern w:val="0"/>
          <w:sz w:val="24"/>
          <w:szCs w:val="20"/>
          <w:highlight w:val="none"/>
        </w:rPr>
      </w:pPr>
      <w:r>
        <w:rPr>
          <w:rFonts w:hint="eastAsia" w:ascii="宋体"/>
          <w:kern w:val="0"/>
          <w:sz w:val="24"/>
          <w:szCs w:val="20"/>
          <w:highlight w:val="none"/>
        </w:rPr>
        <w:t>投标人中标后，在进场前须与业主单位对投标方案进行技术交流，并对方案进行确认。应及时与运营商、安全防范主管部门、无线电管理部门进行及时沟通，并负责相关系统的深化设计、工作界面划分、图纸报审等工作，相关审查部门审核通过后方可施工。</w:t>
      </w:r>
    </w:p>
    <w:p>
      <w:pPr>
        <w:pStyle w:val="3"/>
        <w:spacing w:before="0" w:after="0" w:line="360" w:lineRule="auto"/>
        <w:ind w:firstLine="480" w:firstLineChars="200"/>
        <w:rPr>
          <w:rFonts w:hint="eastAsia" w:ascii="宋体" w:hAnsi="Times New Roman" w:eastAsia="宋体" w:cs="Times New Roman"/>
          <w:b w:val="0"/>
          <w:bCs w:val="0"/>
          <w:kern w:val="0"/>
          <w:sz w:val="24"/>
          <w:szCs w:val="20"/>
          <w:highlight w:val="none"/>
          <w:lang w:val="en-US" w:eastAsia="zh-CN" w:bidi="ar-SA"/>
        </w:rPr>
      </w:pPr>
      <w:r>
        <w:rPr>
          <w:rFonts w:hint="eastAsia" w:ascii="宋体" w:hAnsi="Times New Roman" w:eastAsia="宋体" w:cs="Times New Roman"/>
          <w:b w:val="0"/>
          <w:bCs w:val="0"/>
          <w:kern w:val="0"/>
          <w:sz w:val="24"/>
          <w:szCs w:val="20"/>
          <w:highlight w:val="none"/>
          <w:lang w:val="en-US" w:eastAsia="zh-CN" w:bidi="ar-SA"/>
        </w:rPr>
        <w:t>投标人须保证本项目所提供的软件均为正版软件，且所提供的软件、中间件及开发接口的版权、著作权无争议，如涉及某些系统软件注册权争议等问题，将完全由本项目投标人在不影响项目正常使用的情况下解决，业主和使用单位无任何义务和责任解决此争议，智能化各系统的软件需免费定期升级。</w:t>
      </w:r>
    </w:p>
    <w:p>
      <w:pPr>
        <w:pStyle w:val="3"/>
        <w:spacing w:before="0" w:after="0" w:line="360" w:lineRule="auto"/>
        <w:rPr>
          <w:rFonts w:hint="eastAsia" w:ascii="黑体" w:hAnsi="黑体" w:eastAsia="黑体" w:cs="黑体"/>
          <w:b w:val="0"/>
          <w:sz w:val="28"/>
          <w:szCs w:val="28"/>
          <w:highlight w:val="none"/>
          <w:lang w:eastAsia="zh-CN"/>
        </w:rPr>
      </w:pPr>
      <w:r>
        <w:rPr>
          <w:rFonts w:hint="eastAsia" w:ascii="黑体" w:hAnsi="黑体" w:eastAsia="黑体" w:cs="黑体"/>
          <w:b w:val="0"/>
          <w:sz w:val="28"/>
          <w:szCs w:val="28"/>
          <w:highlight w:val="none"/>
        </w:rPr>
        <w:t>四、检验考核要求</w:t>
      </w:r>
      <w:bookmarkEnd w:id="923"/>
      <w:bookmarkEnd w:id="924"/>
      <w:bookmarkEnd w:id="925"/>
      <w:bookmarkEnd w:id="926"/>
    </w:p>
    <w:p>
      <w:pPr>
        <w:spacing w:line="360" w:lineRule="auto"/>
        <w:ind w:firstLine="528" w:firstLineChars="220"/>
        <w:rPr>
          <w:rFonts w:hint="default" w:hAnsi="宋体" w:eastAsia="宋体" w:cs="宋体"/>
          <w:highlight w:val="none"/>
          <w:lang w:val="en-US" w:eastAsia="zh-CN"/>
        </w:rPr>
      </w:pPr>
      <w:r>
        <w:rPr>
          <w:rFonts w:hint="eastAsia" w:hAnsi="宋体" w:cs="宋体"/>
          <w:highlight w:val="none"/>
        </w:rPr>
        <w:t>符合设备需求一览表要求</w:t>
      </w:r>
      <w:r>
        <w:rPr>
          <w:rFonts w:hint="eastAsia" w:hAnsi="宋体" w:cs="宋体"/>
          <w:highlight w:val="none"/>
          <w:lang w:eastAsia="zh-CN"/>
        </w:rPr>
        <w:t>，</w:t>
      </w:r>
      <w:r>
        <w:rPr>
          <w:rFonts w:hint="eastAsia" w:hAnsi="宋体" w:cs="宋体"/>
          <w:highlight w:val="none"/>
          <w:lang w:val="en-US" w:eastAsia="zh-CN"/>
        </w:rPr>
        <w:t>中标单位需确保通过</w:t>
      </w:r>
      <w:r>
        <w:rPr>
          <w:rFonts w:hint="eastAsia" w:ascii="宋体" w:hAnsi="宋体" w:eastAsia="宋体" w:cs="宋体"/>
          <w:i w:val="0"/>
          <w:iCs w:val="0"/>
          <w:color w:val="000000"/>
          <w:kern w:val="0"/>
          <w:sz w:val="24"/>
          <w:szCs w:val="24"/>
          <w:highlight w:val="none"/>
          <w:u w:val="none"/>
          <w:lang w:val="en-US" w:eastAsia="zh-CN" w:bidi="ar"/>
        </w:rPr>
        <w:t>二级等保第三方测评</w:t>
      </w:r>
      <w:r>
        <w:rPr>
          <w:rFonts w:hint="eastAsia" w:hAnsi="宋体" w:cs="宋体"/>
          <w:i w:val="0"/>
          <w:iCs w:val="0"/>
          <w:color w:val="000000"/>
          <w:kern w:val="0"/>
          <w:sz w:val="24"/>
          <w:szCs w:val="24"/>
          <w:highlight w:val="none"/>
          <w:u w:val="none"/>
          <w:lang w:val="en-US" w:eastAsia="zh-CN" w:bidi="ar"/>
        </w:rPr>
        <w:t>。</w:t>
      </w:r>
    </w:p>
    <w:p>
      <w:pPr>
        <w:pStyle w:val="3"/>
        <w:spacing w:before="0" w:after="0" w:line="360" w:lineRule="auto"/>
        <w:rPr>
          <w:rFonts w:hint="eastAsia" w:ascii="黑体" w:hAnsi="黑体" w:eastAsia="黑体" w:cs="黑体"/>
          <w:b w:val="0"/>
          <w:sz w:val="28"/>
          <w:szCs w:val="28"/>
          <w:highlight w:val="none"/>
        </w:rPr>
      </w:pPr>
      <w:bookmarkStart w:id="927" w:name="_Toc20799"/>
      <w:bookmarkStart w:id="928" w:name="_Toc18695"/>
      <w:bookmarkStart w:id="929" w:name="_Toc5407"/>
      <w:bookmarkStart w:id="930" w:name="_Toc501460782"/>
      <w:r>
        <w:rPr>
          <w:rFonts w:hint="eastAsia" w:ascii="黑体" w:hAnsi="黑体" w:eastAsia="黑体" w:cs="黑体"/>
          <w:b w:val="0"/>
          <w:sz w:val="28"/>
          <w:szCs w:val="28"/>
          <w:highlight w:val="none"/>
        </w:rPr>
        <w:t>五、调试要求</w:t>
      </w:r>
      <w:bookmarkEnd w:id="927"/>
      <w:bookmarkEnd w:id="928"/>
      <w:bookmarkEnd w:id="929"/>
    </w:p>
    <w:p>
      <w:pPr>
        <w:spacing w:line="360" w:lineRule="auto"/>
        <w:ind w:firstLine="528" w:firstLineChars="220"/>
        <w:rPr>
          <w:rFonts w:hint="eastAsia" w:hAnsi="宋体" w:cs="宋体"/>
          <w:highlight w:val="none"/>
        </w:rPr>
      </w:pPr>
      <w:r>
        <w:rPr>
          <w:rFonts w:hint="eastAsia" w:hAnsi="宋体" w:cs="宋体"/>
          <w:highlight w:val="none"/>
        </w:rPr>
        <w:t>设备调试运行正常</w:t>
      </w:r>
    </w:p>
    <w:p>
      <w:pPr>
        <w:pStyle w:val="3"/>
        <w:spacing w:before="0" w:after="0" w:line="360" w:lineRule="auto"/>
        <w:rPr>
          <w:rFonts w:hint="eastAsia" w:ascii="黑体" w:hAnsi="黑体" w:eastAsia="黑体" w:cs="黑体"/>
          <w:b w:val="0"/>
          <w:sz w:val="28"/>
          <w:szCs w:val="28"/>
          <w:highlight w:val="none"/>
          <w:lang w:eastAsia="zh-CN"/>
        </w:rPr>
      </w:pPr>
      <w:bookmarkStart w:id="931" w:name="_Toc21345"/>
      <w:bookmarkStart w:id="932" w:name="_Toc6738"/>
      <w:bookmarkStart w:id="933" w:name="_Toc24378"/>
      <w:r>
        <w:rPr>
          <w:rFonts w:hint="eastAsia" w:ascii="黑体" w:hAnsi="黑体" w:eastAsia="黑体" w:cs="黑体"/>
          <w:b w:val="0"/>
          <w:sz w:val="28"/>
          <w:szCs w:val="28"/>
          <w:highlight w:val="none"/>
        </w:rPr>
        <w:t>六、</w:t>
      </w:r>
      <w:bookmarkEnd w:id="930"/>
      <w:bookmarkEnd w:id="931"/>
      <w:bookmarkEnd w:id="932"/>
      <w:r>
        <w:rPr>
          <w:rFonts w:hint="eastAsia" w:ascii="黑体" w:hAnsi="黑体" w:eastAsia="黑体" w:cs="黑体"/>
          <w:b w:val="0"/>
          <w:sz w:val="28"/>
          <w:szCs w:val="28"/>
          <w:highlight w:val="none"/>
        </w:rPr>
        <w:t>投标货物及技术服务和质保期服务要求</w:t>
      </w:r>
      <w:bookmarkEnd w:id="933"/>
    </w:p>
    <w:p>
      <w:pPr>
        <w:spacing w:line="360" w:lineRule="auto"/>
        <w:ind w:firstLine="528" w:firstLineChars="220"/>
        <w:rPr>
          <w:rFonts w:hint="eastAsia"/>
          <w:highlight w:val="none"/>
        </w:rPr>
      </w:pPr>
      <w:r>
        <w:rPr>
          <w:rFonts w:hint="eastAsia" w:hAnsi="宋体" w:cs="宋体"/>
          <w:highlight w:val="none"/>
        </w:rPr>
        <w:t>免费提供操作和维修培训；合同货物整体质量保证期：24个月。</w:t>
      </w:r>
    </w:p>
    <w:p>
      <w:pPr>
        <w:spacing w:line="360" w:lineRule="auto"/>
        <w:rPr>
          <w:rFonts w:ascii="黑体" w:hAnsi="黑体" w:eastAsia="黑体" w:cs="黑体"/>
          <w:bCs/>
          <w:szCs w:val="28"/>
          <w:highlight w:val="none"/>
        </w:rPr>
      </w:pPr>
      <w:bookmarkStart w:id="934" w:name="_Toc13628"/>
      <w:bookmarkStart w:id="935" w:name="_Toc16625"/>
      <w:r>
        <w:rPr>
          <w:rFonts w:hint="eastAsia" w:ascii="黑体" w:hAnsi="黑体" w:eastAsia="黑体" w:cs="黑体"/>
          <w:b/>
          <w:sz w:val="28"/>
          <w:szCs w:val="28"/>
          <w:highlight w:val="none"/>
        </w:rPr>
        <w:t>七、其他要求</w:t>
      </w:r>
      <w:bookmarkEnd w:id="934"/>
      <w:bookmarkEnd w:id="935"/>
    </w:p>
    <w:p>
      <w:pPr>
        <w:pStyle w:val="3"/>
        <w:numPr>
          <w:ilvl w:val="1"/>
          <w:numId w:val="0"/>
        </w:numPr>
        <w:bidi w:val="0"/>
        <w:ind w:left="1" w:leftChars="0" w:firstLine="560" w:firstLineChars="200"/>
        <w:rPr>
          <w:rFonts w:hint="eastAsia" w:ascii="黑体" w:hAnsi="黑体" w:eastAsia="黑体" w:cs="黑体"/>
          <w:b w:val="0"/>
          <w:bCs/>
          <w:kern w:val="2"/>
          <w:sz w:val="28"/>
          <w:szCs w:val="28"/>
          <w:highlight w:val="none"/>
          <w:lang w:val="en-US" w:eastAsia="zh-CN" w:bidi="ar-SA"/>
        </w:rPr>
      </w:pPr>
      <w:bookmarkStart w:id="936" w:name="_Toc26585"/>
      <w:r>
        <w:rPr>
          <w:rFonts w:hint="eastAsia" w:ascii="黑体" w:hAnsi="黑体" w:cs="黑体"/>
          <w:b w:val="0"/>
          <w:bCs/>
          <w:kern w:val="2"/>
          <w:sz w:val="28"/>
          <w:szCs w:val="28"/>
          <w:highlight w:val="none"/>
          <w:lang w:val="en-US" w:eastAsia="zh-CN" w:bidi="ar-SA"/>
        </w:rPr>
        <w:t>（一）</w:t>
      </w:r>
      <w:r>
        <w:rPr>
          <w:rFonts w:hint="eastAsia" w:ascii="黑体" w:hAnsi="黑体" w:eastAsia="黑体" w:cs="黑体"/>
          <w:b w:val="0"/>
          <w:bCs/>
          <w:kern w:val="2"/>
          <w:sz w:val="28"/>
          <w:szCs w:val="28"/>
          <w:highlight w:val="none"/>
          <w:lang w:val="en-US" w:eastAsia="zh-CN" w:bidi="ar-SA"/>
        </w:rPr>
        <w:t>业务功能、业务流程和业务量</w:t>
      </w:r>
      <w:bookmarkEnd w:id="936"/>
    </w:p>
    <w:p>
      <w:pPr>
        <w:spacing w:line="360" w:lineRule="auto"/>
        <w:ind w:firstLine="480" w:firstLineChars="200"/>
        <w:rPr>
          <w:rFonts w:hint="default"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我院现有科室：外科、内科、儿科、影像科、骨科、妇产（保）科、中医全科等，其中外科主要提供各种外科疾病的诊断和治疗；内科主要提供各种内科疾病的诊断和治疗；儿科主要提供小儿内科各种常见病、多发病的诊治、儿童生长发育相关疾病防治和咨询、保健；影像科主要通过彩超等设备提供各种辅助检查，用来帮助诊断疾病；骨科主要提供骨科常见病的诊断和治疗；妇产（保）科主要提供新生儿接生、常见妇科疾病诊断、预防、治疗以及妇女保健等服务；中医全科主要提供中药调节,针灸,按摩,理疗,刮痧,拔罐,艾灸,火针,刺络放血,电针等医疗服务。</w:t>
      </w:r>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我院现有业务系统有：钉钉考勤打卡系统（为我院职工考勤及院内工作沟通渠道，日均访问量约500余次，系统为在阿里云服务器云端部署的saas版本系统）、儿保预约登记系统（日均访问量约100余次，本地部署）、计免预约登记系统（日均访问量约100余次，本地部署）、</w:t>
      </w:r>
      <w:r>
        <w:rPr>
          <w:rFonts w:hint="eastAsia" w:ascii="宋体" w:hAnsi="Times New Roman" w:eastAsia="宋体" w:cs="Times New Roman"/>
          <w:kern w:val="0"/>
          <w:sz w:val="24"/>
          <w:szCs w:val="20"/>
          <w:highlight w:val="none"/>
          <w:lang w:eastAsia="zh-CN"/>
        </w:rPr>
        <w:t>HIS系统（肥东县卫建委统一采购，部署在</w:t>
      </w:r>
      <w:r>
        <w:rPr>
          <w:rFonts w:hint="eastAsia" w:ascii="宋体" w:hAnsi="Times New Roman" w:eastAsia="宋体" w:cs="Times New Roman"/>
          <w:kern w:val="0"/>
          <w:sz w:val="24"/>
          <w:szCs w:val="20"/>
          <w:highlight w:val="none"/>
          <w:lang w:val="en-US" w:eastAsia="zh-CN"/>
        </w:rPr>
        <w:t>县</w:t>
      </w:r>
      <w:r>
        <w:rPr>
          <w:rFonts w:hint="eastAsia" w:ascii="宋体" w:hAnsi="Times New Roman" w:eastAsia="宋体" w:cs="Times New Roman"/>
          <w:kern w:val="0"/>
          <w:sz w:val="24"/>
          <w:szCs w:val="20"/>
          <w:highlight w:val="none"/>
          <w:lang w:eastAsia="zh-CN"/>
        </w:rPr>
        <w:t>卫建委机房）、</w:t>
      </w:r>
      <w:r>
        <w:rPr>
          <w:rFonts w:hint="eastAsia" w:ascii="宋体" w:hAnsi="Times New Roman" w:eastAsia="宋体" w:cs="Times New Roman"/>
          <w:kern w:val="0"/>
          <w:sz w:val="24"/>
          <w:szCs w:val="20"/>
          <w:highlight w:val="none"/>
          <w:lang w:val="en-US" w:eastAsia="zh-CN"/>
        </w:rPr>
        <w:t>门诊排队叫号系统、</w:t>
      </w:r>
      <w:r>
        <w:rPr>
          <w:rFonts w:hint="eastAsia" w:ascii="宋体" w:hAnsi="Times New Roman" w:eastAsia="宋体" w:cs="Times New Roman"/>
          <w:kern w:val="0"/>
          <w:sz w:val="24"/>
          <w:szCs w:val="20"/>
          <w:highlight w:val="none"/>
        </w:rPr>
        <w:t>基础百兆光纤</w:t>
      </w:r>
      <w:r>
        <w:rPr>
          <w:rFonts w:hint="eastAsia" w:ascii="宋体" w:hAnsi="Times New Roman" w:eastAsia="宋体" w:cs="Times New Roman"/>
          <w:kern w:val="0"/>
          <w:sz w:val="24"/>
          <w:szCs w:val="20"/>
          <w:highlight w:val="none"/>
          <w:lang w:val="en-US" w:eastAsia="zh-CN"/>
        </w:rPr>
        <w:t>网络</w:t>
      </w:r>
      <w:r>
        <w:rPr>
          <w:rFonts w:hint="eastAsia" w:ascii="宋体" w:hAnsi="Times New Roman" w:eastAsia="宋体" w:cs="Times New Roman"/>
          <w:kern w:val="0"/>
          <w:sz w:val="24"/>
          <w:szCs w:val="20"/>
          <w:highlight w:val="none"/>
        </w:rPr>
        <w:t>接入，</w:t>
      </w:r>
      <w:r>
        <w:rPr>
          <w:rFonts w:hint="eastAsia" w:ascii="宋体" w:hAnsi="Times New Roman" w:eastAsia="宋体" w:cs="Times New Roman"/>
          <w:kern w:val="0"/>
          <w:sz w:val="24"/>
          <w:szCs w:val="20"/>
          <w:highlight w:val="none"/>
          <w:lang w:val="en-US" w:eastAsia="zh-CN"/>
        </w:rPr>
        <w:t>办公</w:t>
      </w:r>
      <w:r>
        <w:rPr>
          <w:rFonts w:hint="eastAsia" w:ascii="宋体" w:hAnsi="Times New Roman" w:eastAsia="宋体" w:cs="Times New Roman"/>
          <w:kern w:val="0"/>
          <w:sz w:val="24"/>
          <w:szCs w:val="20"/>
          <w:highlight w:val="none"/>
        </w:rPr>
        <w:t>网络布及全</w:t>
      </w:r>
      <w:r>
        <w:rPr>
          <w:rFonts w:hint="eastAsia" w:ascii="宋体" w:hAnsi="Times New Roman" w:eastAsia="宋体" w:cs="Times New Roman"/>
          <w:kern w:val="0"/>
          <w:sz w:val="24"/>
          <w:szCs w:val="20"/>
          <w:highlight w:val="none"/>
          <w:lang w:val="en-US" w:eastAsia="zh-CN"/>
        </w:rPr>
        <w:t>院</w:t>
      </w:r>
      <w:r>
        <w:rPr>
          <w:rFonts w:hint="eastAsia" w:ascii="宋体" w:hAnsi="Times New Roman" w:eastAsia="宋体" w:cs="Times New Roman"/>
          <w:kern w:val="0"/>
          <w:sz w:val="24"/>
          <w:szCs w:val="20"/>
          <w:highlight w:val="none"/>
        </w:rPr>
        <w:t>主要场所</w:t>
      </w:r>
      <w:r>
        <w:rPr>
          <w:rFonts w:hint="eastAsia" w:ascii="宋体" w:hAnsi="Times New Roman" w:eastAsia="宋体" w:cs="Times New Roman"/>
          <w:kern w:val="0"/>
          <w:sz w:val="24"/>
          <w:szCs w:val="20"/>
          <w:highlight w:val="none"/>
          <w:lang w:eastAsia="zh-CN"/>
        </w:rPr>
        <w:t>；</w:t>
      </w:r>
      <w:r>
        <w:rPr>
          <w:rFonts w:hint="eastAsia" w:ascii="宋体" w:hAnsi="Times New Roman" w:eastAsia="宋体" w:cs="Times New Roman"/>
          <w:kern w:val="0"/>
          <w:sz w:val="24"/>
          <w:szCs w:val="20"/>
          <w:highlight w:val="none"/>
        </w:rPr>
        <w:t>有</w:t>
      </w:r>
      <w:r>
        <w:rPr>
          <w:rFonts w:hint="eastAsia" w:ascii="宋体" w:hAnsi="Times New Roman" w:eastAsia="宋体" w:cs="Times New Roman"/>
          <w:kern w:val="0"/>
          <w:sz w:val="24"/>
          <w:szCs w:val="20"/>
          <w:highlight w:val="none"/>
          <w:lang w:val="en-US" w:eastAsia="zh-CN"/>
        </w:rPr>
        <w:t>视频</w:t>
      </w:r>
      <w:r>
        <w:rPr>
          <w:rFonts w:hint="eastAsia" w:ascii="宋体" w:hAnsi="Times New Roman" w:eastAsia="宋体" w:cs="Times New Roman"/>
          <w:kern w:val="0"/>
          <w:sz w:val="24"/>
          <w:szCs w:val="20"/>
          <w:highlight w:val="none"/>
        </w:rPr>
        <w:t>监控</w:t>
      </w:r>
      <w:r>
        <w:rPr>
          <w:rFonts w:hint="eastAsia" w:ascii="宋体" w:hAnsi="Times New Roman" w:eastAsia="宋体" w:cs="Times New Roman"/>
          <w:kern w:val="0"/>
          <w:sz w:val="24"/>
          <w:szCs w:val="20"/>
          <w:highlight w:val="none"/>
          <w:lang w:eastAsia="zh-CN"/>
        </w:rPr>
        <w:t>、</w:t>
      </w:r>
      <w:r>
        <w:rPr>
          <w:rFonts w:hint="eastAsia" w:ascii="宋体" w:hAnsi="Times New Roman" w:eastAsia="宋体" w:cs="Times New Roman"/>
          <w:kern w:val="0"/>
          <w:sz w:val="24"/>
          <w:szCs w:val="20"/>
          <w:highlight w:val="none"/>
          <w:lang w:val="en-US" w:eastAsia="zh-CN"/>
        </w:rPr>
        <w:t>停车管理系统</w:t>
      </w:r>
      <w:r>
        <w:rPr>
          <w:rFonts w:hint="eastAsia" w:ascii="宋体" w:hAnsi="Times New Roman" w:eastAsia="宋体" w:cs="Times New Roman"/>
          <w:kern w:val="0"/>
          <w:sz w:val="24"/>
          <w:szCs w:val="20"/>
          <w:highlight w:val="none"/>
        </w:rPr>
        <w:t>等相</w:t>
      </w:r>
      <w:r>
        <w:rPr>
          <w:rFonts w:hint="eastAsia" w:ascii="宋体" w:hAnsi="Times New Roman" w:eastAsia="宋体" w:cs="Times New Roman"/>
          <w:kern w:val="0"/>
          <w:sz w:val="24"/>
          <w:szCs w:val="20"/>
          <w:highlight w:val="none"/>
          <w:lang w:val="en-US" w:eastAsia="zh-CN"/>
        </w:rPr>
        <w:t>对独立的应用子系统均建成时间较早，且已不能正常运行，系统间没有数据共享和交流。</w:t>
      </w:r>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纵观我院现有业务系统，结合当前技术发展趋势，显然已不能满足新建院区建设及日后运营管理需求，为贯彻并逐步实现</w:t>
      </w:r>
      <w:r>
        <w:rPr>
          <w:rFonts w:hint="eastAsia" w:ascii="宋体" w:hAnsi="Times New Roman" w:eastAsia="宋体" w:cs="Times New Roman"/>
          <w:kern w:val="0"/>
          <w:sz w:val="24"/>
          <w:szCs w:val="20"/>
          <w:highlight w:val="none"/>
        </w:rPr>
        <w:t>《安徽省人民政府办公厅关于促进“互联网+医疗健康”发展的实施意见》</w:t>
      </w:r>
      <w:r>
        <w:rPr>
          <w:rFonts w:hint="eastAsia" w:ascii="宋体" w:hAnsi="Times New Roman" w:eastAsia="宋体" w:cs="Times New Roman"/>
          <w:kern w:val="0"/>
          <w:sz w:val="24"/>
          <w:szCs w:val="20"/>
          <w:highlight w:val="none"/>
          <w:lang w:eastAsia="zh-CN"/>
        </w:rPr>
        <w:t>：</w:t>
      </w:r>
      <w:r>
        <w:rPr>
          <w:rFonts w:hint="eastAsia" w:ascii="宋体" w:hAnsi="Times New Roman" w:eastAsia="宋体" w:cs="Times New Roman"/>
          <w:kern w:val="0"/>
          <w:sz w:val="24"/>
          <w:szCs w:val="20"/>
          <w:highlight w:val="none"/>
        </w:rPr>
        <w:t>2.二级以上医疗机构普遍提供分时段预约诊疗、智能导医分诊、候诊提醒、检验检查结果查询、诊间结算、移动支付等线上服务</w:t>
      </w:r>
      <w:r>
        <w:rPr>
          <w:rFonts w:hint="eastAsia" w:ascii="宋体" w:hAnsi="Times New Roman" w:eastAsia="宋体" w:cs="Times New Roman"/>
          <w:kern w:val="0"/>
          <w:sz w:val="24"/>
          <w:szCs w:val="20"/>
          <w:highlight w:val="none"/>
          <w:lang w:eastAsia="zh-CN"/>
        </w:rPr>
        <w:t>；</w:t>
      </w:r>
      <w:r>
        <w:rPr>
          <w:rFonts w:hint="eastAsia" w:ascii="宋体" w:hAnsi="Times New Roman" w:eastAsia="宋体" w:cs="Times New Roman"/>
          <w:kern w:val="0"/>
          <w:sz w:val="24"/>
          <w:szCs w:val="20"/>
          <w:highlight w:val="none"/>
        </w:rPr>
        <w:t>6.二级以上医院全部实现与安徽医疗便民平台对接，平台实现检验检查结果推送、线上支付、健康咨询、健康科普知识教育等功能。</w:t>
      </w:r>
      <w:r>
        <w:rPr>
          <w:rFonts w:hint="eastAsia" w:ascii="宋体" w:hAnsi="Times New Roman" w:eastAsia="宋体" w:cs="Times New Roman"/>
          <w:kern w:val="0"/>
          <w:sz w:val="24"/>
          <w:szCs w:val="20"/>
          <w:highlight w:val="none"/>
          <w:lang w:val="en-US" w:eastAsia="zh-CN"/>
        </w:rPr>
        <w:t>经我院深入调研研究后认为，我院新建院区在信息化基础（智能化工程）建设参照《智能建筑设计标准》医疗建筑一级医院标准建设，主要包含：</w:t>
      </w:r>
    </w:p>
    <w:p>
      <w:pPr>
        <w:spacing w:line="360" w:lineRule="auto"/>
        <w:ind w:firstLine="480" w:firstLineChars="200"/>
        <w:rPr>
          <w:rFonts w:hint="default"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1、信息基础设施（</w:t>
      </w:r>
      <w:r>
        <w:rPr>
          <w:rFonts w:hint="eastAsia" w:ascii="宋体" w:hAnsi="Times New Roman" w:eastAsia="宋体" w:cs="Times New Roman"/>
          <w:kern w:val="0"/>
          <w:sz w:val="24"/>
          <w:szCs w:val="20"/>
          <w:highlight w:val="none"/>
        </w:rPr>
        <w:t>综合布线系统</w:t>
      </w:r>
      <w:r>
        <w:rPr>
          <w:rFonts w:hint="eastAsia" w:ascii="宋体" w:hAnsi="Times New Roman" w:eastAsia="宋体" w:cs="Times New Roman"/>
          <w:kern w:val="0"/>
          <w:sz w:val="24"/>
          <w:szCs w:val="20"/>
          <w:highlight w:val="none"/>
          <w:lang w:eastAsia="zh-CN"/>
        </w:rPr>
        <w:t>、综合管路系统、计算机网络系统、机房工程）</w:t>
      </w:r>
      <w:r>
        <w:rPr>
          <w:rFonts w:hint="eastAsia" w:ascii="宋体" w:hAnsi="Times New Roman" w:eastAsia="宋体" w:cs="Times New Roman"/>
          <w:kern w:val="0"/>
          <w:sz w:val="24"/>
          <w:szCs w:val="20"/>
          <w:highlight w:val="none"/>
          <w:lang w:val="en-US" w:eastAsia="zh-CN"/>
        </w:rPr>
        <w:t>不仅要满足当前业务使用需求，还应在此基础上做好适当冗余，为今后医院开展智慧医院、区域卫生平台对接、以及家庭健康平台建设做好充分准备；</w:t>
      </w:r>
    </w:p>
    <w:p>
      <w:pPr>
        <w:spacing w:line="360" w:lineRule="auto"/>
        <w:ind w:firstLine="480" w:firstLineChars="200"/>
        <w:rPr>
          <w:rFonts w:hint="default"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2、综合安保设施（视频监控系统、门禁管理系统、停车场管理系统）应注重加强重要部位的监控防范，通过人防、技防、物防三者有效结合，创建新建院区良好的就医环境；</w:t>
      </w:r>
    </w:p>
    <w:p>
      <w:pPr>
        <w:spacing w:line="360" w:lineRule="auto"/>
        <w:ind w:firstLine="480" w:firstLineChars="200"/>
        <w:rPr>
          <w:rFonts w:hint="default"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3、医技配套设施（护理呼叫系统、排队叫号系统）的建设应遵循“以患者为中心”，确保医疗安全，提高护理质量，规范护理行为，降低医患矛盾几率，为医护人员的日常工作提供便利。我院新院区设有体检中心1处、住院病房60间共计120张床位，对日后我院在日常接诊及护理病患的服务和人性化程度也有了新的要求。</w:t>
      </w:r>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4、信息发布与显示设施（信息发布系统、公共广播系统、多媒体会议系统）的建设应以加强医患沟通、完善沟通方式、改进沟通方式、注重沟通效果为前提，我院目前日均接诊量约为300人次，如何让患者在就诊过程中做到透明药价、规范服务、提升医院形象均需要有效的沟通媒介。</w:t>
      </w:r>
    </w:p>
    <w:p>
      <w:pPr>
        <w:bidi w:val="0"/>
        <w:rPr>
          <w:rFonts w:hint="default"/>
          <w:highlight w:val="none"/>
          <w:lang w:val="en-US" w:eastAsia="zh-CN"/>
        </w:rPr>
      </w:pPr>
      <w:r>
        <w:rPr>
          <w:rFonts w:hint="default"/>
          <w:highlight w:val="none"/>
          <w:lang w:val="en-US" w:eastAsia="zh-CN"/>
        </w:rPr>
        <w:drawing>
          <wp:inline distT="0" distB="0" distL="114300" distR="114300">
            <wp:extent cx="5512435" cy="2452370"/>
            <wp:effectExtent l="0" t="0" r="12065" b="5080"/>
            <wp:docPr id="1" name="图片 1" descr="绘图1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绘图1 - 副本"/>
                    <pic:cNvPicPr>
                      <a:picLocks noChangeAspect="1"/>
                    </pic:cNvPicPr>
                  </pic:nvPicPr>
                  <pic:blipFill>
                    <a:blip r:embed="rId8"/>
                    <a:stretch>
                      <a:fillRect/>
                    </a:stretch>
                  </pic:blipFill>
                  <pic:spPr>
                    <a:xfrm>
                      <a:off x="0" y="0"/>
                      <a:ext cx="5512435" cy="2452370"/>
                    </a:xfrm>
                    <a:prstGeom prst="rect">
                      <a:avLst/>
                    </a:prstGeom>
                    <a:noFill/>
                    <a:ln>
                      <a:noFill/>
                    </a:ln>
                  </pic:spPr>
                </pic:pic>
              </a:graphicData>
            </a:graphic>
          </wp:inline>
        </w:drawing>
      </w:r>
    </w:p>
    <w:p>
      <w:pPr>
        <w:pStyle w:val="3"/>
        <w:numPr>
          <w:ilvl w:val="1"/>
          <w:numId w:val="0"/>
        </w:numPr>
        <w:bidi w:val="0"/>
        <w:ind w:left="1" w:leftChars="0" w:firstLine="0" w:firstLineChars="0"/>
        <w:rPr>
          <w:rFonts w:hint="eastAsia" w:ascii="黑体" w:hAnsi="黑体" w:cs="黑体"/>
          <w:b w:val="0"/>
          <w:bCs/>
          <w:kern w:val="2"/>
          <w:sz w:val="28"/>
          <w:szCs w:val="28"/>
          <w:highlight w:val="none"/>
          <w:lang w:val="en-US" w:eastAsia="zh-CN" w:bidi="ar-SA"/>
        </w:rPr>
      </w:pPr>
      <w:bookmarkStart w:id="937" w:name="_Toc79"/>
      <w:r>
        <w:rPr>
          <w:rFonts w:hint="eastAsia" w:ascii="黑体" w:hAnsi="黑体" w:cs="黑体"/>
          <w:b w:val="0"/>
          <w:bCs/>
          <w:kern w:val="2"/>
          <w:sz w:val="28"/>
          <w:szCs w:val="28"/>
          <w:highlight w:val="none"/>
          <w:lang w:val="en-US" w:eastAsia="zh-CN" w:bidi="ar-SA"/>
        </w:rPr>
        <w:t>（二）计算需求</w:t>
      </w:r>
      <w:bookmarkEnd w:id="937"/>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新院区涉及本地部署服务器的应用系统主要为护理呼叫服务系统1套、排队叫号系统1套；针对上述应用系统，需要新增相应的计算资源，采用虚拟化部署，按照2个应用，每个虚拟机按照16个vcpu,16G内存，200G空间计算，每个物理核虚拟成4个VCPU计算，虚拟化按照50%使用率计算，按照4路INTELL 5118 12核，2.3GHz计算，需要部署服务器台数为2*16/（0.5*4*12*4）=1台；内存资源需求=2*16/0.5=64G，1台4路服务器至少配备64G内存；以虚拟机方式部署上述2个应用系统。</w:t>
      </w:r>
    </w:p>
    <w:p>
      <w:pPr>
        <w:pStyle w:val="3"/>
        <w:numPr>
          <w:ilvl w:val="1"/>
          <w:numId w:val="0"/>
        </w:numPr>
        <w:bidi w:val="0"/>
        <w:ind w:left="1" w:leftChars="0" w:firstLine="0" w:firstLineChars="0"/>
        <w:rPr>
          <w:rFonts w:hint="eastAsia" w:ascii="黑体" w:hAnsi="黑体" w:cs="黑体"/>
          <w:b w:val="0"/>
          <w:bCs/>
          <w:kern w:val="2"/>
          <w:sz w:val="28"/>
          <w:szCs w:val="28"/>
          <w:highlight w:val="none"/>
          <w:lang w:val="en-US" w:eastAsia="zh-CN" w:bidi="ar-SA"/>
        </w:rPr>
      </w:pPr>
      <w:bookmarkStart w:id="938" w:name="_Toc30782"/>
      <w:r>
        <w:rPr>
          <w:rFonts w:hint="eastAsia" w:ascii="黑体" w:hAnsi="黑体" w:cs="黑体"/>
          <w:b w:val="0"/>
          <w:bCs/>
          <w:kern w:val="2"/>
          <w:sz w:val="28"/>
          <w:szCs w:val="28"/>
          <w:highlight w:val="none"/>
          <w:lang w:val="en-US" w:eastAsia="zh-CN" w:bidi="ar-SA"/>
        </w:rPr>
        <w:t>（三）存储需求</w:t>
      </w:r>
      <w:bookmarkEnd w:id="938"/>
    </w:p>
    <w:p>
      <w:pPr>
        <w:spacing w:line="360" w:lineRule="auto"/>
        <w:ind w:firstLine="480" w:firstLineChars="200"/>
        <w:rPr>
          <w:rFonts w:hint="default"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服务器数据存储容量主要是操作系统本身存储、中间件、应用系统以及应用系统中所存储文件，临时数据自动被系统清理。针对上述2个应用系统，数据存储的主要格式是图片及文档等，采用本地存储方式，操作系统占用约10G存储空间；中间件占用内存10G存储空间；应用系统中预计20万条数据信息，约占1000G存储空间；考虑服务器存储空间保留30％的冗余，则服务器的存储空间估算：（10G+10G+1000G）/(1-30%)=1457G，服务器磁盘存储空间应选用2T的存储空间并针对不同应用系统建立相对独立的存储空间，相关数据应支持多副本分散存储，同时应保证业务数据的机密性。</w:t>
      </w:r>
    </w:p>
    <w:p>
      <w:pPr>
        <w:pStyle w:val="3"/>
        <w:numPr>
          <w:ilvl w:val="1"/>
          <w:numId w:val="0"/>
        </w:numPr>
        <w:bidi w:val="0"/>
        <w:ind w:left="1" w:leftChars="0" w:firstLine="0" w:firstLineChars="0"/>
        <w:rPr>
          <w:rFonts w:hint="eastAsia" w:ascii="黑体" w:hAnsi="黑体" w:cs="黑体"/>
          <w:b w:val="0"/>
          <w:bCs/>
          <w:kern w:val="2"/>
          <w:sz w:val="28"/>
          <w:szCs w:val="28"/>
          <w:highlight w:val="none"/>
          <w:lang w:val="en-US" w:eastAsia="zh-CN" w:bidi="ar-SA"/>
        </w:rPr>
      </w:pPr>
      <w:bookmarkStart w:id="939" w:name="_Toc28652"/>
      <w:r>
        <w:rPr>
          <w:rFonts w:hint="eastAsia" w:ascii="黑体" w:hAnsi="黑体" w:cs="黑体"/>
          <w:b w:val="0"/>
          <w:bCs/>
          <w:kern w:val="2"/>
          <w:sz w:val="28"/>
          <w:szCs w:val="28"/>
          <w:highlight w:val="none"/>
          <w:lang w:val="en-US" w:eastAsia="zh-CN" w:bidi="ar-SA"/>
        </w:rPr>
        <w:t>（四）网络需求</w:t>
      </w:r>
      <w:bookmarkEnd w:id="939"/>
    </w:p>
    <w:p>
      <w:pPr>
        <w:spacing w:line="360" w:lineRule="auto"/>
        <w:ind w:firstLine="480" w:firstLineChars="200"/>
        <w:rPr>
          <w:rFonts w:hint="eastAsia" w:ascii="宋体" w:hAnsi="Times New Roman" w:eastAsia="宋体" w:cs="Times New Roman"/>
          <w:kern w:val="0"/>
          <w:sz w:val="24"/>
          <w:szCs w:val="20"/>
          <w:highlight w:val="none"/>
          <w:lang w:val="zh-CN" w:eastAsia="zh-CN"/>
        </w:rPr>
      </w:pPr>
      <w:r>
        <w:rPr>
          <w:rFonts w:hint="eastAsia" w:ascii="宋体" w:hAnsi="Times New Roman" w:eastAsia="宋体" w:cs="Times New Roman"/>
          <w:kern w:val="0"/>
          <w:sz w:val="24"/>
          <w:szCs w:val="20"/>
          <w:highlight w:val="none"/>
          <w:lang w:val="en-US" w:eastAsia="zh-CN"/>
        </w:rPr>
        <w:t>新院区</w:t>
      </w:r>
      <w:r>
        <w:rPr>
          <w:rFonts w:hint="eastAsia" w:ascii="宋体" w:hAnsi="Times New Roman" w:eastAsia="宋体" w:cs="Times New Roman"/>
          <w:kern w:val="0"/>
          <w:sz w:val="24"/>
          <w:szCs w:val="20"/>
          <w:highlight w:val="none"/>
          <w:lang w:val="zh-CN" w:eastAsia="zh-CN"/>
        </w:rPr>
        <w:t>网络</w:t>
      </w:r>
      <w:r>
        <w:rPr>
          <w:rFonts w:hint="eastAsia" w:ascii="宋体" w:hAnsi="Times New Roman" w:eastAsia="宋体" w:cs="Times New Roman"/>
          <w:kern w:val="0"/>
          <w:sz w:val="24"/>
          <w:szCs w:val="20"/>
          <w:highlight w:val="none"/>
          <w:lang w:val="en-US" w:eastAsia="zh-CN"/>
        </w:rPr>
        <w:t>建设</w:t>
      </w:r>
      <w:r>
        <w:rPr>
          <w:rFonts w:hint="eastAsia" w:ascii="宋体" w:hAnsi="Times New Roman" w:eastAsia="宋体" w:cs="Times New Roman"/>
          <w:kern w:val="0"/>
          <w:sz w:val="24"/>
          <w:szCs w:val="20"/>
          <w:highlight w:val="none"/>
          <w:lang w:val="zh-CN" w:eastAsia="zh-CN"/>
        </w:rPr>
        <w:t>不仅要满足当前网络多业务服务的发展趋势，同时具有最灵活的适应、扩展能力。应能保证各类业务数据流的及时传输,网络时效性要强，网络延时要小,确保业务的实时高效。应能实现端到端的整合数据、语音和图像等多业务应用，满足全网范围统一的实施安全策略、QoS+策略、流量管理策略和系统管理策略等完整的一体化网络。要具有面向未来的良好的伸缩性能，既能满足当前的需求，又能支持未来业务网点、业务量、业务种类的扩展等对网络的扩充性要求，</w:t>
      </w:r>
      <w:r>
        <w:rPr>
          <w:rFonts w:hint="eastAsia" w:ascii="宋体" w:hAnsi="Times New Roman" w:eastAsia="宋体" w:cs="Times New Roman"/>
          <w:kern w:val="0"/>
          <w:sz w:val="24"/>
          <w:szCs w:val="20"/>
          <w:highlight w:val="none"/>
          <w:lang w:val="en-US" w:eastAsia="zh-CN"/>
        </w:rPr>
        <w:t>其中办公内网应实现千兆到桌面，数据交换设备应能实现全线速转发功能；按照新建院区日常200用户同时在线，单个用户正常访问速率为100KB/s，出口网速为200*100KB/s=20000KB/s，互联网光纤接入带宽计算方式为20000KB/s*8bit/1024Kb=156.25Mb/s，故接入带宽应不低于200M</w:t>
      </w:r>
      <w:r>
        <w:rPr>
          <w:rFonts w:hint="eastAsia" w:ascii="宋体" w:hAnsi="Times New Roman" w:eastAsia="宋体" w:cs="Times New Roman"/>
          <w:kern w:val="0"/>
          <w:sz w:val="24"/>
          <w:szCs w:val="20"/>
          <w:highlight w:val="none"/>
          <w:lang w:val="zh-CN" w:eastAsia="zh-CN"/>
        </w:rPr>
        <w:t>。</w:t>
      </w:r>
    </w:p>
    <w:p>
      <w:pPr>
        <w:pStyle w:val="3"/>
        <w:numPr>
          <w:ilvl w:val="1"/>
          <w:numId w:val="0"/>
        </w:numPr>
        <w:bidi w:val="0"/>
        <w:ind w:left="1" w:leftChars="0" w:firstLine="0" w:firstLineChars="0"/>
        <w:rPr>
          <w:rFonts w:hint="eastAsia" w:ascii="黑体" w:hAnsi="黑体" w:cs="黑体"/>
          <w:b w:val="0"/>
          <w:bCs/>
          <w:kern w:val="2"/>
          <w:sz w:val="28"/>
          <w:szCs w:val="28"/>
          <w:highlight w:val="none"/>
          <w:lang w:val="en-US" w:eastAsia="zh-CN" w:bidi="ar-SA"/>
        </w:rPr>
      </w:pPr>
      <w:bookmarkStart w:id="940" w:name="_Toc16419"/>
      <w:r>
        <w:rPr>
          <w:rFonts w:hint="eastAsia" w:ascii="黑体" w:hAnsi="黑体" w:cs="黑体"/>
          <w:b w:val="0"/>
          <w:bCs/>
          <w:kern w:val="2"/>
          <w:sz w:val="28"/>
          <w:szCs w:val="28"/>
          <w:highlight w:val="none"/>
          <w:lang w:val="en-US" w:eastAsia="zh-CN" w:bidi="ar-SA"/>
        </w:rPr>
        <w:t>（五）安全需求</w:t>
      </w:r>
      <w:bookmarkEnd w:id="940"/>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新建院区信息安全建设应充分响应二级等保要求。</w:t>
      </w:r>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各业务系统应采取全方位防范措施，以保证数据安全。在各个环节上有相应的安全措施来保障，需具备安全相关的功能，比如系统访问控制、数据通信加密、系统日志纪录、数据备份与恢复等。</w:t>
      </w:r>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应用软件运行可运维性设计：面向应用软件运行的可监控性、易用性和安全性进行应用软件的设计实现；定期检查负载均衡服务器中各个应用服务器对应的会话数，避免因会话数过高影响业务。</w:t>
      </w:r>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应用软件移交：应用软件交付至运行维护的活动，包括应用软件及配置备份、安全审查、权限核查、文档移交、基线移交、能力移交和模拟环境移交；确保应用服务器文档、接口配置文档信息完全无遗漏。</w:t>
      </w:r>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应用软件及所依赖环境的运行维护：对重要服务器进行监视，包括监视服务器的CPU、硬盘、内存、网络等资源的使用情况。</w:t>
      </w:r>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数据维护：通过定期对数据库服务器巡检，对数据库运行状态进行评估并提供数据库优化方案，保障数据库的良好运作；提供数据备份服务，根据医院需要及时配合提供完整的迁移方案。定期做历史库和生产库分离，软件根据数据库现状同步调整，满足软件正常运行。</w:t>
      </w:r>
    </w:p>
    <w:p>
      <w:pPr>
        <w:pStyle w:val="3"/>
        <w:numPr>
          <w:ilvl w:val="1"/>
          <w:numId w:val="0"/>
        </w:numPr>
        <w:bidi w:val="0"/>
        <w:ind w:left="1" w:leftChars="0" w:firstLine="0" w:firstLineChars="0"/>
        <w:rPr>
          <w:rFonts w:hint="eastAsia" w:ascii="黑体" w:hAnsi="黑体" w:cs="黑体"/>
          <w:b w:val="0"/>
          <w:bCs/>
          <w:kern w:val="2"/>
          <w:sz w:val="28"/>
          <w:szCs w:val="28"/>
          <w:highlight w:val="none"/>
          <w:lang w:val="en-US" w:eastAsia="zh-CN" w:bidi="ar-SA"/>
        </w:rPr>
      </w:pPr>
      <w:bookmarkStart w:id="941" w:name="_Toc26789"/>
      <w:r>
        <w:rPr>
          <w:rFonts w:hint="eastAsia" w:ascii="黑体" w:hAnsi="黑体" w:cs="黑体"/>
          <w:b w:val="0"/>
          <w:bCs/>
          <w:kern w:val="2"/>
          <w:sz w:val="28"/>
          <w:szCs w:val="28"/>
          <w:highlight w:val="none"/>
          <w:lang w:val="en-US" w:eastAsia="zh-CN" w:bidi="ar-SA"/>
        </w:rPr>
        <w:t>（六）其它辅助环境需求</w:t>
      </w:r>
      <w:bookmarkEnd w:id="941"/>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涉及的环境需求主要有第三方软件平台数据接口以及系统正常运行所需要的硬件设备支撑。</w:t>
      </w:r>
    </w:p>
    <w:p>
      <w:pPr>
        <w:pStyle w:val="3"/>
        <w:numPr>
          <w:ilvl w:val="1"/>
          <w:numId w:val="0"/>
        </w:numPr>
        <w:bidi w:val="0"/>
        <w:ind w:left="1" w:leftChars="0" w:firstLine="0" w:firstLineChars="0"/>
        <w:rPr>
          <w:rFonts w:hint="eastAsia" w:ascii="黑体" w:hAnsi="黑体" w:cs="黑体"/>
          <w:b w:val="0"/>
          <w:bCs/>
          <w:kern w:val="2"/>
          <w:sz w:val="28"/>
          <w:szCs w:val="28"/>
          <w:highlight w:val="none"/>
          <w:lang w:val="en-US" w:eastAsia="zh-CN" w:bidi="ar-SA"/>
        </w:rPr>
      </w:pPr>
      <w:bookmarkStart w:id="942" w:name="_Toc9947"/>
      <w:r>
        <w:rPr>
          <w:rFonts w:hint="eastAsia" w:ascii="黑体" w:hAnsi="黑体" w:cs="黑体"/>
          <w:b w:val="0"/>
          <w:bCs/>
          <w:kern w:val="2"/>
          <w:sz w:val="28"/>
          <w:szCs w:val="28"/>
          <w:highlight w:val="none"/>
          <w:lang w:val="en-US" w:eastAsia="zh-CN" w:bidi="ar-SA"/>
        </w:rPr>
        <w:t>（七）信息资源规划和数据库规范</w:t>
      </w:r>
      <w:bookmarkEnd w:id="942"/>
    </w:p>
    <w:p>
      <w:pPr>
        <w:spacing w:line="360" w:lineRule="auto"/>
        <w:ind w:firstLine="480" w:firstLineChars="200"/>
        <w:rPr>
          <w:rFonts w:hint="eastAsia" w:ascii="宋体" w:hAnsi="Times New Roman" w:eastAsia="宋体" w:cs="Times New Roman"/>
          <w:kern w:val="0"/>
          <w:sz w:val="24"/>
          <w:szCs w:val="20"/>
          <w:highlight w:val="none"/>
          <w:lang w:val="en-US" w:eastAsia="zh-CN"/>
        </w:rPr>
      </w:pPr>
      <w:r>
        <w:rPr>
          <w:rFonts w:hint="eastAsia" w:ascii="宋体" w:hAnsi="Times New Roman" w:eastAsia="宋体" w:cs="Times New Roman"/>
          <w:kern w:val="0"/>
          <w:sz w:val="24"/>
          <w:szCs w:val="20"/>
          <w:highlight w:val="none"/>
          <w:lang w:val="en-US" w:eastAsia="zh-CN"/>
        </w:rPr>
        <w:t>我院的基础网络建设比较落后，为保障业务系统的基本运行，需对现有的网络安全结构进行调整，明确边界安全区域。数据交换和配置采用XML技术，数据库支持SOL数据库；具有开放性，支持异种数据库的访问，包括实现对文件数据和桌面数据库的访问、实现对大型异种数据库的访问、实现和高级语言互连的能力等。</w:t>
      </w:r>
    </w:p>
    <w:p>
      <w:pPr>
        <w:spacing w:line="360" w:lineRule="auto"/>
        <w:ind w:firstLine="480" w:firstLineChars="200"/>
        <w:rPr>
          <w:highlight w:val="none"/>
        </w:rPr>
      </w:pPr>
    </w:p>
    <w:p>
      <w:pPr>
        <w:pStyle w:val="4"/>
        <w:spacing w:before="0" w:after="0" w:line="320" w:lineRule="exact"/>
        <w:jc w:val="center"/>
        <w:rPr>
          <w:highlight w:val="none"/>
        </w:rPr>
      </w:pPr>
      <w:r>
        <w:rPr>
          <w:rFonts w:hint="eastAsia"/>
          <w:highlight w:val="none"/>
        </w:rPr>
        <w:br w:type="page"/>
      </w:r>
      <w:bookmarkStart w:id="943" w:name="_Toc140069450"/>
      <w:r>
        <w:rPr>
          <w:rFonts w:hint="eastAsia"/>
          <w:highlight w:val="none"/>
        </w:rPr>
        <w:t xml:space="preserve">第六章  </w:t>
      </w:r>
      <w:r>
        <w:rPr>
          <w:rFonts w:hint="eastAsia" w:hAnsi="宋体" w:cs="宋体"/>
          <w:highlight w:val="none"/>
        </w:rPr>
        <w:t>投标文件格式</w:t>
      </w:r>
      <w:bookmarkEnd w:id="943"/>
    </w:p>
    <w:p>
      <w:pPr>
        <w:spacing w:beforeLines="200"/>
        <w:jc w:val="center"/>
        <w:outlineLvl w:val="0"/>
        <w:rPr>
          <w:rFonts w:ascii="Times New Roman"/>
          <w:bCs/>
          <w:sz w:val="44"/>
          <w:szCs w:val="44"/>
          <w:highlight w:val="none"/>
        </w:rPr>
      </w:pPr>
      <w:bookmarkStart w:id="944" w:name="_Toc14595"/>
      <w:bookmarkStart w:id="945" w:name="_Toc12149"/>
      <w:bookmarkStart w:id="946" w:name="_Toc27118"/>
      <w:bookmarkStart w:id="947" w:name="_Toc32657"/>
      <w:bookmarkStart w:id="948" w:name="_Toc23204"/>
      <w:bookmarkStart w:id="949" w:name="_Toc16066"/>
      <w:bookmarkStart w:id="950" w:name="_Toc12230"/>
      <w:r>
        <w:rPr>
          <w:rFonts w:hint="eastAsia" w:ascii="Times New Roman"/>
          <w:bCs/>
          <w:sz w:val="44"/>
          <w:szCs w:val="44"/>
          <w:highlight w:val="none"/>
          <w:u w:val="single"/>
        </w:rPr>
        <w:br w:type="page"/>
      </w:r>
      <w:bookmarkStart w:id="951" w:name="_Toc140069451"/>
      <w:r>
        <w:rPr>
          <w:rFonts w:hint="eastAsia" w:ascii="Times New Roman"/>
          <w:bCs/>
          <w:sz w:val="44"/>
          <w:szCs w:val="44"/>
          <w:highlight w:val="none"/>
          <w:u w:val="single"/>
        </w:rPr>
        <w:t>（招标项目名称）</w:t>
      </w:r>
      <w:r>
        <w:rPr>
          <w:rFonts w:hint="eastAsia" w:ascii="Times New Roman"/>
          <w:bCs/>
          <w:sz w:val="44"/>
          <w:szCs w:val="44"/>
          <w:highlight w:val="none"/>
        </w:rPr>
        <w:t>标段招标</w:t>
      </w:r>
      <w:bookmarkEnd w:id="944"/>
      <w:bookmarkEnd w:id="945"/>
      <w:bookmarkEnd w:id="946"/>
      <w:bookmarkEnd w:id="947"/>
      <w:bookmarkEnd w:id="948"/>
      <w:bookmarkEnd w:id="949"/>
      <w:bookmarkEnd w:id="950"/>
      <w:bookmarkEnd w:id="951"/>
    </w:p>
    <w:p>
      <w:pPr>
        <w:pStyle w:val="3"/>
        <w:spacing w:beforeLines="600" w:afterLines="100" w:line="240" w:lineRule="auto"/>
        <w:jc w:val="center"/>
        <w:rPr>
          <w:rFonts w:ascii="Times New Roman" w:hAnsi="Times New Roman" w:eastAsia="黑体"/>
          <w:b w:val="0"/>
          <w:sz w:val="44"/>
          <w:szCs w:val="44"/>
          <w:highlight w:val="none"/>
        </w:rPr>
      </w:pPr>
      <w:bookmarkStart w:id="952" w:name="_Toc140069452"/>
      <w:bookmarkStart w:id="953" w:name="_Toc26391"/>
      <w:r>
        <w:rPr>
          <w:rFonts w:hint="eastAsia" w:ascii="Times New Roman" w:hAnsi="Times New Roman" w:eastAsia="黑体"/>
          <w:b w:val="0"/>
          <w:sz w:val="44"/>
          <w:szCs w:val="44"/>
          <w:highlight w:val="none"/>
        </w:rPr>
        <w:t>投标文件</w:t>
      </w:r>
      <w:bookmarkEnd w:id="952"/>
    </w:p>
    <w:p>
      <w:pPr>
        <w:pStyle w:val="3"/>
        <w:jc w:val="center"/>
        <w:rPr>
          <w:rFonts w:ascii="Times New Roman" w:hAnsi="Times New Roman" w:eastAsia="黑体"/>
          <w:b w:val="0"/>
          <w:highlight w:val="none"/>
        </w:rPr>
      </w:pPr>
      <w:bookmarkStart w:id="954" w:name="_Toc140069453"/>
      <w:r>
        <w:rPr>
          <w:rFonts w:hint="eastAsia" w:ascii="Times New Roman" w:hAnsi="Times New Roman" w:eastAsia="黑体"/>
          <w:b w:val="0"/>
          <w:highlight w:val="none"/>
        </w:rPr>
        <w:t>（商务文件）</w:t>
      </w:r>
      <w:bookmarkEnd w:id="953"/>
      <w:bookmarkEnd w:id="954"/>
    </w:p>
    <w:p>
      <w:pPr>
        <w:spacing w:beforeLines="3300" w:line="480" w:lineRule="auto"/>
        <w:jc w:val="center"/>
        <w:rPr>
          <w:rFonts w:ascii="Times New Roman" w:eastAsia="黑体"/>
          <w:sz w:val="28"/>
          <w:szCs w:val="28"/>
          <w:highlight w:val="none"/>
        </w:rPr>
      </w:pPr>
      <w:bookmarkStart w:id="955" w:name="_Toc17206"/>
      <w:bookmarkStart w:id="956" w:name="_Toc12206"/>
      <w:bookmarkStart w:id="957" w:name="_Toc18532"/>
      <w:bookmarkStart w:id="958" w:name="_Toc19022"/>
      <w:r>
        <w:rPr>
          <w:rFonts w:hint="eastAsia" w:ascii="Times New Roman" w:eastAsia="黑体"/>
          <w:sz w:val="28"/>
          <w:szCs w:val="28"/>
          <w:highlight w:val="none"/>
        </w:rPr>
        <w:t>投标人：（盖单位章）</w:t>
      </w:r>
      <w:bookmarkEnd w:id="955"/>
      <w:bookmarkEnd w:id="956"/>
      <w:bookmarkEnd w:id="957"/>
      <w:bookmarkEnd w:id="958"/>
    </w:p>
    <w:p>
      <w:pPr>
        <w:spacing w:line="480" w:lineRule="auto"/>
        <w:jc w:val="center"/>
        <w:rPr>
          <w:rFonts w:ascii="Times New Roman" w:eastAsia="黑体"/>
          <w:sz w:val="28"/>
          <w:szCs w:val="28"/>
          <w:highlight w:val="none"/>
        </w:rPr>
      </w:pPr>
      <w:bookmarkStart w:id="959" w:name="_Toc21200"/>
      <w:bookmarkStart w:id="960" w:name="_Toc1982"/>
      <w:bookmarkStart w:id="961" w:name="_Toc16140"/>
      <w:bookmarkStart w:id="962" w:name="_Toc25824"/>
      <w:r>
        <w:rPr>
          <w:rFonts w:hint="eastAsia" w:ascii="Times New Roman" w:eastAsia="黑体"/>
          <w:sz w:val="28"/>
          <w:szCs w:val="28"/>
          <w:highlight w:val="none"/>
        </w:rPr>
        <w:t>年月日</w:t>
      </w:r>
      <w:bookmarkEnd w:id="959"/>
      <w:bookmarkEnd w:id="960"/>
      <w:bookmarkEnd w:id="961"/>
      <w:bookmarkEnd w:id="962"/>
    </w:p>
    <w:p>
      <w:pPr>
        <w:spacing w:beforeLines="100" w:afterLines="100"/>
        <w:ind w:firstLine="480" w:firstLineChars="200"/>
        <w:jc w:val="center"/>
        <w:rPr>
          <w:rFonts w:ascii="Times New Roman"/>
          <w:sz w:val="28"/>
          <w:szCs w:val="21"/>
          <w:highlight w:val="none"/>
        </w:rPr>
      </w:pPr>
      <w:r>
        <w:rPr>
          <w:rFonts w:ascii="Times New Roman"/>
          <w:szCs w:val="21"/>
          <w:highlight w:val="none"/>
        </w:rPr>
        <w:br w:type="page"/>
      </w:r>
      <w:r>
        <w:rPr>
          <w:rFonts w:hint="eastAsia" w:ascii="Times New Roman"/>
          <w:sz w:val="28"/>
          <w:szCs w:val="21"/>
          <w:highlight w:val="none"/>
        </w:rPr>
        <w:t>目  录</w:t>
      </w:r>
    </w:p>
    <w:p>
      <w:pPr>
        <w:spacing w:line="360" w:lineRule="auto"/>
        <w:ind w:firstLine="480" w:firstLineChars="200"/>
        <w:rPr>
          <w:rFonts w:ascii="Times New Roman"/>
          <w:szCs w:val="21"/>
          <w:highlight w:val="none"/>
        </w:rPr>
      </w:pPr>
      <w:r>
        <w:rPr>
          <w:rFonts w:hint="eastAsia" w:ascii="Times New Roman"/>
          <w:szCs w:val="21"/>
          <w:highlight w:val="none"/>
        </w:rPr>
        <w:t>一、投标函（不含报价）</w:t>
      </w:r>
    </w:p>
    <w:p>
      <w:pPr>
        <w:spacing w:line="360" w:lineRule="auto"/>
        <w:ind w:firstLine="480" w:firstLineChars="200"/>
        <w:rPr>
          <w:rFonts w:ascii="Times New Roman"/>
          <w:szCs w:val="21"/>
          <w:highlight w:val="none"/>
        </w:rPr>
      </w:pPr>
      <w:r>
        <w:rPr>
          <w:rFonts w:hint="eastAsia" w:ascii="Times New Roman"/>
          <w:szCs w:val="21"/>
          <w:highlight w:val="none"/>
        </w:rPr>
        <w:t>二、法定代表人身份证明或授权委托书</w:t>
      </w:r>
    </w:p>
    <w:p>
      <w:pPr>
        <w:spacing w:line="360" w:lineRule="auto"/>
        <w:ind w:firstLine="480" w:firstLineChars="200"/>
        <w:rPr>
          <w:rFonts w:ascii="Times New Roman"/>
          <w:szCs w:val="21"/>
          <w:highlight w:val="none"/>
        </w:rPr>
      </w:pPr>
      <w:r>
        <w:rPr>
          <w:rFonts w:hint="eastAsia" w:ascii="Times New Roman"/>
          <w:szCs w:val="21"/>
          <w:highlight w:val="none"/>
        </w:rPr>
        <w:t>三、联合体协议书（如有）</w:t>
      </w:r>
    </w:p>
    <w:p>
      <w:pPr>
        <w:spacing w:line="360" w:lineRule="auto"/>
        <w:ind w:firstLine="480" w:firstLineChars="200"/>
        <w:rPr>
          <w:rFonts w:ascii="Times New Roman"/>
          <w:szCs w:val="21"/>
          <w:highlight w:val="none"/>
        </w:rPr>
      </w:pPr>
      <w:r>
        <w:rPr>
          <w:rFonts w:hint="eastAsia" w:ascii="Times New Roman"/>
          <w:szCs w:val="21"/>
          <w:highlight w:val="none"/>
        </w:rPr>
        <w:t>四、投标保证金</w:t>
      </w:r>
    </w:p>
    <w:p>
      <w:pPr>
        <w:spacing w:line="360" w:lineRule="auto"/>
        <w:ind w:firstLine="480" w:firstLineChars="200"/>
        <w:rPr>
          <w:rFonts w:ascii="Times New Roman"/>
          <w:szCs w:val="21"/>
          <w:highlight w:val="none"/>
        </w:rPr>
      </w:pPr>
      <w:r>
        <w:rPr>
          <w:rFonts w:hint="eastAsia" w:ascii="Times New Roman"/>
          <w:szCs w:val="21"/>
          <w:highlight w:val="none"/>
        </w:rPr>
        <w:t>五、商务条款偏差表；</w:t>
      </w:r>
    </w:p>
    <w:p>
      <w:pPr>
        <w:spacing w:line="360" w:lineRule="auto"/>
        <w:ind w:firstLine="480" w:firstLineChars="200"/>
        <w:rPr>
          <w:rFonts w:ascii="Times New Roman"/>
          <w:szCs w:val="21"/>
          <w:highlight w:val="none"/>
        </w:rPr>
      </w:pPr>
      <w:r>
        <w:rPr>
          <w:rFonts w:hint="eastAsia" w:ascii="Times New Roman"/>
          <w:szCs w:val="21"/>
          <w:highlight w:val="none"/>
        </w:rPr>
        <w:t>六、资格审查资料</w:t>
      </w:r>
    </w:p>
    <w:p>
      <w:pPr>
        <w:spacing w:line="360" w:lineRule="auto"/>
        <w:ind w:firstLine="480" w:firstLineChars="200"/>
        <w:rPr>
          <w:rFonts w:ascii="Times New Roman"/>
          <w:szCs w:val="21"/>
          <w:highlight w:val="none"/>
        </w:rPr>
      </w:pPr>
      <w:r>
        <w:rPr>
          <w:rFonts w:hint="eastAsia" w:ascii="Times New Roman"/>
          <w:szCs w:val="21"/>
          <w:highlight w:val="none"/>
        </w:rPr>
        <w:t>七、商务文件详细评审资料</w:t>
      </w:r>
    </w:p>
    <w:p>
      <w:pPr>
        <w:spacing w:line="360" w:lineRule="auto"/>
        <w:ind w:firstLine="480" w:firstLineChars="200"/>
        <w:rPr>
          <w:rFonts w:ascii="Times New Roman"/>
          <w:szCs w:val="21"/>
          <w:highlight w:val="none"/>
        </w:rPr>
      </w:pPr>
      <w:bookmarkStart w:id="963" w:name="_Toc31175"/>
      <w:r>
        <w:rPr>
          <w:rFonts w:hint="eastAsia" w:ascii="Times New Roman"/>
          <w:szCs w:val="21"/>
          <w:highlight w:val="none"/>
        </w:rPr>
        <w:t>八、诚信投标承诺书</w:t>
      </w:r>
      <w:bookmarkEnd w:id="963"/>
    </w:p>
    <w:p>
      <w:pPr>
        <w:spacing w:line="360" w:lineRule="auto"/>
        <w:ind w:firstLine="480" w:firstLineChars="200"/>
        <w:rPr>
          <w:rFonts w:ascii="Times New Roman"/>
          <w:szCs w:val="21"/>
          <w:highlight w:val="none"/>
        </w:rPr>
      </w:pPr>
      <w:r>
        <w:rPr>
          <w:rFonts w:hint="eastAsia" w:ascii="Times New Roman"/>
          <w:szCs w:val="21"/>
          <w:highlight w:val="none"/>
        </w:rPr>
        <w:t>九</w:t>
      </w:r>
      <w:bookmarkStart w:id="964" w:name="_Toc19764"/>
      <w:r>
        <w:rPr>
          <w:rFonts w:hint="eastAsia" w:ascii="Times New Roman"/>
          <w:szCs w:val="21"/>
          <w:highlight w:val="none"/>
        </w:rPr>
        <w:t>、其他</w:t>
      </w:r>
      <w:bookmarkEnd w:id="964"/>
      <w:r>
        <w:rPr>
          <w:rFonts w:hint="eastAsia" w:ascii="Times New Roman"/>
          <w:szCs w:val="21"/>
          <w:highlight w:val="none"/>
        </w:rPr>
        <w:t>材料</w:t>
      </w:r>
    </w:p>
    <w:p>
      <w:pPr>
        <w:pStyle w:val="4"/>
        <w:spacing w:beforeLines="100" w:afterLines="100" w:line="240" w:lineRule="auto"/>
        <w:jc w:val="center"/>
        <w:rPr>
          <w:rFonts w:ascii="Times New Roman" w:hAnsi="Times New Roman"/>
          <w:highlight w:val="none"/>
        </w:rPr>
      </w:pPr>
      <w:r>
        <w:rPr>
          <w:rFonts w:ascii="Times New Roman" w:hAnsi="Times New Roman"/>
          <w:szCs w:val="21"/>
          <w:highlight w:val="none"/>
        </w:rPr>
        <w:br w:type="page"/>
      </w:r>
      <w:bookmarkStart w:id="965" w:name="_Toc390411621"/>
      <w:bookmarkStart w:id="966" w:name="_Toc460227108"/>
      <w:bookmarkStart w:id="967" w:name="_Toc421917001"/>
      <w:bookmarkStart w:id="968" w:name="_Toc460660223"/>
      <w:bookmarkStart w:id="969" w:name="_Toc224103496"/>
      <w:r>
        <w:rPr>
          <w:rFonts w:hint="eastAsia" w:ascii="Times New Roman" w:hAnsi="Times New Roman"/>
          <w:highlight w:val="none"/>
        </w:rPr>
        <w:t>一、投标函</w:t>
      </w:r>
    </w:p>
    <w:p>
      <w:pPr>
        <w:adjustRightInd w:val="0"/>
        <w:snapToGrid w:val="0"/>
        <w:spacing w:line="360" w:lineRule="auto"/>
        <w:rPr>
          <w:rFonts w:hAnsi="宋体" w:cs="宋体"/>
          <w:highlight w:val="none"/>
          <w:u w:val="single"/>
        </w:rPr>
      </w:pPr>
      <w:r>
        <w:rPr>
          <w:rFonts w:hint="eastAsia" w:hAnsi="宋体" w:cs="宋体"/>
          <w:highlight w:val="none"/>
        </w:rPr>
        <w:t>致：</w:t>
      </w:r>
      <w:r>
        <w:rPr>
          <w:rFonts w:hint="eastAsia" w:hAnsi="宋体" w:cs="宋体"/>
          <w:highlight w:val="none"/>
          <w:u w:val="single"/>
        </w:rPr>
        <w:t>（招标人）</w:t>
      </w:r>
    </w:p>
    <w:p>
      <w:pPr>
        <w:spacing w:line="360" w:lineRule="auto"/>
        <w:ind w:firstLine="480" w:firstLineChars="200"/>
        <w:rPr>
          <w:rFonts w:hAnsi="宋体" w:cs="宋体"/>
          <w:highlight w:val="none"/>
        </w:rPr>
      </w:pPr>
      <w:r>
        <w:rPr>
          <w:rFonts w:hint="eastAsia" w:hAnsi="宋体" w:cs="宋体"/>
          <w:highlight w:val="none"/>
        </w:rPr>
        <w:t>1.我方已仔细研究了</w:t>
      </w:r>
      <w:r>
        <w:rPr>
          <w:rFonts w:hint="eastAsia" w:hAnsi="宋体" w:cs="宋体"/>
          <w:highlight w:val="none"/>
          <w:u w:val="single"/>
        </w:rPr>
        <w:t>（招标项目名称）</w:t>
      </w:r>
      <w:r>
        <w:rPr>
          <w:rFonts w:hint="eastAsia" w:hAnsi="宋体" w:cs="宋体"/>
          <w:highlight w:val="none"/>
        </w:rPr>
        <w:t>标段招标文件的全部内容，愿以</w:t>
      </w:r>
      <w:r>
        <w:rPr>
          <w:rFonts w:hint="eastAsia" w:hAnsi="宋体" w:cs="宋体"/>
          <w:highlight w:val="none"/>
          <w:u w:val="single"/>
        </w:rPr>
        <w:t>报价文件投标函中</w:t>
      </w:r>
      <w:r>
        <w:rPr>
          <w:rFonts w:hint="eastAsia" w:hAnsi="宋体" w:cs="宋体"/>
          <w:highlight w:val="none"/>
        </w:rPr>
        <w:t>的投标总报价提供招标文件要求的货物、安装及技术服务和质保售后服务等，并按合同约定履行义务。</w:t>
      </w:r>
    </w:p>
    <w:p>
      <w:pPr>
        <w:spacing w:line="360" w:lineRule="auto"/>
        <w:ind w:firstLine="480" w:firstLineChars="200"/>
        <w:rPr>
          <w:rFonts w:hAnsi="宋体" w:cs="宋体"/>
          <w:highlight w:val="none"/>
        </w:rPr>
      </w:pPr>
      <w:r>
        <w:rPr>
          <w:rFonts w:hint="eastAsia" w:hAnsi="宋体" w:cs="宋体"/>
          <w:highlight w:val="none"/>
        </w:rPr>
        <w:t>2.我方承诺除商务和技术偏差表列出的偏差外，我方响应招标文件的全部要求。</w:t>
      </w:r>
    </w:p>
    <w:p>
      <w:pPr>
        <w:spacing w:line="360" w:lineRule="auto"/>
        <w:ind w:firstLine="480" w:firstLineChars="200"/>
        <w:rPr>
          <w:rFonts w:hAnsi="宋体" w:cs="宋体"/>
          <w:highlight w:val="none"/>
        </w:rPr>
      </w:pPr>
      <w:r>
        <w:rPr>
          <w:rFonts w:hint="eastAsia" w:hAnsi="宋体" w:cs="宋体"/>
          <w:highlight w:val="none"/>
        </w:rPr>
        <w:t>3.我方响应招标文件规定的投标有效期，并承诺在投标有效期内不撤销投标文件。</w:t>
      </w:r>
    </w:p>
    <w:p>
      <w:pPr>
        <w:spacing w:line="360" w:lineRule="auto"/>
        <w:ind w:firstLine="480" w:firstLineChars="200"/>
        <w:rPr>
          <w:rFonts w:hAnsi="宋体" w:cs="宋体"/>
          <w:bCs/>
          <w:highlight w:val="none"/>
        </w:rPr>
      </w:pPr>
      <w:r>
        <w:rPr>
          <w:rFonts w:hint="eastAsia" w:hAnsi="宋体" w:cs="宋体"/>
          <w:bCs/>
          <w:highlight w:val="none"/>
        </w:rPr>
        <w:t>4.如我方中标，我方承诺：</w:t>
      </w:r>
    </w:p>
    <w:p>
      <w:pPr>
        <w:spacing w:line="360" w:lineRule="auto"/>
        <w:ind w:firstLine="480" w:firstLineChars="200"/>
        <w:rPr>
          <w:rFonts w:hAnsi="宋体" w:cs="宋体"/>
          <w:highlight w:val="none"/>
        </w:rPr>
      </w:pPr>
      <w:r>
        <w:rPr>
          <w:rFonts w:hint="eastAsia" w:hAnsi="宋体" w:cs="宋体"/>
          <w:highlight w:val="none"/>
        </w:rPr>
        <w:t>（1）在收到中标通知书后，在中标通知书规定的期限内与你方签订合同；</w:t>
      </w:r>
    </w:p>
    <w:p>
      <w:pPr>
        <w:spacing w:line="360" w:lineRule="auto"/>
        <w:ind w:firstLine="480" w:firstLineChars="200"/>
        <w:rPr>
          <w:rFonts w:hAnsi="宋体" w:cs="宋体"/>
          <w:highlight w:val="none"/>
        </w:rPr>
      </w:pPr>
      <w:r>
        <w:rPr>
          <w:rFonts w:hint="eastAsia" w:hAnsi="宋体" w:cs="宋体"/>
          <w:highlight w:val="none"/>
        </w:rPr>
        <w:t>（2）在签订合同时不向你方提出附加条件；</w:t>
      </w:r>
    </w:p>
    <w:p>
      <w:pPr>
        <w:spacing w:line="360" w:lineRule="auto"/>
        <w:ind w:firstLine="405"/>
        <w:rPr>
          <w:rFonts w:hAnsi="宋体" w:cs="宋体"/>
          <w:highlight w:val="none"/>
        </w:rPr>
      </w:pPr>
      <w:r>
        <w:rPr>
          <w:rFonts w:hint="eastAsia" w:hAnsi="宋体" w:cs="宋体"/>
          <w:highlight w:val="none"/>
        </w:rPr>
        <w:t>（3）按照招标文件要求提交履约保证金；</w:t>
      </w:r>
      <w:bookmarkStart w:id="970" w:name="_Toc369531694"/>
      <w:bookmarkStart w:id="971" w:name="_Toc352691658"/>
      <w:bookmarkStart w:id="972" w:name="_Toc1187"/>
    </w:p>
    <w:p>
      <w:pPr>
        <w:spacing w:line="360" w:lineRule="auto"/>
        <w:ind w:firstLine="405"/>
        <w:rPr>
          <w:rFonts w:hAnsi="宋体" w:cs="宋体"/>
          <w:highlight w:val="none"/>
        </w:rPr>
      </w:pPr>
      <w:r>
        <w:rPr>
          <w:rFonts w:hint="eastAsia" w:hAnsi="宋体" w:cs="宋体"/>
          <w:highlight w:val="none"/>
        </w:rPr>
        <w:t>（4</w:t>
      </w:r>
      <w:bookmarkEnd w:id="970"/>
      <w:bookmarkEnd w:id="971"/>
      <w:bookmarkEnd w:id="972"/>
      <w:r>
        <w:rPr>
          <w:rFonts w:hint="eastAsia" w:hAnsi="宋体" w:cs="宋体"/>
          <w:highlight w:val="none"/>
        </w:rPr>
        <w:t>）在合同约定的期限内完成合同规定的全部义务。</w:t>
      </w:r>
    </w:p>
    <w:p>
      <w:pPr>
        <w:spacing w:line="360" w:lineRule="auto"/>
        <w:ind w:firstLine="480" w:firstLineChars="200"/>
        <w:rPr>
          <w:rFonts w:hAnsi="宋体" w:cs="宋体"/>
          <w:highlight w:val="none"/>
        </w:rPr>
      </w:pPr>
      <w:r>
        <w:rPr>
          <w:rFonts w:hint="eastAsia" w:hAnsi="宋体" w:cs="宋体"/>
          <w:highlight w:val="none"/>
        </w:rPr>
        <w:t>5.</w:t>
      </w:r>
      <w:r>
        <w:rPr>
          <w:rFonts w:hint="eastAsia" w:hAnsi="宋体" w:cs="宋体"/>
          <w:bCs/>
          <w:highlight w:val="none"/>
        </w:rPr>
        <w:t>除非另外达成协议并生效，你方的中标通知书和本投标文件以及招标文件、招标文件澄清、修改、补充文件将成为约束双方的合同文件的组成部分</w:t>
      </w:r>
      <w:r>
        <w:rPr>
          <w:rFonts w:hint="eastAsia" w:hAnsi="宋体" w:cs="宋体"/>
          <w:highlight w:val="none"/>
        </w:rPr>
        <w:t>。</w:t>
      </w:r>
    </w:p>
    <w:p>
      <w:pPr>
        <w:adjustRightInd w:val="0"/>
        <w:snapToGrid w:val="0"/>
        <w:spacing w:line="360" w:lineRule="auto"/>
        <w:ind w:firstLine="420" w:firstLineChars="175"/>
        <w:rPr>
          <w:rFonts w:hAnsi="宋体" w:cs="宋体"/>
          <w:bCs/>
          <w:highlight w:val="none"/>
        </w:rPr>
      </w:pPr>
      <w:r>
        <w:rPr>
          <w:rFonts w:hint="eastAsia" w:hAnsi="宋体" w:cs="宋体"/>
          <w:highlight w:val="none"/>
        </w:rPr>
        <w:t>6.（其他补充说明）。</w:t>
      </w:r>
    </w:p>
    <w:p>
      <w:pPr>
        <w:adjustRightInd w:val="0"/>
        <w:snapToGrid w:val="0"/>
        <w:spacing w:line="360" w:lineRule="auto"/>
        <w:ind w:firstLine="420" w:firstLineChars="175"/>
        <w:rPr>
          <w:rFonts w:hAnsi="宋体" w:cs="宋体"/>
          <w:bCs/>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322246741"/>
        </w:rPr>
        <w:t>投标</w:t>
      </w:r>
      <w:r>
        <w:rPr>
          <w:rFonts w:hint="eastAsia" w:ascii="Times New Roman"/>
          <w:bCs/>
          <w:spacing w:val="0"/>
          <w:kern w:val="0"/>
          <w:szCs w:val="24"/>
          <w:highlight w:val="none"/>
          <w:fitText w:val="1200" w:id="322246741"/>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u w:val="single"/>
        </w:rPr>
      </w:pPr>
      <w:r>
        <w:rPr>
          <w:rFonts w:hint="eastAsia" w:ascii="Times New Roman"/>
          <w:spacing w:val="0"/>
          <w:kern w:val="0"/>
          <w:szCs w:val="24"/>
          <w:highlight w:val="none"/>
          <w:fitText w:val="1200" w:id="1406673661"/>
        </w:rPr>
        <w:t>法定代表人</w:t>
      </w:r>
      <w:r>
        <w:rPr>
          <w:rFonts w:hint="eastAsia" w:ascii="Times New Roman"/>
          <w:szCs w:val="24"/>
          <w:highlight w:val="none"/>
        </w:rPr>
        <w:t>：（签字或盖章）</w:t>
      </w:r>
    </w:p>
    <w:p>
      <w:pPr>
        <w:adjustRightInd w:val="0"/>
        <w:snapToGrid w:val="0"/>
        <w:spacing w:line="360" w:lineRule="auto"/>
        <w:ind w:firstLine="1680" w:firstLineChars="175"/>
        <w:jc w:val="right"/>
        <w:rPr>
          <w:rFonts w:hAnsi="宋体" w:cs="宋体"/>
          <w:highlight w:val="none"/>
        </w:rPr>
      </w:pPr>
      <w:r>
        <w:rPr>
          <w:rFonts w:hint="eastAsia" w:ascii="Times New Roman"/>
          <w:bCs/>
          <w:spacing w:val="360"/>
          <w:kern w:val="0"/>
          <w:szCs w:val="24"/>
          <w:highlight w:val="none"/>
          <w:fitText w:val="1200" w:id="2121677919"/>
        </w:rPr>
        <w:t>日</w:t>
      </w:r>
      <w:r>
        <w:rPr>
          <w:rFonts w:hint="eastAsia" w:ascii="Times New Roman"/>
          <w:bCs/>
          <w:spacing w:val="0"/>
          <w:kern w:val="0"/>
          <w:szCs w:val="24"/>
          <w:highlight w:val="none"/>
          <w:fitText w:val="1200" w:id="2121677919"/>
        </w:rPr>
        <w:t>期</w:t>
      </w:r>
      <w:r>
        <w:rPr>
          <w:rFonts w:hint="eastAsia" w:ascii="Times New Roman"/>
          <w:szCs w:val="24"/>
          <w:highlight w:val="none"/>
        </w:rPr>
        <w:t>：年月</w:t>
      </w:r>
      <w:r>
        <w:rPr>
          <w:rFonts w:hint="eastAsia" w:hAnsi="宋体" w:cs="宋体"/>
          <w:highlight w:val="none"/>
        </w:rPr>
        <w:t>日</w:t>
      </w:r>
    </w:p>
    <w:p>
      <w:pPr>
        <w:pStyle w:val="4"/>
        <w:spacing w:beforeLines="100" w:afterLines="100" w:line="240" w:lineRule="auto"/>
        <w:jc w:val="center"/>
        <w:rPr>
          <w:rFonts w:ascii="Times New Roman" w:hAnsi="Times New Roman"/>
          <w:bCs w:val="0"/>
          <w:sz w:val="32"/>
          <w:szCs w:val="32"/>
          <w:highlight w:val="none"/>
        </w:rPr>
      </w:pPr>
      <w:r>
        <w:rPr>
          <w:rFonts w:hint="eastAsia" w:ascii="Times New Roman" w:hAnsi="Times New Roman"/>
          <w:highlight w:val="none"/>
        </w:rPr>
        <w:br w:type="page"/>
      </w:r>
      <w:r>
        <w:rPr>
          <w:rFonts w:hint="eastAsia" w:ascii="Times New Roman" w:hAnsi="Times New Roman"/>
          <w:highlight w:val="none"/>
        </w:rPr>
        <w:t>二、</w:t>
      </w:r>
      <w:bookmarkEnd w:id="965"/>
      <w:bookmarkEnd w:id="966"/>
      <w:bookmarkEnd w:id="967"/>
      <w:bookmarkEnd w:id="968"/>
      <w:r>
        <w:rPr>
          <w:rFonts w:hint="eastAsia" w:ascii="Times New Roman" w:hAnsi="Times New Roman"/>
          <w:highlight w:val="none"/>
        </w:rPr>
        <w:t>法定代表人身份证明或授权委托书</w:t>
      </w:r>
    </w:p>
    <w:p>
      <w:pPr>
        <w:spacing w:line="360" w:lineRule="auto"/>
        <w:ind w:firstLine="1159" w:firstLineChars="414"/>
        <w:rPr>
          <w:bCs/>
          <w:sz w:val="28"/>
          <w:szCs w:val="22"/>
          <w:highlight w:val="none"/>
        </w:rPr>
      </w:pPr>
    </w:p>
    <w:p>
      <w:pPr>
        <w:spacing w:line="360" w:lineRule="auto"/>
        <w:jc w:val="center"/>
        <w:outlineLvl w:val="3"/>
        <w:rPr>
          <w:rFonts w:ascii="黑体" w:hAnsi="黑体" w:eastAsia="黑体" w:cs="黑体"/>
          <w:bCs/>
          <w:highlight w:val="none"/>
        </w:rPr>
      </w:pPr>
      <w:r>
        <w:rPr>
          <w:rFonts w:hint="eastAsia" w:ascii="黑体" w:hAnsi="黑体" w:eastAsia="黑体" w:cs="黑体"/>
          <w:bCs/>
          <w:highlight w:val="none"/>
        </w:rPr>
        <w:t>法定代表人身份证明</w:t>
      </w:r>
    </w:p>
    <w:p>
      <w:pPr>
        <w:spacing w:line="360" w:lineRule="auto"/>
        <w:ind w:left="765"/>
        <w:rPr>
          <w:rFonts w:hAnsi="宋体" w:cs="宋体"/>
          <w:highlight w:val="none"/>
        </w:rPr>
      </w:pPr>
    </w:p>
    <w:p>
      <w:pPr>
        <w:spacing w:line="360" w:lineRule="auto"/>
        <w:rPr>
          <w:rFonts w:hAnsi="宋体" w:cs="宋体"/>
          <w:highlight w:val="none"/>
        </w:rPr>
      </w:pPr>
      <w:r>
        <w:rPr>
          <w:rFonts w:hint="eastAsia" w:hAnsi="宋体" w:cs="宋体"/>
          <w:highlight w:val="none"/>
        </w:rPr>
        <w:t>投 标 人：</w:t>
      </w:r>
    </w:p>
    <w:p>
      <w:pPr>
        <w:spacing w:line="360" w:lineRule="auto"/>
        <w:rPr>
          <w:rFonts w:hAnsi="宋体" w:cs="宋体"/>
          <w:highlight w:val="none"/>
        </w:rPr>
      </w:pPr>
      <w:r>
        <w:rPr>
          <w:rFonts w:hint="eastAsia" w:hAnsi="宋体" w:cs="宋体"/>
          <w:highlight w:val="none"/>
        </w:rPr>
        <w:t>单位性质：</w:t>
      </w:r>
    </w:p>
    <w:p>
      <w:pPr>
        <w:spacing w:line="360" w:lineRule="auto"/>
        <w:rPr>
          <w:rFonts w:hAnsi="宋体" w:cs="宋体"/>
          <w:highlight w:val="none"/>
        </w:rPr>
      </w:pPr>
      <w:r>
        <w:rPr>
          <w:rFonts w:hint="eastAsia" w:hAnsi="宋体" w:cs="宋体"/>
          <w:highlight w:val="none"/>
        </w:rPr>
        <w:t>地    址：</w:t>
      </w:r>
    </w:p>
    <w:p>
      <w:pPr>
        <w:spacing w:line="360" w:lineRule="auto"/>
        <w:rPr>
          <w:rFonts w:hAnsi="宋体" w:cs="宋体"/>
          <w:highlight w:val="none"/>
        </w:rPr>
      </w:pPr>
      <w:r>
        <w:rPr>
          <w:rFonts w:hint="eastAsia" w:hAnsi="宋体" w:cs="宋体"/>
          <w:highlight w:val="none"/>
        </w:rPr>
        <w:t>成立时间：年月日</w:t>
      </w:r>
    </w:p>
    <w:p>
      <w:pPr>
        <w:spacing w:line="360" w:lineRule="auto"/>
        <w:rPr>
          <w:rFonts w:hAnsi="宋体" w:cs="宋体"/>
          <w:highlight w:val="none"/>
        </w:rPr>
      </w:pPr>
      <w:r>
        <w:rPr>
          <w:rFonts w:hint="eastAsia" w:hAnsi="宋体" w:cs="宋体"/>
          <w:highlight w:val="none"/>
        </w:rPr>
        <w:t>经营期限：</w:t>
      </w:r>
    </w:p>
    <w:p>
      <w:pPr>
        <w:spacing w:line="360" w:lineRule="auto"/>
        <w:rPr>
          <w:rFonts w:hAnsi="宋体" w:cs="宋体"/>
          <w:highlight w:val="none"/>
        </w:rPr>
      </w:pPr>
      <w:r>
        <w:rPr>
          <w:rFonts w:hint="eastAsia" w:hAnsi="宋体" w:cs="宋体"/>
          <w:highlight w:val="none"/>
        </w:rPr>
        <w:t>姓    名：性        别：</w:t>
      </w:r>
    </w:p>
    <w:p>
      <w:pPr>
        <w:spacing w:line="360" w:lineRule="auto"/>
        <w:rPr>
          <w:rFonts w:hAnsi="宋体" w:cs="宋体"/>
          <w:highlight w:val="none"/>
          <w:u w:val="single"/>
        </w:rPr>
      </w:pPr>
      <w:r>
        <w:rPr>
          <w:rFonts w:hint="eastAsia" w:hAnsi="宋体" w:cs="宋体"/>
          <w:highlight w:val="none"/>
        </w:rPr>
        <w:t>年    龄：职        务：</w:t>
      </w:r>
    </w:p>
    <w:p>
      <w:pPr>
        <w:spacing w:line="360" w:lineRule="auto"/>
        <w:rPr>
          <w:highlight w:val="none"/>
        </w:rPr>
      </w:pPr>
      <w:r>
        <w:rPr>
          <w:rFonts w:hint="eastAsia" w:ascii="Times New Roman"/>
          <w:szCs w:val="24"/>
          <w:highlight w:val="none"/>
        </w:rPr>
        <w:t>联系电话：手 机  号 码：</w:t>
      </w:r>
    </w:p>
    <w:p>
      <w:pPr>
        <w:spacing w:line="360" w:lineRule="auto"/>
        <w:rPr>
          <w:rFonts w:hAnsi="宋体" w:cs="宋体"/>
          <w:highlight w:val="none"/>
        </w:rPr>
      </w:pPr>
      <w:r>
        <w:rPr>
          <w:rFonts w:hint="eastAsia" w:hAnsi="宋体" w:cs="宋体"/>
          <w:highlight w:val="none"/>
        </w:rPr>
        <w:t>系（投标人名称）的法定代表人。</w:t>
      </w:r>
    </w:p>
    <w:p>
      <w:pPr>
        <w:spacing w:line="360" w:lineRule="auto"/>
        <w:rPr>
          <w:rFonts w:hAnsi="宋体" w:cs="宋体"/>
          <w:highlight w:val="none"/>
        </w:rPr>
      </w:pPr>
      <w:r>
        <w:rPr>
          <w:rFonts w:hint="eastAsia" w:hAnsi="宋体" w:cs="宋体"/>
          <w:highlight w:val="none"/>
        </w:rPr>
        <w:t>特此证明。</w:t>
      </w:r>
    </w:p>
    <w:p>
      <w:pPr>
        <w:spacing w:line="360" w:lineRule="auto"/>
        <w:rPr>
          <w:rFonts w:hAnsi="宋体" w:cs="宋体"/>
          <w:highlight w:val="none"/>
        </w:rPr>
      </w:pPr>
      <w:r>
        <w:rPr>
          <w:rFonts w:hint="eastAsia" w:hAnsi="宋体" w:cs="宋体"/>
          <w:highlight w:val="none"/>
        </w:rPr>
        <w:t>附：法定代表人身份证正反面扫描件</w:t>
      </w:r>
    </w:p>
    <w:p>
      <w:pPr>
        <w:spacing w:line="360" w:lineRule="auto"/>
        <w:rPr>
          <w:rFonts w:hAnsi="宋体" w:cs="宋体"/>
          <w:highlight w:val="none"/>
        </w:rPr>
      </w:pPr>
    </w:p>
    <w:p>
      <w:pPr>
        <w:spacing w:line="360" w:lineRule="auto"/>
        <w:rPr>
          <w:rFonts w:hAnsi="宋体" w:cs="宋体"/>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1084178010"/>
        </w:rPr>
        <w:t>投标</w:t>
      </w:r>
      <w:r>
        <w:rPr>
          <w:rFonts w:hint="eastAsia" w:ascii="Times New Roman"/>
          <w:bCs/>
          <w:spacing w:val="0"/>
          <w:kern w:val="0"/>
          <w:szCs w:val="24"/>
          <w:highlight w:val="none"/>
          <w:fitText w:val="1200" w:id="1084178010"/>
        </w:rPr>
        <w:t>人</w:t>
      </w:r>
      <w:r>
        <w:rPr>
          <w:rFonts w:hint="eastAsia" w:ascii="Times New Roman"/>
          <w:bCs/>
          <w:szCs w:val="24"/>
          <w:highlight w:val="none"/>
        </w:rPr>
        <w:t>：（盖单位章）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1440298670"/>
        </w:rPr>
        <w:t>日</w:t>
      </w:r>
      <w:r>
        <w:rPr>
          <w:rFonts w:hint="eastAsia" w:ascii="Times New Roman"/>
          <w:bCs/>
          <w:spacing w:val="0"/>
          <w:kern w:val="0"/>
          <w:szCs w:val="24"/>
          <w:highlight w:val="none"/>
          <w:fitText w:val="1200" w:id="1440298670"/>
        </w:rPr>
        <w:t>期</w:t>
      </w:r>
      <w:r>
        <w:rPr>
          <w:rFonts w:hint="eastAsia" w:ascii="Times New Roman"/>
          <w:szCs w:val="24"/>
          <w:highlight w:val="none"/>
        </w:rPr>
        <w:t>：年月日</w:t>
      </w:r>
    </w:p>
    <w:p>
      <w:pPr>
        <w:spacing w:beforeLines="20" w:afterLines="20" w:line="540" w:lineRule="exact"/>
        <w:ind w:firstLine="3840" w:firstLineChars="1600"/>
        <w:rPr>
          <w:szCs w:val="22"/>
          <w:highlight w:val="none"/>
        </w:rPr>
      </w:pPr>
    </w:p>
    <w:p>
      <w:pPr>
        <w:spacing w:beforeLines="20" w:afterLines="20" w:line="540" w:lineRule="exact"/>
        <w:rPr>
          <w:bCs/>
          <w:szCs w:val="22"/>
          <w:highlight w:val="none"/>
        </w:rPr>
      </w:pPr>
    </w:p>
    <w:p>
      <w:pPr>
        <w:spacing w:beforeLines="20" w:afterLines="20" w:line="540" w:lineRule="exact"/>
        <w:rPr>
          <w:bCs/>
          <w:szCs w:val="22"/>
          <w:highlight w:val="none"/>
        </w:rPr>
      </w:pPr>
    </w:p>
    <w:p>
      <w:pPr>
        <w:spacing w:beforeLines="20" w:afterLines="20" w:line="540" w:lineRule="exact"/>
        <w:rPr>
          <w:bCs/>
          <w:szCs w:val="22"/>
          <w:highlight w:val="none"/>
        </w:rPr>
      </w:pPr>
    </w:p>
    <w:bookmarkEnd w:id="969"/>
    <w:p>
      <w:pPr>
        <w:jc w:val="center"/>
        <w:outlineLvl w:val="3"/>
        <w:rPr>
          <w:sz w:val="32"/>
          <w:szCs w:val="32"/>
          <w:highlight w:val="none"/>
        </w:rPr>
      </w:pPr>
      <w:bookmarkStart w:id="973" w:name="_Toc535241084"/>
      <w:bookmarkStart w:id="974" w:name="_Toc535241227"/>
      <w:bookmarkStart w:id="975" w:name="_Toc535241130"/>
      <w:bookmarkStart w:id="976" w:name="_Toc224103498"/>
      <w:bookmarkStart w:id="977" w:name="_Toc224103497"/>
      <w:r>
        <w:rPr>
          <w:sz w:val="32"/>
          <w:szCs w:val="32"/>
          <w:highlight w:val="none"/>
        </w:rPr>
        <w:br w:type="page"/>
      </w:r>
      <w:r>
        <w:rPr>
          <w:rFonts w:hint="eastAsia" w:eastAsia="黑体"/>
          <w:bCs/>
          <w:highlight w:val="none"/>
        </w:rPr>
        <w:t>授权委托书</w:t>
      </w:r>
      <w:bookmarkEnd w:id="973"/>
      <w:bookmarkEnd w:id="974"/>
      <w:bookmarkEnd w:id="975"/>
    </w:p>
    <w:p>
      <w:pPr>
        <w:rPr>
          <w:highlight w:val="none"/>
        </w:rPr>
      </w:pPr>
    </w:p>
    <w:p>
      <w:pPr>
        <w:snapToGrid w:val="0"/>
        <w:spacing w:line="360" w:lineRule="auto"/>
        <w:ind w:firstLine="480" w:firstLineChars="200"/>
        <w:jc w:val="left"/>
        <w:rPr>
          <w:rFonts w:hAnsi="宋体" w:cs="宋体"/>
          <w:highlight w:val="none"/>
        </w:rPr>
      </w:pPr>
      <w:r>
        <w:rPr>
          <w:rFonts w:hint="eastAsia" w:hAnsi="宋体" w:cs="宋体"/>
          <w:highlight w:val="none"/>
        </w:rPr>
        <w:t>本人（姓名）系（投标人名称）的法定代表人，现委托（姓名）为我方代理人。代理人根据授权，以我方名义签署、澄清、说明、补正、递交、撤回、修改</w:t>
      </w:r>
      <w:r>
        <w:rPr>
          <w:rFonts w:hint="eastAsia" w:hAnsi="宋体"/>
          <w:highlight w:val="none"/>
          <w:u w:val="single"/>
        </w:rPr>
        <w:t>（招标项目名称）</w:t>
      </w:r>
      <w:r>
        <w:rPr>
          <w:rFonts w:hint="eastAsia" w:hAnsi="宋体"/>
          <w:highlight w:val="none"/>
        </w:rPr>
        <w:t>标段</w:t>
      </w:r>
      <w:r>
        <w:rPr>
          <w:rFonts w:hint="eastAsia" w:hAnsi="宋体" w:cs="宋体"/>
          <w:highlight w:val="none"/>
        </w:rPr>
        <w:t>投标文件、签订合同和处理有关事宜，其法律后果由我方承担。</w:t>
      </w:r>
    </w:p>
    <w:p>
      <w:pPr>
        <w:snapToGrid w:val="0"/>
        <w:spacing w:line="360" w:lineRule="auto"/>
        <w:ind w:firstLine="480" w:firstLineChars="200"/>
        <w:rPr>
          <w:rFonts w:hAnsi="宋体" w:cs="宋体"/>
          <w:highlight w:val="none"/>
        </w:rPr>
      </w:pPr>
      <w:r>
        <w:rPr>
          <w:rFonts w:hint="eastAsia" w:hAnsi="宋体" w:cs="宋体"/>
          <w:highlight w:val="none"/>
        </w:rPr>
        <w:t>委托期限：</w:t>
      </w:r>
      <w:r>
        <w:rPr>
          <w:rFonts w:hint="eastAsia" w:ascii="Times New Roman"/>
          <w:szCs w:val="24"/>
          <w:highlight w:val="none"/>
          <w:u w:val="single"/>
        </w:rPr>
        <w:t>自本委托书签署之日起至投标有效期期满</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代理人无转委托权。</w:t>
      </w:r>
    </w:p>
    <w:p>
      <w:pPr>
        <w:snapToGrid w:val="0"/>
        <w:spacing w:line="360" w:lineRule="auto"/>
        <w:ind w:firstLine="480" w:firstLineChars="200"/>
        <w:rPr>
          <w:rFonts w:hAnsi="宋体" w:cs="宋体"/>
          <w:highlight w:val="none"/>
        </w:rPr>
      </w:pPr>
      <w:r>
        <w:rPr>
          <w:rFonts w:hint="eastAsia" w:hAnsi="宋体" w:cs="宋体"/>
          <w:highlight w:val="none"/>
        </w:rPr>
        <w:t>附：法定代表人身份证明</w:t>
      </w:r>
    </w:p>
    <w:p>
      <w:pPr>
        <w:spacing w:line="360" w:lineRule="auto"/>
        <w:rPr>
          <w:rFonts w:hAnsi="宋体" w:cs="宋体"/>
          <w:highlight w:val="none"/>
        </w:rPr>
      </w:pPr>
      <w:r>
        <w:rPr>
          <w:rFonts w:hint="eastAsia" w:hAnsi="宋体" w:cs="宋体"/>
          <w:highlight w:val="none"/>
        </w:rPr>
        <w:t xml:space="preserve">        代理人身份证正反面扫描件</w:t>
      </w: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596266111"/>
        </w:rPr>
        <w:t>投标</w:t>
      </w:r>
      <w:r>
        <w:rPr>
          <w:rFonts w:hint="eastAsia" w:ascii="Times New Roman"/>
          <w:bCs/>
          <w:spacing w:val="0"/>
          <w:kern w:val="0"/>
          <w:szCs w:val="24"/>
          <w:highlight w:val="none"/>
          <w:fitText w:val="1200" w:id="596266111"/>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u w:val="single"/>
        </w:rPr>
      </w:pPr>
      <w:r>
        <w:rPr>
          <w:rFonts w:hint="eastAsia" w:ascii="Times New Roman"/>
          <w:spacing w:val="0"/>
          <w:kern w:val="0"/>
          <w:szCs w:val="24"/>
          <w:highlight w:val="none"/>
          <w:fitText w:val="1200" w:id="351995689"/>
        </w:rPr>
        <w:t>法定代表人</w:t>
      </w:r>
      <w:r>
        <w:rPr>
          <w:rFonts w:hint="eastAsia" w:ascii="Times New Roman"/>
          <w:szCs w:val="24"/>
          <w:highlight w:val="none"/>
        </w:rPr>
        <w:t>：（签字或盖章）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1085679782"/>
        </w:rPr>
        <w:t>日</w:t>
      </w:r>
      <w:r>
        <w:rPr>
          <w:rFonts w:hint="eastAsia" w:ascii="Times New Roman"/>
          <w:bCs/>
          <w:spacing w:val="0"/>
          <w:kern w:val="0"/>
          <w:szCs w:val="24"/>
          <w:highlight w:val="none"/>
          <w:fitText w:val="1200" w:id="1085679782"/>
        </w:rPr>
        <w:t>期</w:t>
      </w:r>
      <w:r>
        <w:rPr>
          <w:rFonts w:hint="eastAsia" w:ascii="Times New Roman"/>
          <w:szCs w:val="24"/>
          <w:highlight w:val="none"/>
        </w:rPr>
        <w:t>：年月日</w:t>
      </w:r>
    </w:p>
    <w:p>
      <w:pPr>
        <w:autoSpaceDE w:val="0"/>
        <w:autoSpaceDN w:val="0"/>
        <w:adjustRightInd w:val="0"/>
        <w:snapToGrid w:val="0"/>
        <w:spacing w:line="360" w:lineRule="auto"/>
        <w:jc w:val="left"/>
        <w:rPr>
          <w:rFonts w:hAnsi="宋体" w:cs="宋体"/>
          <w:highlight w:val="none"/>
        </w:rPr>
      </w:pPr>
    </w:p>
    <w:p>
      <w:pPr>
        <w:tabs>
          <w:tab w:val="left" w:pos="5760"/>
        </w:tabs>
        <w:autoSpaceDE w:val="0"/>
        <w:autoSpaceDN w:val="0"/>
        <w:adjustRightInd w:val="0"/>
        <w:spacing w:line="360" w:lineRule="auto"/>
        <w:ind w:right="11" w:firstLine="480" w:firstLineChars="200"/>
        <w:rPr>
          <w:rFonts w:hAnsi="宋体" w:cs="宋体"/>
          <w:highlight w:val="none"/>
        </w:rPr>
      </w:pPr>
      <w:r>
        <w:rPr>
          <w:rFonts w:hint="eastAsia" w:hAnsi="宋体" w:cs="宋体"/>
          <w:highlight w:val="none"/>
        </w:rPr>
        <w:t>注：</w:t>
      </w:r>
    </w:p>
    <w:bookmarkEnd w:id="976"/>
    <w:bookmarkEnd w:id="977"/>
    <w:p>
      <w:pPr>
        <w:spacing w:line="360" w:lineRule="auto"/>
        <w:ind w:firstLine="480" w:firstLineChars="200"/>
        <w:rPr>
          <w:rFonts w:hAnsi="宋体" w:cs="宋体"/>
          <w:bCs/>
          <w:highlight w:val="none"/>
        </w:rPr>
      </w:pPr>
      <w:bookmarkStart w:id="978" w:name="_Toc390411622"/>
      <w:bookmarkStart w:id="979" w:name="_Toc224103499"/>
      <w:bookmarkStart w:id="980" w:name="_Toc460660224"/>
      <w:bookmarkStart w:id="981" w:name="_Toc421917002"/>
      <w:bookmarkStart w:id="982" w:name="_Toc460227109"/>
      <w:r>
        <w:rPr>
          <w:rFonts w:hint="eastAsia" w:hAnsi="宋体" w:cs="宋体"/>
          <w:bCs/>
          <w:highlight w:val="none"/>
        </w:rPr>
        <w:t>法定代表人参加投标活动并签署文件的不需要授权委托书，只需提供法定代表人身份证明；</w:t>
      </w:r>
    </w:p>
    <w:p>
      <w:pPr>
        <w:spacing w:line="360" w:lineRule="auto"/>
        <w:ind w:firstLine="480" w:firstLineChars="200"/>
        <w:rPr>
          <w:rFonts w:hAnsi="宋体" w:cs="宋体"/>
          <w:bCs/>
          <w:highlight w:val="none"/>
        </w:rPr>
      </w:pPr>
      <w:r>
        <w:rPr>
          <w:rFonts w:hint="eastAsia" w:hAnsi="宋体" w:cs="宋体"/>
          <w:bCs/>
          <w:highlight w:val="none"/>
        </w:rPr>
        <w:t>非法定代表人参加投标活动及签署文件的还须提供授权委托书</w:t>
      </w:r>
      <w:bookmarkStart w:id="983" w:name="_Toc535241131"/>
      <w:bookmarkStart w:id="984" w:name="_Toc535241085"/>
      <w:bookmarkStart w:id="985" w:name="_Toc535241228"/>
      <w:r>
        <w:rPr>
          <w:rFonts w:hint="eastAsia" w:hAnsi="宋体" w:cs="宋体"/>
          <w:bCs/>
          <w:highlight w:val="none"/>
        </w:rPr>
        <w:t>。</w:t>
      </w:r>
    </w:p>
    <w:p>
      <w:pPr>
        <w:pStyle w:val="4"/>
        <w:jc w:val="center"/>
        <w:rPr>
          <w:highlight w:val="none"/>
        </w:rPr>
      </w:pPr>
      <w:r>
        <w:rPr>
          <w:rFonts w:ascii="宋体" w:hAnsi="宋体" w:eastAsia="宋体" w:cs="宋体"/>
          <w:highlight w:val="none"/>
        </w:rPr>
        <w:br w:type="page"/>
      </w:r>
      <w:r>
        <w:rPr>
          <w:rFonts w:hint="eastAsia"/>
          <w:highlight w:val="none"/>
        </w:rPr>
        <w:t>三、联合体协议书</w:t>
      </w:r>
      <w:bookmarkEnd w:id="978"/>
      <w:bookmarkEnd w:id="979"/>
      <w:bookmarkEnd w:id="980"/>
      <w:bookmarkEnd w:id="981"/>
      <w:bookmarkEnd w:id="982"/>
      <w:bookmarkEnd w:id="983"/>
      <w:bookmarkEnd w:id="984"/>
      <w:bookmarkEnd w:id="985"/>
      <w:r>
        <w:rPr>
          <w:rFonts w:hint="eastAsia"/>
          <w:highlight w:val="none"/>
        </w:rPr>
        <w:t>（如有）</w:t>
      </w:r>
    </w:p>
    <w:p>
      <w:pPr>
        <w:spacing w:line="360" w:lineRule="auto"/>
        <w:rPr>
          <w:rFonts w:hAnsi="宋体" w:cs="宋体"/>
          <w:highlight w:val="none"/>
        </w:rPr>
      </w:pPr>
      <w:bookmarkStart w:id="986" w:name="_Toc460660225"/>
      <w:bookmarkStart w:id="987" w:name="_Toc460227110"/>
      <w:r>
        <w:rPr>
          <w:rFonts w:hint="eastAsia" w:hAnsi="宋体" w:cs="宋体"/>
          <w:highlight w:val="none"/>
        </w:rPr>
        <w:t>牵头人（成员一）名称：</w:t>
      </w:r>
    </w:p>
    <w:p>
      <w:pPr>
        <w:spacing w:line="360" w:lineRule="auto"/>
        <w:rPr>
          <w:rFonts w:hAnsi="宋体" w:cs="宋体"/>
          <w:highlight w:val="none"/>
        </w:rPr>
      </w:pPr>
      <w:r>
        <w:rPr>
          <w:rFonts w:hint="eastAsia" w:hAnsi="宋体" w:cs="宋体"/>
          <w:highlight w:val="none"/>
        </w:rPr>
        <w:t>法定代表人：</w:t>
      </w:r>
    </w:p>
    <w:p>
      <w:pPr>
        <w:spacing w:line="360" w:lineRule="auto"/>
        <w:rPr>
          <w:rFonts w:hAnsi="宋体" w:cs="宋体"/>
          <w:highlight w:val="none"/>
        </w:rPr>
      </w:pPr>
      <w:r>
        <w:rPr>
          <w:rFonts w:hint="eastAsia" w:hAnsi="宋体" w:cs="宋体"/>
          <w:highlight w:val="none"/>
        </w:rPr>
        <w:t>法定住所：</w:t>
      </w:r>
    </w:p>
    <w:p>
      <w:pPr>
        <w:spacing w:line="360" w:lineRule="auto"/>
        <w:rPr>
          <w:rFonts w:hAnsi="宋体" w:cs="宋体"/>
          <w:highlight w:val="none"/>
        </w:rPr>
      </w:pPr>
      <w:r>
        <w:rPr>
          <w:rFonts w:hint="eastAsia" w:hAnsi="宋体" w:cs="宋体"/>
          <w:highlight w:val="none"/>
        </w:rPr>
        <w:t>成员二名称：</w:t>
      </w:r>
    </w:p>
    <w:p>
      <w:pPr>
        <w:spacing w:line="360" w:lineRule="auto"/>
        <w:rPr>
          <w:rFonts w:hAnsi="宋体" w:cs="宋体"/>
          <w:highlight w:val="none"/>
        </w:rPr>
      </w:pPr>
      <w:r>
        <w:rPr>
          <w:rFonts w:hint="eastAsia" w:hAnsi="宋体" w:cs="宋体"/>
          <w:highlight w:val="none"/>
        </w:rPr>
        <w:t>法定代表人：</w:t>
      </w:r>
    </w:p>
    <w:p>
      <w:pPr>
        <w:spacing w:line="360" w:lineRule="auto"/>
        <w:rPr>
          <w:rFonts w:hAnsi="宋体" w:cs="宋体"/>
          <w:highlight w:val="none"/>
          <w:u w:val="single"/>
        </w:rPr>
      </w:pPr>
      <w:r>
        <w:rPr>
          <w:rFonts w:hint="eastAsia" w:hAnsi="宋体" w:cs="宋体"/>
          <w:highlight w:val="none"/>
        </w:rPr>
        <w:t>法定住所：</w:t>
      </w:r>
    </w:p>
    <w:p>
      <w:pPr>
        <w:topLinePunct/>
        <w:spacing w:line="360" w:lineRule="auto"/>
        <w:ind w:firstLine="480" w:firstLineChars="200"/>
        <w:rPr>
          <w:rFonts w:hAnsi="宋体" w:cs="宋体"/>
          <w:szCs w:val="24"/>
          <w:highlight w:val="none"/>
        </w:rPr>
      </w:pPr>
      <w:r>
        <w:rPr>
          <w:rFonts w:hint="eastAsia" w:ascii="Times New Roman"/>
          <w:szCs w:val="24"/>
          <w:highlight w:val="none"/>
        </w:rPr>
        <w:t>鉴于上述各成员单位经过友好协商，自愿组成（联合体名称）联合体，共同参加（招标人名称）（以下简称招标人）</w:t>
      </w:r>
      <w:r>
        <w:rPr>
          <w:rFonts w:hint="eastAsia" w:ascii="Times New Roman"/>
          <w:szCs w:val="24"/>
          <w:highlight w:val="none"/>
          <w:u w:val="single"/>
        </w:rPr>
        <w:t>（招标项目名称）</w:t>
      </w:r>
      <w:r>
        <w:rPr>
          <w:rFonts w:hint="eastAsia" w:ascii="Times New Roman"/>
          <w:szCs w:val="24"/>
          <w:highlight w:val="none"/>
        </w:rPr>
        <w:t>标段（以下简称本项目）的投标并争取赢得本项目合同（以下简称合同）。现就联合体投标事宜订立如下协议：</w:t>
      </w:r>
    </w:p>
    <w:p>
      <w:pPr>
        <w:topLinePunct/>
        <w:spacing w:line="360" w:lineRule="auto"/>
        <w:ind w:firstLine="480" w:firstLineChars="200"/>
        <w:rPr>
          <w:rFonts w:hAnsi="宋体" w:cs="宋体"/>
          <w:highlight w:val="none"/>
        </w:rPr>
      </w:pPr>
      <w:r>
        <w:rPr>
          <w:rFonts w:hint="eastAsia" w:hAnsi="宋体" w:cs="宋体"/>
          <w:highlight w:val="none"/>
        </w:rPr>
        <w:t>1.（某成员单位名称）为（联合体名称）牵头人。</w:t>
      </w:r>
    </w:p>
    <w:p>
      <w:pPr>
        <w:spacing w:line="360" w:lineRule="auto"/>
        <w:ind w:firstLine="480" w:firstLineChars="200"/>
        <w:rPr>
          <w:rFonts w:ascii="Times New Roman"/>
          <w:szCs w:val="24"/>
          <w:highlight w:val="none"/>
        </w:rPr>
      </w:pPr>
      <w:r>
        <w:rPr>
          <w:rFonts w:hint="eastAsia" w:ascii="Times New Roman"/>
          <w:szCs w:val="24"/>
          <w:highlight w:val="none"/>
        </w:rPr>
        <w:t>2.在本项目投标阶段，联合体牵头人合法代表联合体各成员负责本工程投标文件编制活动，代表联合体提交和接收相关的资料、信息及指示，并处理与投标和中标有关的一切事务</w:t>
      </w:r>
      <w:r>
        <w:rPr>
          <w:rFonts w:hint="eastAsia" w:hAnsi="宋体"/>
          <w:szCs w:val="21"/>
          <w:highlight w:val="none"/>
        </w:rPr>
        <w:t>（联合体牵头单位针对招标文件所作出的响应，视同联合体所有成员的共同响应）</w:t>
      </w:r>
      <w:r>
        <w:rPr>
          <w:rFonts w:hint="eastAsia" w:ascii="Times New Roman"/>
          <w:szCs w:val="24"/>
          <w:highlight w:val="none"/>
        </w:rPr>
        <w:t>；联合体中标后，联合体牵头人负责合同订立和合同实施阶段的主办、组织和协调工作。</w:t>
      </w:r>
    </w:p>
    <w:p>
      <w:pPr>
        <w:spacing w:line="360" w:lineRule="auto"/>
        <w:ind w:firstLine="480" w:firstLineChars="200"/>
        <w:rPr>
          <w:rFonts w:ascii="Times New Roman"/>
          <w:szCs w:val="24"/>
          <w:highlight w:val="none"/>
        </w:rPr>
      </w:pPr>
      <w:r>
        <w:rPr>
          <w:rFonts w:hint="eastAsia" w:ascii="Times New Roman"/>
          <w:szCs w:val="24"/>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topLinePunct/>
        <w:spacing w:line="360" w:lineRule="auto"/>
        <w:ind w:firstLine="480" w:firstLineChars="200"/>
        <w:rPr>
          <w:rFonts w:hAnsi="宋体" w:cs="宋体"/>
          <w:highlight w:val="none"/>
        </w:rPr>
      </w:pPr>
      <w:r>
        <w:rPr>
          <w:rFonts w:hint="eastAsia" w:hAnsi="宋体" w:cs="宋体"/>
          <w:highlight w:val="none"/>
        </w:rPr>
        <w:t>4.联合体各成员单位内部的职责分工如下：</w:t>
      </w:r>
    </w:p>
    <w:p>
      <w:pPr>
        <w:tabs>
          <w:tab w:val="left" w:pos="6300"/>
          <w:tab w:val="left" w:pos="8295"/>
        </w:tabs>
        <w:autoSpaceDE w:val="0"/>
        <w:autoSpaceDN w:val="0"/>
        <w:adjustRightInd w:val="0"/>
        <w:snapToGrid w:val="0"/>
        <w:spacing w:line="360" w:lineRule="auto"/>
        <w:ind w:left="840" w:leftChars="200" w:hanging="360" w:hangingChars="150"/>
        <w:jc w:val="left"/>
        <w:rPr>
          <w:rFonts w:hAnsi="宋体" w:cs="宋体"/>
          <w:snapToGrid w:val="0"/>
          <w:highlight w:val="none"/>
        </w:rPr>
      </w:pPr>
      <w:r>
        <w:rPr>
          <w:rFonts w:hint="eastAsia" w:hAnsi="宋体" w:cs="宋体"/>
          <w:highlight w:val="none"/>
        </w:rPr>
        <w:t>牵头人（成员一）</w:t>
      </w:r>
      <w:r>
        <w:rPr>
          <w:rFonts w:hint="eastAsia" w:hAnsi="宋体" w:cs="宋体"/>
          <w:snapToGrid w:val="0"/>
          <w:highlight w:val="none"/>
        </w:rPr>
        <w:t>名称：，承担；</w:t>
      </w:r>
    </w:p>
    <w:p>
      <w:pPr>
        <w:spacing w:line="360" w:lineRule="auto"/>
        <w:ind w:firstLine="480" w:firstLineChars="200"/>
        <w:rPr>
          <w:rFonts w:hAnsi="宋体" w:cs="宋体"/>
          <w:snapToGrid w:val="0"/>
          <w:highlight w:val="none"/>
        </w:rPr>
      </w:pPr>
      <w:r>
        <w:rPr>
          <w:rFonts w:hint="eastAsia" w:hAnsi="宋体" w:cs="宋体"/>
          <w:snapToGrid w:val="0"/>
          <w:highlight w:val="none"/>
        </w:rPr>
        <w:t>成员二名称： ，承担；</w:t>
      </w:r>
    </w:p>
    <w:p>
      <w:pPr>
        <w:spacing w:line="360" w:lineRule="auto"/>
        <w:ind w:firstLine="480" w:firstLineChars="200"/>
        <w:rPr>
          <w:rFonts w:hAnsi="宋体" w:cs="宋体"/>
          <w:highlight w:val="none"/>
        </w:rPr>
      </w:pPr>
      <w:r>
        <w:rPr>
          <w:rFonts w:hint="eastAsia" w:hAnsi="宋体" w:cs="宋体"/>
          <w:snapToGrid w:val="0"/>
          <w:highlight w:val="none"/>
        </w:rPr>
        <w:t>……。</w:t>
      </w:r>
    </w:p>
    <w:p>
      <w:pPr>
        <w:topLinePunct/>
        <w:spacing w:line="360" w:lineRule="auto"/>
        <w:ind w:firstLine="480" w:firstLineChars="200"/>
        <w:rPr>
          <w:rFonts w:hAnsi="宋体" w:cs="宋体"/>
          <w:highlight w:val="none"/>
        </w:rPr>
      </w:pPr>
      <w:r>
        <w:rPr>
          <w:rFonts w:hint="eastAsia" w:hAnsi="宋体" w:cs="宋体"/>
          <w:highlight w:val="none"/>
        </w:rPr>
        <w:t>5.投标工作和联合体在中标后工程实施过程中的有关费用按照各自承担的工作量分摊。</w:t>
      </w:r>
    </w:p>
    <w:p>
      <w:pPr>
        <w:topLinePunct/>
        <w:spacing w:line="360" w:lineRule="auto"/>
        <w:ind w:firstLine="480" w:firstLineChars="200"/>
        <w:rPr>
          <w:rFonts w:hAnsi="宋体" w:cs="宋体"/>
          <w:highlight w:val="none"/>
        </w:rPr>
      </w:pPr>
      <w:r>
        <w:rPr>
          <w:rFonts w:hint="eastAsia" w:hAnsi="宋体" w:cs="宋体"/>
          <w:highlight w:val="none"/>
        </w:rPr>
        <w:t>6.联合体中标后，本联合体协议是合同的附件，对联合体各成员单位有合同约束力。</w:t>
      </w:r>
    </w:p>
    <w:p>
      <w:pPr>
        <w:topLinePunct/>
        <w:spacing w:line="360" w:lineRule="auto"/>
        <w:ind w:firstLine="480" w:firstLineChars="200"/>
        <w:rPr>
          <w:rFonts w:hAnsi="宋体" w:cs="宋体"/>
          <w:highlight w:val="none"/>
        </w:rPr>
      </w:pPr>
      <w:r>
        <w:rPr>
          <w:rFonts w:hint="eastAsia" w:hAnsi="宋体" w:cs="宋体"/>
          <w:highlight w:val="none"/>
        </w:rPr>
        <w:t>7.本协议书自签署之日起生效，联合体未中标或者合同履行完毕后自动失效。</w:t>
      </w:r>
    </w:p>
    <w:p>
      <w:pPr>
        <w:topLinePunct/>
        <w:spacing w:line="360" w:lineRule="auto"/>
        <w:ind w:firstLine="480" w:firstLineChars="200"/>
        <w:rPr>
          <w:rFonts w:hAnsi="宋体" w:cs="宋体"/>
          <w:highlight w:val="none"/>
        </w:rPr>
      </w:pPr>
      <w:r>
        <w:rPr>
          <w:rFonts w:hint="eastAsia" w:hAnsi="宋体" w:cs="宋体"/>
          <w:highlight w:val="none"/>
        </w:rPr>
        <w:t>8.本协议书一式份，联合体成员和招标人各执一份。</w:t>
      </w:r>
    </w:p>
    <w:p>
      <w:pPr>
        <w:topLinePunct/>
        <w:spacing w:line="360" w:lineRule="auto"/>
        <w:ind w:firstLine="480" w:firstLineChars="200"/>
        <w:rPr>
          <w:rFonts w:hAnsi="宋体" w:cs="宋体"/>
          <w:highlight w:val="none"/>
        </w:rPr>
      </w:pPr>
    </w:p>
    <w:p>
      <w:pPr>
        <w:spacing w:line="360" w:lineRule="auto"/>
        <w:rPr>
          <w:rFonts w:hAnsi="宋体" w:cs="宋体"/>
          <w:highlight w:val="none"/>
        </w:rPr>
      </w:pPr>
    </w:p>
    <w:p>
      <w:pPr>
        <w:spacing w:line="360" w:lineRule="auto"/>
        <w:ind w:firstLine="2040" w:firstLineChars="850"/>
        <w:rPr>
          <w:rFonts w:ascii="Times New Roman"/>
          <w:szCs w:val="24"/>
          <w:highlight w:val="none"/>
        </w:rPr>
      </w:pPr>
      <w:r>
        <w:rPr>
          <w:rFonts w:hint="eastAsia" w:ascii="Times New Roman"/>
          <w:szCs w:val="24"/>
          <w:highlight w:val="none"/>
        </w:rPr>
        <w:t>牵头人（成员一）名称：（盖单位章）</w:t>
      </w:r>
    </w:p>
    <w:p>
      <w:pPr>
        <w:spacing w:line="360" w:lineRule="auto"/>
        <w:ind w:firstLine="2040" w:firstLineChars="850"/>
        <w:rPr>
          <w:rFonts w:ascii="Times New Roman"/>
          <w:szCs w:val="24"/>
          <w:highlight w:val="none"/>
        </w:rPr>
      </w:pPr>
      <w:r>
        <w:rPr>
          <w:rFonts w:hint="eastAsia" w:ascii="Times New Roman"/>
          <w:szCs w:val="24"/>
          <w:highlight w:val="none"/>
        </w:rPr>
        <w:t>法定代表人：（签字或盖章）</w:t>
      </w:r>
    </w:p>
    <w:p>
      <w:pPr>
        <w:spacing w:line="360" w:lineRule="auto"/>
        <w:ind w:firstLine="2040" w:firstLineChars="850"/>
        <w:rPr>
          <w:rFonts w:ascii="Times New Roman"/>
          <w:szCs w:val="24"/>
          <w:highlight w:val="none"/>
        </w:rPr>
      </w:pPr>
    </w:p>
    <w:p>
      <w:pPr>
        <w:spacing w:line="360" w:lineRule="auto"/>
        <w:ind w:firstLine="2040" w:firstLineChars="850"/>
        <w:rPr>
          <w:rFonts w:ascii="Times New Roman"/>
          <w:szCs w:val="24"/>
          <w:highlight w:val="none"/>
        </w:rPr>
      </w:pPr>
      <w:r>
        <w:rPr>
          <w:rFonts w:hint="eastAsia" w:ascii="Times New Roman"/>
          <w:szCs w:val="24"/>
          <w:highlight w:val="none"/>
        </w:rPr>
        <w:t>成员二名称：（盖单位章）</w:t>
      </w:r>
    </w:p>
    <w:p>
      <w:pPr>
        <w:spacing w:line="360" w:lineRule="auto"/>
        <w:ind w:firstLine="2040" w:firstLineChars="850"/>
        <w:rPr>
          <w:rFonts w:ascii="Times New Roman"/>
          <w:szCs w:val="24"/>
          <w:highlight w:val="none"/>
        </w:rPr>
      </w:pPr>
      <w:r>
        <w:rPr>
          <w:rFonts w:hint="eastAsia" w:ascii="Times New Roman"/>
          <w:szCs w:val="24"/>
          <w:highlight w:val="none"/>
        </w:rPr>
        <w:t>法定代表人：（签字或盖章）</w:t>
      </w:r>
    </w:p>
    <w:p>
      <w:pPr>
        <w:spacing w:line="360" w:lineRule="auto"/>
        <w:ind w:firstLine="2400" w:firstLineChars="1000"/>
        <w:rPr>
          <w:rFonts w:ascii="Times New Roman"/>
          <w:szCs w:val="24"/>
          <w:highlight w:val="none"/>
        </w:rPr>
      </w:pPr>
      <w:r>
        <w:rPr>
          <w:rFonts w:hint="eastAsia" w:ascii="Times New Roman"/>
          <w:szCs w:val="24"/>
          <w:highlight w:val="none"/>
        </w:rPr>
        <w:t>……</w:t>
      </w:r>
    </w:p>
    <w:p>
      <w:pPr>
        <w:wordWrap w:val="0"/>
        <w:spacing w:line="360" w:lineRule="auto"/>
        <w:jc w:val="right"/>
        <w:rPr>
          <w:szCs w:val="21"/>
          <w:highlight w:val="none"/>
        </w:rPr>
      </w:pPr>
      <w:r>
        <w:rPr>
          <w:rFonts w:hint="eastAsia" w:ascii="Times New Roman"/>
          <w:szCs w:val="24"/>
          <w:highlight w:val="none"/>
        </w:rPr>
        <w:t>年月日</w:t>
      </w:r>
    </w:p>
    <w:p>
      <w:pPr>
        <w:jc w:val="center"/>
        <w:rPr>
          <w:szCs w:val="21"/>
          <w:highlight w:val="none"/>
        </w:rPr>
      </w:pPr>
    </w:p>
    <w:p>
      <w:pPr>
        <w:pStyle w:val="4"/>
        <w:jc w:val="center"/>
        <w:rPr>
          <w:rFonts w:ascii="Times New Roman" w:hAnsi="Times New Roman"/>
          <w:highlight w:val="none"/>
        </w:rPr>
      </w:pPr>
      <w:r>
        <w:rPr>
          <w:rFonts w:ascii="Times New Roman" w:hAnsi="Times New Roman"/>
          <w:szCs w:val="22"/>
          <w:highlight w:val="none"/>
        </w:rPr>
        <w:br w:type="page"/>
      </w:r>
      <w:bookmarkStart w:id="988" w:name="_Toc460227114"/>
      <w:bookmarkStart w:id="989" w:name="_Toc460660229"/>
      <w:bookmarkStart w:id="990" w:name="_Toc535241086"/>
      <w:bookmarkStart w:id="991" w:name="_Toc535241229"/>
      <w:bookmarkStart w:id="992" w:name="_Toc535241132"/>
      <w:r>
        <w:rPr>
          <w:rFonts w:hint="eastAsia" w:ascii="Times New Roman" w:hAnsi="Times New Roman"/>
          <w:highlight w:val="none"/>
        </w:rPr>
        <w:t>四、投标保证金</w:t>
      </w:r>
      <w:bookmarkEnd w:id="988"/>
      <w:bookmarkEnd w:id="989"/>
    </w:p>
    <w:p>
      <w:pPr>
        <w:tabs>
          <w:tab w:val="left" w:pos="8422"/>
          <w:tab w:val="left" w:pos="9622"/>
        </w:tabs>
        <w:spacing w:line="360" w:lineRule="auto"/>
        <w:ind w:firstLine="480" w:firstLineChars="200"/>
        <w:jc w:val="left"/>
        <w:rPr>
          <w:rFonts w:hAnsi="宋体" w:cs="宋体"/>
          <w:szCs w:val="24"/>
          <w:highlight w:val="none"/>
        </w:rPr>
      </w:pPr>
      <w:r>
        <w:rPr>
          <w:rFonts w:hint="eastAsia" w:hAnsi="宋体" w:cs="宋体"/>
          <w:szCs w:val="24"/>
          <w:highlight w:val="none"/>
        </w:rPr>
        <w:t>如采用现金（银行转账、银行电汇）的，系统自动抓取投标保证金提交信息，投标人应在投标文件中提供基本存款账户证明扫描件（如基本存款账户开户许可证或基本存款账户信息）。</w:t>
      </w:r>
    </w:p>
    <w:p>
      <w:pPr>
        <w:tabs>
          <w:tab w:val="left" w:pos="8422"/>
          <w:tab w:val="left" w:pos="9622"/>
        </w:tabs>
        <w:spacing w:line="360" w:lineRule="auto"/>
        <w:ind w:firstLine="480" w:firstLineChars="200"/>
        <w:jc w:val="left"/>
        <w:rPr>
          <w:rFonts w:hAnsi="宋体" w:cs="宋体"/>
          <w:szCs w:val="24"/>
          <w:highlight w:val="none"/>
        </w:rPr>
      </w:pPr>
      <w:r>
        <w:rPr>
          <w:rFonts w:hint="eastAsia" w:hAnsi="宋体" w:cs="宋体"/>
          <w:szCs w:val="24"/>
          <w:highlight w:val="none"/>
        </w:rPr>
        <w:t>如采用银行保函的，投标人应在投标文件中提供基本存款账户证明（如基本存款账户开户许可证或基本存款账户信息）、银行保函扫描件。银行保函格式见“投标保函示范文本”。</w:t>
      </w:r>
    </w:p>
    <w:p>
      <w:pPr>
        <w:tabs>
          <w:tab w:val="left" w:pos="8422"/>
          <w:tab w:val="left" w:pos="9622"/>
        </w:tabs>
        <w:spacing w:line="360" w:lineRule="auto"/>
        <w:ind w:firstLine="480" w:firstLineChars="200"/>
        <w:jc w:val="left"/>
        <w:rPr>
          <w:rFonts w:hAnsi="宋体" w:cs="宋体"/>
          <w:szCs w:val="24"/>
          <w:highlight w:val="none"/>
        </w:rPr>
      </w:pPr>
      <w:r>
        <w:rPr>
          <w:rFonts w:hint="eastAsia" w:hAnsi="宋体" w:cs="宋体"/>
          <w:szCs w:val="24"/>
          <w:highlight w:val="none"/>
        </w:rPr>
        <w:t>如采用担保机构担保的，投标人应在投标文件中提供担保机构担保扫描件，以及融资担保机构的融资担保业务经营许可证扫描件。担保机构担保格式见“投标保函示范文本”。</w:t>
      </w:r>
    </w:p>
    <w:p>
      <w:pPr>
        <w:tabs>
          <w:tab w:val="left" w:pos="8422"/>
          <w:tab w:val="left" w:pos="9622"/>
        </w:tabs>
        <w:spacing w:line="360" w:lineRule="auto"/>
        <w:ind w:firstLine="480" w:firstLineChars="200"/>
        <w:jc w:val="left"/>
        <w:rPr>
          <w:rFonts w:hAnsi="宋体" w:cs="宋体"/>
          <w:szCs w:val="24"/>
          <w:highlight w:val="none"/>
        </w:rPr>
      </w:pPr>
      <w:r>
        <w:rPr>
          <w:rFonts w:hint="eastAsia" w:hAnsi="宋体" w:cs="宋体"/>
          <w:szCs w:val="24"/>
          <w:highlight w:val="none"/>
        </w:rPr>
        <w:t>如采用保证保险的，投标人应在投标文件中提供保证保险扫描件。保证保险格式见“投标保函示范文本”。</w:t>
      </w:r>
    </w:p>
    <w:p>
      <w:pPr>
        <w:tabs>
          <w:tab w:val="left" w:pos="8422"/>
          <w:tab w:val="left" w:pos="9622"/>
        </w:tabs>
        <w:spacing w:line="360" w:lineRule="auto"/>
        <w:ind w:firstLine="480" w:firstLineChars="200"/>
        <w:jc w:val="left"/>
        <w:rPr>
          <w:rFonts w:hAnsi="宋体" w:cs="宋体"/>
          <w:bCs/>
          <w:szCs w:val="24"/>
          <w:highlight w:val="none"/>
        </w:rPr>
      </w:pPr>
      <w:r>
        <w:rPr>
          <w:rFonts w:hint="eastAsia" w:hAnsi="宋体" w:cs="宋体"/>
          <w:bCs/>
          <w:szCs w:val="24"/>
          <w:highlight w:val="none"/>
        </w:rPr>
        <w:t>如采用电子保函的，系统自动抓取电子保函信息，投标文件无需提供相关证明材料。</w:t>
      </w:r>
    </w:p>
    <w:p>
      <w:pPr>
        <w:spacing w:beforeLines="100" w:afterLines="100"/>
        <w:jc w:val="center"/>
        <w:outlineLvl w:val="3"/>
        <w:rPr>
          <w:rFonts w:ascii="黑体" w:hAnsi="黑体" w:eastAsia="黑体" w:cs="黑体"/>
          <w:bCs/>
          <w:szCs w:val="24"/>
          <w:highlight w:val="none"/>
        </w:rPr>
      </w:pPr>
      <w:bookmarkStart w:id="993" w:name="_Toc8851"/>
      <w:bookmarkStart w:id="994" w:name="_Toc17295"/>
      <w:bookmarkStart w:id="995" w:name="_Toc10421"/>
      <w:bookmarkStart w:id="996" w:name="_Toc12410"/>
      <w:bookmarkStart w:id="997" w:name="_Toc3980"/>
      <w:bookmarkStart w:id="998" w:name="_Toc1718"/>
      <w:r>
        <w:rPr>
          <w:rFonts w:hint="eastAsia" w:ascii="黑体" w:hAnsi="黑体" w:eastAsia="黑体" w:cs="黑体"/>
          <w:bCs/>
          <w:szCs w:val="24"/>
          <w:highlight w:val="none"/>
        </w:rPr>
        <w:t>（一）投标保函示范文本</w:t>
      </w:r>
      <w:bookmarkEnd w:id="993"/>
      <w:bookmarkEnd w:id="994"/>
      <w:bookmarkEnd w:id="995"/>
      <w:bookmarkEnd w:id="996"/>
      <w:bookmarkEnd w:id="997"/>
      <w:bookmarkEnd w:id="998"/>
    </w:p>
    <w:p>
      <w:pPr>
        <w:tabs>
          <w:tab w:val="left" w:pos="8422"/>
          <w:tab w:val="left" w:pos="9622"/>
        </w:tabs>
        <w:spacing w:line="360" w:lineRule="auto"/>
        <w:ind w:right="120" w:rightChars="50"/>
        <w:jc w:val="center"/>
        <w:rPr>
          <w:rFonts w:hAnsi="宋体" w:cs="宋体"/>
          <w:szCs w:val="24"/>
          <w:highlight w:val="none"/>
        </w:rPr>
      </w:pPr>
      <w:bookmarkStart w:id="999" w:name="_Toc1245"/>
      <w:bookmarkStart w:id="1000" w:name="_Toc12727"/>
      <w:r>
        <w:rPr>
          <w:rFonts w:hint="eastAsia" w:hAnsi="宋体" w:cs="宋体"/>
          <w:szCs w:val="24"/>
          <w:highlight w:val="none"/>
        </w:rPr>
        <w:t xml:space="preserve">                                                编号：</w:t>
      </w:r>
      <w:bookmarkEnd w:id="999"/>
      <w:bookmarkEnd w:id="1000"/>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致：</w:t>
      </w:r>
      <w:r>
        <w:rPr>
          <w:rFonts w:hint="eastAsia" w:hAnsi="宋体" w:cs="宋体"/>
          <w:szCs w:val="24"/>
          <w:highlight w:val="none"/>
          <w:u w:val="single"/>
        </w:rPr>
        <w:t>受益人（招标人）名称</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开立人获得通知，（投标人）于年月日参加编号为（标段编号）的（标段名称）投标（即“基础交易”）。</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元（¥）。</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二、开立人在投标人发生以下情形时承担保证担保责任：</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（1）投标人在投标有效期内撤销投标文件；</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（2）投标人在中标后无正当理由不与招标人订立合同；</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（3）投标人在签订合同时向招标人提出附加条件；</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（4）投标人不按照招标文件要求提交履约保证金；</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（5）发生招标文件明确规定可以不予退还投标保证金的其他情形。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三、本保函为不可撤销、不可转让的见索即付独立保函。本保函有效期自开立之日起至投标有效期届满之日止。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四、开立人承诺，在收到受益人发来的书面付款通知后的七日内无条件支付，前述书面付款通知即为付款要求之单据，且应满足以下要求：</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（1）付款通知到达的日期在本保函的有效期内；</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（2）载明要求支付的金额；</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（3）载明申请人违反招投标文件规定的义务内容和具体条款；</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（4）声明不存在招标文件规定或我国法律规定免除申请人或我方支付责任的情形；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（5）书面付款通知应在本保函有效期内到达的地址是：。</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受益人发出的书面付款通知应由其法定代表人（负责人）或授权代理人签字并加盖公章。</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五、本保函项下的权利不得转让，不得设定担保。受益人未经开立人书面同意转让本保函或其项下任何权利，对开立人不发生法律效力。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六、本保函项下的基础交易不成立、不生效、无效、被撤销、被解除，不影响本保函的独立有效。</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七、本保函项下的义务和责任均在保函有效期到期后自动消灭。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八、本保函适用的法律为中华人民共和国法律，因本保函产生的纠纷案件，由受益人所在地人民法院管辖。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九、本保函自我方法定代表人或授权代表签字并加盖公章之日起生效。 </w:t>
      </w:r>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开立人：（公章）</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法定代表人（或授权代表）：（签字）</w:t>
      </w:r>
    </w:p>
    <w:p>
      <w:pPr>
        <w:tabs>
          <w:tab w:val="left" w:pos="8422"/>
          <w:tab w:val="left" w:pos="9622"/>
        </w:tabs>
        <w:spacing w:line="360" w:lineRule="auto"/>
        <w:ind w:right="120" w:rightChars="50"/>
        <w:jc w:val="left"/>
        <w:rPr>
          <w:rFonts w:hAnsi="宋体" w:cs="宋体"/>
          <w:szCs w:val="24"/>
          <w:highlight w:val="none"/>
          <w:u w:val="single"/>
        </w:rPr>
      </w:pPr>
      <w:r>
        <w:rPr>
          <w:rFonts w:hint="eastAsia" w:hAnsi="宋体" w:cs="宋体"/>
          <w:szCs w:val="24"/>
          <w:highlight w:val="none"/>
        </w:rPr>
        <w:t>地    址：</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邮政编码：</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电    话：</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传    真：</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开立时间：年月日</w:t>
      </w:r>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注：</w:t>
      </w: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1.允许投标人实际开具的银行保函或担保机构或保证保险机构出具的担保的格式与本文件提供的格式有所不同，但不得更改本文件提供的银行保函或担保格式中的实质性内容。</w:t>
      </w: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2.投标人开具的银行保函（或担保机构担保或保证保险）必须具有明确有效的查询途径（网址链接及查询方式）。</w:t>
      </w:r>
    </w:p>
    <w:p>
      <w:pPr>
        <w:spacing w:line="560" w:lineRule="exact"/>
        <w:ind w:firstLine="422"/>
        <w:jc w:val="center"/>
        <w:rPr>
          <w:rFonts w:ascii="Times New Roman" w:eastAsia="方正小标宋简体"/>
          <w:sz w:val="44"/>
          <w:szCs w:val="44"/>
          <w:highlight w:val="none"/>
        </w:rPr>
      </w:pPr>
      <w:r>
        <w:rPr>
          <w:rFonts w:hint="eastAsia" w:hAnsi="宋体" w:cs="宋体"/>
          <w:bCs/>
          <w:snapToGrid w:val="0"/>
          <w:szCs w:val="24"/>
          <w:highlight w:val="none"/>
        </w:rPr>
        <w:br w:type="page"/>
      </w:r>
      <w:r>
        <w:rPr>
          <w:rFonts w:hint="eastAsia" w:hAnsi="宋体"/>
          <w:bCs/>
          <w:kern w:val="2"/>
          <w:sz w:val="21"/>
          <w:szCs w:val="21"/>
          <w:highlight w:val="none"/>
        </w:rPr>
        <w:t>（二）</w:t>
      </w:r>
      <w:r>
        <w:rPr>
          <w:rFonts w:hAnsi="宋体"/>
          <w:bCs/>
          <w:kern w:val="2"/>
          <w:sz w:val="21"/>
          <w:szCs w:val="21"/>
          <w:highlight w:val="none"/>
        </w:rPr>
        <w:t>投标人免缴投标保证金信用承诺函</w:t>
      </w:r>
    </w:p>
    <w:p>
      <w:pPr>
        <w:widowControl/>
        <w:spacing w:line="560" w:lineRule="exact"/>
        <w:jc w:val="center"/>
        <w:rPr>
          <w:rFonts w:ascii="Times New Roman" w:eastAsia="仿宋_GB2312"/>
          <w:sz w:val="32"/>
          <w:szCs w:val="32"/>
          <w:highlight w:val="none"/>
        </w:rPr>
      </w:pPr>
    </w:p>
    <w:p>
      <w:pPr>
        <w:spacing w:line="560" w:lineRule="exact"/>
        <w:rPr>
          <w:rFonts w:hAnsi="宋体"/>
          <w:kern w:val="2"/>
          <w:sz w:val="21"/>
          <w:szCs w:val="21"/>
          <w:highlight w:val="none"/>
        </w:rPr>
      </w:pPr>
      <w:r>
        <w:rPr>
          <w:rFonts w:hAnsi="宋体"/>
          <w:bCs/>
          <w:kern w:val="2"/>
          <w:sz w:val="21"/>
          <w:szCs w:val="21"/>
          <w:highlight w:val="none"/>
        </w:rPr>
        <w:t>致：(招标人名称)</w:t>
      </w:r>
    </w:p>
    <w:p>
      <w:pPr>
        <w:spacing w:line="560" w:lineRule="exact"/>
        <w:ind w:firstLine="420"/>
        <w:rPr>
          <w:rFonts w:hAnsi="宋体"/>
          <w:kern w:val="2"/>
          <w:sz w:val="21"/>
          <w:szCs w:val="21"/>
          <w:highlight w:val="none"/>
        </w:rPr>
      </w:pPr>
      <w:r>
        <w:rPr>
          <w:rFonts w:hAnsi="宋体"/>
          <w:kern w:val="2"/>
          <w:sz w:val="21"/>
          <w:szCs w:val="21"/>
          <w:highlight w:val="none"/>
        </w:rPr>
        <w:t>按照招标文件的规定，我单位郑重承诺如下：</w:t>
      </w:r>
    </w:p>
    <w:p>
      <w:pPr>
        <w:spacing w:line="560" w:lineRule="exact"/>
        <w:ind w:firstLine="420"/>
        <w:rPr>
          <w:rFonts w:hAnsi="宋体"/>
          <w:kern w:val="2"/>
          <w:sz w:val="21"/>
          <w:szCs w:val="21"/>
          <w:highlight w:val="none"/>
        </w:rPr>
      </w:pPr>
      <w:r>
        <w:rPr>
          <w:rFonts w:hAnsi="宋体"/>
          <w:kern w:val="2"/>
          <w:sz w:val="21"/>
          <w:szCs w:val="21"/>
          <w:highlight w:val="none"/>
        </w:rPr>
        <w:t>我单位将严格遵守《中华人民共和国招标投标法》等法律、法规</w:t>
      </w:r>
      <w:r>
        <w:rPr>
          <w:rFonts w:hint="eastAsia" w:hAnsi="宋体"/>
          <w:kern w:val="2"/>
          <w:sz w:val="21"/>
          <w:szCs w:val="21"/>
          <w:highlight w:val="none"/>
        </w:rPr>
        <w:t>和招标文件约定条款</w:t>
      </w:r>
      <w:r>
        <w:rPr>
          <w:rFonts w:hAnsi="宋体"/>
          <w:kern w:val="2"/>
          <w:sz w:val="21"/>
          <w:szCs w:val="21"/>
          <w:highlight w:val="none"/>
        </w:rPr>
        <w:t>。如果存在招标文件约定的投标保证金不予退还的情形，将于收到招标人书面通知7日内将招标文件约定的投标保证金足额缴纳至招标人指定账户。</w:t>
      </w:r>
    </w:p>
    <w:p>
      <w:pPr>
        <w:spacing w:line="560" w:lineRule="exact"/>
        <w:ind w:firstLine="420"/>
        <w:rPr>
          <w:rFonts w:hAnsi="宋体"/>
          <w:kern w:val="2"/>
          <w:sz w:val="21"/>
          <w:szCs w:val="21"/>
          <w:highlight w:val="none"/>
        </w:rPr>
      </w:pPr>
      <w:r>
        <w:rPr>
          <w:rFonts w:hAnsi="宋体"/>
          <w:kern w:val="2"/>
          <w:sz w:val="21"/>
          <w:szCs w:val="21"/>
          <w:highlight w:val="none"/>
        </w:rPr>
        <w:t>我单位对上述承诺的真实性负责。如有虚假，我单位愿意承担弄虚作假法律责任。</w:t>
      </w:r>
    </w:p>
    <w:p>
      <w:pPr>
        <w:tabs>
          <w:tab w:val="left" w:pos="8422"/>
          <w:tab w:val="left" w:pos="9622"/>
        </w:tabs>
        <w:spacing w:line="560" w:lineRule="exact"/>
        <w:rPr>
          <w:rFonts w:hAnsi="宋体"/>
          <w:kern w:val="2"/>
          <w:sz w:val="21"/>
          <w:szCs w:val="21"/>
          <w:highlight w:val="none"/>
        </w:rPr>
      </w:pPr>
    </w:p>
    <w:p>
      <w:pPr>
        <w:tabs>
          <w:tab w:val="left" w:pos="8422"/>
          <w:tab w:val="left" w:pos="9622"/>
        </w:tabs>
        <w:spacing w:line="360" w:lineRule="auto"/>
        <w:ind w:right="120" w:rightChars="50"/>
        <w:jc w:val="left"/>
        <w:rPr>
          <w:rFonts w:hAnsi="宋体" w:cs="宋体"/>
          <w:kern w:val="2"/>
          <w:sz w:val="21"/>
          <w:szCs w:val="21"/>
          <w:highlight w:val="none"/>
        </w:rPr>
      </w:pPr>
    </w:p>
    <w:p>
      <w:pPr>
        <w:adjustRightInd w:val="0"/>
        <w:snapToGrid w:val="0"/>
        <w:spacing w:line="360" w:lineRule="auto"/>
        <w:ind w:right="210"/>
        <w:jc w:val="right"/>
        <w:rPr>
          <w:rFonts w:hAnsi="宋体" w:cs="仿宋_GB2312"/>
          <w:bCs/>
          <w:kern w:val="2"/>
          <w:sz w:val="21"/>
          <w:szCs w:val="21"/>
          <w:highlight w:val="none"/>
          <w:u w:val="single"/>
        </w:rPr>
      </w:pPr>
      <w:r>
        <w:rPr>
          <w:rFonts w:hint="eastAsia" w:hAnsi="宋体" w:cs="仿宋_GB2312"/>
          <w:bCs/>
          <w:spacing w:val="142"/>
          <w:kern w:val="0"/>
          <w:sz w:val="21"/>
          <w:szCs w:val="21"/>
          <w:highlight w:val="none"/>
          <w:fitText w:val="1200" w:id="-1218188030"/>
        </w:rPr>
        <w:t>投标</w:t>
      </w:r>
      <w:r>
        <w:rPr>
          <w:rFonts w:hint="eastAsia" w:hAnsi="宋体" w:cs="仿宋_GB2312"/>
          <w:bCs/>
          <w:spacing w:val="1"/>
          <w:kern w:val="0"/>
          <w:sz w:val="21"/>
          <w:szCs w:val="21"/>
          <w:highlight w:val="none"/>
          <w:fitText w:val="1200" w:id="-1218188030"/>
        </w:rPr>
        <w:t>人</w:t>
      </w:r>
      <w:r>
        <w:rPr>
          <w:rFonts w:hint="eastAsia" w:hAnsi="宋体" w:cs="仿宋_GB2312"/>
          <w:bCs/>
          <w:kern w:val="2"/>
          <w:sz w:val="21"/>
          <w:szCs w:val="21"/>
          <w:highlight w:val="none"/>
        </w:rPr>
        <w:t>：（盖单位章）</w:t>
      </w:r>
    </w:p>
    <w:p>
      <w:pPr>
        <w:adjustRightInd w:val="0"/>
        <w:snapToGrid w:val="0"/>
        <w:spacing w:line="360" w:lineRule="auto"/>
        <w:ind w:firstLine="420" w:firstLineChars="200"/>
        <w:jc w:val="center"/>
        <w:rPr>
          <w:rFonts w:hAnsi="宋体" w:cs="宋体"/>
          <w:bCs/>
          <w:snapToGrid w:val="0"/>
          <w:szCs w:val="24"/>
          <w:highlight w:val="none"/>
        </w:rPr>
      </w:pPr>
      <w:r>
        <w:rPr>
          <w:rFonts w:hint="eastAsia" w:hAnsi="宋体" w:cs="仿宋_GB2312"/>
          <w:bCs/>
          <w:sz w:val="21"/>
          <w:szCs w:val="21"/>
          <w:highlight w:val="none"/>
        </w:rPr>
        <w:t xml:space="preserve">                                              </w:t>
      </w:r>
      <w:r>
        <w:rPr>
          <w:rFonts w:hint="eastAsia" w:hAnsi="宋体" w:cs="仿宋_GB2312"/>
          <w:bCs/>
          <w:spacing w:val="390"/>
          <w:kern w:val="0"/>
          <w:sz w:val="21"/>
          <w:szCs w:val="21"/>
          <w:highlight w:val="none"/>
          <w:fitText w:val="1200" w:id="-1218188029"/>
        </w:rPr>
        <w:t>日</w:t>
      </w:r>
      <w:r>
        <w:rPr>
          <w:rFonts w:hint="eastAsia" w:hAnsi="宋体" w:cs="仿宋_GB2312"/>
          <w:bCs/>
          <w:spacing w:val="0"/>
          <w:kern w:val="0"/>
          <w:sz w:val="21"/>
          <w:szCs w:val="21"/>
          <w:highlight w:val="none"/>
          <w:fitText w:val="1200" w:id="-1218188029"/>
        </w:rPr>
        <w:t>期</w:t>
      </w:r>
      <w:r>
        <w:rPr>
          <w:rFonts w:hint="eastAsia" w:hAnsi="宋体" w:cs="仿宋_GB2312"/>
          <w:kern w:val="2"/>
          <w:sz w:val="21"/>
          <w:szCs w:val="21"/>
          <w:highlight w:val="none"/>
        </w:rPr>
        <w:t>：  年  月  日</w:t>
      </w:r>
    </w:p>
    <w:p>
      <w:pPr>
        <w:pStyle w:val="4"/>
        <w:jc w:val="center"/>
        <w:rPr>
          <w:rFonts w:ascii="Times New Roman" w:hAnsi="Times New Roman"/>
          <w:snapToGrid w:val="0"/>
          <w:highlight w:val="none"/>
        </w:rPr>
      </w:pPr>
      <w:r>
        <w:rPr>
          <w:rFonts w:ascii="Times New Roman" w:hAnsi="Times New Roman"/>
          <w:snapToGrid w:val="0"/>
          <w:highlight w:val="none"/>
        </w:rPr>
        <w:br w:type="page"/>
      </w:r>
      <w:r>
        <w:rPr>
          <w:rFonts w:hint="eastAsia" w:ascii="Times New Roman" w:hAnsi="Times New Roman"/>
          <w:highlight w:val="none"/>
        </w:rPr>
        <w:t>五、商务条款偏差表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序号</w:t>
            </w:r>
          </w:p>
        </w:tc>
        <w:tc>
          <w:tcPr>
            <w:tcW w:w="2821"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招标文件要求</w:t>
            </w:r>
          </w:p>
        </w:tc>
        <w:tc>
          <w:tcPr>
            <w:tcW w:w="2977"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投标文件响应</w:t>
            </w:r>
          </w:p>
        </w:tc>
        <w:tc>
          <w:tcPr>
            <w:tcW w:w="1506"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925" w:type="dxa"/>
            <w:vMerge w:val="continue"/>
            <w:vAlign w:val="center"/>
          </w:tcPr>
          <w:p>
            <w:pPr>
              <w:widowControl/>
              <w:snapToGrid w:val="0"/>
              <w:spacing w:line="360" w:lineRule="auto"/>
              <w:jc w:val="center"/>
              <w:rPr>
                <w:rFonts w:hAnsi="宋体" w:cs="宋体"/>
                <w:highlight w:val="none"/>
              </w:rPr>
            </w:pPr>
          </w:p>
        </w:tc>
        <w:tc>
          <w:tcPr>
            <w:tcW w:w="1545"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276" w:type="dxa"/>
            <w:vAlign w:val="center"/>
          </w:tcPr>
          <w:p>
            <w:pPr>
              <w:widowControl/>
              <w:snapToGrid w:val="0"/>
              <w:spacing w:line="360" w:lineRule="auto"/>
              <w:jc w:val="center"/>
              <w:rPr>
                <w:rFonts w:hAnsi="宋体" w:cs="宋体"/>
                <w:highlight w:val="none"/>
              </w:rPr>
            </w:pPr>
            <w:r>
              <w:rPr>
                <w:rFonts w:hint="eastAsia" w:hAnsi="宋体" w:cs="宋体"/>
                <w:highlight w:val="none"/>
              </w:rPr>
              <w:t>具体要求</w:t>
            </w:r>
          </w:p>
        </w:tc>
        <w:tc>
          <w:tcPr>
            <w:tcW w:w="1559"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418" w:type="dxa"/>
            <w:vAlign w:val="center"/>
          </w:tcPr>
          <w:p>
            <w:pPr>
              <w:widowControl/>
              <w:snapToGrid w:val="0"/>
              <w:spacing w:line="360" w:lineRule="auto"/>
              <w:jc w:val="center"/>
              <w:rPr>
                <w:rFonts w:hAnsi="宋体" w:cs="宋体"/>
                <w:highlight w:val="none"/>
              </w:rPr>
            </w:pPr>
            <w:r>
              <w:rPr>
                <w:rFonts w:hint="eastAsia" w:hAnsi="宋体" w:cs="宋体"/>
                <w:highlight w:val="none"/>
              </w:rPr>
              <w:t>具体内容</w:t>
            </w:r>
          </w:p>
        </w:tc>
        <w:tc>
          <w:tcPr>
            <w:tcW w:w="1506" w:type="dxa"/>
            <w:vMerge w:val="continue"/>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1</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2</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3</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4</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bl>
    <w:p>
      <w:pPr>
        <w:spacing w:line="360" w:lineRule="auto"/>
        <w:rPr>
          <w:rFonts w:hAnsi="宋体" w:cs="宋体"/>
          <w:highlight w:val="none"/>
        </w:rPr>
      </w:pPr>
    </w:p>
    <w:p>
      <w:pPr>
        <w:spacing w:line="360" w:lineRule="auto"/>
        <w:rPr>
          <w:rFonts w:hAnsi="宋体" w:cs="宋体"/>
          <w:highlight w:val="none"/>
        </w:rPr>
      </w:pPr>
      <w:r>
        <w:rPr>
          <w:rFonts w:hint="eastAsia" w:hAnsi="宋体" w:cs="宋体"/>
          <w:highlight w:val="none"/>
        </w:rPr>
        <w:t>注：投标人对付款方式、交货及安装周期、交货及安装地点、质量保证期、投标有效期及其他商务条款未完全响应的，应当填写上表。</w:t>
      </w:r>
    </w:p>
    <w:p>
      <w:pPr>
        <w:spacing w:line="360" w:lineRule="auto"/>
        <w:rPr>
          <w:rFonts w:hAnsi="宋体" w:cs="宋体"/>
          <w:highlight w:val="none"/>
        </w:rPr>
      </w:pPr>
      <w:r>
        <w:rPr>
          <w:rFonts w:hint="eastAsia" w:hAnsi="宋体" w:cs="宋体"/>
          <w:highlight w:val="none"/>
        </w:rPr>
        <w:t>投标人保证：除商务条款偏差表列出的偏差外，投标人响应招标文件的全部要求。</w:t>
      </w:r>
    </w:p>
    <w:p>
      <w:pPr>
        <w:spacing w:line="360" w:lineRule="auto"/>
        <w:rPr>
          <w:rFonts w:hAnsi="宋体" w:cs="宋体"/>
          <w:highlight w:val="none"/>
        </w:rPr>
      </w:pPr>
    </w:p>
    <w:p>
      <w:pPr>
        <w:pStyle w:val="4"/>
        <w:spacing w:beforeLines="100" w:afterLines="100" w:line="240" w:lineRule="auto"/>
        <w:jc w:val="center"/>
        <w:rPr>
          <w:rFonts w:ascii="Times New Roman" w:hAnsi="Times New Roman"/>
          <w:bCs w:val="0"/>
          <w:sz w:val="32"/>
          <w:szCs w:val="32"/>
          <w:highlight w:val="none"/>
        </w:rPr>
      </w:pPr>
      <w:r>
        <w:rPr>
          <w:rFonts w:hint="eastAsia" w:ascii="Times New Roman" w:hAnsi="Times New Roman"/>
          <w:bCs w:val="0"/>
          <w:sz w:val="32"/>
          <w:szCs w:val="32"/>
          <w:highlight w:val="none"/>
        </w:rPr>
        <w:br w:type="page"/>
      </w:r>
      <w:r>
        <w:rPr>
          <w:rFonts w:hint="eastAsia" w:cs="黑体"/>
          <w:highlight w:val="none"/>
        </w:rPr>
        <w:t>六、资格审查资料</w:t>
      </w:r>
    </w:p>
    <w:p>
      <w:pPr>
        <w:pStyle w:val="5"/>
        <w:spacing w:before="0" w:after="0"/>
        <w:jc w:val="center"/>
        <w:rPr>
          <w:rFonts w:ascii="黑体" w:hAnsi="黑体" w:cs="黑体"/>
          <w:szCs w:val="24"/>
          <w:highlight w:val="none"/>
        </w:rPr>
      </w:pPr>
      <w:r>
        <w:rPr>
          <w:rFonts w:hint="eastAsia" w:ascii="黑体" w:hAnsi="黑体" w:cs="黑体"/>
          <w:szCs w:val="24"/>
          <w:highlight w:val="none"/>
        </w:rPr>
        <w:t>（一）投标人基本情况表</w:t>
      </w:r>
      <w:bookmarkEnd w:id="986"/>
      <w:bookmarkEnd w:id="987"/>
      <w:bookmarkEnd w:id="990"/>
      <w:bookmarkEnd w:id="991"/>
      <w:bookmarkEnd w:id="992"/>
    </w:p>
    <w:tbl>
      <w:tblPr>
        <w:tblStyle w:val="52"/>
        <w:tblW w:w="8931"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投标人名称</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注册资金</w:t>
            </w:r>
          </w:p>
        </w:tc>
        <w:tc>
          <w:tcPr>
            <w:tcW w:w="335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注册地址</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邮政编码</w:t>
            </w:r>
          </w:p>
        </w:tc>
        <w:tc>
          <w:tcPr>
            <w:tcW w:w="335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联系方式</w:t>
            </w: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联系人</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网址</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法定代表人</w:t>
            </w:r>
          </w:p>
          <w:p>
            <w:pPr>
              <w:topLinePunct/>
              <w:spacing w:line="360" w:lineRule="auto"/>
              <w:jc w:val="center"/>
              <w:rPr>
                <w:rFonts w:hAnsi="宋体" w:cs="宋体"/>
                <w:highlight w:val="none"/>
              </w:rPr>
            </w:pPr>
            <w:r>
              <w:rPr>
                <w:rFonts w:hint="eastAsia" w:hAnsi="宋体" w:cs="宋体"/>
                <w:highlight w:val="none"/>
              </w:rPr>
              <w:t>（单位负责人）</w:t>
            </w: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姓名</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rPr>
                <w:rFonts w:hAnsi="宋体" w:cs="宋体"/>
                <w:highlight w:val="none"/>
              </w:rPr>
            </w:pPr>
            <w:r>
              <w:rPr>
                <w:rFonts w:hint="eastAsia" w:hAnsi="宋体" w:cs="宋体"/>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基本存款账户开户银行</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基本存款账户银行账号</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Ansi="宋体" w:cs="宋体"/>
                <w:highlight w:val="none"/>
              </w:rPr>
            </w:pPr>
            <w:r>
              <w:rPr>
                <w:rFonts w:hint="eastAsia" w:ascii="Times New Roman"/>
                <w:szCs w:val="24"/>
                <w:highlight w:val="none"/>
              </w:rPr>
              <w:t>经营范围</w:t>
            </w:r>
          </w:p>
        </w:tc>
        <w:tc>
          <w:tcPr>
            <w:tcW w:w="6757" w:type="dxa"/>
            <w:gridSpan w:val="4"/>
            <w:tcBorders>
              <w:top w:val="single" w:color="auto" w:sz="4" w:space="0"/>
              <w:left w:val="single" w:color="auto" w:sz="4" w:space="0"/>
              <w:right w:val="single" w:color="auto" w:sz="4" w:space="0"/>
            </w:tcBorders>
            <w:vAlign w:val="center"/>
          </w:tcPr>
          <w:p>
            <w:pPr>
              <w:autoSpaceDE w:val="0"/>
              <w:autoSpaceDN w:val="0"/>
              <w:adjustRightInd w:val="0"/>
              <w:snapToGrid w:val="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8" w:hRule="atLeast"/>
        </w:trPr>
        <w:tc>
          <w:tcPr>
            <w:tcW w:w="2174"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Times New Roman"/>
                <w:szCs w:val="24"/>
                <w:highlight w:val="none"/>
              </w:rPr>
            </w:pPr>
            <w:r>
              <w:rPr>
                <w:rFonts w:ascii="Times New Roman"/>
                <w:szCs w:val="24"/>
                <w:highlight w:val="none"/>
              </w:rPr>
              <w:t>投标人关联</w:t>
            </w:r>
          </w:p>
          <w:p>
            <w:pPr>
              <w:autoSpaceDE w:val="0"/>
              <w:autoSpaceDN w:val="0"/>
              <w:adjustRightInd w:val="0"/>
              <w:snapToGrid w:val="0"/>
              <w:jc w:val="center"/>
              <w:rPr>
                <w:rFonts w:hAnsi="宋体" w:cs="宋体"/>
                <w:highlight w:val="none"/>
              </w:rPr>
            </w:pPr>
            <w:r>
              <w:rPr>
                <w:rFonts w:ascii="Times New Roman"/>
                <w:szCs w:val="24"/>
                <w:highlight w:val="none"/>
              </w:rPr>
              <w:t>企业情况</w:t>
            </w:r>
          </w:p>
        </w:tc>
        <w:tc>
          <w:tcPr>
            <w:tcW w:w="6757" w:type="dxa"/>
            <w:gridSpan w:val="4"/>
            <w:tcBorders>
              <w:top w:val="single" w:color="auto" w:sz="4" w:space="0"/>
              <w:left w:val="single" w:color="auto" w:sz="4" w:space="0"/>
              <w:right w:val="single" w:color="auto" w:sz="4" w:space="0"/>
            </w:tcBorders>
            <w:vAlign w:val="center"/>
          </w:tcPr>
          <w:p>
            <w:pPr>
              <w:topLinePunct/>
              <w:jc w:val="left"/>
              <w:rPr>
                <w:highlight w:val="none"/>
              </w:rPr>
            </w:pPr>
            <w:r>
              <w:rPr>
                <w:rFonts w:hint="eastAsia"/>
                <w:highlight w:val="none"/>
              </w:rPr>
              <w:t>投标人应提供关联企业情况，包括：</w:t>
            </w:r>
          </w:p>
          <w:p>
            <w:pPr>
              <w:topLinePunct/>
              <w:jc w:val="left"/>
              <w:rPr>
                <w:highlight w:val="none"/>
              </w:rPr>
            </w:pPr>
            <w:r>
              <w:rPr>
                <w:rFonts w:hint="eastAsia"/>
                <w:highlight w:val="none"/>
              </w:rPr>
              <w:t>（1）投标人投资（控股）或管理的下属企业名称、持有股权（出资额）比例；</w:t>
            </w:r>
          </w:p>
          <w:p>
            <w:pPr>
              <w:topLinePunct/>
              <w:jc w:val="left"/>
              <w:rPr>
                <w:highlight w:val="none"/>
              </w:rPr>
            </w:pPr>
            <w:r>
              <w:rPr>
                <w:rFonts w:hint="eastAsia"/>
                <w:highlight w:val="none"/>
              </w:rPr>
              <w:t>（2）与投标人单位负责人（即法定代表人）为同一人的其他单位名称；</w:t>
            </w:r>
          </w:p>
          <w:p>
            <w:pPr>
              <w:topLinePunct/>
              <w:jc w:val="left"/>
              <w:rPr>
                <w:highlight w:val="none"/>
              </w:rPr>
            </w:pPr>
            <w:r>
              <w:rPr>
                <w:rFonts w:hint="eastAsia"/>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投标货物制造商名称</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投标人须知要求</w:t>
            </w:r>
          </w:p>
          <w:p>
            <w:pPr>
              <w:topLinePunct/>
              <w:spacing w:line="360" w:lineRule="auto"/>
              <w:jc w:val="center"/>
              <w:rPr>
                <w:rFonts w:hAnsi="宋体" w:cs="宋体"/>
                <w:highlight w:val="none"/>
              </w:rPr>
            </w:pPr>
            <w:r>
              <w:rPr>
                <w:rFonts w:hint="eastAsia" w:hAnsi="宋体" w:cs="宋体"/>
                <w:highlight w:val="none"/>
              </w:rPr>
              <w:t>投标货物制造商需具有的资质证书</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备注</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bl>
    <w:p>
      <w:pPr>
        <w:spacing w:line="360" w:lineRule="auto"/>
        <w:rPr>
          <w:rFonts w:hAnsi="宋体" w:cs="宋体"/>
          <w:highlight w:val="none"/>
        </w:rPr>
      </w:pPr>
      <w:r>
        <w:rPr>
          <w:rFonts w:hint="eastAsia" w:hAnsi="宋体" w:cs="宋体"/>
          <w:highlight w:val="none"/>
        </w:rPr>
        <w:t>注：1.投标人应根据招标文件第二章“投标人须知”前附表附录1的要求在本表后附资质证书、营业执照等材料。接受联合体的，联合体成员分别填写。</w:t>
      </w:r>
    </w:p>
    <w:p>
      <w:pPr>
        <w:spacing w:line="360" w:lineRule="auto"/>
        <w:ind w:firstLine="480" w:firstLineChars="200"/>
        <w:rPr>
          <w:rFonts w:hAnsi="宋体" w:cs="宋体"/>
          <w:highlight w:val="none"/>
        </w:rPr>
      </w:pPr>
      <w:r>
        <w:rPr>
          <w:rFonts w:hint="eastAsia" w:hAnsi="宋体" w:cs="宋体"/>
          <w:highlight w:val="none"/>
        </w:rPr>
        <w:t>2.如果投标人须知第1.4.1项对投标货物制造商的资质提出了要求，投标人应根据投标人须知第3.5.1项的要求在本表后附相关资质证书扫描件或电子件。</w:t>
      </w:r>
    </w:p>
    <w:p>
      <w:pPr>
        <w:pStyle w:val="5"/>
        <w:spacing w:before="0" w:after="0"/>
        <w:ind w:firstLine="0" w:firstLineChars="0"/>
        <w:jc w:val="center"/>
        <w:rPr>
          <w:rFonts w:ascii="宋体" w:hAnsi="宋体" w:eastAsia="宋体" w:cs="宋体"/>
          <w:highlight w:val="none"/>
        </w:rPr>
      </w:pPr>
      <w:r>
        <w:rPr>
          <w:rFonts w:hint="eastAsia" w:ascii="宋体" w:hAnsi="宋体" w:eastAsia="宋体" w:cs="宋体"/>
          <w:highlight w:val="none"/>
        </w:rPr>
        <w:br w:type="page"/>
      </w:r>
      <w:bookmarkStart w:id="1001" w:name="_Toc535241087"/>
      <w:bookmarkStart w:id="1002" w:name="_Toc535241230"/>
      <w:bookmarkStart w:id="1003" w:name="_Toc535241133"/>
      <w:r>
        <w:rPr>
          <w:rFonts w:hint="eastAsia" w:ascii="黑体" w:hAnsi="黑体" w:cs="黑体"/>
          <w:szCs w:val="24"/>
          <w:highlight w:val="none"/>
        </w:rPr>
        <w:t>（二）近年财务状况（如要求）</w:t>
      </w:r>
    </w:p>
    <w:p>
      <w:pPr>
        <w:pStyle w:val="5"/>
        <w:numPr>
          <w:ilvl w:val="0"/>
          <w:numId w:val="6"/>
        </w:numPr>
        <w:spacing w:before="0" w:after="0"/>
        <w:jc w:val="center"/>
        <w:rPr>
          <w:rFonts w:ascii="黑体" w:hAnsi="黑体" w:cs="黑体"/>
          <w:szCs w:val="24"/>
          <w:highlight w:val="none"/>
        </w:rPr>
      </w:pPr>
      <w:r>
        <w:rPr>
          <w:rFonts w:hint="eastAsia" w:ascii="宋体" w:hAnsi="宋体" w:eastAsia="宋体" w:cs="宋体"/>
          <w:highlight w:val="none"/>
        </w:rPr>
        <w:br w:type="page"/>
      </w:r>
      <w:bookmarkEnd w:id="1001"/>
      <w:bookmarkEnd w:id="1002"/>
      <w:bookmarkEnd w:id="1003"/>
      <w:r>
        <w:rPr>
          <w:rFonts w:hint="eastAsia" w:ascii="黑体" w:hAnsi="黑体" w:cs="黑体"/>
          <w:szCs w:val="24"/>
          <w:highlight w:val="none"/>
        </w:rPr>
        <w:t>投标人业绩情况表（资格审查）</w:t>
      </w:r>
    </w:p>
    <w:tbl>
      <w:tblPr>
        <w:tblStyle w:val="5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6"/>
        <w:gridCol w:w="5907"/>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业绩序号</w:t>
            </w:r>
          </w:p>
        </w:tc>
        <w:tc>
          <w:tcPr>
            <w:tcW w:w="3468" w:type="pct"/>
            <w:vAlign w:val="center"/>
          </w:tcPr>
          <w:p>
            <w:pPr>
              <w:jc w:val="center"/>
              <w:rPr>
                <w:rFonts w:ascii="Times New Roman"/>
                <w:szCs w:val="24"/>
                <w:highlight w:val="none"/>
              </w:rPr>
            </w:pPr>
            <w:r>
              <w:rPr>
                <w:rFonts w:hint="eastAsia" w:ascii="Times New Roman"/>
                <w:szCs w:val="24"/>
                <w:highlight w:val="none"/>
              </w:rPr>
              <w:t>项目</w:t>
            </w:r>
            <w:r>
              <w:rPr>
                <w:rFonts w:ascii="Times New Roman"/>
                <w:szCs w:val="24"/>
                <w:highlight w:val="none"/>
              </w:rPr>
              <w:t>名称</w:t>
            </w:r>
            <w:r>
              <w:rPr>
                <w:rFonts w:hint="eastAsia" w:ascii="Times New Roman"/>
                <w:szCs w:val="24"/>
                <w:highlight w:val="none"/>
              </w:rPr>
              <w:t>（合同名称）</w:t>
            </w:r>
          </w:p>
        </w:tc>
        <w:tc>
          <w:tcPr>
            <w:tcW w:w="681" w:type="pct"/>
            <w:vAlign w:val="center"/>
          </w:tcPr>
          <w:p>
            <w:pPr>
              <w:jc w:val="center"/>
              <w:rPr>
                <w:rFonts w:ascii="Times New Roman"/>
                <w:szCs w:val="24"/>
                <w:highlight w:val="none"/>
              </w:rPr>
            </w:pPr>
            <w:r>
              <w:rPr>
                <w:rFonts w:hint="eastAsia" w:ascii="Times New Roman"/>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1</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ascii="Times New Roman"/>
                <w:szCs w:val="24"/>
                <w:highlight w:val="none"/>
              </w:rPr>
              <w:t>2</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bl>
    <w:p>
      <w:pPr>
        <w:spacing w:line="360" w:lineRule="auto"/>
        <w:ind w:firstLine="480" w:firstLineChars="200"/>
        <w:rPr>
          <w:szCs w:val="24"/>
          <w:highlight w:val="none"/>
        </w:rPr>
      </w:pPr>
      <w:r>
        <w:rPr>
          <w:rFonts w:hint="eastAsia"/>
          <w:szCs w:val="24"/>
          <w:highlight w:val="none"/>
        </w:rPr>
        <w:t>注：</w:t>
      </w:r>
    </w:p>
    <w:p>
      <w:pPr>
        <w:spacing w:line="360" w:lineRule="auto"/>
        <w:ind w:firstLine="480" w:firstLineChars="200"/>
        <w:rPr>
          <w:szCs w:val="24"/>
          <w:highlight w:val="none"/>
        </w:rPr>
      </w:pPr>
      <w:r>
        <w:rPr>
          <w:rFonts w:hint="eastAsia"/>
          <w:szCs w:val="24"/>
          <w:highlight w:val="none"/>
        </w:rPr>
        <w:t>1.投标人应将用于资格审查的投标人业绩在上表中列明，按照列明</w:t>
      </w:r>
      <w:r>
        <w:rPr>
          <w:szCs w:val="24"/>
          <w:highlight w:val="none"/>
        </w:rPr>
        <w:t>的</w:t>
      </w:r>
      <w:r>
        <w:rPr>
          <w:rFonts w:hint="eastAsia"/>
          <w:szCs w:val="24"/>
          <w:highlight w:val="none"/>
        </w:rPr>
        <w:t>业绩序号先后</w:t>
      </w:r>
      <w:r>
        <w:rPr>
          <w:szCs w:val="24"/>
          <w:highlight w:val="none"/>
        </w:rPr>
        <w:t>顺序</w:t>
      </w:r>
      <w:r>
        <w:rPr>
          <w:rFonts w:hint="eastAsia"/>
          <w:szCs w:val="24"/>
          <w:highlight w:val="none"/>
        </w:rPr>
        <w:t>依次填写“投标人</w:t>
      </w:r>
      <w:r>
        <w:rPr>
          <w:szCs w:val="24"/>
          <w:highlight w:val="none"/>
        </w:rPr>
        <w:t>业绩</w:t>
      </w:r>
      <w:r>
        <w:rPr>
          <w:rFonts w:hint="eastAsia"/>
          <w:szCs w:val="24"/>
          <w:highlight w:val="none"/>
        </w:rPr>
        <w:t>信息</w:t>
      </w:r>
      <w:r>
        <w:rPr>
          <w:szCs w:val="24"/>
          <w:highlight w:val="none"/>
        </w:rPr>
        <w:t>表</w:t>
      </w:r>
      <w:r>
        <w:rPr>
          <w:rFonts w:hint="eastAsia"/>
          <w:szCs w:val="24"/>
          <w:highlight w:val="none"/>
        </w:rPr>
        <w:t>（资格</w:t>
      </w:r>
      <w:r>
        <w:rPr>
          <w:szCs w:val="24"/>
          <w:highlight w:val="none"/>
        </w:rPr>
        <w:t>审查</w:t>
      </w:r>
      <w:r>
        <w:rPr>
          <w:rFonts w:hint="eastAsia"/>
          <w:szCs w:val="24"/>
          <w:highlight w:val="none"/>
        </w:rPr>
        <w:t>）”，并附相应业绩证明材料。</w:t>
      </w:r>
    </w:p>
    <w:p>
      <w:pPr>
        <w:spacing w:line="360" w:lineRule="auto"/>
        <w:ind w:firstLine="480" w:firstLineChars="200"/>
        <w:rPr>
          <w:szCs w:val="24"/>
          <w:highlight w:val="none"/>
        </w:rPr>
      </w:pPr>
      <w:r>
        <w:rPr>
          <w:rFonts w:hint="eastAsia"/>
          <w:szCs w:val="24"/>
          <w:highlight w:val="none"/>
        </w:rPr>
        <w:t>2.评标委员会应当按照上表列明的业绩序号先后顺序依次进行评审，且仅评审“附录3  资格审查条件(业绩最低要求)”规定数量的业绩，超出规定数量部分或未在上表列明的业绩均不作为资格审查投标人业绩予以评审。</w:t>
      </w:r>
    </w:p>
    <w:p>
      <w:pPr>
        <w:tabs>
          <w:tab w:val="left" w:pos="8422"/>
          <w:tab w:val="left" w:pos="9622"/>
        </w:tabs>
        <w:spacing w:line="360" w:lineRule="auto"/>
        <w:ind w:left="4800" w:leftChars="2000" w:right="120" w:rightChars="50"/>
        <w:jc w:val="left"/>
        <w:rPr>
          <w:szCs w:val="24"/>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1770790916"/>
        </w:rPr>
        <w:t>投标</w:t>
      </w:r>
      <w:r>
        <w:rPr>
          <w:rFonts w:hint="eastAsia" w:ascii="Times New Roman"/>
          <w:bCs/>
          <w:spacing w:val="0"/>
          <w:kern w:val="0"/>
          <w:szCs w:val="24"/>
          <w:highlight w:val="none"/>
          <w:fitText w:val="1200" w:id="1770790916"/>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rPr>
      </w:pPr>
      <w:r>
        <w:rPr>
          <w:rFonts w:hint="eastAsia" w:ascii="Times New Roman"/>
          <w:bCs/>
          <w:spacing w:val="360"/>
          <w:kern w:val="0"/>
          <w:szCs w:val="24"/>
          <w:highlight w:val="none"/>
          <w:fitText w:val="1200" w:id="1090616522"/>
        </w:rPr>
        <w:t>日</w:t>
      </w:r>
      <w:r>
        <w:rPr>
          <w:rFonts w:hint="eastAsia" w:ascii="Times New Roman"/>
          <w:bCs/>
          <w:spacing w:val="0"/>
          <w:kern w:val="0"/>
          <w:szCs w:val="24"/>
          <w:highlight w:val="none"/>
          <w:fitText w:val="1200" w:id="1090616522"/>
        </w:rPr>
        <w:t>期</w:t>
      </w:r>
      <w:r>
        <w:rPr>
          <w:rFonts w:hint="eastAsia" w:ascii="Times New Roman"/>
          <w:szCs w:val="24"/>
          <w:highlight w:val="none"/>
        </w:rPr>
        <w:t>：年月日</w:t>
      </w:r>
    </w:p>
    <w:p>
      <w:pPr>
        <w:adjustRightInd w:val="0"/>
        <w:snapToGrid w:val="0"/>
        <w:spacing w:line="360" w:lineRule="auto"/>
        <w:jc w:val="center"/>
        <w:outlineLvl w:val="0"/>
        <w:rPr>
          <w:bCs/>
          <w:szCs w:val="24"/>
          <w:highlight w:val="none"/>
        </w:rPr>
      </w:pPr>
      <w:r>
        <w:rPr>
          <w:rFonts w:hint="eastAsia" w:ascii="Times New Roman"/>
          <w:szCs w:val="24"/>
          <w:highlight w:val="none"/>
        </w:rPr>
        <w:br w:type="page"/>
      </w:r>
      <w:bookmarkStart w:id="1004" w:name="_Toc140069454"/>
      <w:r>
        <w:rPr>
          <w:rFonts w:hint="eastAsia"/>
          <w:bCs/>
          <w:szCs w:val="24"/>
          <w:highlight w:val="none"/>
        </w:rPr>
        <w:t>投标人业绩信息表（资格审查）</w:t>
      </w:r>
      <w:bookmarkEnd w:id="1004"/>
    </w:p>
    <w:tbl>
      <w:tblPr>
        <w:tblStyle w:val="5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2"/>
                <w:highlight w:val="none"/>
              </w:rPr>
              <w:t>资格审查业绩</w:t>
            </w:r>
          </w:p>
        </w:tc>
      </w:tr>
    </w:tbl>
    <w:p>
      <w:pPr>
        <w:spacing w:line="360" w:lineRule="auto"/>
        <w:rPr>
          <w:rFonts w:hAnsi="宋体" w:cs="宋体"/>
          <w:highlight w:val="none"/>
        </w:rPr>
      </w:pPr>
      <w:r>
        <w:rPr>
          <w:rFonts w:hint="eastAsia" w:hAnsi="宋体" w:cs="宋体"/>
          <w:highlight w:val="none"/>
        </w:rPr>
        <w:t>注：1.投标人应根据招标文件第二章“投标人须知”前附表附录3的要求在本表后附相关证明材料。</w:t>
      </w:r>
    </w:p>
    <w:p>
      <w:pPr>
        <w:spacing w:line="360" w:lineRule="auto"/>
        <w:ind w:firstLine="480" w:firstLineChars="200"/>
        <w:rPr>
          <w:rFonts w:hAnsi="宋体" w:cs="宋体"/>
          <w:bCs/>
          <w:highlight w:val="none"/>
        </w:rPr>
      </w:pPr>
      <w:r>
        <w:rPr>
          <w:rFonts w:hint="eastAsia" w:hAnsi="宋体" w:cs="宋体"/>
          <w:highlight w:val="none"/>
        </w:rPr>
        <w:t>2.投标人为代理经销商的，投标人须知第1.4.1项要求投标人提供投标货物的业绩的，投标人应按照上表的格式提供投标货物的业绩情况并根据投标人须知第3.5.1项的要求在本表后附相关证明材料。</w:t>
      </w:r>
      <w:bookmarkStart w:id="1005" w:name="_Toc390411625"/>
      <w:bookmarkStart w:id="1006" w:name="_Toc460660227"/>
      <w:bookmarkStart w:id="1007" w:name="_Toc460227112"/>
      <w:bookmarkStart w:id="1008" w:name="_Toc421917005"/>
    </w:p>
    <w:bookmarkEnd w:id="1005"/>
    <w:bookmarkEnd w:id="1006"/>
    <w:bookmarkEnd w:id="1007"/>
    <w:bookmarkEnd w:id="1008"/>
    <w:p>
      <w:pPr>
        <w:pStyle w:val="5"/>
        <w:spacing w:before="0" w:after="0"/>
        <w:jc w:val="center"/>
        <w:rPr>
          <w:rFonts w:ascii="宋体" w:hAnsi="宋体" w:eastAsia="宋体" w:cs="宋体"/>
          <w:highlight w:val="none"/>
        </w:rPr>
      </w:pPr>
      <w:bookmarkStart w:id="1009" w:name="_Toc460660230"/>
      <w:bookmarkStart w:id="1010" w:name="_Toc459832202"/>
      <w:bookmarkStart w:id="1011" w:name="_Toc421917009"/>
      <w:r>
        <w:rPr>
          <w:rFonts w:hint="eastAsia" w:ascii="黑体" w:hAnsi="黑体" w:cs="黑体"/>
          <w:szCs w:val="24"/>
          <w:highlight w:val="none"/>
        </w:rPr>
        <w:br w:type="page"/>
      </w:r>
      <w:r>
        <w:rPr>
          <w:rFonts w:hint="eastAsia" w:ascii="黑体" w:hAnsi="黑体" w:cs="黑体"/>
          <w:szCs w:val="24"/>
          <w:highlight w:val="none"/>
        </w:rPr>
        <w:t>（四）</w:t>
      </w:r>
      <w:bookmarkEnd w:id="1009"/>
      <w:r>
        <w:rPr>
          <w:rFonts w:hint="eastAsia" w:ascii="黑体" w:hAnsi="黑体" w:cs="黑体"/>
          <w:szCs w:val="24"/>
          <w:highlight w:val="none"/>
        </w:rPr>
        <w:t>制造商授权书</w:t>
      </w:r>
      <w:r>
        <w:rPr>
          <w:rStyle w:val="67"/>
          <w:rFonts w:hint="eastAsia" w:ascii="宋体" w:hAnsi="宋体" w:eastAsia="宋体" w:cs="宋体"/>
          <w:highlight w:val="none"/>
        </w:rPr>
        <w:footnoteReference w:id="1"/>
      </w:r>
    </w:p>
    <w:bookmarkEnd w:id="1010"/>
    <w:bookmarkEnd w:id="1011"/>
    <w:p>
      <w:pPr>
        <w:spacing w:line="360" w:lineRule="auto"/>
        <w:ind w:firstLine="480" w:firstLineChars="200"/>
        <w:rPr>
          <w:rFonts w:hAnsi="宋体" w:cs="宋体"/>
          <w:bCs/>
          <w:highlight w:val="none"/>
        </w:rPr>
      </w:pPr>
      <w:r>
        <w:rPr>
          <w:rFonts w:hint="eastAsia" w:hAnsi="宋体" w:cs="宋体"/>
          <w:bCs/>
          <w:highlight w:val="none"/>
        </w:rPr>
        <w:t>致：</w:t>
      </w:r>
      <w:r>
        <w:rPr>
          <w:rFonts w:hint="eastAsia" w:hAnsi="宋体" w:cs="宋体"/>
          <w:highlight w:val="none"/>
          <w:u w:val="single"/>
        </w:rPr>
        <w:t>（招标人名称）</w:t>
      </w:r>
    </w:p>
    <w:p>
      <w:pPr>
        <w:spacing w:line="360" w:lineRule="auto"/>
        <w:ind w:firstLine="480" w:firstLineChars="200"/>
        <w:rPr>
          <w:rFonts w:hAnsi="宋体" w:cs="宋体"/>
          <w:bCs/>
          <w:highlight w:val="none"/>
        </w:rPr>
      </w:pPr>
      <w:r>
        <w:rPr>
          <w:rFonts w:hint="eastAsia" w:hAnsi="宋体" w:cs="宋体"/>
          <w:bCs/>
          <w:highlight w:val="none"/>
        </w:rPr>
        <w:t>我单位（制造商名称）是按（国家／地区名称）法律成立的一家制造商，主要营业地点设在（制造商地址）。兹授权按（国家／地区名称）的法律正式成立的，主要营业地点设在（投标人的单位地址）的（投标人名称）以我单位制造的（</w:t>
      </w:r>
      <w:r>
        <w:rPr>
          <w:rFonts w:hint="eastAsia" w:hAnsi="宋体" w:cs="宋体"/>
          <w:highlight w:val="none"/>
        </w:rPr>
        <w:t>货物</w:t>
      </w:r>
      <w:r>
        <w:rPr>
          <w:rFonts w:hint="eastAsia" w:hAnsi="宋体" w:cs="宋体"/>
          <w:bCs/>
          <w:highlight w:val="none"/>
        </w:rPr>
        <w:t>名称）进行</w:t>
      </w:r>
      <w:r>
        <w:rPr>
          <w:rFonts w:hint="eastAsia" w:hAnsi="宋体"/>
          <w:highlight w:val="none"/>
          <w:u w:val="single"/>
        </w:rPr>
        <w:t>（招标项目名称）</w:t>
      </w:r>
      <w:r>
        <w:rPr>
          <w:rFonts w:hint="eastAsia" w:hAnsi="宋体"/>
          <w:highlight w:val="none"/>
        </w:rPr>
        <w:t>标段</w:t>
      </w:r>
      <w:r>
        <w:rPr>
          <w:rFonts w:hint="eastAsia" w:hAnsi="宋体" w:cs="宋体"/>
          <w:bCs/>
          <w:highlight w:val="none"/>
        </w:rPr>
        <w:t>投标活动。我单位同意按照中标合同供货，并对产品质量承担责任。</w:t>
      </w:r>
    </w:p>
    <w:p>
      <w:pPr>
        <w:spacing w:line="360" w:lineRule="auto"/>
        <w:ind w:firstLine="480" w:firstLineChars="200"/>
        <w:rPr>
          <w:rFonts w:hAnsi="宋体" w:cs="宋体"/>
          <w:bCs/>
          <w:highlight w:val="none"/>
        </w:rPr>
      </w:pPr>
      <w:r>
        <w:rPr>
          <w:rFonts w:hint="eastAsia" w:hAnsi="宋体" w:cs="宋体"/>
          <w:bCs/>
          <w:highlight w:val="none"/>
        </w:rPr>
        <w:t>授权期限：。</w:t>
      </w:r>
    </w:p>
    <w:p>
      <w:pPr>
        <w:spacing w:line="360" w:lineRule="auto"/>
        <w:ind w:firstLine="480" w:firstLineChars="200"/>
        <w:rPr>
          <w:rFonts w:hAnsi="宋体" w:cs="宋体"/>
          <w:bCs/>
          <w:highlight w:val="none"/>
        </w:rPr>
      </w:pPr>
    </w:p>
    <w:p>
      <w:pPr>
        <w:spacing w:line="360" w:lineRule="auto"/>
        <w:ind w:firstLine="480" w:firstLineChars="200"/>
        <w:rPr>
          <w:rFonts w:hAnsi="宋体" w:cs="宋体"/>
          <w:bCs/>
          <w:highlight w:val="none"/>
        </w:rPr>
      </w:pPr>
    </w:p>
    <w:p>
      <w:pPr>
        <w:spacing w:line="360" w:lineRule="auto"/>
        <w:ind w:firstLine="2880" w:firstLineChars="1200"/>
        <w:rPr>
          <w:rFonts w:hAnsi="宋体" w:cs="宋体"/>
          <w:bCs/>
          <w:highlight w:val="none"/>
        </w:rPr>
      </w:pPr>
      <w:r>
        <w:rPr>
          <w:rFonts w:hint="eastAsia" w:hAnsi="宋体" w:cs="宋体"/>
          <w:bCs/>
          <w:highlight w:val="none"/>
        </w:rPr>
        <w:t xml:space="preserve">投标人名称：（盖单位章）  </w:t>
      </w:r>
    </w:p>
    <w:p>
      <w:pPr>
        <w:spacing w:line="360" w:lineRule="auto"/>
        <w:ind w:firstLine="2880" w:firstLineChars="1200"/>
        <w:rPr>
          <w:rFonts w:hAnsi="宋体" w:cs="宋体"/>
          <w:bCs/>
          <w:highlight w:val="none"/>
        </w:rPr>
      </w:pPr>
      <w:r>
        <w:rPr>
          <w:rFonts w:hint="eastAsia" w:hAnsi="宋体" w:cs="宋体"/>
          <w:bCs/>
          <w:highlight w:val="none"/>
        </w:rPr>
        <w:t>制造商名称：（盖单位章）</w:t>
      </w:r>
    </w:p>
    <w:p>
      <w:pPr>
        <w:spacing w:line="360" w:lineRule="auto"/>
        <w:ind w:firstLine="480" w:firstLineChars="200"/>
        <w:rPr>
          <w:rFonts w:hAnsi="宋体" w:cs="宋体"/>
          <w:bCs/>
          <w:highlight w:val="none"/>
        </w:rPr>
      </w:pPr>
    </w:p>
    <w:p>
      <w:pPr>
        <w:pStyle w:val="5"/>
        <w:spacing w:before="0" w:after="0"/>
        <w:jc w:val="center"/>
        <w:rPr>
          <w:rFonts w:ascii="宋体" w:hAnsi="宋体" w:eastAsia="宋体" w:cs="宋体"/>
          <w:highlight w:val="none"/>
        </w:rPr>
      </w:pPr>
      <w:bookmarkStart w:id="1012" w:name="_Toc14916"/>
      <w:bookmarkStart w:id="1013" w:name="_Toc22953"/>
      <w:bookmarkStart w:id="1014" w:name="_Toc14214"/>
      <w:bookmarkStart w:id="1015" w:name="_Toc20521"/>
      <w:bookmarkStart w:id="1016" w:name="_Toc7277"/>
      <w:bookmarkStart w:id="1017" w:name="_Toc13177"/>
      <w:bookmarkStart w:id="1018" w:name="_Toc23419"/>
      <w:bookmarkStart w:id="1019" w:name="_Toc4344"/>
      <w:r>
        <w:rPr>
          <w:rFonts w:hint="eastAsia" w:ascii="黑体" w:hAnsi="黑体" w:cs="黑体"/>
          <w:highlight w:val="none"/>
        </w:rPr>
        <w:br w:type="page"/>
      </w:r>
      <w:r>
        <w:rPr>
          <w:rFonts w:hint="eastAsia" w:ascii="黑体" w:hAnsi="黑体" w:cs="黑体"/>
          <w:szCs w:val="24"/>
          <w:highlight w:val="none"/>
        </w:rPr>
        <w:t>（五）拟委任的项目负责人简历</w:t>
      </w:r>
      <w:r>
        <w:rPr>
          <w:rStyle w:val="67"/>
          <w:rFonts w:hint="eastAsia" w:ascii="黑体" w:hAnsi="黑体" w:cs="黑体"/>
          <w:szCs w:val="24"/>
          <w:highlight w:val="none"/>
        </w:rPr>
        <w:footnoteReference w:id="2"/>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349"/>
        <w:gridCol w:w="984"/>
        <w:gridCol w:w="213"/>
        <w:gridCol w:w="1368"/>
        <w:gridCol w:w="1177"/>
        <w:gridCol w:w="363"/>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姓  名</w:t>
            </w:r>
          </w:p>
        </w:tc>
        <w:tc>
          <w:tcPr>
            <w:tcW w:w="792" w:type="pct"/>
            <w:vAlign w:val="center"/>
          </w:tcPr>
          <w:p>
            <w:pPr>
              <w:spacing w:line="360" w:lineRule="auto"/>
              <w:jc w:val="center"/>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年 龄</w:t>
            </w:r>
          </w:p>
        </w:tc>
        <w:tc>
          <w:tcPr>
            <w:tcW w:w="803" w:type="pct"/>
            <w:vAlign w:val="center"/>
          </w:tcPr>
          <w:p>
            <w:pPr>
              <w:spacing w:line="360" w:lineRule="auto"/>
              <w:jc w:val="center"/>
              <w:rPr>
                <w:rFonts w:hAnsi="宋体" w:cs="宋体"/>
                <w:highlight w:val="none"/>
              </w:rPr>
            </w:pPr>
          </w:p>
        </w:tc>
        <w:tc>
          <w:tcPr>
            <w:tcW w:w="904" w:type="pct"/>
            <w:gridSpan w:val="2"/>
            <w:vAlign w:val="center"/>
          </w:tcPr>
          <w:p>
            <w:pPr>
              <w:spacing w:line="360" w:lineRule="auto"/>
              <w:jc w:val="center"/>
              <w:rPr>
                <w:rFonts w:hAnsi="宋体" w:cs="宋体"/>
                <w:highlight w:val="none"/>
              </w:rPr>
            </w:pPr>
            <w:r>
              <w:rPr>
                <w:rFonts w:hint="eastAsia" w:hAnsi="宋体" w:cs="宋体"/>
                <w:highlight w:val="none"/>
              </w:rPr>
              <w:t>学 历</w:t>
            </w:r>
          </w:p>
        </w:tc>
        <w:tc>
          <w:tcPr>
            <w:tcW w:w="1096" w:type="pct"/>
            <w:vAlign w:val="center"/>
          </w:tcPr>
          <w:p>
            <w:pPr>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职  称</w:t>
            </w:r>
          </w:p>
        </w:tc>
        <w:tc>
          <w:tcPr>
            <w:tcW w:w="792" w:type="pct"/>
            <w:vAlign w:val="center"/>
          </w:tcPr>
          <w:p>
            <w:pPr>
              <w:spacing w:line="360" w:lineRule="auto"/>
              <w:jc w:val="center"/>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单位</w:t>
            </w:r>
          </w:p>
          <w:p>
            <w:pPr>
              <w:spacing w:line="360" w:lineRule="auto"/>
              <w:jc w:val="center"/>
              <w:rPr>
                <w:rFonts w:hAnsi="宋体" w:cs="宋体"/>
                <w:highlight w:val="none"/>
              </w:rPr>
            </w:pPr>
            <w:r>
              <w:rPr>
                <w:rFonts w:hint="eastAsia" w:hAnsi="宋体" w:cs="宋体"/>
                <w:highlight w:val="none"/>
              </w:rPr>
              <w:t>职务</w:t>
            </w:r>
          </w:p>
        </w:tc>
        <w:tc>
          <w:tcPr>
            <w:tcW w:w="803" w:type="pct"/>
            <w:vAlign w:val="center"/>
          </w:tcPr>
          <w:p>
            <w:pPr>
              <w:spacing w:line="360" w:lineRule="auto"/>
              <w:jc w:val="center"/>
              <w:rPr>
                <w:rFonts w:hAnsi="宋体" w:cs="宋体"/>
                <w:highlight w:val="none"/>
              </w:rPr>
            </w:pPr>
          </w:p>
        </w:tc>
        <w:tc>
          <w:tcPr>
            <w:tcW w:w="904" w:type="pct"/>
            <w:gridSpan w:val="2"/>
            <w:vAlign w:val="center"/>
          </w:tcPr>
          <w:p>
            <w:pPr>
              <w:spacing w:line="360" w:lineRule="auto"/>
              <w:jc w:val="center"/>
              <w:rPr>
                <w:rFonts w:hAnsi="宋体" w:cs="宋体"/>
                <w:highlight w:val="none"/>
              </w:rPr>
            </w:pPr>
            <w:r>
              <w:rPr>
                <w:rFonts w:hint="eastAsia" w:hAnsi="宋体" w:cs="宋体"/>
                <w:highlight w:val="none"/>
              </w:rPr>
              <w:t>拟在本标段</w:t>
            </w:r>
          </w:p>
          <w:p>
            <w:pPr>
              <w:spacing w:line="360" w:lineRule="auto"/>
              <w:jc w:val="center"/>
              <w:rPr>
                <w:rFonts w:hAnsi="宋体" w:cs="宋体"/>
                <w:highlight w:val="none"/>
              </w:rPr>
            </w:pPr>
            <w:r>
              <w:rPr>
                <w:rFonts w:hint="eastAsia" w:hAnsi="宋体" w:cs="宋体"/>
                <w:highlight w:val="none"/>
              </w:rPr>
              <w:t>项目担任职务</w:t>
            </w:r>
          </w:p>
        </w:tc>
        <w:tc>
          <w:tcPr>
            <w:tcW w:w="1096" w:type="pct"/>
            <w:vAlign w:val="center"/>
          </w:tcPr>
          <w:p>
            <w:pPr>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执业资格</w:t>
            </w:r>
          </w:p>
        </w:tc>
        <w:tc>
          <w:tcPr>
            <w:tcW w:w="792" w:type="pct"/>
            <w:vAlign w:val="center"/>
          </w:tcPr>
          <w:p>
            <w:pPr>
              <w:spacing w:line="360" w:lineRule="auto"/>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资格证</w:t>
            </w:r>
          </w:p>
          <w:p>
            <w:pPr>
              <w:spacing w:line="360" w:lineRule="auto"/>
              <w:jc w:val="center"/>
              <w:rPr>
                <w:rFonts w:hAnsi="宋体" w:cs="宋体"/>
                <w:highlight w:val="none"/>
              </w:rPr>
            </w:pPr>
            <w:r>
              <w:rPr>
                <w:rFonts w:hint="eastAsia" w:hAnsi="宋体" w:cs="宋体"/>
                <w:highlight w:val="none"/>
              </w:rPr>
              <w:t>书编号</w:t>
            </w:r>
          </w:p>
        </w:tc>
        <w:tc>
          <w:tcPr>
            <w:tcW w:w="2803" w:type="pct"/>
            <w:gridSpan w:val="4"/>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毕业学校</w:t>
            </w:r>
          </w:p>
        </w:tc>
        <w:tc>
          <w:tcPr>
            <w:tcW w:w="4298" w:type="pct"/>
            <w:gridSpan w:val="7"/>
            <w:vAlign w:val="center"/>
          </w:tcPr>
          <w:p>
            <w:pPr>
              <w:spacing w:line="360" w:lineRule="auto"/>
              <w:rPr>
                <w:rFonts w:hAnsi="宋体" w:cs="宋体"/>
                <w:highlight w:val="none"/>
                <w:u w:val="single"/>
              </w:rPr>
            </w:pPr>
            <w:r>
              <w:rPr>
                <w:rFonts w:hint="eastAsia" w:hAnsi="宋体" w:cs="宋体"/>
                <w:highlight w:val="none"/>
              </w:rPr>
              <w:t>年月毕业于学校专业，学制年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8"/>
            <w:vAlign w:val="center"/>
          </w:tcPr>
          <w:p>
            <w:pPr>
              <w:spacing w:line="360" w:lineRule="auto"/>
              <w:jc w:val="center"/>
              <w:rPr>
                <w:rFonts w:hAnsi="宋体" w:cs="宋体"/>
                <w:highlight w:val="none"/>
              </w:rPr>
            </w:pPr>
            <w:r>
              <w:rPr>
                <w:rFonts w:hint="eastAsia" w:hAnsi="宋体" w:cs="宋体"/>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jc w:val="center"/>
              <w:rPr>
                <w:rFonts w:hAnsi="宋体" w:cs="宋体"/>
                <w:highlight w:val="none"/>
              </w:rPr>
            </w:pPr>
            <w:r>
              <w:rPr>
                <w:rFonts w:hint="eastAsia" w:hAnsi="宋体" w:cs="宋体"/>
                <w:highlight w:val="none"/>
              </w:rPr>
              <w:t>时间</w:t>
            </w:r>
          </w:p>
        </w:tc>
        <w:tc>
          <w:tcPr>
            <w:tcW w:w="1370" w:type="pct"/>
            <w:gridSpan w:val="2"/>
            <w:vAlign w:val="center"/>
          </w:tcPr>
          <w:p>
            <w:pPr>
              <w:spacing w:line="360" w:lineRule="auto"/>
              <w:jc w:val="center"/>
              <w:rPr>
                <w:rFonts w:hAnsi="宋体" w:cs="宋体"/>
                <w:highlight w:val="none"/>
              </w:rPr>
            </w:pPr>
            <w:r>
              <w:rPr>
                <w:rFonts w:hint="eastAsia" w:hAnsi="宋体" w:cs="宋体"/>
                <w:highlight w:val="none"/>
              </w:rPr>
              <w:t>参加过的项目名称</w:t>
            </w:r>
          </w:p>
        </w:tc>
        <w:tc>
          <w:tcPr>
            <w:tcW w:w="917" w:type="pct"/>
            <w:gridSpan w:val="2"/>
            <w:vAlign w:val="center"/>
          </w:tcPr>
          <w:p>
            <w:pPr>
              <w:spacing w:line="360" w:lineRule="auto"/>
              <w:jc w:val="center"/>
              <w:rPr>
                <w:rFonts w:hAnsi="宋体" w:cs="宋体"/>
                <w:highlight w:val="none"/>
              </w:rPr>
            </w:pPr>
            <w:r>
              <w:rPr>
                <w:rFonts w:hint="eastAsia" w:hAnsi="宋体" w:cs="宋体"/>
                <w:highlight w:val="none"/>
              </w:rPr>
              <w:t>签约合同价金额（万元）</w:t>
            </w:r>
          </w:p>
        </w:tc>
        <w:tc>
          <w:tcPr>
            <w:tcW w:w="691" w:type="pct"/>
            <w:vAlign w:val="center"/>
          </w:tcPr>
          <w:p>
            <w:pPr>
              <w:spacing w:line="360" w:lineRule="auto"/>
              <w:jc w:val="center"/>
              <w:rPr>
                <w:rFonts w:hAnsi="宋体" w:cs="宋体"/>
                <w:highlight w:val="none"/>
              </w:rPr>
            </w:pPr>
            <w:r>
              <w:rPr>
                <w:rFonts w:hint="eastAsia" w:hAnsi="宋体" w:cs="宋体"/>
                <w:highlight w:val="none"/>
              </w:rPr>
              <w:t>担任职务</w:t>
            </w:r>
          </w:p>
        </w:tc>
        <w:tc>
          <w:tcPr>
            <w:tcW w:w="1309" w:type="pct"/>
            <w:gridSpan w:val="2"/>
            <w:vAlign w:val="center"/>
          </w:tcPr>
          <w:p>
            <w:pPr>
              <w:spacing w:line="360" w:lineRule="auto"/>
              <w:jc w:val="center"/>
              <w:rPr>
                <w:rFonts w:hAnsi="宋体" w:cs="宋体"/>
                <w:highlight w:val="none"/>
              </w:rPr>
            </w:pPr>
            <w:r>
              <w:rPr>
                <w:rFonts w:hint="eastAsia" w:hAnsi="宋体" w:cs="宋体"/>
                <w:highlight w:val="none"/>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spacing w:line="360" w:lineRule="auto"/>
              <w:rPr>
                <w:rFonts w:hAnsi="宋体" w:cs="宋体"/>
                <w:highlight w:val="none"/>
              </w:rPr>
            </w:pPr>
          </w:p>
        </w:tc>
        <w:tc>
          <w:tcPr>
            <w:tcW w:w="917" w:type="pct"/>
            <w:gridSpan w:val="2"/>
          </w:tcPr>
          <w:p>
            <w:pPr>
              <w:spacing w:line="360" w:lineRule="auto"/>
              <w:rPr>
                <w:rFonts w:hAnsi="宋体" w:cs="宋体"/>
                <w:highlight w:val="none"/>
              </w:rPr>
            </w:pPr>
          </w:p>
        </w:tc>
        <w:tc>
          <w:tcPr>
            <w:tcW w:w="691" w:type="pct"/>
          </w:tcPr>
          <w:p>
            <w:pPr>
              <w:spacing w:line="360" w:lineRule="auto"/>
              <w:rPr>
                <w:rFonts w:hAnsi="宋体" w:cs="宋体"/>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pStyle w:val="34"/>
              <w:spacing w:before="0" w:after="0" w:line="360" w:lineRule="auto"/>
              <w:rPr>
                <w:rFonts w:ascii="宋体" w:hAnsi="宋体" w:cs="宋体"/>
                <w:b w:val="0"/>
                <w:sz w:val="24"/>
                <w:szCs w:val="24"/>
                <w:highlight w:val="none"/>
              </w:rPr>
            </w:pPr>
          </w:p>
        </w:tc>
        <w:tc>
          <w:tcPr>
            <w:tcW w:w="917" w:type="pct"/>
            <w:gridSpan w:val="2"/>
          </w:tcPr>
          <w:p>
            <w:pPr>
              <w:pStyle w:val="34"/>
              <w:spacing w:before="0" w:after="0" w:line="360" w:lineRule="auto"/>
              <w:rPr>
                <w:rFonts w:ascii="宋体" w:hAnsi="宋体" w:cs="宋体"/>
                <w:b w:val="0"/>
                <w:sz w:val="24"/>
                <w:szCs w:val="24"/>
                <w:highlight w:val="none"/>
              </w:rPr>
            </w:pPr>
          </w:p>
        </w:tc>
        <w:tc>
          <w:tcPr>
            <w:tcW w:w="691" w:type="pct"/>
          </w:tcPr>
          <w:p>
            <w:pPr>
              <w:pStyle w:val="34"/>
              <w:spacing w:before="0" w:after="0" w:line="360" w:lineRule="auto"/>
              <w:rPr>
                <w:rFonts w:ascii="宋体" w:hAnsi="宋体" w:cs="宋体"/>
                <w:b w:val="0"/>
                <w:sz w:val="24"/>
                <w:szCs w:val="24"/>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spacing w:line="360" w:lineRule="auto"/>
              <w:rPr>
                <w:rFonts w:hAnsi="宋体" w:cs="宋体"/>
                <w:highlight w:val="none"/>
              </w:rPr>
            </w:pPr>
          </w:p>
        </w:tc>
        <w:tc>
          <w:tcPr>
            <w:tcW w:w="917" w:type="pct"/>
            <w:gridSpan w:val="2"/>
          </w:tcPr>
          <w:p>
            <w:pPr>
              <w:spacing w:line="360" w:lineRule="auto"/>
              <w:rPr>
                <w:rFonts w:hAnsi="宋体" w:cs="宋体"/>
                <w:highlight w:val="none"/>
              </w:rPr>
            </w:pPr>
          </w:p>
        </w:tc>
        <w:tc>
          <w:tcPr>
            <w:tcW w:w="691" w:type="pct"/>
          </w:tcPr>
          <w:p>
            <w:pPr>
              <w:spacing w:line="360" w:lineRule="auto"/>
              <w:rPr>
                <w:rFonts w:hAnsi="宋体" w:cs="宋体"/>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tcBorders>
              <w:right w:val="single" w:color="auto" w:sz="8" w:space="0"/>
            </w:tcBorders>
            <w:vAlign w:val="center"/>
          </w:tcPr>
          <w:p>
            <w:pPr>
              <w:spacing w:line="360" w:lineRule="auto"/>
              <w:rPr>
                <w:rFonts w:hAnsi="宋体" w:cs="宋体"/>
                <w:highlight w:val="none"/>
              </w:rPr>
            </w:pPr>
          </w:p>
        </w:tc>
        <w:tc>
          <w:tcPr>
            <w:tcW w:w="691" w:type="pct"/>
            <w:tcBorders>
              <w:left w:val="single" w:color="auto" w:sz="8" w:space="0"/>
            </w:tcBorders>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r>
              <w:rPr>
                <w:rFonts w:hint="eastAsia" w:hAnsi="宋体" w:cs="宋体"/>
                <w:highlight w:val="none"/>
              </w:rPr>
              <w:t>获奖情况</w:t>
            </w:r>
          </w:p>
        </w:tc>
        <w:tc>
          <w:tcPr>
            <w:tcW w:w="4287" w:type="pct"/>
            <w:gridSpan w:val="7"/>
            <w:vAlign w:val="center"/>
          </w:tcPr>
          <w:p>
            <w:pPr>
              <w:spacing w:line="360" w:lineRule="auto"/>
              <w:rPr>
                <w:rFonts w:hAnsi="宋体" w:cs="宋体"/>
                <w:highlight w:val="none"/>
              </w:rPr>
            </w:pPr>
          </w:p>
        </w:tc>
      </w:tr>
    </w:tbl>
    <w:p>
      <w:pPr>
        <w:tabs>
          <w:tab w:val="left" w:pos="2580"/>
          <w:tab w:val="left" w:pos="5940"/>
        </w:tabs>
        <w:autoSpaceDE w:val="0"/>
        <w:autoSpaceDN w:val="0"/>
        <w:adjustRightInd w:val="0"/>
        <w:snapToGrid w:val="0"/>
        <w:spacing w:line="360" w:lineRule="auto"/>
        <w:jc w:val="left"/>
        <w:rPr>
          <w:rFonts w:hAnsi="宋体" w:cs="宋体"/>
          <w:spacing w:val="-6"/>
          <w:highlight w:val="none"/>
        </w:rPr>
      </w:pPr>
      <w:r>
        <w:rPr>
          <w:rFonts w:hint="eastAsia" w:hAnsi="宋体" w:cs="宋体"/>
          <w:spacing w:val="-6"/>
          <w:highlight w:val="none"/>
        </w:rPr>
        <w:t>注：1. 本表应填写项目负责人相关情况。</w:t>
      </w:r>
    </w:p>
    <w:p>
      <w:pPr>
        <w:tabs>
          <w:tab w:val="left" w:pos="2580"/>
          <w:tab w:val="left" w:pos="5940"/>
        </w:tabs>
        <w:autoSpaceDE w:val="0"/>
        <w:autoSpaceDN w:val="0"/>
        <w:adjustRightInd w:val="0"/>
        <w:snapToGrid w:val="0"/>
        <w:spacing w:line="360" w:lineRule="auto"/>
        <w:jc w:val="left"/>
        <w:rPr>
          <w:rFonts w:hAnsi="宋体" w:cs="宋体"/>
          <w:spacing w:val="-6"/>
          <w:highlight w:val="none"/>
        </w:rPr>
      </w:pPr>
      <w:r>
        <w:rPr>
          <w:rFonts w:hint="eastAsia" w:hAnsi="宋体" w:cs="宋体"/>
          <w:spacing w:val="-6"/>
          <w:highlight w:val="none"/>
        </w:rPr>
        <w:t xml:space="preserve">    2. 投标人应根据招标文件的要求在本表后附相关证明材料。</w:t>
      </w:r>
    </w:p>
    <w:p>
      <w:pPr>
        <w:pStyle w:val="5"/>
        <w:spacing w:before="0" w:after="0"/>
        <w:jc w:val="center"/>
        <w:rPr>
          <w:rFonts w:ascii="黑体" w:hAnsi="黑体" w:cs="黑体"/>
          <w:szCs w:val="24"/>
          <w:highlight w:val="none"/>
        </w:rPr>
      </w:pPr>
      <w:r>
        <w:rPr>
          <w:highlight w:val="none"/>
        </w:rPr>
        <w:br w:type="page"/>
      </w:r>
      <w:r>
        <w:rPr>
          <w:rFonts w:hint="eastAsia" w:ascii="黑体" w:hAnsi="黑体" w:cs="黑体"/>
          <w:szCs w:val="24"/>
          <w:highlight w:val="none"/>
        </w:rPr>
        <w:t>（六）项目负责人业绩情况表（资格审查）</w:t>
      </w:r>
    </w:p>
    <w:tbl>
      <w:tblPr>
        <w:tblStyle w:val="5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1"/>
        <w:gridCol w:w="4983"/>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业绩序号</w:t>
            </w:r>
          </w:p>
        </w:tc>
        <w:tc>
          <w:tcPr>
            <w:tcW w:w="2926" w:type="pct"/>
            <w:vAlign w:val="center"/>
          </w:tcPr>
          <w:p>
            <w:pPr>
              <w:jc w:val="center"/>
              <w:rPr>
                <w:rFonts w:hAnsi="宋体" w:cs="宋体"/>
                <w:szCs w:val="24"/>
                <w:highlight w:val="none"/>
              </w:rPr>
            </w:pPr>
            <w:r>
              <w:rPr>
                <w:rFonts w:hint="eastAsia" w:hAnsi="宋体" w:cs="宋体"/>
                <w:szCs w:val="24"/>
                <w:highlight w:val="none"/>
              </w:rPr>
              <w:t>项目名称（合同名称）</w:t>
            </w:r>
          </w:p>
        </w:tc>
        <w:tc>
          <w:tcPr>
            <w:tcW w:w="1250" w:type="pct"/>
            <w:vAlign w:val="center"/>
          </w:tcPr>
          <w:p>
            <w:pPr>
              <w:jc w:val="center"/>
              <w:rPr>
                <w:rFonts w:hAnsi="宋体" w:cs="宋体"/>
                <w:szCs w:val="24"/>
                <w:highlight w:val="none"/>
              </w:rPr>
            </w:pPr>
            <w:r>
              <w:rPr>
                <w:rFonts w:hint="eastAsia" w:hAnsi="宋体" w:cs="宋体"/>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1</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2</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bl>
    <w:p>
      <w:pPr>
        <w:spacing w:line="360" w:lineRule="auto"/>
        <w:ind w:firstLine="480" w:firstLineChars="200"/>
        <w:rPr>
          <w:rFonts w:hAnsi="宋体" w:cs="宋体"/>
          <w:szCs w:val="24"/>
          <w:highlight w:val="none"/>
        </w:rPr>
      </w:pPr>
      <w:r>
        <w:rPr>
          <w:rFonts w:hint="eastAsia" w:hAnsi="宋体" w:cs="宋体"/>
          <w:szCs w:val="24"/>
          <w:highlight w:val="none"/>
        </w:rPr>
        <w:t>注：</w:t>
      </w:r>
    </w:p>
    <w:p>
      <w:pPr>
        <w:spacing w:line="360" w:lineRule="auto"/>
        <w:ind w:firstLine="480" w:firstLineChars="200"/>
        <w:rPr>
          <w:rFonts w:hAnsi="宋体" w:cs="宋体"/>
          <w:szCs w:val="24"/>
          <w:highlight w:val="none"/>
        </w:rPr>
      </w:pPr>
      <w:r>
        <w:rPr>
          <w:rFonts w:hint="eastAsia" w:hAnsi="宋体" w:cs="宋体"/>
          <w:szCs w:val="24"/>
          <w:highlight w:val="none"/>
        </w:rPr>
        <w:t>1.投标人应将用于资格审查的</w:t>
      </w:r>
      <w:r>
        <w:rPr>
          <w:rFonts w:hint="eastAsia" w:ascii="Times New Roman"/>
          <w:highlight w:val="none"/>
        </w:rPr>
        <w:t>项目负责人</w:t>
      </w:r>
      <w:r>
        <w:rPr>
          <w:rFonts w:hint="eastAsia" w:hAnsi="宋体" w:cs="宋体"/>
          <w:szCs w:val="24"/>
          <w:highlight w:val="none"/>
        </w:rPr>
        <w:t>业绩在上表中列明，按照列明的业绩序号先后顺序依次填写“项目负责人业绩信息表（资格审查）”，并附相应业绩证明材料。</w:t>
      </w:r>
    </w:p>
    <w:p>
      <w:pPr>
        <w:spacing w:line="360" w:lineRule="auto"/>
        <w:ind w:firstLine="480" w:firstLineChars="200"/>
        <w:rPr>
          <w:rFonts w:hAnsi="宋体" w:cs="宋体"/>
          <w:szCs w:val="24"/>
          <w:highlight w:val="none"/>
        </w:rPr>
      </w:pPr>
      <w:r>
        <w:rPr>
          <w:rFonts w:hint="eastAsia" w:hAnsi="宋体" w:cs="宋体"/>
          <w:szCs w:val="24"/>
          <w:highlight w:val="none"/>
        </w:rPr>
        <w:t>2.</w:t>
      </w:r>
      <w:r>
        <w:rPr>
          <w:rFonts w:hint="eastAsia"/>
          <w:szCs w:val="24"/>
          <w:highlight w:val="none"/>
        </w:rPr>
        <w:t>评标委员会应当按照上表列明的业绩序号先后顺序依次进行评审，且仅评审“附录5  资格审查条件（项目负责人最低要求）”规定数量的业绩，超出规定数量部分或未在上表列明的业绩均不作为资格审查项目负责人业绩予以评审。</w:t>
      </w:r>
    </w:p>
    <w:p>
      <w:pPr>
        <w:tabs>
          <w:tab w:val="left" w:pos="8422"/>
          <w:tab w:val="left" w:pos="9622"/>
        </w:tabs>
        <w:spacing w:line="360" w:lineRule="auto"/>
        <w:ind w:left="4800" w:leftChars="2000" w:right="120" w:rightChars="50"/>
        <w:jc w:val="left"/>
        <w:rPr>
          <w:rFonts w:hAnsi="宋体" w:cs="宋体"/>
          <w:szCs w:val="24"/>
          <w:highlight w:val="none"/>
        </w:rPr>
      </w:pPr>
    </w:p>
    <w:p>
      <w:pPr>
        <w:adjustRightInd w:val="0"/>
        <w:snapToGrid w:val="0"/>
        <w:spacing w:line="360" w:lineRule="auto"/>
        <w:jc w:val="right"/>
        <w:rPr>
          <w:rFonts w:hAnsi="宋体" w:cs="宋体"/>
          <w:bCs/>
          <w:szCs w:val="24"/>
          <w:highlight w:val="none"/>
          <w:u w:val="single"/>
        </w:rPr>
      </w:pPr>
      <w:r>
        <w:rPr>
          <w:rFonts w:hint="eastAsia" w:hAnsi="宋体" w:cs="宋体"/>
          <w:bCs/>
          <w:spacing w:val="120"/>
          <w:kern w:val="0"/>
          <w:szCs w:val="24"/>
          <w:highlight w:val="none"/>
          <w:fitText w:val="1200" w:id="503068454"/>
        </w:rPr>
        <w:t>投标</w:t>
      </w:r>
      <w:r>
        <w:rPr>
          <w:rFonts w:hint="eastAsia" w:hAnsi="宋体" w:cs="宋体"/>
          <w:bCs/>
          <w:spacing w:val="0"/>
          <w:kern w:val="0"/>
          <w:szCs w:val="24"/>
          <w:highlight w:val="none"/>
          <w:fitText w:val="1200" w:id="503068454"/>
        </w:rPr>
        <w:t>人</w:t>
      </w:r>
      <w:r>
        <w:rPr>
          <w:rFonts w:hint="eastAsia" w:hAnsi="宋体" w:cs="宋体"/>
          <w:bCs/>
          <w:szCs w:val="24"/>
          <w:highlight w:val="none"/>
        </w:rPr>
        <w:t>：（盖单位章）</w:t>
      </w:r>
    </w:p>
    <w:p>
      <w:pPr>
        <w:adjustRightInd w:val="0"/>
        <w:snapToGrid w:val="0"/>
        <w:spacing w:line="360" w:lineRule="auto"/>
        <w:jc w:val="right"/>
        <w:rPr>
          <w:rFonts w:hAnsi="宋体" w:cs="宋体"/>
          <w:szCs w:val="24"/>
          <w:highlight w:val="none"/>
        </w:rPr>
      </w:pPr>
      <w:r>
        <w:rPr>
          <w:rFonts w:hint="eastAsia" w:hAnsi="宋体" w:cs="宋体"/>
          <w:bCs/>
          <w:spacing w:val="360"/>
          <w:kern w:val="0"/>
          <w:szCs w:val="24"/>
          <w:highlight w:val="none"/>
          <w:fitText w:val="1200" w:id="910505911"/>
        </w:rPr>
        <w:t>日</w:t>
      </w:r>
      <w:r>
        <w:rPr>
          <w:rFonts w:hint="eastAsia" w:hAnsi="宋体" w:cs="宋体"/>
          <w:bCs/>
          <w:spacing w:val="0"/>
          <w:kern w:val="0"/>
          <w:szCs w:val="24"/>
          <w:highlight w:val="none"/>
          <w:fitText w:val="1200" w:id="910505911"/>
        </w:rPr>
        <w:t>期</w:t>
      </w:r>
      <w:r>
        <w:rPr>
          <w:rFonts w:hint="eastAsia" w:hAnsi="宋体" w:cs="宋体"/>
          <w:szCs w:val="24"/>
          <w:highlight w:val="none"/>
        </w:rPr>
        <w:t>：年月日</w:t>
      </w:r>
    </w:p>
    <w:p>
      <w:pPr>
        <w:rPr>
          <w:rFonts w:ascii="黑体" w:hAnsi="黑体" w:cs="黑体"/>
          <w:szCs w:val="24"/>
          <w:highlight w:val="none"/>
        </w:rPr>
      </w:pPr>
    </w:p>
    <w:p>
      <w:pPr>
        <w:jc w:val="center"/>
        <w:outlineLvl w:val="0"/>
        <w:rPr>
          <w:szCs w:val="24"/>
          <w:highlight w:val="none"/>
        </w:rPr>
      </w:pPr>
      <w:r>
        <w:rPr>
          <w:rFonts w:hint="eastAsia" w:hAnsi="宋体" w:cs="宋体"/>
          <w:szCs w:val="24"/>
          <w:highlight w:val="none"/>
        </w:rPr>
        <w:br w:type="page"/>
      </w:r>
      <w:bookmarkStart w:id="1020" w:name="_Toc140069455"/>
      <w:r>
        <w:rPr>
          <w:rFonts w:hint="eastAsia" w:hAnsi="宋体" w:cs="宋体"/>
          <w:szCs w:val="24"/>
          <w:highlight w:val="none"/>
        </w:rPr>
        <w:t>项目负责人业绩信息表（资格审查）</w:t>
      </w:r>
      <w:bookmarkEnd w:id="1020"/>
    </w:p>
    <w:tbl>
      <w:tblPr>
        <w:tblStyle w:val="5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合同项目负责人</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4"/>
                <w:highlight w:val="none"/>
              </w:rPr>
              <w:t>资格审查用业绩</w:t>
            </w:r>
          </w:p>
        </w:tc>
      </w:tr>
    </w:tbl>
    <w:p>
      <w:pPr>
        <w:spacing w:line="360" w:lineRule="auto"/>
        <w:rPr>
          <w:rFonts w:hAnsi="宋体" w:cs="宋体"/>
          <w:highlight w:val="none"/>
        </w:rPr>
      </w:pPr>
      <w:r>
        <w:rPr>
          <w:rFonts w:hint="eastAsia" w:hAnsi="宋体" w:cs="宋体"/>
          <w:highlight w:val="none"/>
        </w:rPr>
        <w:t>注：投标人应根据招标文件第二章“投标人须知”前附表附录5的要求在本表后附相关证明材料。</w:t>
      </w:r>
    </w:p>
    <w:p>
      <w:pPr>
        <w:spacing w:line="360" w:lineRule="auto"/>
        <w:rPr>
          <w:rFonts w:hAnsi="宋体" w:cs="宋体"/>
          <w:highlight w:val="none"/>
        </w:rPr>
      </w:pPr>
    </w:p>
    <w:p>
      <w:pPr>
        <w:spacing w:line="360" w:lineRule="auto"/>
        <w:jc w:val="center"/>
        <w:outlineLvl w:val="0"/>
        <w:rPr>
          <w:rFonts w:ascii="黑体" w:hAnsi="黑体" w:eastAsia="黑体" w:cs="黑体"/>
          <w:bCs/>
          <w:highlight w:val="none"/>
        </w:rPr>
      </w:pPr>
      <w:r>
        <w:rPr>
          <w:rFonts w:hint="eastAsia" w:hAnsi="宋体" w:cs="宋体"/>
          <w:spacing w:val="-6"/>
          <w:highlight w:val="none"/>
        </w:rPr>
        <w:br w:type="page"/>
      </w:r>
      <w:bookmarkStart w:id="1021" w:name="_Toc140069456"/>
      <w:r>
        <w:rPr>
          <w:rFonts w:hint="eastAsia" w:ascii="黑体" w:hAnsi="黑体" w:eastAsia="黑体" w:cs="黑体"/>
          <w:bCs/>
          <w:highlight w:val="none"/>
        </w:rPr>
        <w:t>（七）投标人信誉情况</w:t>
      </w:r>
      <w:bookmarkEnd w:id="1012"/>
      <w:bookmarkEnd w:id="1013"/>
      <w:bookmarkEnd w:id="1014"/>
      <w:bookmarkEnd w:id="1015"/>
      <w:bookmarkEnd w:id="1016"/>
      <w:bookmarkEnd w:id="1017"/>
      <w:bookmarkEnd w:id="1018"/>
      <w:bookmarkEnd w:id="1019"/>
      <w:bookmarkEnd w:id="1021"/>
    </w:p>
    <w:p>
      <w:pPr>
        <w:jc w:val="center"/>
        <w:rPr>
          <w:rFonts w:ascii="Times New Roman"/>
          <w:bCs/>
          <w:snapToGrid w:val="0"/>
          <w:szCs w:val="24"/>
          <w:highlight w:val="none"/>
        </w:rPr>
      </w:pPr>
      <w:bookmarkStart w:id="1022" w:name="_Toc17949"/>
      <w:bookmarkStart w:id="1023" w:name="_Toc32304"/>
      <w:bookmarkStart w:id="1024" w:name="_Toc24185"/>
      <w:bookmarkStart w:id="1025" w:name="_Toc12379"/>
      <w:bookmarkStart w:id="1026" w:name="_Toc1027"/>
      <w:r>
        <w:rPr>
          <w:rFonts w:hint="eastAsia" w:ascii="Times New Roman"/>
          <w:bCs/>
          <w:snapToGrid w:val="0"/>
          <w:szCs w:val="24"/>
          <w:highlight w:val="none"/>
        </w:rPr>
        <w:t>投标人无需提供证明材料，由评标委员会通过电子服务系统查询。</w:t>
      </w:r>
    </w:p>
    <w:p>
      <w:pPr>
        <w:jc w:val="center"/>
        <w:outlineLvl w:val="0"/>
        <w:rPr>
          <w:rFonts w:ascii="黑体" w:hAnsi="黑体" w:eastAsia="黑体"/>
          <w:szCs w:val="24"/>
          <w:highlight w:val="none"/>
        </w:rPr>
      </w:pPr>
      <w:r>
        <w:rPr>
          <w:rFonts w:hint="eastAsia" w:ascii="黑体" w:hAnsi="黑体" w:eastAsia="黑体"/>
          <w:szCs w:val="24"/>
          <w:highlight w:val="none"/>
        </w:rPr>
        <w:br w:type="page"/>
      </w:r>
      <w:bookmarkStart w:id="1027" w:name="_Toc24647"/>
      <w:bookmarkStart w:id="1028" w:name="_Toc140069457"/>
      <w:r>
        <w:rPr>
          <w:rFonts w:hint="eastAsia" w:ascii="黑体" w:hAnsi="黑体" w:eastAsia="黑体"/>
          <w:szCs w:val="24"/>
          <w:highlight w:val="none"/>
        </w:rPr>
        <w:t>七、</w:t>
      </w:r>
      <w:bookmarkEnd w:id="1022"/>
      <w:bookmarkEnd w:id="1023"/>
      <w:bookmarkEnd w:id="1024"/>
      <w:bookmarkEnd w:id="1025"/>
      <w:bookmarkEnd w:id="1026"/>
      <w:r>
        <w:rPr>
          <w:rFonts w:hint="eastAsia" w:ascii="黑体" w:hAnsi="黑体" w:eastAsia="黑体"/>
          <w:szCs w:val="24"/>
          <w:highlight w:val="none"/>
        </w:rPr>
        <w:t>商务文件详细评审资料</w:t>
      </w:r>
      <w:bookmarkEnd w:id="1027"/>
      <w:bookmarkEnd w:id="1028"/>
    </w:p>
    <w:p>
      <w:pPr>
        <w:autoSpaceDE w:val="0"/>
        <w:autoSpaceDN w:val="0"/>
        <w:adjustRightInd w:val="0"/>
        <w:snapToGrid w:val="0"/>
        <w:spacing w:line="360" w:lineRule="auto"/>
        <w:jc w:val="left"/>
        <w:rPr>
          <w:rFonts w:ascii="Times New Roman"/>
          <w:snapToGrid w:val="0"/>
          <w:szCs w:val="24"/>
          <w:highlight w:val="none"/>
        </w:rPr>
      </w:pPr>
    </w:p>
    <w:p>
      <w:pPr>
        <w:spacing w:beforeLines="50" w:afterLines="50" w:line="360" w:lineRule="auto"/>
        <w:jc w:val="left"/>
        <w:rPr>
          <w:bCs/>
          <w:szCs w:val="24"/>
          <w:highlight w:val="none"/>
        </w:rPr>
      </w:pPr>
      <w:r>
        <w:rPr>
          <w:rFonts w:hint="eastAsia" w:ascii="Times New Roman"/>
          <w:szCs w:val="24"/>
          <w:highlight w:val="none"/>
        </w:rPr>
        <w:t>投标人对照商务文件详细评审条件，自行提供其他相关资料（如有）</w:t>
      </w:r>
    </w:p>
    <w:p>
      <w:pPr>
        <w:spacing w:beforeLines="50" w:afterLines="50" w:line="360" w:lineRule="auto"/>
        <w:jc w:val="center"/>
        <w:outlineLvl w:val="3"/>
        <w:rPr>
          <w:bCs/>
          <w:szCs w:val="24"/>
          <w:highlight w:val="none"/>
        </w:rPr>
      </w:pPr>
      <w:bookmarkStart w:id="1029" w:name="_Toc20940"/>
      <w:bookmarkStart w:id="1030" w:name="_Toc28511"/>
      <w:bookmarkStart w:id="1031" w:name="_Toc13031"/>
      <w:bookmarkStart w:id="1032" w:name="_Toc30750"/>
      <w:bookmarkStart w:id="1033" w:name="_Toc15813"/>
      <w:bookmarkStart w:id="1034" w:name="_Toc17174"/>
      <w:r>
        <w:rPr>
          <w:rFonts w:hint="eastAsia"/>
          <w:bCs/>
          <w:szCs w:val="24"/>
          <w:highlight w:val="none"/>
        </w:rPr>
        <w:t>（一）</w:t>
      </w:r>
      <w:bookmarkEnd w:id="1029"/>
      <w:bookmarkEnd w:id="1030"/>
      <w:bookmarkEnd w:id="1031"/>
      <w:bookmarkEnd w:id="1032"/>
      <w:bookmarkEnd w:id="1033"/>
      <w:r>
        <w:rPr>
          <w:rFonts w:hint="eastAsia"/>
          <w:bCs/>
          <w:szCs w:val="24"/>
          <w:highlight w:val="none"/>
        </w:rPr>
        <w:t>投标人业绩情况表（详细评审）</w:t>
      </w:r>
      <w:bookmarkEnd w:id="1034"/>
    </w:p>
    <w:tbl>
      <w:tblPr>
        <w:tblStyle w:val="5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5155"/>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业绩序号</w:t>
            </w:r>
          </w:p>
        </w:tc>
        <w:tc>
          <w:tcPr>
            <w:tcW w:w="3027" w:type="pct"/>
            <w:vAlign w:val="center"/>
          </w:tcPr>
          <w:p>
            <w:pPr>
              <w:jc w:val="center"/>
              <w:rPr>
                <w:rFonts w:ascii="Times New Roman"/>
                <w:highlight w:val="none"/>
              </w:rPr>
            </w:pPr>
            <w:r>
              <w:rPr>
                <w:rFonts w:hint="eastAsia" w:ascii="Times New Roman"/>
                <w:highlight w:val="none"/>
              </w:rPr>
              <w:t>项目</w:t>
            </w:r>
            <w:r>
              <w:rPr>
                <w:rFonts w:ascii="Times New Roman"/>
                <w:highlight w:val="none"/>
              </w:rPr>
              <w:t>名称</w:t>
            </w:r>
            <w:r>
              <w:rPr>
                <w:rFonts w:hint="eastAsia" w:ascii="Times New Roman"/>
                <w:highlight w:val="none"/>
              </w:rPr>
              <w:t>（合同名称）</w:t>
            </w:r>
          </w:p>
        </w:tc>
        <w:tc>
          <w:tcPr>
            <w:tcW w:w="1040" w:type="pct"/>
            <w:vAlign w:val="center"/>
          </w:tcPr>
          <w:p>
            <w:pPr>
              <w:jc w:val="center"/>
              <w:rPr>
                <w:rFonts w:ascii="Times New Roman"/>
                <w:highlight w:val="none"/>
              </w:rPr>
            </w:pPr>
            <w:r>
              <w:rPr>
                <w:rFonts w:hint="eastAsia" w:ascii="Times New Roman"/>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1</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2</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bl>
    <w:p>
      <w:pPr>
        <w:spacing w:line="360" w:lineRule="auto"/>
        <w:ind w:firstLine="480" w:firstLineChars="200"/>
        <w:rPr>
          <w:highlight w:val="none"/>
        </w:rPr>
      </w:pPr>
      <w:r>
        <w:rPr>
          <w:rFonts w:hint="eastAsia"/>
          <w:highlight w:val="none"/>
        </w:rPr>
        <w:t>注：</w:t>
      </w:r>
    </w:p>
    <w:p>
      <w:pPr>
        <w:spacing w:line="360" w:lineRule="auto"/>
        <w:ind w:firstLine="480" w:firstLineChars="200"/>
        <w:rPr>
          <w:highlight w:val="none"/>
        </w:rPr>
      </w:pPr>
      <w:r>
        <w:rPr>
          <w:rFonts w:hint="eastAsia"/>
          <w:highlight w:val="none"/>
        </w:rPr>
        <w:t>1.投标人应将用于商务文件详细评审的投标人业绩在上表中列明，按照列明</w:t>
      </w:r>
      <w:r>
        <w:rPr>
          <w:highlight w:val="none"/>
        </w:rPr>
        <w:t>的</w:t>
      </w:r>
      <w:r>
        <w:rPr>
          <w:rFonts w:hint="eastAsia"/>
          <w:highlight w:val="none"/>
        </w:rPr>
        <w:t>业绩序号先后</w:t>
      </w:r>
      <w:r>
        <w:rPr>
          <w:highlight w:val="none"/>
        </w:rPr>
        <w:t>顺序</w:t>
      </w:r>
      <w:r>
        <w:rPr>
          <w:rFonts w:hint="eastAsia"/>
          <w:highlight w:val="none"/>
        </w:rPr>
        <w:t>依次填写“投标人</w:t>
      </w:r>
      <w:r>
        <w:rPr>
          <w:highlight w:val="none"/>
        </w:rPr>
        <w:t>业绩</w:t>
      </w:r>
      <w:r>
        <w:rPr>
          <w:rFonts w:hint="eastAsia"/>
          <w:highlight w:val="none"/>
        </w:rPr>
        <w:t>信息</w:t>
      </w:r>
      <w:r>
        <w:rPr>
          <w:highlight w:val="none"/>
        </w:rPr>
        <w:t>表</w:t>
      </w:r>
      <w:r>
        <w:rPr>
          <w:rFonts w:hint="eastAsia"/>
          <w:highlight w:val="none"/>
        </w:rPr>
        <w:t>（详细评审）”，并附相应业绩证明材料。</w:t>
      </w:r>
    </w:p>
    <w:p>
      <w:pPr>
        <w:spacing w:line="360" w:lineRule="auto"/>
        <w:ind w:firstLine="480" w:firstLineChars="200"/>
        <w:rPr>
          <w:highlight w:val="none"/>
        </w:rPr>
      </w:pPr>
      <w:r>
        <w:rPr>
          <w:rFonts w:hint="eastAsia"/>
          <w:highlight w:val="none"/>
        </w:rPr>
        <w:t>2.评标</w:t>
      </w:r>
      <w:r>
        <w:rPr>
          <w:highlight w:val="none"/>
        </w:rPr>
        <w:t>委员会应当按照上表</w:t>
      </w:r>
      <w:r>
        <w:rPr>
          <w:rFonts w:hint="eastAsia"/>
          <w:highlight w:val="none"/>
        </w:rPr>
        <w:t>列明</w:t>
      </w:r>
      <w:r>
        <w:rPr>
          <w:highlight w:val="none"/>
        </w:rPr>
        <w:t>的</w:t>
      </w:r>
      <w:r>
        <w:rPr>
          <w:rFonts w:hint="eastAsia"/>
          <w:highlight w:val="none"/>
        </w:rPr>
        <w:t>业绩序号先后</w:t>
      </w:r>
      <w:r>
        <w:rPr>
          <w:highlight w:val="none"/>
        </w:rPr>
        <w:t>顺序</w:t>
      </w:r>
      <w:r>
        <w:rPr>
          <w:rFonts w:hint="eastAsia"/>
          <w:highlight w:val="none"/>
        </w:rPr>
        <w:t>依次</w:t>
      </w:r>
      <w:r>
        <w:rPr>
          <w:highlight w:val="none"/>
        </w:rPr>
        <w:t>进行评审，</w:t>
      </w:r>
      <w:r>
        <w:rPr>
          <w:rFonts w:hint="eastAsia"/>
          <w:highlight w:val="none"/>
        </w:rPr>
        <w:t>且仅评审评审标准规定数量的业绩，超出规定数量部分或未在上表列明的业绩均不作为</w:t>
      </w:r>
      <w:r>
        <w:rPr>
          <w:rFonts w:hint="eastAsia" w:ascii="Times New Roman"/>
          <w:highlight w:val="none"/>
        </w:rPr>
        <w:t>商务文件详细评审投标人业绩</w:t>
      </w:r>
      <w:r>
        <w:rPr>
          <w:rFonts w:hint="eastAsia"/>
          <w:highlight w:val="none"/>
        </w:rPr>
        <w:t>予以评审。</w:t>
      </w:r>
    </w:p>
    <w:p>
      <w:pPr>
        <w:tabs>
          <w:tab w:val="left" w:pos="8422"/>
          <w:tab w:val="left" w:pos="9622"/>
        </w:tabs>
        <w:spacing w:line="360" w:lineRule="auto"/>
        <w:ind w:left="4800" w:leftChars="2000" w:right="120" w:rightChars="50"/>
        <w:jc w:val="left"/>
        <w:rPr>
          <w:highlight w:val="none"/>
        </w:rPr>
      </w:pPr>
    </w:p>
    <w:p>
      <w:pPr>
        <w:adjustRightInd w:val="0"/>
        <w:snapToGrid w:val="0"/>
        <w:spacing w:line="360" w:lineRule="auto"/>
        <w:jc w:val="right"/>
        <w:rPr>
          <w:rFonts w:ascii="Times New Roman"/>
          <w:bCs/>
          <w:szCs w:val="21"/>
          <w:highlight w:val="none"/>
          <w:u w:val="single"/>
        </w:rPr>
      </w:pPr>
      <w:r>
        <w:rPr>
          <w:rFonts w:hint="eastAsia" w:ascii="Times New Roman"/>
          <w:bCs/>
          <w:spacing w:val="120"/>
          <w:kern w:val="0"/>
          <w:szCs w:val="21"/>
          <w:highlight w:val="none"/>
          <w:fitText w:val="1200" w:id="1039618615"/>
        </w:rPr>
        <w:t>投标</w:t>
      </w:r>
      <w:r>
        <w:rPr>
          <w:rFonts w:hint="eastAsia" w:ascii="Times New Roman"/>
          <w:bCs/>
          <w:spacing w:val="0"/>
          <w:kern w:val="0"/>
          <w:szCs w:val="21"/>
          <w:highlight w:val="none"/>
          <w:fitText w:val="1200" w:id="1039618615"/>
        </w:rPr>
        <w:t>人</w:t>
      </w:r>
      <w:r>
        <w:rPr>
          <w:rFonts w:hint="eastAsia" w:ascii="Times New Roman"/>
          <w:bCs/>
          <w:szCs w:val="21"/>
          <w:highlight w:val="none"/>
        </w:rPr>
        <w:t>：（盖单位章）</w:t>
      </w:r>
    </w:p>
    <w:p>
      <w:pPr>
        <w:adjustRightInd w:val="0"/>
        <w:snapToGrid w:val="0"/>
        <w:spacing w:line="360" w:lineRule="auto"/>
        <w:jc w:val="right"/>
        <w:rPr>
          <w:rFonts w:ascii="Times New Roman" w:eastAsia="黑体"/>
          <w:sz w:val="28"/>
          <w:szCs w:val="28"/>
          <w:highlight w:val="none"/>
        </w:rPr>
      </w:pPr>
      <w:r>
        <w:rPr>
          <w:rFonts w:hint="eastAsia" w:ascii="Times New Roman"/>
          <w:bCs/>
          <w:spacing w:val="360"/>
          <w:kern w:val="0"/>
          <w:szCs w:val="21"/>
          <w:highlight w:val="none"/>
          <w:fitText w:val="1200" w:id="835465661"/>
        </w:rPr>
        <w:t>日</w:t>
      </w:r>
      <w:r>
        <w:rPr>
          <w:rFonts w:hint="eastAsia" w:ascii="Times New Roman"/>
          <w:bCs/>
          <w:spacing w:val="0"/>
          <w:kern w:val="0"/>
          <w:szCs w:val="21"/>
          <w:highlight w:val="none"/>
          <w:fitText w:val="1200" w:id="835465661"/>
        </w:rPr>
        <w:t>期</w:t>
      </w:r>
      <w:r>
        <w:rPr>
          <w:rFonts w:hint="eastAsia" w:ascii="Times New Roman"/>
          <w:szCs w:val="21"/>
          <w:highlight w:val="none"/>
        </w:rPr>
        <w:t>：年月日</w:t>
      </w:r>
    </w:p>
    <w:p>
      <w:pPr>
        <w:jc w:val="center"/>
        <w:rPr>
          <w:rFonts w:ascii="黑体" w:hAnsi="黑体" w:eastAsia="黑体"/>
          <w:bCs/>
          <w:szCs w:val="24"/>
          <w:highlight w:val="none"/>
        </w:rPr>
      </w:pPr>
    </w:p>
    <w:p>
      <w:pPr>
        <w:spacing w:beforeLines="50" w:afterLines="50" w:line="360" w:lineRule="auto"/>
        <w:jc w:val="center"/>
        <w:rPr>
          <w:bCs/>
          <w:szCs w:val="24"/>
          <w:highlight w:val="none"/>
        </w:rPr>
      </w:pPr>
    </w:p>
    <w:p>
      <w:pPr>
        <w:spacing w:beforeLines="50" w:afterLines="50" w:line="360" w:lineRule="auto"/>
        <w:jc w:val="center"/>
        <w:outlineLvl w:val="0"/>
        <w:rPr>
          <w:bCs/>
          <w:szCs w:val="24"/>
          <w:highlight w:val="none"/>
        </w:rPr>
      </w:pPr>
      <w:r>
        <w:rPr>
          <w:rFonts w:hint="eastAsia"/>
          <w:bCs/>
          <w:szCs w:val="24"/>
          <w:highlight w:val="none"/>
        </w:rPr>
        <w:br w:type="page"/>
      </w:r>
      <w:bookmarkStart w:id="1035" w:name="_Toc20943"/>
      <w:bookmarkStart w:id="1036" w:name="_Toc140069458"/>
      <w:r>
        <w:rPr>
          <w:rFonts w:hint="eastAsia"/>
          <w:bCs/>
          <w:szCs w:val="24"/>
          <w:highlight w:val="none"/>
        </w:rPr>
        <w:t>投标人业绩信息表（详细评审）</w:t>
      </w:r>
      <w:bookmarkEnd w:id="1035"/>
      <w:bookmarkEnd w:id="1036"/>
    </w:p>
    <w:tbl>
      <w:tblPr>
        <w:tblStyle w:val="52"/>
        <w:tblW w:w="5019"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74"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74" w:type="dxa"/>
            <w:vAlign w:val="center"/>
          </w:tcPr>
          <w:p>
            <w:pPr>
              <w:topLinePunct/>
              <w:spacing w:line="360" w:lineRule="auto"/>
              <w:jc w:val="center"/>
              <w:rPr>
                <w:rFonts w:hAnsi="宋体" w:cs="宋体"/>
                <w:highlight w:val="none"/>
              </w:rPr>
            </w:pPr>
            <w:r>
              <w:rPr>
                <w:rFonts w:hint="eastAsia" w:ascii="Times New Roman"/>
                <w:szCs w:val="24"/>
                <w:highlight w:val="none"/>
              </w:rPr>
              <w:t>商务文件详细评审业绩</w:t>
            </w:r>
          </w:p>
        </w:tc>
      </w:tr>
    </w:tbl>
    <w:p>
      <w:pPr>
        <w:autoSpaceDE w:val="0"/>
        <w:autoSpaceDN w:val="0"/>
        <w:adjustRightInd w:val="0"/>
        <w:spacing w:line="300" w:lineRule="exact"/>
        <w:jc w:val="left"/>
        <w:rPr>
          <w:rFonts w:ascii="Times New Roman" w:cs="宋体"/>
          <w:szCs w:val="24"/>
          <w:highlight w:val="none"/>
        </w:rPr>
      </w:pPr>
      <w:r>
        <w:rPr>
          <w:rFonts w:hint="eastAsia" w:ascii="Times New Roman" w:cs="宋体"/>
          <w:szCs w:val="24"/>
          <w:highlight w:val="none"/>
        </w:rPr>
        <w:t>注：投标人应根据招标文件要求在本表后附相关证明材料。</w:t>
      </w:r>
    </w:p>
    <w:p>
      <w:pPr>
        <w:spacing w:line="440" w:lineRule="exact"/>
        <w:ind w:firstLine="2467" w:firstLineChars="1028"/>
        <w:rPr>
          <w:rFonts w:ascii="Times New Roman"/>
          <w:szCs w:val="24"/>
          <w:highlight w:val="none"/>
        </w:rPr>
      </w:pPr>
    </w:p>
    <w:p>
      <w:pPr>
        <w:spacing w:beforeLines="50" w:afterLines="50" w:line="360" w:lineRule="auto"/>
        <w:jc w:val="center"/>
        <w:outlineLvl w:val="0"/>
        <w:rPr>
          <w:bCs/>
          <w:szCs w:val="24"/>
          <w:highlight w:val="none"/>
        </w:rPr>
      </w:pPr>
      <w:r>
        <w:rPr>
          <w:rFonts w:hint="eastAsia" w:ascii="Times New Roman"/>
          <w:bCs/>
          <w:szCs w:val="24"/>
          <w:highlight w:val="none"/>
        </w:rPr>
        <w:br w:type="page"/>
      </w:r>
      <w:bookmarkStart w:id="1037" w:name="_Toc2852"/>
      <w:bookmarkStart w:id="1038" w:name="_Toc140069459"/>
      <w:r>
        <w:rPr>
          <w:rFonts w:hint="eastAsia" w:ascii="Times New Roman"/>
          <w:bCs/>
          <w:szCs w:val="24"/>
          <w:highlight w:val="none"/>
        </w:rPr>
        <w:t>（二）</w:t>
      </w:r>
      <w:bookmarkEnd w:id="1037"/>
      <w:bookmarkStart w:id="1039" w:name="_Toc7173"/>
      <w:r>
        <w:rPr>
          <w:rFonts w:hint="eastAsia"/>
          <w:bCs/>
          <w:szCs w:val="24"/>
          <w:highlight w:val="none"/>
        </w:rPr>
        <w:t>项目负责人业绩情况表（详细评审）</w:t>
      </w:r>
      <w:bookmarkEnd w:id="1038"/>
    </w:p>
    <w:tbl>
      <w:tblPr>
        <w:tblStyle w:val="5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3"/>
        <w:gridCol w:w="562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业绩序号</w:t>
            </w:r>
          </w:p>
        </w:tc>
        <w:tc>
          <w:tcPr>
            <w:tcW w:w="3304" w:type="pct"/>
            <w:vAlign w:val="center"/>
          </w:tcPr>
          <w:p>
            <w:pPr>
              <w:jc w:val="center"/>
              <w:rPr>
                <w:rFonts w:ascii="Times New Roman"/>
                <w:highlight w:val="none"/>
              </w:rPr>
            </w:pPr>
            <w:r>
              <w:rPr>
                <w:rFonts w:hint="eastAsia" w:ascii="Times New Roman"/>
                <w:highlight w:val="none"/>
              </w:rPr>
              <w:t>项目</w:t>
            </w:r>
            <w:r>
              <w:rPr>
                <w:rFonts w:ascii="Times New Roman"/>
                <w:highlight w:val="none"/>
              </w:rPr>
              <w:t>名称</w:t>
            </w:r>
            <w:r>
              <w:rPr>
                <w:rFonts w:hint="eastAsia" w:ascii="Times New Roman"/>
                <w:highlight w:val="none"/>
              </w:rPr>
              <w:t>（合同名称）</w:t>
            </w:r>
          </w:p>
        </w:tc>
        <w:tc>
          <w:tcPr>
            <w:tcW w:w="777" w:type="pct"/>
            <w:vAlign w:val="center"/>
          </w:tcPr>
          <w:p>
            <w:pPr>
              <w:jc w:val="center"/>
              <w:rPr>
                <w:rFonts w:ascii="Times New Roman"/>
                <w:highlight w:val="none"/>
              </w:rPr>
            </w:pPr>
            <w:r>
              <w:rPr>
                <w:rFonts w:hint="eastAsia" w:ascii="Times New Roman"/>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1</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ascii="Times New Roman"/>
                <w:highlight w:val="none"/>
              </w:rPr>
              <w:t>2</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bl>
    <w:p>
      <w:pPr>
        <w:spacing w:line="360" w:lineRule="auto"/>
        <w:ind w:firstLine="480" w:firstLineChars="200"/>
        <w:rPr>
          <w:highlight w:val="none"/>
        </w:rPr>
      </w:pPr>
      <w:r>
        <w:rPr>
          <w:rFonts w:hint="eastAsia"/>
          <w:highlight w:val="none"/>
        </w:rPr>
        <w:t>注：</w:t>
      </w:r>
    </w:p>
    <w:p>
      <w:pPr>
        <w:spacing w:line="360" w:lineRule="auto"/>
        <w:ind w:firstLine="480" w:firstLineChars="200"/>
        <w:rPr>
          <w:highlight w:val="none"/>
        </w:rPr>
      </w:pPr>
      <w:r>
        <w:rPr>
          <w:rFonts w:hint="eastAsia"/>
          <w:highlight w:val="none"/>
        </w:rPr>
        <w:t>1.投标人应将用于商务文件详细评审的项目负责人业绩在上表中列明，按照列明</w:t>
      </w:r>
      <w:r>
        <w:rPr>
          <w:highlight w:val="none"/>
        </w:rPr>
        <w:t>的</w:t>
      </w:r>
      <w:r>
        <w:rPr>
          <w:rFonts w:hint="eastAsia"/>
          <w:highlight w:val="none"/>
        </w:rPr>
        <w:t>业绩序号先后</w:t>
      </w:r>
      <w:r>
        <w:rPr>
          <w:highlight w:val="none"/>
        </w:rPr>
        <w:t>顺序</w:t>
      </w:r>
      <w:r>
        <w:rPr>
          <w:rFonts w:hint="eastAsia"/>
          <w:highlight w:val="none"/>
        </w:rPr>
        <w:t>依次填写“项目负责人</w:t>
      </w:r>
      <w:r>
        <w:rPr>
          <w:highlight w:val="none"/>
        </w:rPr>
        <w:t>业绩</w:t>
      </w:r>
      <w:r>
        <w:rPr>
          <w:rFonts w:hint="eastAsia"/>
          <w:highlight w:val="none"/>
        </w:rPr>
        <w:t>信息</w:t>
      </w:r>
      <w:r>
        <w:rPr>
          <w:highlight w:val="none"/>
        </w:rPr>
        <w:t>表</w:t>
      </w:r>
      <w:r>
        <w:rPr>
          <w:rFonts w:hint="eastAsia"/>
          <w:highlight w:val="none"/>
        </w:rPr>
        <w:t>（详细评审）”，并附相应业绩证明材料。</w:t>
      </w:r>
    </w:p>
    <w:p>
      <w:pPr>
        <w:spacing w:line="360" w:lineRule="auto"/>
        <w:ind w:firstLine="480" w:firstLineChars="200"/>
        <w:rPr>
          <w:highlight w:val="none"/>
        </w:rPr>
      </w:pPr>
      <w:r>
        <w:rPr>
          <w:rFonts w:hint="eastAsia"/>
          <w:highlight w:val="none"/>
        </w:rPr>
        <w:t>2.评标</w:t>
      </w:r>
      <w:r>
        <w:rPr>
          <w:highlight w:val="none"/>
        </w:rPr>
        <w:t>委员会应当按照上表</w:t>
      </w:r>
      <w:r>
        <w:rPr>
          <w:rFonts w:hint="eastAsia"/>
          <w:highlight w:val="none"/>
        </w:rPr>
        <w:t>列明</w:t>
      </w:r>
      <w:r>
        <w:rPr>
          <w:highlight w:val="none"/>
        </w:rPr>
        <w:t>的</w:t>
      </w:r>
      <w:r>
        <w:rPr>
          <w:rFonts w:hint="eastAsia"/>
          <w:highlight w:val="none"/>
        </w:rPr>
        <w:t>业绩序号先后</w:t>
      </w:r>
      <w:r>
        <w:rPr>
          <w:highlight w:val="none"/>
        </w:rPr>
        <w:t>顺序</w:t>
      </w:r>
      <w:r>
        <w:rPr>
          <w:rFonts w:hint="eastAsia"/>
          <w:highlight w:val="none"/>
        </w:rPr>
        <w:t>依次</w:t>
      </w:r>
      <w:r>
        <w:rPr>
          <w:highlight w:val="none"/>
        </w:rPr>
        <w:t>进行评审，</w:t>
      </w:r>
      <w:r>
        <w:rPr>
          <w:rFonts w:hint="eastAsia"/>
          <w:highlight w:val="none"/>
        </w:rPr>
        <w:t>且仅评审评审标准规定数量的业绩，超出规定数量部分或未在上表列明的业绩均不作为</w:t>
      </w:r>
      <w:r>
        <w:rPr>
          <w:rFonts w:hint="eastAsia" w:ascii="Times New Roman"/>
          <w:highlight w:val="none"/>
        </w:rPr>
        <w:t>商务文件详细评审项目负责人业绩</w:t>
      </w:r>
      <w:r>
        <w:rPr>
          <w:rFonts w:hint="eastAsia"/>
          <w:highlight w:val="none"/>
        </w:rPr>
        <w:t>予以评审。</w:t>
      </w:r>
    </w:p>
    <w:p>
      <w:pPr>
        <w:tabs>
          <w:tab w:val="left" w:pos="8422"/>
          <w:tab w:val="left" w:pos="9622"/>
        </w:tabs>
        <w:spacing w:line="360" w:lineRule="auto"/>
        <w:ind w:left="4800" w:leftChars="2000" w:right="120" w:rightChars="50"/>
        <w:jc w:val="left"/>
        <w:rPr>
          <w:highlight w:val="none"/>
        </w:rPr>
      </w:pPr>
    </w:p>
    <w:p>
      <w:pPr>
        <w:adjustRightInd w:val="0"/>
        <w:snapToGrid w:val="0"/>
        <w:spacing w:line="360" w:lineRule="auto"/>
        <w:jc w:val="right"/>
        <w:rPr>
          <w:rFonts w:ascii="Times New Roman"/>
          <w:bCs/>
          <w:szCs w:val="21"/>
          <w:highlight w:val="none"/>
          <w:u w:val="single"/>
        </w:rPr>
      </w:pPr>
      <w:r>
        <w:rPr>
          <w:rFonts w:hint="eastAsia" w:ascii="Times New Roman"/>
          <w:bCs/>
          <w:spacing w:val="120"/>
          <w:kern w:val="0"/>
          <w:szCs w:val="21"/>
          <w:highlight w:val="none"/>
          <w:fitText w:val="1200" w:id="896541319"/>
        </w:rPr>
        <w:t>投标</w:t>
      </w:r>
      <w:r>
        <w:rPr>
          <w:rFonts w:hint="eastAsia" w:ascii="Times New Roman"/>
          <w:bCs/>
          <w:spacing w:val="0"/>
          <w:kern w:val="0"/>
          <w:szCs w:val="21"/>
          <w:highlight w:val="none"/>
          <w:fitText w:val="1200" w:id="896541319"/>
        </w:rPr>
        <w:t>人</w:t>
      </w:r>
      <w:r>
        <w:rPr>
          <w:rFonts w:hint="eastAsia" w:ascii="Times New Roman"/>
          <w:bCs/>
          <w:szCs w:val="21"/>
          <w:highlight w:val="none"/>
        </w:rPr>
        <w:t>：（盖单位章）</w:t>
      </w:r>
    </w:p>
    <w:p>
      <w:pPr>
        <w:adjustRightInd w:val="0"/>
        <w:snapToGrid w:val="0"/>
        <w:spacing w:line="360" w:lineRule="auto"/>
        <w:jc w:val="right"/>
        <w:rPr>
          <w:rFonts w:ascii="Times New Roman" w:eastAsia="黑体"/>
          <w:sz w:val="28"/>
          <w:szCs w:val="28"/>
          <w:highlight w:val="none"/>
        </w:rPr>
      </w:pPr>
      <w:r>
        <w:rPr>
          <w:rFonts w:hint="eastAsia" w:ascii="Times New Roman"/>
          <w:bCs/>
          <w:spacing w:val="360"/>
          <w:kern w:val="0"/>
          <w:szCs w:val="21"/>
          <w:highlight w:val="none"/>
          <w:fitText w:val="1200" w:id="108730388"/>
        </w:rPr>
        <w:t>日</w:t>
      </w:r>
      <w:r>
        <w:rPr>
          <w:rFonts w:hint="eastAsia" w:ascii="Times New Roman"/>
          <w:bCs/>
          <w:spacing w:val="0"/>
          <w:kern w:val="0"/>
          <w:szCs w:val="21"/>
          <w:highlight w:val="none"/>
          <w:fitText w:val="1200" w:id="108730388"/>
        </w:rPr>
        <w:t>期</w:t>
      </w:r>
      <w:r>
        <w:rPr>
          <w:rFonts w:hint="eastAsia" w:ascii="Times New Roman"/>
          <w:szCs w:val="21"/>
          <w:highlight w:val="none"/>
        </w:rPr>
        <w:t>：年月日</w:t>
      </w:r>
    </w:p>
    <w:p>
      <w:pPr>
        <w:jc w:val="center"/>
        <w:rPr>
          <w:bCs/>
          <w:szCs w:val="24"/>
          <w:highlight w:val="none"/>
        </w:rPr>
      </w:pPr>
    </w:p>
    <w:p>
      <w:pPr>
        <w:spacing w:beforeLines="50" w:afterLines="50" w:line="360" w:lineRule="auto"/>
        <w:jc w:val="center"/>
        <w:outlineLvl w:val="0"/>
        <w:rPr>
          <w:rFonts w:ascii="Times New Roman"/>
          <w:bCs/>
          <w:szCs w:val="24"/>
          <w:highlight w:val="none"/>
        </w:rPr>
      </w:pPr>
      <w:r>
        <w:rPr>
          <w:rFonts w:hint="eastAsia" w:ascii="Times New Roman"/>
          <w:bCs/>
          <w:szCs w:val="24"/>
          <w:highlight w:val="none"/>
        </w:rPr>
        <w:br w:type="page"/>
      </w:r>
      <w:bookmarkStart w:id="1040" w:name="_Toc140069460"/>
      <w:r>
        <w:rPr>
          <w:rFonts w:hint="eastAsia" w:ascii="Times New Roman"/>
          <w:bCs/>
          <w:szCs w:val="24"/>
          <w:highlight w:val="none"/>
        </w:rPr>
        <w:t>项目负责人业绩信息表（详细评审）</w:t>
      </w:r>
      <w:bookmarkEnd w:id="1040"/>
    </w:p>
    <w:tbl>
      <w:tblPr>
        <w:tblStyle w:val="5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合同项目负责人</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4"/>
                <w:highlight w:val="none"/>
              </w:rPr>
              <w:t>商务文件详细评审业绩</w:t>
            </w:r>
          </w:p>
        </w:tc>
      </w:tr>
    </w:tbl>
    <w:p>
      <w:pPr>
        <w:autoSpaceDE w:val="0"/>
        <w:autoSpaceDN w:val="0"/>
        <w:adjustRightInd w:val="0"/>
        <w:spacing w:line="300" w:lineRule="exact"/>
        <w:jc w:val="left"/>
        <w:rPr>
          <w:rFonts w:ascii="Times New Roman" w:cs="宋体"/>
          <w:szCs w:val="24"/>
          <w:highlight w:val="none"/>
        </w:rPr>
      </w:pPr>
      <w:r>
        <w:rPr>
          <w:rFonts w:hint="eastAsia" w:ascii="Times New Roman" w:cs="宋体"/>
          <w:szCs w:val="24"/>
          <w:highlight w:val="none"/>
        </w:rPr>
        <w:t>注：投标人应根据招标文件要求在本表后附相关证明材料。</w:t>
      </w:r>
    </w:p>
    <w:p>
      <w:pPr>
        <w:jc w:val="center"/>
        <w:rPr>
          <w:sz w:val="28"/>
          <w:szCs w:val="28"/>
          <w:highlight w:val="none"/>
        </w:rPr>
      </w:pPr>
    </w:p>
    <w:p>
      <w:pPr>
        <w:spacing w:beforeLines="50" w:afterLines="50" w:line="360" w:lineRule="auto"/>
        <w:jc w:val="center"/>
        <w:outlineLvl w:val="3"/>
        <w:rPr>
          <w:rFonts w:ascii="Times New Roman"/>
          <w:bCs/>
          <w:szCs w:val="24"/>
          <w:highlight w:val="none"/>
        </w:rPr>
      </w:pPr>
      <w:r>
        <w:rPr>
          <w:rFonts w:hint="eastAsia" w:ascii="Times New Roman"/>
          <w:bCs/>
          <w:szCs w:val="24"/>
          <w:highlight w:val="none"/>
        </w:rPr>
        <w:br w:type="page"/>
      </w:r>
      <w:r>
        <w:rPr>
          <w:rFonts w:hint="eastAsia" w:ascii="Times New Roman"/>
          <w:bCs/>
          <w:szCs w:val="24"/>
          <w:highlight w:val="none"/>
        </w:rPr>
        <w:t>（三）其他</w:t>
      </w:r>
      <w:bookmarkEnd w:id="1039"/>
    </w:p>
    <w:p>
      <w:pPr>
        <w:rPr>
          <w:highlight w:val="none"/>
        </w:rPr>
      </w:pPr>
      <w:r>
        <w:rPr>
          <w:rFonts w:ascii="Times New Roman"/>
          <w:szCs w:val="22"/>
          <w:highlight w:val="none"/>
        </w:rPr>
        <w:br w:type="page"/>
      </w:r>
      <w:bookmarkStart w:id="1041" w:name="_Toc390411629"/>
      <w:bookmarkStart w:id="1042" w:name="_Toc460227118"/>
      <w:bookmarkStart w:id="1043" w:name="_Toc460660233"/>
      <w:bookmarkStart w:id="1044" w:name="_Toc421917010"/>
    </w:p>
    <w:p>
      <w:pPr>
        <w:pStyle w:val="4"/>
        <w:jc w:val="center"/>
        <w:rPr>
          <w:bCs w:val="0"/>
          <w:highlight w:val="none"/>
        </w:rPr>
      </w:pPr>
      <w:bookmarkStart w:id="1045" w:name="_Toc13623"/>
      <w:bookmarkStart w:id="1046" w:name="_Toc1866"/>
      <w:bookmarkStart w:id="1047" w:name="_Toc117001997"/>
      <w:r>
        <w:rPr>
          <w:rFonts w:hint="eastAsia"/>
          <w:bCs w:val="0"/>
          <w:highlight w:val="none"/>
        </w:rPr>
        <w:t>八、诚信投标承诺书</w:t>
      </w:r>
      <w:bookmarkEnd w:id="1045"/>
      <w:bookmarkEnd w:id="1046"/>
      <w:bookmarkEnd w:id="1047"/>
    </w:p>
    <w:p>
      <w:pPr>
        <w:spacing w:line="360" w:lineRule="auto"/>
        <w:rPr>
          <w:rFonts w:ascii="Times New Roman" w:cs="宋体"/>
          <w:szCs w:val="24"/>
          <w:highlight w:val="none"/>
        </w:rPr>
      </w:pPr>
      <w:r>
        <w:rPr>
          <w:rFonts w:hint="eastAsia" w:ascii="Times New Roman" w:cs="宋体"/>
          <w:bCs/>
          <w:szCs w:val="24"/>
          <w:highlight w:val="none"/>
          <w:u w:val="single"/>
        </w:rPr>
        <w:t>致：（招标人）</w:t>
      </w:r>
    </w:p>
    <w:p>
      <w:pPr>
        <w:spacing w:beforeLines="100" w:line="360" w:lineRule="auto"/>
        <w:rPr>
          <w:rFonts w:ascii="Times New Roman" w:cs="宋体"/>
          <w:szCs w:val="24"/>
          <w:highlight w:val="none"/>
        </w:rPr>
      </w:pPr>
      <w:r>
        <w:rPr>
          <w:rFonts w:hint="eastAsia" w:ascii="Times New Roman" w:cs="宋体"/>
          <w:szCs w:val="24"/>
          <w:highlight w:val="none"/>
        </w:rPr>
        <w:t>我公司郑重承诺：</w:t>
      </w:r>
    </w:p>
    <w:p>
      <w:pPr>
        <w:spacing w:beforeLines="100" w:line="360" w:lineRule="auto"/>
        <w:ind w:firstLine="480" w:firstLineChars="200"/>
        <w:rPr>
          <w:rFonts w:ascii="Times New Roman" w:cs="宋体"/>
          <w:szCs w:val="24"/>
          <w:highlight w:val="none"/>
        </w:rPr>
      </w:pPr>
      <w:r>
        <w:rPr>
          <w:rFonts w:hint="eastAsia" w:ascii="Times New Roman" w:cs="宋体"/>
          <w:szCs w:val="24"/>
          <w:highlight w:val="none"/>
        </w:rPr>
        <w:t>1.遵循公开、公正和诚实信用的原则自愿参加</w:t>
      </w:r>
      <w:r>
        <w:rPr>
          <w:rFonts w:hint="eastAsia" w:ascii="Times New Roman" w:cs="宋体"/>
          <w:szCs w:val="24"/>
          <w:highlight w:val="none"/>
          <w:u w:val="single"/>
        </w:rPr>
        <w:t>（招标项目名称）</w:t>
      </w:r>
      <w:r>
        <w:rPr>
          <w:rFonts w:hint="eastAsia" w:ascii="Times New Roman" w:cs="宋体"/>
          <w:szCs w:val="24"/>
          <w:highlight w:val="none"/>
        </w:rPr>
        <w:t>标段的投标。</w:t>
      </w:r>
    </w:p>
    <w:p>
      <w:pPr>
        <w:spacing w:line="360" w:lineRule="auto"/>
        <w:ind w:firstLine="480" w:firstLineChars="200"/>
        <w:rPr>
          <w:rFonts w:ascii="Times New Roman" w:cs="宋体"/>
          <w:szCs w:val="24"/>
          <w:highlight w:val="none"/>
        </w:rPr>
      </w:pPr>
      <w:r>
        <w:rPr>
          <w:rFonts w:hint="eastAsia" w:ascii="Times New Roman" w:cs="宋体"/>
          <w:szCs w:val="24"/>
          <w:highlight w:val="none"/>
        </w:rPr>
        <w:t>2.本次投标提供的资质证书、业绩及奖项等一切材料均真实、有效、合法。否则，我公司愿意接受招标人、公共资源交易监督管理部门作出的相关处理、处罚。</w:t>
      </w:r>
    </w:p>
    <w:p>
      <w:pPr>
        <w:spacing w:line="360" w:lineRule="auto"/>
        <w:ind w:firstLine="480" w:firstLineChars="200"/>
        <w:rPr>
          <w:rFonts w:ascii="Times New Roman" w:cs="宋体"/>
          <w:szCs w:val="24"/>
          <w:highlight w:val="none"/>
        </w:rPr>
      </w:pPr>
      <w:r>
        <w:rPr>
          <w:rFonts w:hint="eastAsia" w:ascii="Times New Roman" w:cs="宋体"/>
          <w:szCs w:val="24"/>
          <w:highlight w:val="none"/>
        </w:rPr>
        <w:t>3.本次投标为我公司自行投标，未出借、转让资质证书，未让他人挂靠投标。</w:t>
      </w:r>
    </w:p>
    <w:p>
      <w:pPr>
        <w:spacing w:line="360" w:lineRule="auto"/>
        <w:ind w:firstLine="480" w:firstLineChars="200"/>
        <w:rPr>
          <w:rFonts w:ascii="Times New Roman" w:cs="宋体"/>
          <w:szCs w:val="24"/>
          <w:highlight w:val="none"/>
        </w:rPr>
      </w:pPr>
      <w:r>
        <w:rPr>
          <w:rFonts w:hint="eastAsia" w:ascii="Times New Roman" w:cs="宋体"/>
          <w:szCs w:val="24"/>
          <w:highlight w:val="none"/>
        </w:rPr>
        <w:t>4.未与其他投标人相互串通投标报价，未排挤其他投标人的公平竞争、损害招标人的合法权益。</w:t>
      </w:r>
    </w:p>
    <w:p>
      <w:pPr>
        <w:spacing w:line="360" w:lineRule="auto"/>
        <w:ind w:firstLine="480" w:firstLineChars="200"/>
        <w:rPr>
          <w:rFonts w:ascii="Times New Roman" w:cs="宋体"/>
          <w:szCs w:val="24"/>
          <w:highlight w:val="none"/>
        </w:rPr>
      </w:pPr>
      <w:r>
        <w:rPr>
          <w:rFonts w:hint="eastAsia" w:ascii="Times New Roman" w:cs="宋体"/>
          <w:szCs w:val="24"/>
          <w:highlight w:val="none"/>
        </w:rPr>
        <w:t>5.未与招标人、招标代理机构或其他投标人串通投标，损害国家利益、社会公共利益或者他人的合法权益。</w:t>
      </w:r>
    </w:p>
    <w:p>
      <w:pPr>
        <w:spacing w:line="360" w:lineRule="auto"/>
        <w:ind w:firstLine="480" w:firstLineChars="200"/>
        <w:rPr>
          <w:rFonts w:ascii="Times New Roman" w:cs="宋体"/>
          <w:szCs w:val="24"/>
          <w:highlight w:val="none"/>
        </w:rPr>
      </w:pPr>
      <w:r>
        <w:rPr>
          <w:rFonts w:hint="eastAsia" w:ascii="Times New Roman" w:cs="宋体"/>
          <w:szCs w:val="24"/>
          <w:highlight w:val="none"/>
        </w:rPr>
        <w:t>6.中标后按照合同约定履行义务，完成中标项目；不向他人转让中标项目，不将中标项目肢解后分别向他人转让；不违法分包。</w:t>
      </w:r>
    </w:p>
    <w:p>
      <w:pPr>
        <w:spacing w:line="360" w:lineRule="auto"/>
        <w:ind w:firstLine="480" w:firstLineChars="200"/>
        <w:rPr>
          <w:rFonts w:ascii="Times New Roman" w:cs="宋体"/>
          <w:szCs w:val="24"/>
          <w:highlight w:val="none"/>
        </w:rPr>
      </w:pPr>
      <w:r>
        <w:rPr>
          <w:rFonts w:hint="eastAsia" w:ascii="Times New Roman" w:cs="宋体"/>
          <w:szCs w:val="24"/>
          <w:highlight w:val="none"/>
        </w:rPr>
        <w:t>7.如提出异议（投诉），对提供的异议（投诉）材料的真实性负责，不恶意异议（投诉）；不捏造事实、提供虚假材料或者以非法手段取得证明材料进行异议（投诉），影响交易活动正常进行；否则，我公司愿意接受公共资源交易监督管理部门作出的相关处理、处罚。</w:t>
      </w:r>
    </w:p>
    <w:p>
      <w:pPr>
        <w:spacing w:line="360" w:lineRule="auto"/>
        <w:ind w:firstLine="480" w:firstLineChars="200"/>
        <w:rPr>
          <w:rFonts w:ascii="Times New Roman" w:cs="宋体"/>
          <w:szCs w:val="24"/>
          <w:highlight w:val="none"/>
        </w:rPr>
      </w:pPr>
      <w:r>
        <w:rPr>
          <w:rFonts w:hint="eastAsia" w:ascii="Times New Roman" w:cs="宋体"/>
          <w:szCs w:val="24"/>
          <w:highlight w:val="none"/>
        </w:rPr>
        <w:t>8.本次投标不存在第二章“投标人须知”第1.4.3项、第1.4.4项规定的任何一种情形。</w:t>
      </w:r>
    </w:p>
    <w:p>
      <w:pPr>
        <w:spacing w:line="360" w:lineRule="auto"/>
        <w:ind w:firstLine="480" w:firstLineChars="200"/>
        <w:rPr>
          <w:rFonts w:ascii="Times New Roman" w:cs="宋体"/>
          <w:szCs w:val="24"/>
          <w:highlight w:val="none"/>
          <w:u w:val="single"/>
        </w:rPr>
      </w:pPr>
      <w:r>
        <w:rPr>
          <w:rFonts w:hint="eastAsia" w:ascii="Times New Roman" w:cs="宋体"/>
          <w:szCs w:val="24"/>
          <w:highlight w:val="none"/>
        </w:rPr>
        <w:t>9.</w:t>
      </w:r>
      <w:r>
        <w:rPr>
          <w:rFonts w:ascii="Times New Roman"/>
          <w:snapToGrid w:val="0"/>
          <w:szCs w:val="24"/>
          <w:highlight w:val="none"/>
        </w:rPr>
        <w:t>（其他补充</w:t>
      </w:r>
      <w:r>
        <w:rPr>
          <w:rFonts w:hint="eastAsia" w:ascii="Times New Roman"/>
          <w:snapToGrid w:val="0"/>
          <w:szCs w:val="24"/>
          <w:highlight w:val="none"/>
        </w:rPr>
        <w:t>承诺</w:t>
      </w:r>
      <w:r>
        <w:rPr>
          <w:rFonts w:ascii="Times New Roman"/>
          <w:snapToGrid w:val="0"/>
          <w:szCs w:val="24"/>
          <w:highlight w:val="none"/>
        </w:rPr>
        <w:t>）</w:t>
      </w:r>
      <w:r>
        <w:rPr>
          <w:rFonts w:hint="eastAsia" w:ascii="Times New Roman"/>
          <w:snapToGrid w:val="0"/>
          <w:szCs w:val="24"/>
          <w:highlight w:val="none"/>
        </w:rPr>
        <w:t>。</w:t>
      </w:r>
    </w:p>
    <w:p>
      <w:pPr>
        <w:spacing w:line="360" w:lineRule="auto"/>
        <w:ind w:firstLine="480" w:firstLineChars="200"/>
        <w:rPr>
          <w:rFonts w:ascii="Times New Roman" w:cs="宋体"/>
          <w:szCs w:val="24"/>
          <w:highlight w:val="none"/>
        </w:rPr>
      </w:pPr>
    </w:p>
    <w:p>
      <w:pPr>
        <w:spacing w:line="360" w:lineRule="auto"/>
        <w:ind w:firstLine="480" w:firstLineChars="200"/>
        <w:rPr>
          <w:rFonts w:ascii="Times New Roman" w:cs="宋体"/>
          <w:szCs w:val="24"/>
          <w:highlight w:val="none"/>
        </w:rPr>
      </w:pPr>
    </w:p>
    <w:p>
      <w:pPr>
        <w:adjustRightInd w:val="0"/>
        <w:snapToGrid w:val="0"/>
        <w:spacing w:line="360" w:lineRule="auto"/>
        <w:jc w:val="right"/>
        <w:rPr>
          <w:rFonts w:ascii="Times New Roman"/>
          <w:bCs/>
          <w:szCs w:val="24"/>
          <w:highlight w:val="none"/>
        </w:rPr>
      </w:pPr>
      <w:r>
        <w:rPr>
          <w:rFonts w:hint="eastAsia" w:ascii="Times New Roman"/>
          <w:bCs/>
          <w:spacing w:val="120"/>
          <w:kern w:val="0"/>
          <w:szCs w:val="24"/>
          <w:highlight w:val="none"/>
          <w:fitText w:val="1200" w:id="1464163887"/>
        </w:rPr>
        <w:t>投标</w:t>
      </w:r>
      <w:r>
        <w:rPr>
          <w:rFonts w:hint="eastAsia" w:ascii="Times New Roman"/>
          <w:bCs/>
          <w:spacing w:val="0"/>
          <w:kern w:val="0"/>
          <w:szCs w:val="24"/>
          <w:highlight w:val="none"/>
          <w:fitText w:val="1200" w:id="1464163887"/>
        </w:rPr>
        <w:t>人</w:t>
      </w:r>
      <w:r>
        <w:rPr>
          <w:rFonts w:hint="eastAsia" w:ascii="Times New Roman"/>
          <w:bCs/>
          <w:szCs w:val="24"/>
          <w:highlight w:val="none"/>
        </w:rPr>
        <w:t>：（盖单位章）</w:t>
      </w:r>
    </w:p>
    <w:p>
      <w:pPr>
        <w:adjustRightInd w:val="0"/>
        <w:snapToGrid w:val="0"/>
        <w:spacing w:line="360" w:lineRule="auto"/>
        <w:jc w:val="right"/>
        <w:rPr>
          <w:highlight w:val="none"/>
        </w:rPr>
      </w:pPr>
      <w:r>
        <w:rPr>
          <w:rFonts w:hint="eastAsia" w:ascii="Times New Roman"/>
          <w:spacing w:val="0"/>
          <w:kern w:val="0"/>
          <w:szCs w:val="21"/>
          <w:highlight w:val="none"/>
          <w:fitText w:val="1200" w:id="1352606711"/>
        </w:rPr>
        <w:t>法定代表人</w:t>
      </w:r>
      <w:r>
        <w:rPr>
          <w:rFonts w:hint="eastAsia" w:ascii="Times New Roman"/>
          <w:szCs w:val="21"/>
          <w:highlight w:val="none"/>
        </w:rPr>
        <w:t>：（签字或盖章）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838804853"/>
        </w:rPr>
        <w:t>日</w:t>
      </w:r>
      <w:r>
        <w:rPr>
          <w:rFonts w:hint="eastAsia" w:ascii="Times New Roman"/>
          <w:bCs/>
          <w:spacing w:val="0"/>
          <w:kern w:val="0"/>
          <w:szCs w:val="24"/>
          <w:highlight w:val="none"/>
          <w:fitText w:val="1200" w:id="838804853"/>
        </w:rPr>
        <w:t>期</w:t>
      </w:r>
      <w:r>
        <w:rPr>
          <w:rFonts w:hint="eastAsia" w:ascii="Times New Roman"/>
          <w:szCs w:val="24"/>
          <w:highlight w:val="none"/>
        </w:rPr>
        <w:t>：年月日</w:t>
      </w:r>
    </w:p>
    <w:p>
      <w:pPr>
        <w:rPr>
          <w:sz w:val="28"/>
          <w:szCs w:val="28"/>
          <w:highlight w:val="none"/>
        </w:rPr>
      </w:pPr>
    </w:p>
    <w:p>
      <w:pPr>
        <w:ind w:firstLine="480"/>
        <w:jc w:val="center"/>
        <w:rPr>
          <w:rFonts w:ascii="Times New Roman"/>
          <w:kern w:val="2"/>
          <w:sz w:val="21"/>
          <w:highlight w:val="none"/>
        </w:rPr>
      </w:pPr>
      <w:r>
        <w:rPr>
          <w:rFonts w:hint="eastAsia" w:ascii="Times New Roman"/>
          <w:sz w:val="28"/>
          <w:szCs w:val="28"/>
          <w:highlight w:val="none"/>
        </w:rPr>
        <w:br w:type="page"/>
      </w:r>
      <w:bookmarkStart w:id="1048" w:name="_Toc14879"/>
    </w:p>
    <w:p>
      <w:pPr>
        <w:jc w:val="center"/>
        <w:rPr>
          <w:sz w:val="28"/>
          <w:szCs w:val="28"/>
          <w:highlight w:val="none"/>
        </w:rPr>
      </w:pPr>
      <w:r>
        <w:rPr>
          <w:rFonts w:hint="eastAsia" w:ascii="黑体" w:hAnsi="黑体" w:eastAsia="黑体"/>
          <w:highlight w:val="none"/>
        </w:rPr>
        <w:t>十、其他</w:t>
      </w:r>
      <w:bookmarkEnd w:id="1041"/>
      <w:bookmarkEnd w:id="1042"/>
      <w:bookmarkEnd w:id="1043"/>
      <w:bookmarkEnd w:id="1044"/>
      <w:r>
        <w:rPr>
          <w:rFonts w:hint="eastAsia" w:ascii="黑体" w:hAnsi="黑体" w:eastAsia="黑体"/>
          <w:highlight w:val="none"/>
        </w:rPr>
        <w:t>材料</w:t>
      </w:r>
      <w:bookmarkEnd w:id="1048"/>
    </w:p>
    <w:p>
      <w:pPr>
        <w:tabs>
          <w:tab w:val="left" w:pos="2580"/>
          <w:tab w:val="left" w:pos="5940"/>
        </w:tabs>
        <w:autoSpaceDE w:val="0"/>
        <w:autoSpaceDN w:val="0"/>
        <w:adjustRightInd w:val="0"/>
        <w:snapToGrid w:val="0"/>
        <w:spacing w:line="400" w:lineRule="exact"/>
        <w:ind w:firstLine="456" w:firstLineChars="200"/>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spacing w:line="360" w:lineRule="auto"/>
        <w:ind w:firstLine="480" w:firstLineChars="200"/>
        <w:jc w:val="left"/>
        <w:rPr>
          <w:rFonts w:ascii="Times New Roman"/>
          <w:szCs w:val="22"/>
          <w:highlight w:val="none"/>
        </w:rPr>
      </w:pPr>
    </w:p>
    <w:p>
      <w:pPr>
        <w:spacing w:beforeLines="200" w:line="360" w:lineRule="auto"/>
        <w:jc w:val="center"/>
        <w:outlineLvl w:val="0"/>
        <w:rPr>
          <w:rFonts w:ascii="Times New Roman"/>
          <w:bCs/>
          <w:sz w:val="44"/>
          <w:szCs w:val="44"/>
          <w:highlight w:val="none"/>
        </w:rPr>
      </w:pPr>
      <w:r>
        <w:rPr>
          <w:rFonts w:hint="eastAsia" w:ascii="Times New Roman"/>
          <w:highlight w:val="none"/>
        </w:rPr>
        <w:br w:type="page"/>
      </w:r>
      <w:bookmarkStart w:id="1049" w:name="_Toc140069461"/>
      <w:bookmarkStart w:id="1050" w:name="_Toc15622"/>
      <w:bookmarkStart w:id="1051" w:name="_Toc0"/>
      <w:bookmarkStart w:id="1052" w:name="_Toc14552"/>
      <w:bookmarkStart w:id="1053" w:name="_Toc30110"/>
      <w:bookmarkStart w:id="1054" w:name="_Toc9691"/>
      <w:bookmarkStart w:id="1055" w:name="_Toc584"/>
      <w:bookmarkStart w:id="1056" w:name="_Toc17482"/>
      <w:r>
        <w:rPr>
          <w:rFonts w:hint="eastAsia" w:ascii="Times New Roman"/>
          <w:sz w:val="44"/>
          <w:szCs w:val="44"/>
          <w:highlight w:val="none"/>
          <w:u w:val="single"/>
        </w:rPr>
        <w:t>（招标项目名称）</w:t>
      </w:r>
      <w:r>
        <w:rPr>
          <w:rFonts w:hint="eastAsia" w:ascii="Times New Roman"/>
          <w:sz w:val="44"/>
          <w:szCs w:val="44"/>
          <w:highlight w:val="none"/>
        </w:rPr>
        <w:t>标段招标</w:t>
      </w:r>
      <w:bookmarkEnd w:id="1049"/>
      <w:bookmarkEnd w:id="1050"/>
      <w:bookmarkEnd w:id="1051"/>
      <w:bookmarkEnd w:id="1052"/>
      <w:bookmarkEnd w:id="1053"/>
      <w:bookmarkEnd w:id="1054"/>
      <w:bookmarkEnd w:id="1055"/>
      <w:bookmarkEnd w:id="1056"/>
    </w:p>
    <w:p>
      <w:pPr>
        <w:pStyle w:val="3"/>
        <w:spacing w:beforeLines="500" w:afterLines="100" w:line="240" w:lineRule="auto"/>
        <w:jc w:val="center"/>
        <w:rPr>
          <w:rFonts w:ascii="Times New Roman" w:hAnsi="Times New Roman" w:eastAsia="黑体"/>
          <w:b w:val="0"/>
          <w:sz w:val="44"/>
          <w:szCs w:val="44"/>
          <w:highlight w:val="none"/>
        </w:rPr>
      </w:pPr>
      <w:bookmarkStart w:id="1057" w:name="_Toc140069462"/>
      <w:bookmarkStart w:id="1058" w:name="_Toc23592"/>
      <w:r>
        <w:rPr>
          <w:rFonts w:hint="eastAsia" w:ascii="Times New Roman" w:hAnsi="Times New Roman" w:eastAsia="黑体"/>
          <w:b w:val="0"/>
          <w:sz w:val="44"/>
          <w:szCs w:val="44"/>
          <w:highlight w:val="none"/>
        </w:rPr>
        <w:t>投标文件</w:t>
      </w:r>
      <w:bookmarkEnd w:id="1057"/>
    </w:p>
    <w:p>
      <w:pPr>
        <w:pStyle w:val="3"/>
        <w:jc w:val="center"/>
        <w:rPr>
          <w:rFonts w:ascii="Times New Roman" w:hAnsi="Times New Roman" w:eastAsia="黑体"/>
          <w:b w:val="0"/>
          <w:bCs w:val="0"/>
          <w:sz w:val="36"/>
          <w:szCs w:val="22"/>
          <w:highlight w:val="none"/>
        </w:rPr>
      </w:pPr>
      <w:bookmarkStart w:id="1059" w:name="_Toc140069463"/>
      <w:r>
        <w:rPr>
          <w:rFonts w:hint="eastAsia" w:ascii="Times New Roman" w:hAnsi="Times New Roman" w:eastAsia="黑体"/>
          <w:b w:val="0"/>
          <w:bCs w:val="0"/>
          <w:sz w:val="36"/>
          <w:szCs w:val="22"/>
          <w:highlight w:val="none"/>
        </w:rPr>
        <w:t>（技术文件）</w:t>
      </w:r>
      <w:bookmarkEnd w:id="1058"/>
      <w:bookmarkEnd w:id="1059"/>
    </w:p>
    <w:p>
      <w:pPr>
        <w:spacing w:beforeLines="3000" w:line="480" w:lineRule="auto"/>
        <w:jc w:val="center"/>
        <w:rPr>
          <w:rFonts w:ascii="Times New Roman" w:eastAsia="黑体"/>
          <w:sz w:val="28"/>
          <w:szCs w:val="28"/>
          <w:highlight w:val="none"/>
        </w:rPr>
      </w:pPr>
      <w:bookmarkStart w:id="1060" w:name="_Toc7858"/>
      <w:bookmarkStart w:id="1061" w:name="_Toc18372"/>
      <w:bookmarkStart w:id="1062" w:name="_Toc2070"/>
      <w:bookmarkStart w:id="1063" w:name="_Toc14549"/>
      <w:bookmarkStart w:id="1064" w:name="_Toc15620"/>
      <w:r>
        <w:rPr>
          <w:rFonts w:hint="eastAsia" w:ascii="Times New Roman" w:eastAsia="黑体"/>
          <w:sz w:val="28"/>
          <w:szCs w:val="28"/>
          <w:highlight w:val="none"/>
        </w:rPr>
        <w:t>投标人：（盖单位章）</w:t>
      </w:r>
      <w:bookmarkEnd w:id="1060"/>
      <w:bookmarkEnd w:id="1061"/>
      <w:bookmarkEnd w:id="1062"/>
      <w:bookmarkEnd w:id="1063"/>
      <w:bookmarkEnd w:id="1064"/>
    </w:p>
    <w:p>
      <w:pPr>
        <w:tabs>
          <w:tab w:val="left" w:pos="3280"/>
          <w:tab w:val="left" w:pos="4680"/>
          <w:tab w:val="left" w:pos="6080"/>
        </w:tabs>
        <w:autoSpaceDE w:val="0"/>
        <w:autoSpaceDN w:val="0"/>
        <w:adjustRightInd w:val="0"/>
        <w:snapToGrid w:val="0"/>
        <w:spacing w:line="480" w:lineRule="auto"/>
        <w:jc w:val="center"/>
        <w:rPr>
          <w:rFonts w:ascii="Times New Roman"/>
          <w:bCs/>
          <w:w w:val="99"/>
          <w:sz w:val="28"/>
          <w:szCs w:val="22"/>
          <w:highlight w:val="none"/>
        </w:rPr>
      </w:pPr>
      <w:bookmarkStart w:id="1065" w:name="_Toc31763"/>
      <w:bookmarkStart w:id="1066" w:name="_Toc18115"/>
      <w:bookmarkStart w:id="1067" w:name="_Toc518"/>
      <w:bookmarkStart w:id="1068" w:name="_Toc23773"/>
      <w:bookmarkStart w:id="1069" w:name="_Toc16137"/>
      <w:r>
        <w:rPr>
          <w:rFonts w:hint="eastAsia" w:ascii="Times New Roman" w:eastAsia="黑体"/>
          <w:sz w:val="28"/>
          <w:szCs w:val="28"/>
          <w:highlight w:val="none"/>
        </w:rPr>
        <w:t>年月日</w:t>
      </w:r>
      <w:bookmarkEnd w:id="1065"/>
      <w:bookmarkEnd w:id="1066"/>
      <w:bookmarkEnd w:id="1067"/>
      <w:bookmarkEnd w:id="1068"/>
      <w:bookmarkEnd w:id="1069"/>
    </w:p>
    <w:p>
      <w:pPr>
        <w:spacing w:beforeLines="100" w:afterLines="100"/>
        <w:ind w:firstLine="640" w:firstLineChars="200"/>
        <w:jc w:val="center"/>
        <w:rPr>
          <w:rFonts w:ascii="Times New Roman"/>
          <w:sz w:val="28"/>
          <w:szCs w:val="21"/>
          <w:highlight w:val="none"/>
        </w:rPr>
      </w:pPr>
      <w:bookmarkStart w:id="1070" w:name="_Toc224103503"/>
      <w:bookmarkStart w:id="1071" w:name="_Toc460660258"/>
      <w:bookmarkStart w:id="1072" w:name="_Toc535241146"/>
      <w:bookmarkStart w:id="1073" w:name="_Toc460227143"/>
      <w:bookmarkStart w:id="1074" w:name="_Toc390411637"/>
      <w:bookmarkStart w:id="1075" w:name="_Toc421917018"/>
      <w:r>
        <w:rPr>
          <w:rFonts w:ascii="Times New Roman"/>
          <w:sz w:val="32"/>
          <w:szCs w:val="32"/>
          <w:highlight w:val="none"/>
        </w:rPr>
        <w:br w:type="page"/>
      </w:r>
      <w:r>
        <w:rPr>
          <w:rFonts w:hint="eastAsia" w:ascii="Times New Roman"/>
          <w:sz w:val="28"/>
          <w:szCs w:val="21"/>
          <w:highlight w:val="none"/>
        </w:rPr>
        <w:t>目  录</w:t>
      </w:r>
    </w:p>
    <w:p>
      <w:pPr>
        <w:spacing w:line="360" w:lineRule="auto"/>
        <w:ind w:firstLine="480" w:firstLineChars="200"/>
        <w:rPr>
          <w:rFonts w:hAnsi="宋体" w:cs="宋体"/>
          <w:highlight w:val="none"/>
        </w:rPr>
      </w:pPr>
      <w:r>
        <w:rPr>
          <w:rFonts w:hint="eastAsia" w:hAnsi="宋体" w:cs="宋体"/>
          <w:highlight w:val="none"/>
        </w:rPr>
        <w:t>一、技术条款偏差表</w:t>
      </w:r>
    </w:p>
    <w:p>
      <w:pPr>
        <w:spacing w:line="360" w:lineRule="auto"/>
        <w:ind w:firstLine="480" w:firstLineChars="200"/>
        <w:rPr>
          <w:rFonts w:hAnsi="宋体" w:cs="宋体"/>
          <w:highlight w:val="none"/>
        </w:rPr>
      </w:pPr>
      <w:r>
        <w:rPr>
          <w:rFonts w:hint="eastAsia" w:hAnsi="宋体" w:cs="宋体"/>
          <w:highlight w:val="none"/>
        </w:rPr>
        <w:t>二、投标货物技术性能指标的详细描述</w:t>
      </w:r>
    </w:p>
    <w:p>
      <w:pPr>
        <w:spacing w:line="360" w:lineRule="auto"/>
        <w:ind w:firstLine="480" w:firstLineChars="200"/>
        <w:rPr>
          <w:rFonts w:hAnsi="宋体" w:cs="宋体"/>
          <w:highlight w:val="none"/>
        </w:rPr>
      </w:pPr>
      <w:r>
        <w:rPr>
          <w:rFonts w:hint="eastAsia" w:hAnsi="宋体" w:cs="宋体"/>
          <w:highlight w:val="none"/>
        </w:rPr>
        <w:t>三、技术服务和质保期服务计划</w:t>
      </w:r>
    </w:p>
    <w:p>
      <w:pPr>
        <w:spacing w:line="360" w:lineRule="auto"/>
        <w:ind w:firstLine="480" w:firstLineChars="200"/>
        <w:rPr>
          <w:rFonts w:hAnsi="宋体" w:cs="宋体"/>
          <w:highlight w:val="none"/>
        </w:rPr>
      </w:pPr>
      <w:r>
        <w:rPr>
          <w:rFonts w:hint="eastAsia" w:hAnsi="宋体" w:cs="宋体"/>
          <w:highlight w:val="none"/>
        </w:rPr>
        <w:t>四、技术支持资料</w:t>
      </w:r>
    </w:p>
    <w:p>
      <w:pPr>
        <w:spacing w:line="360" w:lineRule="auto"/>
        <w:ind w:firstLine="480" w:firstLineChars="200"/>
        <w:rPr>
          <w:rFonts w:hAnsi="宋体" w:cs="宋体"/>
          <w:highlight w:val="none"/>
        </w:rPr>
      </w:pPr>
      <w:r>
        <w:rPr>
          <w:rFonts w:hint="eastAsia" w:hAnsi="宋体" w:cs="宋体"/>
          <w:highlight w:val="none"/>
        </w:rPr>
        <w:t>五、技术文件详细评审资料</w:t>
      </w:r>
    </w:p>
    <w:p>
      <w:pPr>
        <w:spacing w:line="360" w:lineRule="auto"/>
        <w:ind w:firstLine="480" w:firstLineChars="200"/>
        <w:rPr>
          <w:rFonts w:hAnsi="宋体" w:cs="宋体"/>
          <w:highlight w:val="none"/>
        </w:rPr>
      </w:pPr>
      <w:r>
        <w:rPr>
          <w:rFonts w:hint="eastAsia" w:hAnsi="宋体" w:cs="宋体"/>
          <w:highlight w:val="none"/>
        </w:rPr>
        <w:t>六、其他内容</w:t>
      </w:r>
    </w:p>
    <w:p>
      <w:pPr>
        <w:pStyle w:val="4"/>
        <w:spacing w:before="0" w:after="0"/>
        <w:ind w:firstLine="480"/>
        <w:jc w:val="center"/>
        <w:rPr>
          <w:rFonts w:cs="黑体"/>
          <w:highlight w:val="none"/>
        </w:rPr>
      </w:pPr>
      <w:r>
        <w:rPr>
          <w:rFonts w:hint="eastAsia" w:cs="黑体"/>
          <w:highlight w:val="none"/>
        </w:rPr>
        <w:br w:type="page"/>
      </w:r>
      <w:r>
        <w:rPr>
          <w:rFonts w:hint="eastAsia" w:cs="黑体"/>
          <w:highlight w:val="none"/>
        </w:rPr>
        <w:t>一、技术条款偏差表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69"/>
        <w:gridCol w:w="977"/>
        <w:gridCol w:w="1150"/>
        <w:gridCol w:w="992"/>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序号</w:t>
            </w:r>
          </w:p>
        </w:tc>
        <w:tc>
          <w:tcPr>
            <w:tcW w:w="3796" w:type="dxa"/>
            <w:gridSpan w:val="3"/>
            <w:vAlign w:val="center"/>
          </w:tcPr>
          <w:p>
            <w:pPr>
              <w:widowControl/>
              <w:snapToGrid w:val="0"/>
              <w:spacing w:line="360" w:lineRule="auto"/>
              <w:jc w:val="center"/>
              <w:rPr>
                <w:rFonts w:hAnsi="宋体" w:cs="宋体"/>
                <w:highlight w:val="none"/>
              </w:rPr>
            </w:pPr>
            <w:r>
              <w:rPr>
                <w:rFonts w:hint="eastAsia" w:hAnsi="宋体" w:cs="宋体"/>
                <w:highlight w:val="none"/>
              </w:rPr>
              <w:t>招标文件要求</w:t>
            </w:r>
          </w:p>
        </w:tc>
        <w:tc>
          <w:tcPr>
            <w:tcW w:w="2410"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投标文件响应</w:t>
            </w:r>
          </w:p>
        </w:tc>
        <w:tc>
          <w:tcPr>
            <w:tcW w:w="1506"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Align w:val="center"/>
          </w:tcPr>
          <w:p>
            <w:pPr>
              <w:widowControl/>
              <w:snapToGrid w:val="0"/>
              <w:spacing w:line="360" w:lineRule="auto"/>
              <w:jc w:val="center"/>
              <w:rPr>
                <w:rFonts w:hAnsi="宋体" w:cs="宋体"/>
                <w:highlight w:val="none"/>
              </w:rPr>
            </w:pPr>
            <w:r>
              <w:rPr>
                <w:rFonts w:hint="eastAsia" w:hAnsi="宋体" w:cs="宋体"/>
                <w:highlight w:val="none"/>
              </w:rPr>
              <w:t>供货要求</w:t>
            </w:r>
          </w:p>
        </w:tc>
        <w:tc>
          <w:tcPr>
            <w:tcW w:w="977"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150" w:type="dxa"/>
            <w:vAlign w:val="center"/>
          </w:tcPr>
          <w:p>
            <w:pPr>
              <w:widowControl/>
              <w:snapToGrid w:val="0"/>
              <w:spacing w:line="360" w:lineRule="auto"/>
              <w:jc w:val="center"/>
              <w:rPr>
                <w:rFonts w:hAnsi="宋体" w:cs="宋体"/>
                <w:highlight w:val="none"/>
              </w:rPr>
            </w:pPr>
            <w:r>
              <w:rPr>
                <w:rFonts w:hint="eastAsia" w:hAnsi="宋体" w:cs="宋体"/>
                <w:highlight w:val="none"/>
              </w:rPr>
              <w:t>具体要求</w:t>
            </w:r>
          </w:p>
        </w:tc>
        <w:tc>
          <w:tcPr>
            <w:tcW w:w="992"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418" w:type="dxa"/>
            <w:vAlign w:val="center"/>
          </w:tcPr>
          <w:p>
            <w:pPr>
              <w:widowControl/>
              <w:snapToGrid w:val="0"/>
              <w:spacing w:line="360" w:lineRule="auto"/>
              <w:jc w:val="center"/>
              <w:rPr>
                <w:rFonts w:hAnsi="宋体" w:cs="宋体"/>
                <w:highlight w:val="none"/>
              </w:rPr>
            </w:pPr>
            <w:r>
              <w:rPr>
                <w:rFonts w:hint="eastAsia" w:hAnsi="宋体" w:cs="宋体"/>
                <w:highlight w:val="none"/>
              </w:rPr>
              <w:t>具体内容</w:t>
            </w:r>
          </w:p>
        </w:tc>
        <w:tc>
          <w:tcPr>
            <w:tcW w:w="1506" w:type="dxa"/>
            <w:vMerge w:val="continue"/>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1</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供货范围</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2</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相关配置、功能、技术性能参数等具体要求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3</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检验考核要求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4</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技术服务要求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其他要求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bl>
    <w:p>
      <w:pPr>
        <w:spacing w:line="360" w:lineRule="auto"/>
        <w:rPr>
          <w:rFonts w:hAnsi="宋体" w:cs="宋体"/>
          <w:highlight w:val="none"/>
        </w:rPr>
      </w:pPr>
    </w:p>
    <w:p>
      <w:pPr>
        <w:spacing w:line="360" w:lineRule="auto"/>
        <w:rPr>
          <w:rFonts w:hAnsi="宋体" w:cs="宋体"/>
          <w:highlight w:val="none"/>
        </w:rPr>
      </w:pPr>
      <w:r>
        <w:rPr>
          <w:rFonts w:hint="eastAsia" w:hAnsi="宋体" w:cs="宋体"/>
          <w:highlight w:val="none"/>
        </w:rPr>
        <w:t>投标人保证：除技术条款偏差表列出的偏差外，投标人响应招标文件的全部要求。</w:t>
      </w:r>
    </w:p>
    <w:p>
      <w:pPr>
        <w:rPr>
          <w:highlight w:val="none"/>
        </w:rPr>
      </w:pPr>
    </w:p>
    <w:p>
      <w:pPr>
        <w:spacing w:beforeLines="50" w:afterLines="50" w:line="360" w:lineRule="auto"/>
        <w:jc w:val="center"/>
        <w:outlineLvl w:val="2"/>
        <w:rPr>
          <w:rFonts w:ascii="Times New Roman"/>
          <w:bCs/>
          <w:szCs w:val="24"/>
          <w:highlight w:val="none"/>
        </w:rPr>
      </w:pPr>
      <w:r>
        <w:rPr>
          <w:rFonts w:ascii="Times New Roman"/>
          <w:sz w:val="32"/>
          <w:szCs w:val="32"/>
          <w:highlight w:val="none"/>
        </w:rPr>
        <w:br w:type="page"/>
      </w:r>
      <w:bookmarkEnd w:id="1070"/>
      <w:bookmarkEnd w:id="1071"/>
      <w:bookmarkEnd w:id="1072"/>
      <w:bookmarkEnd w:id="1073"/>
      <w:bookmarkEnd w:id="1074"/>
      <w:bookmarkEnd w:id="1075"/>
      <w:r>
        <w:rPr>
          <w:rFonts w:hint="eastAsia" w:ascii="黑体" w:hAnsi="黑体" w:eastAsia="黑体" w:cs="黑体"/>
          <w:szCs w:val="24"/>
          <w:highlight w:val="none"/>
        </w:rPr>
        <w:t>二、投标货物技术性能指标的详细描述</w:t>
      </w:r>
    </w:p>
    <w:p>
      <w:pPr>
        <w:jc w:val="center"/>
        <w:rPr>
          <w:sz w:val="28"/>
          <w:szCs w:val="28"/>
          <w:highlight w:val="none"/>
        </w:rPr>
      </w:pPr>
    </w:p>
    <w:p>
      <w:pPr>
        <w:pStyle w:val="4"/>
        <w:jc w:val="center"/>
        <w:rPr>
          <w:rFonts w:cs="黑体"/>
          <w:bCs w:val="0"/>
          <w:szCs w:val="22"/>
          <w:highlight w:val="none"/>
        </w:rPr>
      </w:pPr>
      <w:r>
        <w:rPr>
          <w:rFonts w:hint="eastAsia" w:ascii="Times New Roman" w:hAnsi="Times New Roman" w:eastAsia="宋体"/>
          <w:highlight w:val="none"/>
        </w:rPr>
        <w:br w:type="page"/>
      </w:r>
      <w:r>
        <w:rPr>
          <w:rFonts w:hint="eastAsia" w:cs="黑体"/>
          <w:bCs w:val="0"/>
          <w:highlight w:val="none"/>
        </w:rPr>
        <w:t>三、技术服务和质保期服务计划</w:t>
      </w:r>
    </w:p>
    <w:p>
      <w:pPr>
        <w:pStyle w:val="4"/>
        <w:jc w:val="center"/>
        <w:rPr>
          <w:highlight w:val="none"/>
        </w:rPr>
      </w:pPr>
      <w:r>
        <w:rPr>
          <w:rFonts w:hint="eastAsia" w:ascii="Times New Roman" w:hAnsi="Times New Roman"/>
          <w:highlight w:val="none"/>
        </w:rPr>
        <w:br w:type="page"/>
      </w:r>
      <w:r>
        <w:rPr>
          <w:rFonts w:hint="eastAsia" w:ascii="Times New Roman" w:hAnsi="Times New Roman"/>
          <w:highlight w:val="none"/>
        </w:rPr>
        <w:t>四、</w:t>
      </w:r>
      <w:r>
        <w:rPr>
          <w:rFonts w:hint="eastAsia" w:cs="黑体"/>
          <w:bCs w:val="0"/>
          <w:highlight w:val="none"/>
        </w:rPr>
        <w:t>技术支持资料</w:t>
      </w:r>
    </w:p>
    <w:p>
      <w:pPr>
        <w:pStyle w:val="4"/>
        <w:jc w:val="center"/>
        <w:rPr>
          <w:rFonts w:ascii="Times New Roman" w:hAnsi="Times New Roman"/>
          <w:highlight w:val="none"/>
        </w:rPr>
      </w:pPr>
      <w:r>
        <w:rPr>
          <w:szCs w:val="22"/>
          <w:highlight w:val="none"/>
        </w:rPr>
        <w:br w:type="page"/>
      </w:r>
      <w:r>
        <w:rPr>
          <w:rFonts w:hint="eastAsia" w:ascii="Times New Roman" w:hAnsi="Times New Roman"/>
          <w:highlight w:val="none"/>
        </w:rPr>
        <w:t>五、技术文件详细评审资料</w:t>
      </w:r>
    </w:p>
    <w:p>
      <w:pPr>
        <w:rPr>
          <w:highlight w:val="none"/>
        </w:rPr>
      </w:pPr>
      <w:r>
        <w:rPr>
          <w:rFonts w:hint="eastAsia" w:ascii="Times New Roman"/>
          <w:szCs w:val="24"/>
          <w:highlight w:val="none"/>
        </w:rPr>
        <w:t>投标人对照技术文件详细评审条件，自行提供其他相关资料（如有）</w:t>
      </w:r>
    </w:p>
    <w:p>
      <w:pPr>
        <w:spacing w:beforeLines="50" w:afterLines="50" w:line="360" w:lineRule="auto"/>
        <w:jc w:val="center"/>
        <w:outlineLvl w:val="3"/>
        <w:rPr>
          <w:bCs/>
          <w:szCs w:val="24"/>
          <w:highlight w:val="none"/>
        </w:rPr>
      </w:pPr>
      <w:r>
        <w:rPr>
          <w:rFonts w:hint="eastAsia"/>
          <w:bCs/>
          <w:szCs w:val="24"/>
          <w:highlight w:val="none"/>
        </w:rPr>
        <w:t>（一）供货及安装方案</w:t>
      </w:r>
    </w:p>
    <w:p>
      <w:pPr>
        <w:spacing w:beforeLines="50" w:afterLines="50" w:line="360" w:lineRule="auto"/>
        <w:jc w:val="center"/>
        <w:outlineLvl w:val="3"/>
        <w:rPr>
          <w:bCs/>
          <w:szCs w:val="24"/>
          <w:highlight w:val="none"/>
        </w:rPr>
      </w:pPr>
      <w:r>
        <w:rPr>
          <w:rFonts w:hint="eastAsia"/>
          <w:bCs/>
          <w:szCs w:val="24"/>
          <w:highlight w:val="none"/>
        </w:rPr>
        <w:br w:type="page"/>
      </w:r>
      <w:r>
        <w:rPr>
          <w:rFonts w:hint="eastAsia"/>
          <w:bCs/>
          <w:szCs w:val="24"/>
          <w:highlight w:val="none"/>
        </w:rPr>
        <w:t>（二）其他</w:t>
      </w:r>
    </w:p>
    <w:p>
      <w:pPr>
        <w:pStyle w:val="4"/>
        <w:spacing w:beforeLines="100" w:afterLines="100" w:line="240" w:lineRule="auto"/>
        <w:jc w:val="center"/>
        <w:rPr>
          <w:rFonts w:ascii="Times New Roman" w:hAnsi="Times New Roman"/>
          <w:highlight w:val="none"/>
        </w:rPr>
      </w:pPr>
      <w:r>
        <w:rPr>
          <w:rFonts w:hint="eastAsia" w:ascii="Times New Roman" w:hAnsi="Times New Roman"/>
          <w:highlight w:val="none"/>
        </w:rPr>
        <w:br w:type="page"/>
      </w:r>
      <w:r>
        <w:rPr>
          <w:rFonts w:hint="eastAsia" w:ascii="Times New Roman" w:hAnsi="Times New Roman"/>
          <w:highlight w:val="none"/>
        </w:rPr>
        <w:t>六、其他内容</w:t>
      </w:r>
    </w:p>
    <w:p>
      <w:pPr>
        <w:tabs>
          <w:tab w:val="left" w:pos="2580"/>
          <w:tab w:val="left" w:pos="5940"/>
        </w:tabs>
        <w:autoSpaceDE w:val="0"/>
        <w:autoSpaceDN w:val="0"/>
        <w:adjustRightInd w:val="0"/>
        <w:snapToGrid w:val="0"/>
        <w:spacing w:line="400" w:lineRule="exact"/>
        <w:ind w:firstLine="456" w:firstLineChars="200"/>
        <w:jc w:val="center"/>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tabs>
          <w:tab w:val="left" w:pos="2580"/>
          <w:tab w:val="left" w:pos="5940"/>
        </w:tabs>
        <w:autoSpaceDE w:val="0"/>
        <w:autoSpaceDN w:val="0"/>
        <w:adjustRightInd w:val="0"/>
        <w:snapToGrid w:val="0"/>
        <w:spacing w:beforeLines="200" w:line="360" w:lineRule="auto"/>
        <w:jc w:val="center"/>
        <w:outlineLvl w:val="0"/>
        <w:rPr>
          <w:rFonts w:ascii="Times New Roman"/>
          <w:bCs/>
          <w:sz w:val="44"/>
          <w:szCs w:val="44"/>
          <w:highlight w:val="none"/>
        </w:rPr>
      </w:pPr>
      <w:r>
        <w:rPr>
          <w:rFonts w:hint="eastAsia" w:ascii="Times New Roman" w:eastAsia="黑体"/>
          <w:sz w:val="28"/>
          <w:szCs w:val="28"/>
          <w:highlight w:val="none"/>
          <w:u w:val="single"/>
        </w:rPr>
        <w:br w:type="page"/>
      </w:r>
      <w:bookmarkStart w:id="1076" w:name="_Toc140069464"/>
      <w:r>
        <w:rPr>
          <w:rFonts w:hint="eastAsia" w:ascii="Times New Roman"/>
          <w:sz w:val="44"/>
          <w:szCs w:val="44"/>
          <w:highlight w:val="none"/>
          <w:u w:val="single"/>
        </w:rPr>
        <w:t>（招标项目名称）</w:t>
      </w:r>
      <w:r>
        <w:rPr>
          <w:rFonts w:hint="eastAsia" w:ascii="Times New Roman"/>
          <w:sz w:val="44"/>
          <w:szCs w:val="44"/>
          <w:highlight w:val="none"/>
        </w:rPr>
        <w:t>标段招标</w:t>
      </w:r>
      <w:bookmarkEnd w:id="1076"/>
    </w:p>
    <w:p>
      <w:pPr>
        <w:pStyle w:val="3"/>
        <w:spacing w:beforeLines="500" w:afterLines="100" w:line="240" w:lineRule="auto"/>
        <w:jc w:val="center"/>
        <w:rPr>
          <w:rFonts w:ascii="Times New Roman" w:hAnsi="Times New Roman" w:eastAsia="黑体"/>
          <w:b w:val="0"/>
          <w:sz w:val="44"/>
          <w:szCs w:val="44"/>
          <w:highlight w:val="none"/>
        </w:rPr>
      </w:pPr>
      <w:bookmarkStart w:id="1077" w:name="_Toc140069465"/>
      <w:bookmarkStart w:id="1078" w:name="_Toc7747"/>
      <w:r>
        <w:rPr>
          <w:rFonts w:hint="eastAsia" w:ascii="Times New Roman" w:hAnsi="Times New Roman" w:eastAsia="黑体"/>
          <w:b w:val="0"/>
          <w:sz w:val="44"/>
          <w:szCs w:val="44"/>
          <w:highlight w:val="none"/>
        </w:rPr>
        <w:t>投标文件</w:t>
      </w:r>
      <w:bookmarkEnd w:id="1077"/>
    </w:p>
    <w:p>
      <w:pPr>
        <w:pStyle w:val="3"/>
        <w:jc w:val="center"/>
        <w:rPr>
          <w:rFonts w:ascii="Times New Roman" w:hAnsi="Times New Roman" w:eastAsia="黑体"/>
          <w:b w:val="0"/>
          <w:highlight w:val="none"/>
        </w:rPr>
      </w:pPr>
      <w:bookmarkStart w:id="1079" w:name="_Toc140069466"/>
      <w:r>
        <w:rPr>
          <w:rFonts w:hint="eastAsia" w:ascii="Times New Roman" w:hAnsi="Times New Roman" w:eastAsia="黑体"/>
          <w:b w:val="0"/>
          <w:highlight w:val="none"/>
        </w:rPr>
        <w:t>（报价文件）</w:t>
      </w:r>
      <w:bookmarkEnd w:id="1078"/>
      <w:bookmarkEnd w:id="1079"/>
    </w:p>
    <w:p>
      <w:pPr>
        <w:spacing w:beforeLines="3000" w:line="480" w:lineRule="auto"/>
        <w:jc w:val="center"/>
        <w:rPr>
          <w:rFonts w:ascii="Times New Roman" w:eastAsia="黑体"/>
          <w:sz w:val="28"/>
          <w:szCs w:val="28"/>
          <w:highlight w:val="none"/>
        </w:rPr>
      </w:pPr>
      <w:bookmarkStart w:id="1080" w:name="_Toc11104"/>
      <w:bookmarkStart w:id="1081" w:name="_Toc19468"/>
      <w:bookmarkStart w:id="1082" w:name="_Toc9461"/>
      <w:bookmarkStart w:id="1083" w:name="_Toc28590"/>
      <w:r>
        <w:rPr>
          <w:rFonts w:hint="eastAsia" w:ascii="Times New Roman" w:eastAsia="黑体"/>
          <w:sz w:val="28"/>
          <w:szCs w:val="28"/>
          <w:highlight w:val="none"/>
        </w:rPr>
        <w:t>投标人：（盖单位章）</w:t>
      </w:r>
      <w:bookmarkEnd w:id="1080"/>
      <w:bookmarkEnd w:id="1081"/>
      <w:bookmarkEnd w:id="1082"/>
      <w:bookmarkEnd w:id="1083"/>
    </w:p>
    <w:p>
      <w:pPr>
        <w:tabs>
          <w:tab w:val="left" w:pos="3280"/>
          <w:tab w:val="left" w:pos="4680"/>
          <w:tab w:val="left" w:pos="6080"/>
        </w:tabs>
        <w:autoSpaceDE w:val="0"/>
        <w:autoSpaceDN w:val="0"/>
        <w:adjustRightInd w:val="0"/>
        <w:snapToGrid w:val="0"/>
        <w:spacing w:line="480" w:lineRule="auto"/>
        <w:jc w:val="center"/>
        <w:rPr>
          <w:rFonts w:ascii="Times New Roman"/>
          <w:bCs/>
          <w:sz w:val="28"/>
          <w:szCs w:val="22"/>
          <w:highlight w:val="none"/>
        </w:rPr>
      </w:pPr>
      <w:bookmarkStart w:id="1084" w:name="_Toc27697"/>
      <w:bookmarkStart w:id="1085" w:name="_Toc30859"/>
      <w:bookmarkStart w:id="1086" w:name="_Toc9542"/>
      <w:bookmarkStart w:id="1087" w:name="_Toc2813"/>
      <w:r>
        <w:rPr>
          <w:rFonts w:hint="eastAsia" w:ascii="Times New Roman" w:eastAsia="黑体"/>
          <w:sz w:val="28"/>
          <w:szCs w:val="28"/>
          <w:highlight w:val="none"/>
        </w:rPr>
        <w:t>年月日</w:t>
      </w:r>
      <w:bookmarkEnd w:id="1084"/>
      <w:bookmarkEnd w:id="1085"/>
      <w:bookmarkEnd w:id="1086"/>
      <w:bookmarkEnd w:id="1087"/>
    </w:p>
    <w:p>
      <w:pPr>
        <w:spacing w:beforeLines="100" w:afterLines="100" w:line="360" w:lineRule="auto"/>
        <w:ind w:firstLine="480" w:firstLineChars="200"/>
        <w:jc w:val="center"/>
        <w:rPr>
          <w:rFonts w:ascii="Times New Roman"/>
          <w:sz w:val="28"/>
          <w:szCs w:val="21"/>
          <w:highlight w:val="none"/>
        </w:rPr>
      </w:pPr>
      <w:bookmarkStart w:id="1088" w:name="_Toc460660235"/>
      <w:bookmarkStart w:id="1089" w:name="_Toc421917012"/>
      <w:bookmarkStart w:id="1090" w:name="_Toc460227120"/>
      <w:bookmarkStart w:id="1091" w:name="_Toc390411631"/>
      <w:r>
        <w:rPr>
          <w:rFonts w:hint="eastAsia" w:ascii="Times New Roman"/>
          <w:highlight w:val="none"/>
        </w:rPr>
        <w:br w:type="page"/>
      </w:r>
      <w:r>
        <w:rPr>
          <w:rFonts w:hint="eastAsia" w:ascii="Times New Roman"/>
          <w:sz w:val="28"/>
          <w:szCs w:val="21"/>
          <w:highlight w:val="none"/>
        </w:rPr>
        <w:t>目  录</w:t>
      </w:r>
    </w:p>
    <w:p>
      <w:pPr>
        <w:spacing w:line="360" w:lineRule="auto"/>
        <w:ind w:firstLine="480" w:firstLineChars="200"/>
        <w:rPr>
          <w:rFonts w:ascii="Times New Roman"/>
          <w:szCs w:val="21"/>
          <w:highlight w:val="none"/>
        </w:rPr>
      </w:pPr>
      <w:r>
        <w:rPr>
          <w:rFonts w:hint="eastAsia" w:ascii="Times New Roman"/>
          <w:szCs w:val="21"/>
          <w:highlight w:val="none"/>
        </w:rPr>
        <w:t>一、投标函</w:t>
      </w:r>
    </w:p>
    <w:p>
      <w:pPr>
        <w:spacing w:line="360" w:lineRule="auto"/>
        <w:ind w:firstLine="480" w:firstLineChars="200"/>
        <w:rPr>
          <w:highlight w:val="none"/>
        </w:rPr>
      </w:pPr>
      <w:r>
        <w:rPr>
          <w:rFonts w:hint="eastAsia" w:ascii="Times New Roman"/>
          <w:szCs w:val="21"/>
          <w:highlight w:val="none"/>
        </w:rPr>
        <w:t>二、</w:t>
      </w:r>
      <w:r>
        <w:rPr>
          <w:highlight w:val="none"/>
        </w:rPr>
        <w:t>分项报价表</w:t>
      </w:r>
    </w:p>
    <w:p>
      <w:pPr>
        <w:spacing w:line="360" w:lineRule="auto"/>
        <w:ind w:firstLine="480" w:firstLineChars="200"/>
        <w:rPr>
          <w:highlight w:val="none"/>
        </w:rPr>
      </w:pPr>
      <w:r>
        <w:rPr>
          <w:rFonts w:hint="eastAsia" w:ascii="Times New Roman"/>
          <w:szCs w:val="21"/>
          <w:highlight w:val="none"/>
        </w:rPr>
        <w:t>三、</w:t>
      </w:r>
      <w:r>
        <w:rPr>
          <w:rFonts w:hint="eastAsia"/>
          <w:highlight w:val="none"/>
        </w:rPr>
        <w:t>其他内容</w:t>
      </w:r>
    </w:p>
    <w:p>
      <w:pPr>
        <w:pStyle w:val="4"/>
        <w:spacing w:beforeLines="100" w:afterLines="100" w:line="240" w:lineRule="auto"/>
        <w:jc w:val="center"/>
        <w:rPr>
          <w:rFonts w:ascii="Times New Roman" w:hAnsi="Times New Roman"/>
          <w:highlight w:val="none"/>
        </w:rPr>
      </w:pPr>
      <w:bookmarkStart w:id="1092" w:name="_Toc20295"/>
      <w:bookmarkStart w:id="1093" w:name="_Toc16012"/>
      <w:bookmarkStart w:id="1094" w:name="_Toc14679"/>
      <w:bookmarkStart w:id="1095" w:name="_Toc4869"/>
      <w:r>
        <w:rPr>
          <w:rFonts w:hint="eastAsia" w:ascii="Times New Roman" w:hAnsi="Times New Roman"/>
          <w:highlight w:val="none"/>
        </w:rPr>
        <w:br w:type="page"/>
      </w:r>
      <w:bookmarkEnd w:id="1088"/>
      <w:bookmarkEnd w:id="1089"/>
      <w:bookmarkEnd w:id="1090"/>
      <w:bookmarkEnd w:id="1091"/>
      <w:bookmarkEnd w:id="1092"/>
      <w:bookmarkEnd w:id="1093"/>
      <w:bookmarkEnd w:id="1094"/>
      <w:bookmarkEnd w:id="1095"/>
      <w:r>
        <w:rPr>
          <w:rFonts w:hint="eastAsia" w:ascii="Times New Roman" w:hAnsi="Times New Roman"/>
          <w:highlight w:val="none"/>
        </w:rPr>
        <w:t>一、投标函</w:t>
      </w:r>
    </w:p>
    <w:p>
      <w:pPr>
        <w:adjustRightInd w:val="0"/>
        <w:snapToGrid w:val="0"/>
        <w:spacing w:line="360" w:lineRule="auto"/>
        <w:rPr>
          <w:rFonts w:hAnsi="宋体" w:cs="宋体"/>
          <w:highlight w:val="none"/>
          <w:u w:val="single"/>
        </w:rPr>
      </w:pPr>
      <w:r>
        <w:rPr>
          <w:rFonts w:hint="eastAsia" w:hAnsi="宋体" w:cs="宋体"/>
          <w:highlight w:val="none"/>
        </w:rPr>
        <w:t>致：</w:t>
      </w:r>
      <w:r>
        <w:rPr>
          <w:rFonts w:hint="eastAsia" w:hAnsi="宋体" w:cs="宋体"/>
          <w:highlight w:val="none"/>
          <w:u w:val="single"/>
        </w:rPr>
        <w:t>（招标人）</w:t>
      </w:r>
    </w:p>
    <w:p>
      <w:pPr>
        <w:tabs>
          <w:tab w:val="left" w:pos="7560"/>
        </w:tabs>
        <w:adjustRightInd w:val="0"/>
        <w:snapToGrid w:val="0"/>
        <w:spacing w:line="360" w:lineRule="auto"/>
        <w:ind w:firstLine="480" w:firstLineChars="200"/>
        <w:jc w:val="left"/>
        <w:rPr>
          <w:rFonts w:hAnsi="宋体" w:cs="宋体"/>
          <w:highlight w:val="none"/>
          <w:u w:val="single"/>
        </w:rPr>
      </w:pPr>
      <w:r>
        <w:rPr>
          <w:rFonts w:hint="eastAsia" w:hAnsi="宋体" w:cs="宋体"/>
          <w:highlight w:val="none"/>
        </w:rPr>
        <w:t>1. 我方已仔细研究了</w:t>
      </w:r>
      <w:r>
        <w:rPr>
          <w:rFonts w:hint="eastAsia" w:hAnsi="宋体"/>
          <w:highlight w:val="none"/>
          <w:u w:val="single"/>
        </w:rPr>
        <w:t>（招标项目名称）</w:t>
      </w:r>
      <w:r>
        <w:rPr>
          <w:rFonts w:hint="eastAsia" w:hAnsi="宋体"/>
          <w:highlight w:val="none"/>
        </w:rPr>
        <w:t>标段</w:t>
      </w:r>
      <w:r>
        <w:rPr>
          <w:rFonts w:hint="eastAsia" w:hAnsi="宋体" w:cs="宋体"/>
          <w:highlight w:val="none"/>
        </w:rPr>
        <w:t>招标文件的全部内容，愿意以人民币（大写）（¥）的投标总报价提供招标文件要求的货物、安装及技术服务和质保售后服务等，并按合同约定履行义务。</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3. 除非另外达成协议并生效，你方的中标通知书和本投标文件以及招标文件、招标文件澄清、修改、补充文件将成为约束双方的合同文件的组成部分。</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4. 其他补充说明：（补充说明事项）</w:t>
      </w:r>
    </w:p>
    <w:p>
      <w:pPr>
        <w:adjustRightInd w:val="0"/>
        <w:snapToGrid w:val="0"/>
        <w:spacing w:line="360" w:lineRule="auto"/>
        <w:ind w:firstLine="420" w:firstLineChars="175"/>
        <w:rPr>
          <w:rFonts w:hAnsi="宋体" w:cs="宋体"/>
          <w:bCs/>
          <w:highlight w:val="none"/>
        </w:rPr>
      </w:pPr>
    </w:p>
    <w:p>
      <w:pPr>
        <w:adjustRightInd w:val="0"/>
        <w:snapToGrid w:val="0"/>
        <w:spacing w:line="360" w:lineRule="auto"/>
        <w:ind w:firstLine="480" w:firstLineChars="200"/>
        <w:rPr>
          <w:rFonts w:hAnsi="宋体" w:cs="宋体"/>
          <w:bCs/>
          <w:highlight w:val="none"/>
          <w:u w:val="single"/>
        </w:rPr>
      </w:pPr>
      <w:r>
        <w:rPr>
          <w:rFonts w:hint="eastAsia" w:hAnsi="宋体" w:cs="宋体"/>
          <w:bCs/>
          <w:highlight w:val="none"/>
        </w:rPr>
        <w:t>投 标 人：（盖单位章）</w:t>
      </w:r>
    </w:p>
    <w:p>
      <w:pPr>
        <w:adjustRightInd w:val="0"/>
        <w:snapToGrid w:val="0"/>
        <w:spacing w:line="360" w:lineRule="auto"/>
        <w:ind w:firstLine="480" w:firstLineChars="200"/>
        <w:rPr>
          <w:rFonts w:hAnsi="宋体" w:cs="宋体"/>
          <w:highlight w:val="none"/>
          <w:u w:val="single"/>
        </w:rPr>
      </w:pPr>
      <w:r>
        <w:rPr>
          <w:rFonts w:hint="eastAsia" w:hAnsi="宋体" w:cs="宋体"/>
          <w:highlight w:val="none"/>
        </w:rPr>
        <w:t>法定代表人（单位负责人）：（签字或盖章）</w:t>
      </w:r>
    </w:p>
    <w:p>
      <w:pPr>
        <w:adjustRightInd w:val="0"/>
        <w:snapToGrid w:val="0"/>
        <w:spacing w:line="360" w:lineRule="auto"/>
        <w:ind w:left="125" w:leftChars="52" w:firstLine="360" w:firstLineChars="150"/>
        <w:rPr>
          <w:rFonts w:hAnsi="宋体" w:cs="宋体"/>
          <w:highlight w:val="none"/>
          <w:u w:val="single"/>
        </w:rPr>
      </w:pPr>
      <w:r>
        <w:rPr>
          <w:rFonts w:hint="eastAsia" w:hAnsi="宋体" w:cs="宋体"/>
          <w:highlight w:val="none"/>
        </w:rPr>
        <w:t>单位地址：</w:t>
      </w:r>
    </w:p>
    <w:p>
      <w:pPr>
        <w:adjustRightInd w:val="0"/>
        <w:snapToGrid w:val="0"/>
        <w:spacing w:line="360" w:lineRule="auto"/>
        <w:ind w:firstLine="480" w:firstLineChars="200"/>
        <w:rPr>
          <w:rFonts w:hAnsi="宋体" w:cs="宋体"/>
          <w:highlight w:val="none"/>
        </w:rPr>
      </w:pPr>
      <w:r>
        <w:rPr>
          <w:rFonts w:hint="eastAsia" w:hAnsi="宋体" w:cs="宋体"/>
          <w:highlight w:val="none"/>
        </w:rPr>
        <w:t>邮政编码：电话： 传真：</w:t>
      </w:r>
    </w:p>
    <w:p>
      <w:pPr>
        <w:adjustRightInd w:val="0"/>
        <w:snapToGrid w:val="0"/>
        <w:spacing w:line="360" w:lineRule="auto"/>
        <w:ind w:firstLine="480" w:firstLineChars="200"/>
        <w:rPr>
          <w:rFonts w:hAnsi="宋体" w:cs="宋体"/>
          <w:highlight w:val="none"/>
        </w:rPr>
      </w:pPr>
      <w:r>
        <w:rPr>
          <w:rFonts w:hint="eastAsia" w:hAnsi="宋体" w:cs="宋体"/>
          <w:highlight w:val="none"/>
        </w:rPr>
        <w:t>日期：年月日</w:t>
      </w:r>
    </w:p>
    <w:p>
      <w:pPr>
        <w:adjustRightInd w:val="0"/>
        <w:snapToGrid w:val="0"/>
        <w:spacing w:beforeLines="20" w:afterLines="20" w:line="400" w:lineRule="exact"/>
        <w:rPr>
          <w:szCs w:val="22"/>
          <w:highlight w:val="none"/>
        </w:rPr>
      </w:pPr>
      <w:r>
        <w:rPr>
          <w:szCs w:val="22"/>
          <w:highlight w:val="none"/>
        </w:rPr>
        <w:br w:type="page"/>
      </w:r>
    </w:p>
    <w:p>
      <w:pPr>
        <w:pStyle w:val="4"/>
        <w:jc w:val="center"/>
        <w:rPr>
          <w:rFonts w:cs="黑体"/>
          <w:highlight w:val="none"/>
        </w:rPr>
      </w:pPr>
      <w:bookmarkStart w:id="1096" w:name="_Toc460660237"/>
      <w:bookmarkStart w:id="1097" w:name="_Toc460227122"/>
      <w:bookmarkStart w:id="1098" w:name="_Toc421917014"/>
      <w:r>
        <w:rPr>
          <w:rFonts w:hint="eastAsia" w:cs="黑体"/>
          <w:highlight w:val="none"/>
        </w:rPr>
        <w:t>二、</w:t>
      </w:r>
      <w:bookmarkEnd w:id="1096"/>
      <w:bookmarkEnd w:id="1097"/>
      <w:bookmarkEnd w:id="1098"/>
      <w:r>
        <w:rPr>
          <w:rFonts w:hint="eastAsia" w:cs="黑体"/>
          <w:highlight w:val="none"/>
        </w:rPr>
        <w:t>分项报价表</w:t>
      </w:r>
    </w:p>
    <w:p>
      <w:pPr>
        <w:spacing w:line="360" w:lineRule="auto"/>
        <w:ind w:firstLine="480" w:firstLineChars="200"/>
        <w:rPr>
          <w:rFonts w:hAnsi="宋体" w:cs="宋体"/>
          <w:highlight w:val="none"/>
        </w:rPr>
      </w:pPr>
      <w:r>
        <w:rPr>
          <w:rFonts w:hint="eastAsia" w:hAnsi="宋体" w:cs="宋体"/>
          <w:highlight w:val="none"/>
        </w:rPr>
        <w:t>1.分项报价表说明</w:t>
      </w:r>
    </w:p>
    <w:p>
      <w:pPr>
        <w:spacing w:line="360" w:lineRule="auto"/>
        <w:ind w:firstLine="480" w:firstLineChars="200"/>
        <w:rPr>
          <w:rFonts w:hAnsi="宋体" w:cs="宋体"/>
          <w:highlight w:val="none"/>
        </w:rPr>
      </w:pPr>
      <w:r>
        <w:rPr>
          <w:rFonts w:hint="eastAsia" w:hAnsi="宋体" w:cs="宋体"/>
          <w:highlight w:val="none"/>
        </w:rPr>
        <w:t>2.分项报价表</w:t>
      </w:r>
    </w:p>
    <w:p>
      <w:pPr>
        <w:rPr>
          <w:highlight w:val="none"/>
        </w:rPr>
      </w:pPr>
    </w:p>
    <w:p>
      <w:pPr>
        <w:spacing w:line="360" w:lineRule="auto"/>
        <w:jc w:val="center"/>
        <w:rPr>
          <w:rFonts w:hAnsi="宋体" w:cs="宋体"/>
          <w:highlight w:val="none"/>
        </w:rPr>
      </w:pPr>
      <w:r>
        <w:rPr>
          <w:rFonts w:hint="eastAsia" w:hAnsi="宋体" w:cs="宋体"/>
          <w:highlight w:val="none"/>
        </w:rPr>
        <w:t>表1  分项报价汇总表</w:t>
      </w:r>
    </w:p>
    <w:p>
      <w:pPr>
        <w:spacing w:line="360" w:lineRule="auto"/>
        <w:rPr>
          <w:rFonts w:hAnsi="宋体" w:cs="宋体"/>
          <w:highlight w:val="none"/>
        </w:rPr>
      </w:pPr>
      <w:r>
        <w:rPr>
          <w:rFonts w:hint="eastAsia" w:hAnsi="宋体" w:cs="宋体"/>
          <w:highlight w:val="none"/>
        </w:rPr>
        <w:t xml:space="preserve">项目名称：                                       </w:t>
      </w:r>
    </w:p>
    <w:tbl>
      <w:tblPr>
        <w:tblStyle w:val="52"/>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30"/>
        <w:gridCol w:w="4584"/>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表号</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名称</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szCs w:val="24"/>
                <w:highlight w:val="none"/>
              </w:rPr>
            </w:pPr>
            <w:r>
              <w:rPr>
                <w:rFonts w:hint="eastAsia" w:hAnsi="宋体" w:cs="宋体"/>
                <w:szCs w:val="24"/>
                <w:highlight w:val="none"/>
              </w:rPr>
              <w:t>表1-1</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货物及安装（如有）报价</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2</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szCs w:val="24"/>
                <w:highlight w:val="none"/>
              </w:rPr>
            </w:pPr>
            <w:r>
              <w:rPr>
                <w:rFonts w:hint="eastAsia" w:hAnsi="宋体" w:cs="宋体"/>
                <w:szCs w:val="24"/>
                <w:highlight w:val="none"/>
              </w:rPr>
              <w:t>表1-2</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暂定金（如有）</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3</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hAnsi="宋体" w:cs="宋体"/>
                <w:szCs w:val="24"/>
                <w:highlight w:val="none"/>
              </w:rPr>
            </w:pPr>
            <w:r>
              <w:rPr>
                <w:rFonts w:hint="eastAsia" w:hAnsi="宋体" w:cs="宋体"/>
                <w:szCs w:val="24"/>
                <w:highlight w:val="none"/>
              </w:rPr>
              <w:t>表1-3</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其他（如有）</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szCs w:val="21"/>
                <w:highlight w:val="none"/>
              </w:rPr>
              <w:t>……</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5</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Ansi="宋体" w:cs="宋体"/>
                <w:highlight w:val="none"/>
              </w:rPr>
              <w:t>…</w:t>
            </w:r>
            <w:r>
              <w:rPr>
                <w:rFonts w:hint="eastAsia" w:hAnsi="宋体" w:cs="宋体"/>
                <w:highlight w:val="none"/>
              </w:rPr>
              <w:t>.</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Ansi="宋体" w:cs="宋体"/>
                <w:highlight w:val="none"/>
              </w:rPr>
            </w:pPr>
            <w:r>
              <w:rPr>
                <w:rFonts w:hint="eastAsia" w:hAnsi="宋体" w:cs="宋体"/>
                <w:highlight w:val="none"/>
              </w:rPr>
              <w:t>投标总报价等于序号项之和，转入投标函中（等于投标函中的投标总报价）</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bl>
    <w:p>
      <w:pPr>
        <w:snapToGrid w:val="0"/>
        <w:spacing w:line="360" w:lineRule="auto"/>
        <w:ind w:firstLine="480" w:firstLineChars="200"/>
        <w:jc w:val="left"/>
        <w:rPr>
          <w:highlight w:val="none"/>
        </w:rPr>
      </w:pPr>
      <w:r>
        <w:rPr>
          <w:rFonts w:hint="eastAsia"/>
          <w:highlight w:val="none"/>
        </w:rPr>
        <w:t>注1：货物及安装报价包括货物、安装、调试、考核（检测）验收、培训等内容。</w:t>
      </w:r>
    </w:p>
    <w:p>
      <w:pPr>
        <w:snapToGrid w:val="0"/>
        <w:spacing w:line="360" w:lineRule="auto"/>
        <w:ind w:firstLine="480" w:firstLineChars="200"/>
        <w:jc w:val="left"/>
        <w:rPr>
          <w:highlight w:val="none"/>
        </w:rPr>
      </w:pPr>
      <w:r>
        <w:rPr>
          <w:rFonts w:hint="eastAsia"/>
          <w:highlight w:val="none"/>
        </w:rPr>
        <w:t>注2：投标报价均为含税价。</w:t>
      </w:r>
    </w:p>
    <w:p>
      <w:pPr>
        <w:spacing w:line="360" w:lineRule="auto"/>
        <w:ind w:firstLine="480" w:firstLineChars="200"/>
        <w:rPr>
          <w:rFonts w:hAnsi="宋体" w:cs="宋体"/>
          <w:highlight w:val="none"/>
        </w:rPr>
      </w:pPr>
      <w:r>
        <w:rPr>
          <w:rFonts w:hint="eastAsia"/>
          <w:highlight w:val="none"/>
        </w:rPr>
        <w:t>注3：本表供招标人参考，可根据项目情况按照设备分项、安装分项、备品备件等分项分别报价</w:t>
      </w:r>
    </w:p>
    <w:p>
      <w:pPr>
        <w:rPr>
          <w:highlight w:val="none"/>
        </w:rPr>
      </w:pPr>
      <w:r>
        <w:rPr>
          <w:highlight w:val="none"/>
        </w:rPr>
        <w:br w:type="page"/>
      </w:r>
    </w:p>
    <w:p>
      <w:pPr>
        <w:spacing w:line="360" w:lineRule="auto"/>
        <w:jc w:val="center"/>
        <w:rPr>
          <w:rFonts w:hAnsi="宋体" w:cs="宋体"/>
          <w:szCs w:val="24"/>
          <w:highlight w:val="none"/>
        </w:rPr>
      </w:pPr>
      <w:r>
        <w:rPr>
          <w:rFonts w:hint="eastAsia" w:hAnsi="宋体" w:cs="宋体"/>
          <w:szCs w:val="24"/>
          <w:highlight w:val="none"/>
        </w:rPr>
        <w:t>表1-1  货物及安装分项报价表</w:t>
      </w:r>
    </w:p>
    <w:tbl>
      <w:tblPr>
        <w:tblStyle w:val="5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43"/>
        <w:gridCol w:w="454"/>
        <w:gridCol w:w="856"/>
        <w:gridCol w:w="1328"/>
        <w:gridCol w:w="638"/>
        <w:gridCol w:w="477"/>
        <w:gridCol w:w="1123"/>
        <w:gridCol w:w="111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序号</w:t>
            </w: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货物名称</w:t>
            </w: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规格</w:t>
            </w: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品牌</w:t>
            </w: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制造商/生产商</w:t>
            </w: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单位</w:t>
            </w: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数量</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单价（元）</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合价（元）</w:t>
            </w: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801" w:type="pct"/>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合计（转入表1）</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注：货物及安装分项报价的汇总金额转入表1，计入本项目投标总价。</w:t>
            </w:r>
          </w:p>
        </w:tc>
      </w:tr>
    </w:tbl>
    <w:p>
      <w:pPr>
        <w:spacing w:line="360" w:lineRule="auto"/>
        <w:jc w:val="center"/>
        <w:rPr>
          <w:rFonts w:hAnsi="宋体" w:cs="宋体"/>
          <w:bCs/>
          <w:szCs w:val="24"/>
          <w:highlight w:val="none"/>
        </w:rPr>
      </w:pPr>
    </w:p>
    <w:p>
      <w:pPr>
        <w:spacing w:line="360" w:lineRule="auto"/>
        <w:jc w:val="center"/>
        <w:rPr>
          <w:rFonts w:hAnsi="宋体" w:cs="宋体"/>
          <w:bCs/>
          <w:szCs w:val="24"/>
          <w:highlight w:val="none"/>
        </w:rPr>
      </w:pPr>
      <w:r>
        <w:rPr>
          <w:rFonts w:hint="eastAsia" w:hAnsi="宋体" w:cs="宋体"/>
          <w:bCs/>
          <w:szCs w:val="24"/>
          <w:highlight w:val="none"/>
        </w:rPr>
        <w:br w:type="page"/>
      </w:r>
      <w:r>
        <w:rPr>
          <w:rFonts w:hint="eastAsia" w:hAnsi="宋体" w:cs="宋体"/>
          <w:szCs w:val="24"/>
          <w:highlight w:val="none"/>
        </w:rPr>
        <w:t>表1-2  暂定金（如有）</w:t>
      </w:r>
    </w:p>
    <w:tbl>
      <w:tblPr>
        <w:tblStyle w:val="5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944"/>
        <w:gridCol w:w="258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序号</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项目</w:t>
            </w: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内容</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75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合计（转入表1）</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napToGrid w:val="0"/>
              <w:spacing w:line="360" w:lineRule="auto"/>
              <w:rPr>
                <w:rFonts w:hAnsi="宋体" w:cs="宋体"/>
                <w:bCs/>
                <w:szCs w:val="24"/>
                <w:highlight w:val="none"/>
              </w:rPr>
            </w:pPr>
            <w:r>
              <w:rPr>
                <w:rFonts w:hint="eastAsia" w:hAnsi="宋体" w:cs="宋体"/>
                <w:bCs/>
                <w:szCs w:val="24"/>
                <w:highlight w:val="none"/>
              </w:rPr>
              <w:t>注：本表中金额为招标人为本项目设定的暂定金，投标人不应对此费用金额做出任何修改，并将此费用转入表1，计入本项目投标总价。</w:t>
            </w:r>
          </w:p>
        </w:tc>
      </w:tr>
    </w:tbl>
    <w:p>
      <w:pPr>
        <w:pStyle w:val="4"/>
        <w:spacing w:beforeLines="100" w:afterLines="100" w:line="240" w:lineRule="auto"/>
        <w:jc w:val="center"/>
        <w:rPr>
          <w:rFonts w:ascii="Times New Roman" w:hAnsi="Times New Roman"/>
          <w:highlight w:val="none"/>
        </w:rPr>
      </w:pPr>
      <w:r>
        <w:rPr>
          <w:rFonts w:hint="eastAsia" w:eastAsia="宋体"/>
          <w:highlight w:val="none"/>
        </w:rPr>
        <w:br w:type="page"/>
      </w:r>
      <w:r>
        <w:rPr>
          <w:rFonts w:hint="eastAsia" w:ascii="Times New Roman" w:hAnsi="Times New Roman"/>
          <w:highlight w:val="none"/>
        </w:rPr>
        <w:t>三、其他内容</w:t>
      </w:r>
    </w:p>
    <w:p>
      <w:pPr>
        <w:tabs>
          <w:tab w:val="left" w:pos="2580"/>
          <w:tab w:val="left" w:pos="5940"/>
        </w:tabs>
        <w:autoSpaceDE w:val="0"/>
        <w:autoSpaceDN w:val="0"/>
        <w:adjustRightInd w:val="0"/>
        <w:snapToGrid w:val="0"/>
        <w:spacing w:line="400" w:lineRule="exact"/>
        <w:ind w:firstLine="456" w:firstLineChars="200"/>
        <w:jc w:val="center"/>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spacing w:line="360" w:lineRule="auto"/>
        <w:rPr>
          <w:highlight w:val="none"/>
        </w:rPr>
      </w:pPr>
    </w:p>
    <w:sectPr>
      <w:headerReference r:id="rId4" w:type="default"/>
      <w:footerReference r:id="rId5" w:type="default"/>
      <w:footerReference r:id="rId6" w:type="even"/>
      <w:footnotePr>
        <w:numFmt w:val="decimalEnclosedCircleChinese"/>
        <w:numRestart w:val="eachPage"/>
      </w:footnotePr>
      <w:pgSz w:w="11906" w:h="16838"/>
      <w:pgMar w:top="1440" w:right="1803" w:bottom="1440" w:left="1803"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Sylfaen">
    <w:panose1 w:val="010A0502050306030303"/>
    <w:charset w:val="00"/>
    <w:family w:val="roman"/>
    <w:pitch w:val="default"/>
    <w:sig w:usb0="04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86"/>
    <w:family w:val="auto"/>
    <w:pitch w:val="default"/>
    <w:sig w:usb0="00000000" w:usb1="00000000" w:usb2="00000010" w:usb3="00000000" w:csb0="0004000A"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文本框 5" o:spid="_x0000_s1026" o:spt="202" type="#_x0000_t202" style="position:absolute;left:0pt;margin-top:0pt;height:24.05pt;width:31.6pt;mso-position-horizontal:center;mso-position-horizontal-relative:margin;z-index:251659264;mso-width-relative:page;mso-height-relative:page;" filled="f" stroked="f" coordsize="21600,21600" o:gfxdata="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nHUg1AAAAAMBAAAPAAAAAAAAAAEAIAAAACIAAABkcnMvZG93bnJldi54bWxQSwECFAAUAAAA&#10;CACHTuJAeUAh0LkBAABxAwAADgAAAAAAAAABACAAAAAjAQAAZHJzL2Uyb0RvYy54bWxQSwUGAAAA&#10;AAYABgBZAQAATgUAAAAA&#10;">
          <v:path/>
          <v:fill on="f" focussize="0,0"/>
          <v:stroke on="f" joinstyle="miter"/>
          <v:imagedata o:title=""/>
          <o:lock v:ext="edit"/>
          <v:textbox inset="0mm,0mm,0mm,0mm">
            <w:txbxContent>
              <w:p>
                <w:pPr>
                  <w:pStyle w:val="3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end"/>
    </w:r>
  </w:p>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1"/>
        <w:rPr>
          <w:rFonts w:cs="楷体"/>
          <w:bCs/>
          <w:snapToGrid w:val="0"/>
          <w:color w:val="000000"/>
        </w:rPr>
      </w:pPr>
      <w:r>
        <w:rPr>
          <w:rStyle w:val="67"/>
          <w:rFonts w:cs="楷体"/>
          <w:bCs/>
          <w:snapToGrid w:val="0"/>
          <w:color w:val="000000"/>
          <w:sz w:val="21"/>
          <w:szCs w:val="21"/>
        </w:rPr>
        <w:footnoteRef/>
      </w:r>
      <w:r>
        <w:rPr>
          <w:rFonts w:hint="eastAsia" w:cs="楷体"/>
          <w:bCs/>
          <w:snapToGrid w:val="0"/>
          <w:color w:val="000000"/>
        </w:rPr>
        <w:t>本条内容可修改为：“本担保自（生效日期）之日起生效，至（失效日期）之日失效。” 如买方接受履约保函采用固定有效期，在项目专用合同条款中应增加保证卖方在履约保函失效日前向买方出具后续阶段履约保函的约束性条款，直至买方签发合同货物验收证书或验收款支付函且卖方按照合同约定缴纳质量保证金之日为止。</w:t>
      </w:r>
    </w:p>
  </w:footnote>
  <w:footnote w:id="1">
    <w:p>
      <w:pPr>
        <w:pStyle w:val="41"/>
      </w:pPr>
      <w:r>
        <w:rPr>
          <w:rStyle w:val="67"/>
        </w:rPr>
        <w:footnoteRef/>
      </w:r>
      <w:r>
        <w:rPr>
          <w:rFonts w:hint="eastAsia"/>
        </w:rPr>
        <w:t>适用于要求投标人提交“制造商授权”的情形。</w:t>
      </w:r>
    </w:p>
  </w:footnote>
  <w:footnote w:id="2">
    <w:p>
      <w:pPr>
        <w:pStyle w:val="41"/>
        <w:rPr>
          <w:color w:val="000000"/>
        </w:rPr>
      </w:pPr>
      <w:r>
        <w:rPr>
          <w:rStyle w:val="67"/>
          <w:color w:val="000000"/>
        </w:rPr>
        <w:footnoteRef/>
      </w:r>
      <w:r>
        <w:rPr>
          <w:rFonts w:hint="eastAsia"/>
          <w:color w:val="000000"/>
        </w:rPr>
        <w:t>适用于招标文件要求提供“项目负责人”的情形。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建筑智能化项目招标示范文本（一次平均202</w:t>
    </w:r>
    <w:r>
      <w:rPr>
        <w:rFonts w:hint="eastAsia"/>
        <w:lang w:val="en-US" w:eastAsia="zh-CN"/>
      </w:rPr>
      <w:t>403</w:t>
    </w:r>
    <w:r>
      <w:rPr>
        <w:rFonts w:hint="eastAsia"/>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7C9C7"/>
    <w:multiLevelType w:val="singleLevel"/>
    <w:tmpl w:val="9617C9C7"/>
    <w:lvl w:ilvl="0" w:tentative="0">
      <w:start w:val="3"/>
      <w:numFmt w:val="chineseCounting"/>
      <w:suff w:val="nothing"/>
      <w:lvlText w:val="（%1）"/>
      <w:lvlJc w:val="left"/>
      <w:rPr>
        <w:rFonts w:hint="eastAsia"/>
      </w:rPr>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0000000A"/>
    <w:multiLevelType w:val="singleLevel"/>
    <w:tmpl w:val="0000000A"/>
    <w:lvl w:ilvl="0" w:tentative="0">
      <w:start w:val="1"/>
      <w:numFmt w:val="decimal"/>
      <w:suff w:val="nothing"/>
      <w:lvlText w:val="（%1）"/>
      <w:lvlJc w:val="left"/>
      <w:pPr>
        <w:tabs>
          <w:tab w:val="left" w:pos="0"/>
        </w:tabs>
        <w:ind w:left="0" w:firstLine="0"/>
      </w:pPr>
    </w:lvl>
  </w:abstractNum>
  <w:abstractNum w:abstractNumId="3">
    <w:nsid w:val="434E7049"/>
    <w:multiLevelType w:val="singleLevel"/>
    <w:tmpl w:val="434E7049"/>
    <w:lvl w:ilvl="0" w:tentative="0">
      <w:start w:val="1"/>
      <w:numFmt w:val="decimal"/>
      <w:suff w:val="space"/>
      <w:lvlText w:val="%1."/>
      <w:lvlJc w:val="left"/>
    </w:lvl>
  </w:abstractNum>
  <w:abstractNum w:abstractNumId="4">
    <w:nsid w:val="76D617AF"/>
    <w:multiLevelType w:val="singleLevel"/>
    <w:tmpl w:val="76D617AF"/>
    <w:lvl w:ilvl="0" w:tentative="0">
      <w:start w:val="6"/>
      <w:numFmt w:val="decimal"/>
      <w:suff w:val="space"/>
      <w:lvlText w:val="%1."/>
      <w:lvlJc w:val="left"/>
    </w:lvl>
  </w:abstractNum>
  <w:abstractNum w:abstractNumId="5">
    <w:nsid w:val="7F7E5238"/>
    <w:multiLevelType w:val="multilevel"/>
    <w:tmpl w:val="7F7E5238"/>
    <w:lvl w:ilvl="0" w:tentative="0">
      <w:start w:val="1"/>
      <w:numFmt w:val="none"/>
      <w:pStyle w:val="13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50"/>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42"/>
      <w:lvlText w:val="           "/>
      <w:lvlJc w:val="left"/>
      <w:pPr>
        <w:tabs>
          <w:tab w:val="left" w:pos="1440"/>
        </w:tabs>
        <w:ind w:left="1152" w:hanging="1152"/>
      </w:pPr>
      <w:rPr>
        <w:rFonts w:hint="eastAsia"/>
      </w:rPr>
    </w:lvl>
    <w:lvl w:ilvl="6" w:tentative="0">
      <w:start w:val="1"/>
      <w:numFmt w:val="decimal"/>
      <w:pStyle w:val="144"/>
      <w:lvlText w:val="%1.%2.%3.%4.%5.%6.%7"/>
      <w:lvlJc w:val="left"/>
      <w:pPr>
        <w:tabs>
          <w:tab w:val="left" w:pos="2520"/>
        </w:tabs>
        <w:ind w:left="1296" w:hanging="1296"/>
      </w:pPr>
      <w:rPr>
        <w:rFonts w:hint="eastAsia"/>
      </w:rPr>
    </w:lvl>
    <w:lvl w:ilvl="7" w:tentative="0">
      <w:start w:val="1"/>
      <w:numFmt w:val="decimal"/>
      <w:pStyle w:val="146"/>
      <w:lvlText w:val="%1.%2.%3.%4.%5.%6.%7.%8"/>
      <w:lvlJc w:val="left"/>
      <w:pPr>
        <w:tabs>
          <w:tab w:val="left" w:pos="1440"/>
        </w:tabs>
        <w:ind w:left="1440" w:hanging="1440"/>
      </w:pPr>
      <w:rPr>
        <w:rFonts w:hint="eastAsia"/>
      </w:rPr>
    </w:lvl>
    <w:lvl w:ilvl="8" w:tentative="0">
      <w:start w:val="1"/>
      <w:numFmt w:val="decimal"/>
      <w:pStyle w:val="148"/>
      <w:lvlText w:val="%1.%2.%3.%4.%5.%6.%7.%8.%9"/>
      <w:lvlJc w:val="left"/>
      <w:pPr>
        <w:tabs>
          <w:tab w:val="left" w:pos="1584"/>
        </w:tabs>
        <w:ind w:left="1584" w:hanging="1584"/>
      </w:pPr>
      <w:rPr>
        <w:rFonts w:hint="eastAsia"/>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footnotePr>
    <w:numFmt w:val="decimalEnclosedCircleChinese"/>
    <w:numRestart w:val="eachPage"/>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VhMTIyMzUzMzNmN2Y4Y2MwYzMxMmM2YmViYmZkYmEifQ=="/>
  </w:docVars>
  <w:rsids>
    <w:rsidRoot w:val="00172A27"/>
    <w:rsid w:val="00000461"/>
    <w:rsid w:val="000018B8"/>
    <w:rsid w:val="000019D9"/>
    <w:rsid w:val="00001A78"/>
    <w:rsid w:val="00001C66"/>
    <w:rsid w:val="00002D91"/>
    <w:rsid w:val="00002F77"/>
    <w:rsid w:val="00005402"/>
    <w:rsid w:val="00005BB2"/>
    <w:rsid w:val="0000765A"/>
    <w:rsid w:val="000078B8"/>
    <w:rsid w:val="0001052A"/>
    <w:rsid w:val="000110EA"/>
    <w:rsid w:val="00012F97"/>
    <w:rsid w:val="00013020"/>
    <w:rsid w:val="00013F89"/>
    <w:rsid w:val="00014CCC"/>
    <w:rsid w:val="00020429"/>
    <w:rsid w:val="000219E9"/>
    <w:rsid w:val="00021C4F"/>
    <w:rsid w:val="0002210C"/>
    <w:rsid w:val="000223E2"/>
    <w:rsid w:val="0002308F"/>
    <w:rsid w:val="0002396A"/>
    <w:rsid w:val="00026638"/>
    <w:rsid w:val="00027183"/>
    <w:rsid w:val="000308BD"/>
    <w:rsid w:val="00031800"/>
    <w:rsid w:val="00031F4B"/>
    <w:rsid w:val="00032363"/>
    <w:rsid w:val="00033008"/>
    <w:rsid w:val="00033094"/>
    <w:rsid w:val="00033535"/>
    <w:rsid w:val="00034E70"/>
    <w:rsid w:val="00035C6F"/>
    <w:rsid w:val="00035DE8"/>
    <w:rsid w:val="0003614A"/>
    <w:rsid w:val="00036169"/>
    <w:rsid w:val="00036B4D"/>
    <w:rsid w:val="00036EA3"/>
    <w:rsid w:val="00036EE9"/>
    <w:rsid w:val="00037BBC"/>
    <w:rsid w:val="0004182B"/>
    <w:rsid w:val="00042A09"/>
    <w:rsid w:val="00043541"/>
    <w:rsid w:val="00043CDD"/>
    <w:rsid w:val="00043F3A"/>
    <w:rsid w:val="00044449"/>
    <w:rsid w:val="00045BA0"/>
    <w:rsid w:val="000465A6"/>
    <w:rsid w:val="00047377"/>
    <w:rsid w:val="00050532"/>
    <w:rsid w:val="000517F3"/>
    <w:rsid w:val="0005181A"/>
    <w:rsid w:val="000541B0"/>
    <w:rsid w:val="0005499C"/>
    <w:rsid w:val="00054AFE"/>
    <w:rsid w:val="00055257"/>
    <w:rsid w:val="00055609"/>
    <w:rsid w:val="0005586E"/>
    <w:rsid w:val="00055C35"/>
    <w:rsid w:val="00056E98"/>
    <w:rsid w:val="0005725C"/>
    <w:rsid w:val="00057D7E"/>
    <w:rsid w:val="00057E5B"/>
    <w:rsid w:val="0006024A"/>
    <w:rsid w:val="00060CF4"/>
    <w:rsid w:val="00061BA9"/>
    <w:rsid w:val="00061F0A"/>
    <w:rsid w:val="00063257"/>
    <w:rsid w:val="000634CE"/>
    <w:rsid w:val="00063765"/>
    <w:rsid w:val="000663BA"/>
    <w:rsid w:val="00066FAB"/>
    <w:rsid w:val="00071C48"/>
    <w:rsid w:val="00072109"/>
    <w:rsid w:val="000732BE"/>
    <w:rsid w:val="00073514"/>
    <w:rsid w:val="000737AC"/>
    <w:rsid w:val="00076A22"/>
    <w:rsid w:val="00076A82"/>
    <w:rsid w:val="00077D9C"/>
    <w:rsid w:val="00077F7B"/>
    <w:rsid w:val="00081A25"/>
    <w:rsid w:val="00081EEC"/>
    <w:rsid w:val="000826F5"/>
    <w:rsid w:val="000828A1"/>
    <w:rsid w:val="00082ABA"/>
    <w:rsid w:val="00082B19"/>
    <w:rsid w:val="00082DC4"/>
    <w:rsid w:val="000833B1"/>
    <w:rsid w:val="00083E91"/>
    <w:rsid w:val="0008436E"/>
    <w:rsid w:val="00084963"/>
    <w:rsid w:val="00085373"/>
    <w:rsid w:val="000853C1"/>
    <w:rsid w:val="00085527"/>
    <w:rsid w:val="00085ACD"/>
    <w:rsid w:val="00085C64"/>
    <w:rsid w:val="00085FA8"/>
    <w:rsid w:val="000868D0"/>
    <w:rsid w:val="0008690D"/>
    <w:rsid w:val="000877D7"/>
    <w:rsid w:val="000904A0"/>
    <w:rsid w:val="000906F8"/>
    <w:rsid w:val="000921A0"/>
    <w:rsid w:val="00092347"/>
    <w:rsid w:val="000925E9"/>
    <w:rsid w:val="00092C06"/>
    <w:rsid w:val="000930E4"/>
    <w:rsid w:val="000945C7"/>
    <w:rsid w:val="00094AA1"/>
    <w:rsid w:val="00095D5C"/>
    <w:rsid w:val="000976BB"/>
    <w:rsid w:val="000A10AD"/>
    <w:rsid w:val="000A14D5"/>
    <w:rsid w:val="000A2093"/>
    <w:rsid w:val="000A2484"/>
    <w:rsid w:val="000A25BD"/>
    <w:rsid w:val="000A25C9"/>
    <w:rsid w:val="000A26BA"/>
    <w:rsid w:val="000A2AE5"/>
    <w:rsid w:val="000A2CA0"/>
    <w:rsid w:val="000A2DA7"/>
    <w:rsid w:val="000A4786"/>
    <w:rsid w:val="000A4846"/>
    <w:rsid w:val="000A4F09"/>
    <w:rsid w:val="000A588E"/>
    <w:rsid w:val="000A74C4"/>
    <w:rsid w:val="000B0326"/>
    <w:rsid w:val="000B0D81"/>
    <w:rsid w:val="000B17C0"/>
    <w:rsid w:val="000B1A25"/>
    <w:rsid w:val="000B1C86"/>
    <w:rsid w:val="000B2DCA"/>
    <w:rsid w:val="000B2EA3"/>
    <w:rsid w:val="000B3B78"/>
    <w:rsid w:val="000B44CF"/>
    <w:rsid w:val="000B4502"/>
    <w:rsid w:val="000B45ED"/>
    <w:rsid w:val="000B465B"/>
    <w:rsid w:val="000C053D"/>
    <w:rsid w:val="000C2F6F"/>
    <w:rsid w:val="000C3780"/>
    <w:rsid w:val="000C3CF6"/>
    <w:rsid w:val="000C3DE3"/>
    <w:rsid w:val="000C5607"/>
    <w:rsid w:val="000C5ECD"/>
    <w:rsid w:val="000C6D46"/>
    <w:rsid w:val="000C76BC"/>
    <w:rsid w:val="000C7B55"/>
    <w:rsid w:val="000D002B"/>
    <w:rsid w:val="000D05C9"/>
    <w:rsid w:val="000D104C"/>
    <w:rsid w:val="000D106F"/>
    <w:rsid w:val="000D1617"/>
    <w:rsid w:val="000D18DA"/>
    <w:rsid w:val="000D1D83"/>
    <w:rsid w:val="000D22F8"/>
    <w:rsid w:val="000D3273"/>
    <w:rsid w:val="000D3553"/>
    <w:rsid w:val="000D410B"/>
    <w:rsid w:val="000D4534"/>
    <w:rsid w:val="000D66D7"/>
    <w:rsid w:val="000D779A"/>
    <w:rsid w:val="000E0493"/>
    <w:rsid w:val="000E15AF"/>
    <w:rsid w:val="000E2484"/>
    <w:rsid w:val="000E5ADA"/>
    <w:rsid w:val="000E60E5"/>
    <w:rsid w:val="000E6540"/>
    <w:rsid w:val="000E7186"/>
    <w:rsid w:val="000E7533"/>
    <w:rsid w:val="000E7955"/>
    <w:rsid w:val="000F0BB8"/>
    <w:rsid w:val="000F30B7"/>
    <w:rsid w:val="000F31DA"/>
    <w:rsid w:val="000F3C34"/>
    <w:rsid w:val="000F3C5E"/>
    <w:rsid w:val="000F5501"/>
    <w:rsid w:val="000F6221"/>
    <w:rsid w:val="000F7527"/>
    <w:rsid w:val="0010005B"/>
    <w:rsid w:val="00101417"/>
    <w:rsid w:val="0010293D"/>
    <w:rsid w:val="0010519E"/>
    <w:rsid w:val="0010564E"/>
    <w:rsid w:val="00105AA8"/>
    <w:rsid w:val="00106121"/>
    <w:rsid w:val="00106426"/>
    <w:rsid w:val="001070B1"/>
    <w:rsid w:val="00110C05"/>
    <w:rsid w:val="00113859"/>
    <w:rsid w:val="001142AA"/>
    <w:rsid w:val="00117156"/>
    <w:rsid w:val="0012071E"/>
    <w:rsid w:val="0012073C"/>
    <w:rsid w:val="00120D75"/>
    <w:rsid w:val="00123E04"/>
    <w:rsid w:val="00123E2A"/>
    <w:rsid w:val="00123E36"/>
    <w:rsid w:val="00125783"/>
    <w:rsid w:val="00125908"/>
    <w:rsid w:val="001259AF"/>
    <w:rsid w:val="00125AFD"/>
    <w:rsid w:val="00125C49"/>
    <w:rsid w:val="00125E15"/>
    <w:rsid w:val="0012717C"/>
    <w:rsid w:val="001276C1"/>
    <w:rsid w:val="00127B5C"/>
    <w:rsid w:val="00131332"/>
    <w:rsid w:val="001319B0"/>
    <w:rsid w:val="001319E4"/>
    <w:rsid w:val="00131CE5"/>
    <w:rsid w:val="00133192"/>
    <w:rsid w:val="00134155"/>
    <w:rsid w:val="00134802"/>
    <w:rsid w:val="00134B0A"/>
    <w:rsid w:val="001364FA"/>
    <w:rsid w:val="00137B93"/>
    <w:rsid w:val="00137F52"/>
    <w:rsid w:val="00140958"/>
    <w:rsid w:val="00140DB8"/>
    <w:rsid w:val="0014150C"/>
    <w:rsid w:val="00141FD0"/>
    <w:rsid w:val="00142D14"/>
    <w:rsid w:val="0014347A"/>
    <w:rsid w:val="00144B7C"/>
    <w:rsid w:val="0014511E"/>
    <w:rsid w:val="001454C8"/>
    <w:rsid w:val="00145939"/>
    <w:rsid w:val="00145B74"/>
    <w:rsid w:val="00145C28"/>
    <w:rsid w:val="00146130"/>
    <w:rsid w:val="00146E40"/>
    <w:rsid w:val="00147F81"/>
    <w:rsid w:val="001502F2"/>
    <w:rsid w:val="001507E0"/>
    <w:rsid w:val="00151063"/>
    <w:rsid w:val="00151530"/>
    <w:rsid w:val="0015216E"/>
    <w:rsid w:val="001521F2"/>
    <w:rsid w:val="00152511"/>
    <w:rsid w:val="0015301F"/>
    <w:rsid w:val="001535C3"/>
    <w:rsid w:val="00153752"/>
    <w:rsid w:val="00153A85"/>
    <w:rsid w:val="00153F39"/>
    <w:rsid w:val="001545E0"/>
    <w:rsid w:val="00154AD4"/>
    <w:rsid w:val="00154F1C"/>
    <w:rsid w:val="00154FF0"/>
    <w:rsid w:val="0015641C"/>
    <w:rsid w:val="00157272"/>
    <w:rsid w:val="00157426"/>
    <w:rsid w:val="0016039F"/>
    <w:rsid w:val="001603B4"/>
    <w:rsid w:val="00161E00"/>
    <w:rsid w:val="00161E33"/>
    <w:rsid w:val="00161FE5"/>
    <w:rsid w:val="00163D05"/>
    <w:rsid w:val="0016668C"/>
    <w:rsid w:val="00166692"/>
    <w:rsid w:val="00166827"/>
    <w:rsid w:val="00166AFE"/>
    <w:rsid w:val="0017051A"/>
    <w:rsid w:val="00170E20"/>
    <w:rsid w:val="001715BC"/>
    <w:rsid w:val="0017189E"/>
    <w:rsid w:val="00172519"/>
    <w:rsid w:val="00172A27"/>
    <w:rsid w:val="00172B8F"/>
    <w:rsid w:val="0017437F"/>
    <w:rsid w:val="001746A4"/>
    <w:rsid w:val="001752AB"/>
    <w:rsid w:val="001756CD"/>
    <w:rsid w:val="00175B5C"/>
    <w:rsid w:val="001762E6"/>
    <w:rsid w:val="00176B84"/>
    <w:rsid w:val="001806DF"/>
    <w:rsid w:val="00181ADF"/>
    <w:rsid w:val="001828BF"/>
    <w:rsid w:val="001832FF"/>
    <w:rsid w:val="00184243"/>
    <w:rsid w:val="001845EF"/>
    <w:rsid w:val="00184D01"/>
    <w:rsid w:val="00185265"/>
    <w:rsid w:val="00185455"/>
    <w:rsid w:val="0019007C"/>
    <w:rsid w:val="001917E0"/>
    <w:rsid w:val="001929AC"/>
    <w:rsid w:val="00192D6E"/>
    <w:rsid w:val="00194A84"/>
    <w:rsid w:val="00195166"/>
    <w:rsid w:val="00196390"/>
    <w:rsid w:val="001A007B"/>
    <w:rsid w:val="001A0938"/>
    <w:rsid w:val="001A159E"/>
    <w:rsid w:val="001A2F36"/>
    <w:rsid w:val="001A32D3"/>
    <w:rsid w:val="001A4A9A"/>
    <w:rsid w:val="001A4C65"/>
    <w:rsid w:val="001A530A"/>
    <w:rsid w:val="001A5B8E"/>
    <w:rsid w:val="001A6A10"/>
    <w:rsid w:val="001B16A2"/>
    <w:rsid w:val="001B17F5"/>
    <w:rsid w:val="001B226C"/>
    <w:rsid w:val="001B27BF"/>
    <w:rsid w:val="001B3D39"/>
    <w:rsid w:val="001B4482"/>
    <w:rsid w:val="001B54DD"/>
    <w:rsid w:val="001B713C"/>
    <w:rsid w:val="001C004F"/>
    <w:rsid w:val="001C04AE"/>
    <w:rsid w:val="001C0B8C"/>
    <w:rsid w:val="001C158F"/>
    <w:rsid w:val="001C1ADD"/>
    <w:rsid w:val="001C2800"/>
    <w:rsid w:val="001C41D9"/>
    <w:rsid w:val="001C4EC4"/>
    <w:rsid w:val="001C593A"/>
    <w:rsid w:val="001C6830"/>
    <w:rsid w:val="001C6C76"/>
    <w:rsid w:val="001C7A9C"/>
    <w:rsid w:val="001D07B4"/>
    <w:rsid w:val="001D145C"/>
    <w:rsid w:val="001D1698"/>
    <w:rsid w:val="001D1A8C"/>
    <w:rsid w:val="001D2748"/>
    <w:rsid w:val="001D31AA"/>
    <w:rsid w:val="001D3853"/>
    <w:rsid w:val="001D3B19"/>
    <w:rsid w:val="001D41D1"/>
    <w:rsid w:val="001D61C0"/>
    <w:rsid w:val="001D67E1"/>
    <w:rsid w:val="001D690E"/>
    <w:rsid w:val="001D697D"/>
    <w:rsid w:val="001D6DEC"/>
    <w:rsid w:val="001D767F"/>
    <w:rsid w:val="001D7863"/>
    <w:rsid w:val="001E04B9"/>
    <w:rsid w:val="001E2742"/>
    <w:rsid w:val="001E29CA"/>
    <w:rsid w:val="001E2BC9"/>
    <w:rsid w:val="001E593B"/>
    <w:rsid w:val="001E6137"/>
    <w:rsid w:val="001E7DEB"/>
    <w:rsid w:val="001F04FF"/>
    <w:rsid w:val="001F0867"/>
    <w:rsid w:val="001F1AA5"/>
    <w:rsid w:val="001F3770"/>
    <w:rsid w:val="001F612B"/>
    <w:rsid w:val="001F63FC"/>
    <w:rsid w:val="001F6E77"/>
    <w:rsid w:val="001F74ED"/>
    <w:rsid w:val="00200DC4"/>
    <w:rsid w:val="0020117F"/>
    <w:rsid w:val="0020178E"/>
    <w:rsid w:val="00202192"/>
    <w:rsid w:val="0020234C"/>
    <w:rsid w:val="00202F49"/>
    <w:rsid w:val="00203DF8"/>
    <w:rsid w:val="00204101"/>
    <w:rsid w:val="00204364"/>
    <w:rsid w:val="00205D3F"/>
    <w:rsid w:val="002060AE"/>
    <w:rsid w:val="00206861"/>
    <w:rsid w:val="002071BD"/>
    <w:rsid w:val="00207A3B"/>
    <w:rsid w:val="00207EE0"/>
    <w:rsid w:val="00210476"/>
    <w:rsid w:val="00211256"/>
    <w:rsid w:val="002119A5"/>
    <w:rsid w:val="00212847"/>
    <w:rsid w:val="00214202"/>
    <w:rsid w:val="0021421A"/>
    <w:rsid w:val="002153F9"/>
    <w:rsid w:val="00215627"/>
    <w:rsid w:val="00216F0A"/>
    <w:rsid w:val="0021729D"/>
    <w:rsid w:val="00221ECE"/>
    <w:rsid w:val="00221FF8"/>
    <w:rsid w:val="00222F85"/>
    <w:rsid w:val="002233F3"/>
    <w:rsid w:val="0022399F"/>
    <w:rsid w:val="00225FAA"/>
    <w:rsid w:val="00226266"/>
    <w:rsid w:val="00226C5A"/>
    <w:rsid w:val="00230CE5"/>
    <w:rsid w:val="00232726"/>
    <w:rsid w:val="002327BD"/>
    <w:rsid w:val="002330D2"/>
    <w:rsid w:val="00233675"/>
    <w:rsid w:val="00233E6E"/>
    <w:rsid w:val="00234769"/>
    <w:rsid w:val="00234FFF"/>
    <w:rsid w:val="0023511D"/>
    <w:rsid w:val="00235666"/>
    <w:rsid w:val="00235883"/>
    <w:rsid w:val="00235A5E"/>
    <w:rsid w:val="00235DF7"/>
    <w:rsid w:val="00236578"/>
    <w:rsid w:val="002367B8"/>
    <w:rsid w:val="002368FF"/>
    <w:rsid w:val="00236CA9"/>
    <w:rsid w:val="00236FB8"/>
    <w:rsid w:val="00237E2E"/>
    <w:rsid w:val="0024213B"/>
    <w:rsid w:val="002422DA"/>
    <w:rsid w:val="00243414"/>
    <w:rsid w:val="00244FA6"/>
    <w:rsid w:val="00246426"/>
    <w:rsid w:val="002507E8"/>
    <w:rsid w:val="0025387D"/>
    <w:rsid w:val="00253F9A"/>
    <w:rsid w:val="00254443"/>
    <w:rsid w:val="00254CCC"/>
    <w:rsid w:val="00254DB7"/>
    <w:rsid w:val="00254F46"/>
    <w:rsid w:val="0025582E"/>
    <w:rsid w:val="00255E46"/>
    <w:rsid w:val="00256C8E"/>
    <w:rsid w:val="002574B6"/>
    <w:rsid w:val="00257B1A"/>
    <w:rsid w:val="00257BB3"/>
    <w:rsid w:val="00257C3E"/>
    <w:rsid w:val="00257FDC"/>
    <w:rsid w:val="002601F1"/>
    <w:rsid w:val="0026054C"/>
    <w:rsid w:val="00261273"/>
    <w:rsid w:val="002640CA"/>
    <w:rsid w:val="002648E7"/>
    <w:rsid w:val="00264D81"/>
    <w:rsid w:val="00265086"/>
    <w:rsid w:val="00265111"/>
    <w:rsid w:val="00265FA5"/>
    <w:rsid w:val="0026607B"/>
    <w:rsid w:val="0026677E"/>
    <w:rsid w:val="00266D19"/>
    <w:rsid w:val="00267281"/>
    <w:rsid w:val="00267DC0"/>
    <w:rsid w:val="002701ED"/>
    <w:rsid w:val="002714D0"/>
    <w:rsid w:val="00272C77"/>
    <w:rsid w:val="00272D4E"/>
    <w:rsid w:val="00272D69"/>
    <w:rsid w:val="0027368B"/>
    <w:rsid w:val="00273BF1"/>
    <w:rsid w:val="00274156"/>
    <w:rsid w:val="002747E7"/>
    <w:rsid w:val="00276010"/>
    <w:rsid w:val="00276258"/>
    <w:rsid w:val="00277223"/>
    <w:rsid w:val="002774F6"/>
    <w:rsid w:val="00277B84"/>
    <w:rsid w:val="00277E31"/>
    <w:rsid w:val="00281108"/>
    <w:rsid w:val="002812A7"/>
    <w:rsid w:val="002812CD"/>
    <w:rsid w:val="002815A4"/>
    <w:rsid w:val="00284F59"/>
    <w:rsid w:val="002936C5"/>
    <w:rsid w:val="00295A39"/>
    <w:rsid w:val="00296BAE"/>
    <w:rsid w:val="0029746D"/>
    <w:rsid w:val="00297AC6"/>
    <w:rsid w:val="002A228C"/>
    <w:rsid w:val="002A2BD0"/>
    <w:rsid w:val="002A2F1B"/>
    <w:rsid w:val="002A309C"/>
    <w:rsid w:val="002A32D5"/>
    <w:rsid w:val="002A3D90"/>
    <w:rsid w:val="002A58E3"/>
    <w:rsid w:val="002A5911"/>
    <w:rsid w:val="002A707C"/>
    <w:rsid w:val="002A7DF7"/>
    <w:rsid w:val="002A7E1F"/>
    <w:rsid w:val="002B09EE"/>
    <w:rsid w:val="002B0CC7"/>
    <w:rsid w:val="002B1536"/>
    <w:rsid w:val="002B2B59"/>
    <w:rsid w:val="002B3301"/>
    <w:rsid w:val="002B3C7E"/>
    <w:rsid w:val="002B423A"/>
    <w:rsid w:val="002B44E9"/>
    <w:rsid w:val="002B4717"/>
    <w:rsid w:val="002B48F8"/>
    <w:rsid w:val="002B49A9"/>
    <w:rsid w:val="002B596D"/>
    <w:rsid w:val="002B65B6"/>
    <w:rsid w:val="002B72EB"/>
    <w:rsid w:val="002C17DA"/>
    <w:rsid w:val="002C2260"/>
    <w:rsid w:val="002C2636"/>
    <w:rsid w:val="002C44D1"/>
    <w:rsid w:val="002C4C10"/>
    <w:rsid w:val="002C634F"/>
    <w:rsid w:val="002C76F0"/>
    <w:rsid w:val="002C78E2"/>
    <w:rsid w:val="002D000B"/>
    <w:rsid w:val="002D0AB0"/>
    <w:rsid w:val="002D3380"/>
    <w:rsid w:val="002D37A6"/>
    <w:rsid w:val="002D3EF1"/>
    <w:rsid w:val="002D435B"/>
    <w:rsid w:val="002D48E2"/>
    <w:rsid w:val="002D4CB3"/>
    <w:rsid w:val="002D52DF"/>
    <w:rsid w:val="002D56D6"/>
    <w:rsid w:val="002D6433"/>
    <w:rsid w:val="002E14B3"/>
    <w:rsid w:val="002E1DE3"/>
    <w:rsid w:val="002E299E"/>
    <w:rsid w:val="002E3481"/>
    <w:rsid w:val="002E3676"/>
    <w:rsid w:val="002E45FA"/>
    <w:rsid w:val="002E48B9"/>
    <w:rsid w:val="002E4B18"/>
    <w:rsid w:val="002E4B61"/>
    <w:rsid w:val="002E5D38"/>
    <w:rsid w:val="002E7E3D"/>
    <w:rsid w:val="002F263C"/>
    <w:rsid w:val="002F30BA"/>
    <w:rsid w:val="002F34AA"/>
    <w:rsid w:val="002F3B56"/>
    <w:rsid w:val="002F4941"/>
    <w:rsid w:val="002F5997"/>
    <w:rsid w:val="002F5BCF"/>
    <w:rsid w:val="002F5D36"/>
    <w:rsid w:val="002F5F4C"/>
    <w:rsid w:val="002F60D8"/>
    <w:rsid w:val="00301854"/>
    <w:rsid w:val="00301939"/>
    <w:rsid w:val="00303612"/>
    <w:rsid w:val="003039DB"/>
    <w:rsid w:val="003040B2"/>
    <w:rsid w:val="0030443C"/>
    <w:rsid w:val="0030717D"/>
    <w:rsid w:val="00307E43"/>
    <w:rsid w:val="00310460"/>
    <w:rsid w:val="003104AC"/>
    <w:rsid w:val="00310623"/>
    <w:rsid w:val="00310C43"/>
    <w:rsid w:val="00311531"/>
    <w:rsid w:val="003147D9"/>
    <w:rsid w:val="00314E7D"/>
    <w:rsid w:val="00314FCD"/>
    <w:rsid w:val="003162E6"/>
    <w:rsid w:val="0031674A"/>
    <w:rsid w:val="00316D5F"/>
    <w:rsid w:val="003209C4"/>
    <w:rsid w:val="00323F94"/>
    <w:rsid w:val="0032512F"/>
    <w:rsid w:val="003257F2"/>
    <w:rsid w:val="003261BF"/>
    <w:rsid w:val="00326B34"/>
    <w:rsid w:val="003300B5"/>
    <w:rsid w:val="0033043B"/>
    <w:rsid w:val="003304F5"/>
    <w:rsid w:val="003306C4"/>
    <w:rsid w:val="00330894"/>
    <w:rsid w:val="00331467"/>
    <w:rsid w:val="0033180A"/>
    <w:rsid w:val="00331872"/>
    <w:rsid w:val="003318D1"/>
    <w:rsid w:val="00332433"/>
    <w:rsid w:val="003326FE"/>
    <w:rsid w:val="00332D12"/>
    <w:rsid w:val="003342D8"/>
    <w:rsid w:val="00334F3F"/>
    <w:rsid w:val="003358E6"/>
    <w:rsid w:val="0033634B"/>
    <w:rsid w:val="003367D4"/>
    <w:rsid w:val="00337584"/>
    <w:rsid w:val="0034028F"/>
    <w:rsid w:val="00344EE8"/>
    <w:rsid w:val="0034507B"/>
    <w:rsid w:val="00346456"/>
    <w:rsid w:val="003476DE"/>
    <w:rsid w:val="00347758"/>
    <w:rsid w:val="003478FB"/>
    <w:rsid w:val="00347F6C"/>
    <w:rsid w:val="0035112F"/>
    <w:rsid w:val="00352E8C"/>
    <w:rsid w:val="003532E6"/>
    <w:rsid w:val="003540F6"/>
    <w:rsid w:val="00354A9C"/>
    <w:rsid w:val="00354D91"/>
    <w:rsid w:val="00360186"/>
    <w:rsid w:val="0036101A"/>
    <w:rsid w:val="00361CD9"/>
    <w:rsid w:val="00362076"/>
    <w:rsid w:val="003629F3"/>
    <w:rsid w:val="00363ED9"/>
    <w:rsid w:val="003646AC"/>
    <w:rsid w:val="00364C8B"/>
    <w:rsid w:val="00365295"/>
    <w:rsid w:val="00365F2A"/>
    <w:rsid w:val="00366A25"/>
    <w:rsid w:val="00366C27"/>
    <w:rsid w:val="003671C7"/>
    <w:rsid w:val="00370526"/>
    <w:rsid w:val="003707C8"/>
    <w:rsid w:val="00370C13"/>
    <w:rsid w:val="003715A1"/>
    <w:rsid w:val="00371989"/>
    <w:rsid w:val="0037237D"/>
    <w:rsid w:val="00372866"/>
    <w:rsid w:val="00372B0D"/>
    <w:rsid w:val="00372D94"/>
    <w:rsid w:val="00372F1C"/>
    <w:rsid w:val="00372FA0"/>
    <w:rsid w:val="00373C30"/>
    <w:rsid w:val="00373DE8"/>
    <w:rsid w:val="003764F6"/>
    <w:rsid w:val="003767E7"/>
    <w:rsid w:val="003768C0"/>
    <w:rsid w:val="00381A84"/>
    <w:rsid w:val="00381EFF"/>
    <w:rsid w:val="003821DE"/>
    <w:rsid w:val="00382566"/>
    <w:rsid w:val="00382C4E"/>
    <w:rsid w:val="00384603"/>
    <w:rsid w:val="00384825"/>
    <w:rsid w:val="00384FF2"/>
    <w:rsid w:val="003850AE"/>
    <w:rsid w:val="003853B4"/>
    <w:rsid w:val="00385594"/>
    <w:rsid w:val="00386D0E"/>
    <w:rsid w:val="00387170"/>
    <w:rsid w:val="003911F1"/>
    <w:rsid w:val="00391565"/>
    <w:rsid w:val="0039164F"/>
    <w:rsid w:val="003916ED"/>
    <w:rsid w:val="00392C55"/>
    <w:rsid w:val="00393298"/>
    <w:rsid w:val="0039397D"/>
    <w:rsid w:val="00393B6D"/>
    <w:rsid w:val="00394B21"/>
    <w:rsid w:val="00394D82"/>
    <w:rsid w:val="0039590C"/>
    <w:rsid w:val="00395A1C"/>
    <w:rsid w:val="00395DEA"/>
    <w:rsid w:val="00395F1B"/>
    <w:rsid w:val="00396285"/>
    <w:rsid w:val="00397D89"/>
    <w:rsid w:val="003A0053"/>
    <w:rsid w:val="003A01B6"/>
    <w:rsid w:val="003A1E13"/>
    <w:rsid w:val="003A1FC6"/>
    <w:rsid w:val="003A248D"/>
    <w:rsid w:val="003A2B28"/>
    <w:rsid w:val="003A495D"/>
    <w:rsid w:val="003A70BE"/>
    <w:rsid w:val="003A7C56"/>
    <w:rsid w:val="003A7C59"/>
    <w:rsid w:val="003B052D"/>
    <w:rsid w:val="003B0906"/>
    <w:rsid w:val="003B09BA"/>
    <w:rsid w:val="003B1797"/>
    <w:rsid w:val="003B1960"/>
    <w:rsid w:val="003B1B57"/>
    <w:rsid w:val="003B1E03"/>
    <w:rsid w:val="003B225A"/>
    <w:rsid w:val="003B3F6B"/>
    <w:rsid w:val="003B4583"/>
    <w:rsid w:val="003B4A7F"/>
    <w:rsid w:val="003B5E27"/>
    <w:rsid w:val="003B5FCE"/>
    <w:rsid w:val="003B7569"/>
    <w:rsid w:val="003C0A97"/>
    <w:rsid w:val="003C0BA3"/>
    <w:rsid w:val="003C1845"/>
    <w:rsid w:val="003C1D2C"/>
    <w:rsid w:val="003C2410"/>
    <w:rsid w:val="003C5396"/>
    <w:rsid w:val="003C580D"/>
    <w:rsid w:val="003C5D7A"/>
    <w:rsid w:val="003C6964"/>
    <w:rsid w:val="003C7270"/>
    <w:rsid w:val="003D16F3"/>
    <w:rsid w:val="003D1F76"/>
    <w:rsid w:val="003D351E"/>
    <w:rsid w:val="003D3903"/>
    <w:rsid w:val="003D4318"/>
    <w:rsid w:val="003D4971"/>
    <w:rsid w:val="003D4E39"/>
    <w:rsid w:val="003D51CA"/>
    <w:rsid w:val="003D61D2"/>
    <w:rsid w:val="003D66F2"/>
    <w:rsid w:val="003D7681"/>
    <w:rsid w:val="003E0E74"/>
    <w:rsid w:val="003E0FE1"/>
    <w:rsid w:val="003E10EF"/>
    <w:rsid w:val="003E183F"/>
    <w:rsid w:val="003E202C"/>
    <w:rsid w:val="003E3D34"/>
    <w:rsid w:val="003E49D2"/>
    <w:rsid w:val="003E55C6"/>
    <w:rsid w:val="003E61F9"/>
    <w:rsid w:val="003E61FF"/>
    <w:rsid w:val="003E6DE1"/>
    <w:rsid w:val="003E74ED"/>
    <w:rsid w:val="003E777E"/>
    <w:rsid w:val="003F0FAA"/>
    <w:rsid w:val="003F1E6A"/>
    <w:rsid w:val="003F26D5"/>
    <w:rsid w:val="003F272B"/>
    <w:rsid w:val="003F2F68"/>
    <w:rsid w:val="003F3504"/>
    <w:rsid w:val="003F4AE4"/>
    <w:rsid w:val="003F5A45"/>
    <w:rsid w:val="00400851"/>
    <w:rsid w:val="00402BC6"/>
    <w:rsid w:val="00402FD1"/>
    <w:rsid w:val="004034CC"/>
    <w:rsid w:val="0040587E"/>
    <w:rsid w:val="00406B70"/>
    <w:rsid w:val="00406F09"/>
    <w:rsid w:val="0040743D"/>
    <w:rsid w:val="00407C80"/>
    <w:rsid w:val="0041055D"/>
    <w:rsid w:val="004118D3"/>
    <w:rsid w:val="00411A4A"/>
    <w:rsid w:val="0041251D"/>
    <w:rsid w:val="00413E15"/>
    <w:rsid w:val="00414D48"/>
    <w:rsid w:val="0041578C"/>
    <w:rsid w:val="0041644E"/>
    <w:rsid w:val="0041741D"/>
    <w:rsid w:val="0041744F"/>
    <w:rsid w:val="004176A6"/>
    <w:rsid w:val="0041788D"/>
    <w:rsid w:val="00417F7E"/>
    <w:rsid w:val="00423F31"/>
    <w:rsid w:val="00424343"/>
    <w:rsid w:val="00424C3B"/>
    <w:rsid w:val="0042641B"/>
    <w:rsid w:val="00426B61"/>
    <w:rsid w:val="00426D10"/>
    <w:rsid w:val="0042766C"/>
    <w:rsid w:val="00427E57"/>
    <w:rsid w:val="00430306"/>
    <w:rsid w:val="00431722"/>
    <w:rsid w:val="00432500"/>
    <w:rsid w:val="004329E5"/>
    <w:rsid w:val="00435627"/>
    <w:rsid w:val="004362DD"/>
    <w:rsid w:val="00436669"/>
    <w:rsid w:val="00436801"/>
    <w:rsid w:val="00436B3D"/>
    <w:rsid w:val="00440264"/>
    <w:rsid w:val="00443529"/>
    <w:rsid w:val="00443775"/>
    <w:rsid w:val="00443AD9"/>
    <w:rsid w:val="00443EBF"/>
    <w:rsid w:val="004476AB"/>
    <w:rsid w:val="004513AA"/>
    <w:rsid w:val="004527CF"/>
    <w:rsid w:val="00452DEB"/>
    <w:rsid w:val="004533F3"/>
    <w:rsid w:val="00453E80"/>
    <w:rsid w:val="004548C7"/>
    <w:rsid w:val="004554A9"/>
    <w:rsid w:val="00455848"/>
    <w:rsid w:val="00457626"/>
    <w:rsid w:val="00457B72"/>
    <w:rsid w:val="004609AE"/>
    <w:rsid w:val="004613C3"/>
    <w:rsid w:val="004635B9"/>
    <w:rsid w:val="00463A7A"/>
    <w:rsid w:val="00464AF2"/>
    <w:rsid w:val="00465417"/>
    <w:rsid w:val="00465EA1"/>
    <w:rsid w:val="00466180"/>
    <w:rsid w:val="004662E9"/>
    <w:rsid w:val="0046711D"/>
    <w:rsid w:val="004673CB"/>
    <w:rsid w:val="004679F2"/>
    <w:rsid w:val="00470F69"/>
    <w:rsid w:val="0047115B"/>
    <w:rsid w:val="00473D65"/>
    <w:rsid w:val="00474539"/>
    <w:rsid w:val="00474782"/>
    <w:rsid w:val="004747C9"/>
    <w:rsid w:val="00474F36"/>
    <w:rsid w:val="00475CA1"/>
    <w:rsid w:val="00476ADF"/>
    <w:rsid w:val="00476FA2"/>
    <w:rsid w:val="00477D4D"/>
    <w:rsid w:val="004800C3"/>
    <w:rsid w:val="004810BE"/>
    <w:rsid w:val="00482549"/>
    <w:rsid w:val="00482563"/>
    <w:rsid w:val="00482B2E"/>
    <w:rsid w:val="0048314B"/>
    <w:rsid w:val="0048438A"/>
    <w:rsid w:val="004866B8"/>
    <w:rsid w:val="004869FA"/>
    <w:rsid w:val="00487120"/>
    <w:rsid w:val="00487CD0"/>
    <w:rsid w:val="00490447"/>
    <w:rsid w:val="00490E5A"/>
    <w:rsid w:val="004910EE"/>
    <w:rsid w:val="00491492"/>
    <w:rsid w:val="00491EF0"/>
    <w:rsid w:val="004923FF"/>
    <w:rsid w:val="004933CF"/>
    <w:rsid w:val="00493C9D"/>
    <w:rsid w:val="004955A9"/>
    <w:rsid w:val="00495C3F"/>
    <w:rsid w:val="00495EDA"/>
    <w:rsid w:val="004960DF"/>
    <w:rsid w:val="0049658E"/>
    <w:rsid w:val="00497B30"/>
    <w:rsid w:val="004A010E"/>
    <w:rsid w:val="004A0217"/>
    <w:rsid w:val="004A0AD1"/>
    <w:rsid w:val="004A18B3"/>
    <w:rsid w:val="004A2A04"/>
    <w:rsid w:val="004A4C6F"/>
    <w:rsid w:val="004A5E76"/>
    <w:rsid w:val="004A6805"/>
    <w:rsid w:val="004A6851"/>
    <w:rsid w:val="004A6F55"/>
    <w:rsid w:val="004B0636"/>
    <w:rsid w:val="004B0ECA"/>
    <w:rsid w:val="004B1463"/>
    <w:rsid w:val="004B2176"/>
    <w:rsid w:val="004B3888"/>
    <w:rsid w:val="004B48FF"/>
    <w:rsid w:val="004B59CD"/>
    <w:rsid w:val="004B6035"/>
    <w:rsid w:val="004B60BE"/>
    <w:rsid w:val="004B6550"/>
    <w:rsid w:val="004B6C8C"/>
    <w:rsid w:val="004B7477"/>
    <w:rsid w:val="004C11D0"/>
    <w:rsid w:val="004C1234"/>
    <w:rsid w:val="004C197E"/>
    <w:rsid w:val="004C2172"/>
    <w:rsid w:val="004C2A8E"/>
    <w:rsid w:val="004C2AFB"/>
    <w:rsid w:val="004C3BA9"/>
    <w:rsid w:val="004C4DEE"/>
    <w:rsid w:val="004C52CE"/>
    <w:rsid w:val="004C64ED"/>
    <w:rsid w:val="004C793D"/>
    <w:rsid w:val="004D022A"/>
    <w:rsid w:val="004D024A"/>
    <w:rsid w:val="004D0262"/>
    <w:rsid w:val="004D098B"/>
    <w:rsid w:val="004D0A17"/>
    <w:rsid w:val="004D1C29"/>
    <w:rsid w:val="004D1CBB"/>
    <w:rsid w:val="004D2934"/>
    <w:rsid w:val="004D3313"/>
    <w:rsid w:val="004D3576"/>
    <w:rsid w:val="004D6EEF"/>
    <w:rsid w:val="004D7715"/>
    <w:rsid w:val="004D7870"/>
    <w:rsid w:val="004D7FBF"/>
    <w:rsid w:val="004E3BC2"/>
    <w:rsid w:val="004E3E79"/>
    <w:rsid w:val="004E4019"/>
    <w:rsid w:val="004E44DA"/>
    <w:rsid w:val="004E49D7"/>
    <w:rsid w:val="004E4A7E"/>
    <w:rsid w:val="004E530C"/>
    <w:rsid w:val="004E5396"/>
    <w:rsid w:val="004E5A7E"/>
    <w:rsid w:val="004E632F"/>
    <w:rsid w:val="004E64F0"/>
    <w:rsid w:val="004E67DC"/>
    <w:rsid w:val="004E6C73"/>
    <w:rsid w:val="004E6D6D"/>
    <w:rsid w:val="004E714D"/>
    <w:rsid w:val="004F0006"/>
    <w:rsid w:val="004F0D60"/>
    <w:rsid w:val="004F104D"/>
    <w:rsid w:val="004F1D8D"/>
    <w:rsid w:val="004F2D32"/>
    <w:rsid w:val="004F32AB"/>
    <w:rsid w:val="004F42D5"/>
    <w:rsid w:val="004F4A05"/>
    <w:rsid w:val="004F4B5D"/>
    <w:rsid w:val="004F4C73"/>
    <w:rsid w:val="004F532B"/>
    <w:rsid w:val="004F5B37"/>
    <w:rsid w:val="004F6FA4"/>
    <w:rsid w:val="004F7733"/>
    <w:rsid w:val="00500358"/>
    <w:rsid w:val="0050135B"/>
    <w:rsid w:val="005020C9"/>
    <w:rsid w:val="0050235D"/>
    <w:rsid w:val="005025B9"/>
    <w:rsid w:val="00502B2F"/>
    <w:rsid w:val="00502F38"/>
    <w:rsid w:val="00502F66"/>
    <w:rsid w:val="005032AC"/>
    <w:rsid w:val="00503966"/>
    <w:rsid w:val="00503CD1"/>
    <w:rsid w:val="00503CEC"/>
    <w:rsid w:val="00504B80"/>
    <w:rsid w:val="00504BA1"/>
    <w:rsid w:val="00504C81"/>
    <w:rsid w:val="00504D5C"/>
    <w:rsid w:val="00506483"/>
    <w:rsid w:val="0050773C"/>
    <w:rsid w:val="005109E0"/>
    <w:rsid w:val="00510ACA"/>
    <w:rsid w:val="00511BDA"/>
    <w:rsid w:val="0051302C"/>
    <w:rsid w:val="005141EF"/>
    <w:rsid w:val="005147B5"/>
    <w:rsid w:val="00516AF9"/>
    <w:rsid w:val="005170F4"/>
    <w:rsid w:val="00520552"/>
    <w:rsid w:val="00522C21"/>
    <w:rsid w:val="00522C4F"/>
    <w:rsid w:val="00523414"/>
    <w:rsid w:val="00523B75"/>
    <w:rsid w:val="005243F4"/>
    <w:rsid w:val="0052543E"/>
    <w:rsid w:val="00525457"/>
    <w:rsid w:val="00525914"/>
    <w:rsid w:val="00526024"/>
    <w:rsid w:val="00526DCB"/>
    <w:rsid w:val="00527F80"/>
    <w:rsid w:val="00531621"/>
    <w:rsid w:val="00531899"/>
    <w:rsid w:val="00535DBE"/>
    <w:rsid w:val="00535EEF"/>
    <w:rsid w:val="0053646F"/>
    <w:rsid w:val="00536CC0"/>
    <w:rsid w:val="005371EF"/>
    <w:rsid w:val="00540235"/>
    <w:rsid w:val="005406A6"/>
    <w:rsid w:val="00541016"/>
    <w:rsid w:val="00541C39"/>
    <w:rsid w:val="00541D75"/>
    <w:rsid w:val="00543576"/>
    <w:rsid w:val="00544A8B"/>
    <w:rsid w:val="00545543"/>
    <w:rsid w:val="005459FA"/>
    <w:rsid w:val="00546D91"/>
    <w:rsid w:val="00546F62"/>
    <w:rsid w:val="00547EA5"/>
    <w:rsid w:val="005502F4"/>
    <w:rsid w:val="0055138C"/>
    <w:rsid w:val="005517FF"/>
    <w:rsid w:val="00551FCF"/>
    <w:rsid w:val="0055318B"/>
    <w:rsid w:val="005535D4"/>
    <w:rsid w:val="00553FDC"/>
    <w:rsid w:val="00554186"/>
    <w:rsid w:val="005548EE"/>
    <w:rsid w:val="00554FE5"/>
    <w:rsid w:val="00555969"/>
    <w:rsid w:val="00555CF7"/>
    <w:rsid w:val="00555DC0"/>
    <w:rsid w:val="00556160"/>
    <w:rsid w:val="00556BE3"/>
    <w:rsid w:val="00556DA3"/>
    <w:rsid w:val="00556E33"/>
    <w:rsid w:val="0056004D"/>
    <w:rsid w:val="00561FBA"/>
    <w:rsid w:val="00562235"/>
    <w:rsid w:val="005624C8"/>
    <w:rsid w:val="00562E83"/>
    <w:rsid w:val="0056303F"/>
    <w:rsid w:val="0056322D"/>
    <w:rsid w:val="00564366"/>
    <w:rsid w:val="00564610"/>
    <w:rsid w:val="00564BA2"/>
    <w:rsid w:val="0056781C"/>
    <w:rsid w:val="00571CC8"/>
    <w:rsid w:val="0057551F"/>
    <w:rsid w:val="0057567B"/>
    <w:rsid w:val="00575E34"/>
    <w:rsid w:val="00575E6E"/>
    <w:rsid w:val="0057690C"/>
    <w:rsid w:val="00576F00"/>
    <w:rsid w:val="00577CCF"/>
    <w:rsid w:val="00584B20"/>
    <w:rsid w:val="00584EBC"/>
    <w:rsid w:val="00585B98"/>
    <w:rsid w:val="00586347"/>
    <w:rsid w:val="00586BEF"/>
    <w:rsid w:val="00587480"/>
    <w:rsid w:val="005879A0"/>
    <w:rsid w:val="0059023F"/>
    <w:rsid w:val="005906A4"/>
    <w:rsid w:val="00590835"/>
    <w:rsid w:val="00592BC6"/>
    <w:rsid w:val="005939C1"/>
    <w:rsid w:val="00593A61"/>
    <w:rsid w:val="00593F7B"/>
    <w:rsid w:val="0059470F"/>
    <w:rsid w:val="0059471B"/>
    <w:rsid w:val="00594792"/>
    <w:rsid w:val="00594913"/>
    <w:rsid w:val="00594AD6"/>
    <w:rsid w:val="00595A16"/>
    <w:rsid w:val="005961D1"/>
    <w:rsid w:val="00597189"/>
    <w:rsid w:val="005A104B"/>
    <w:rsid w:val="005A1FB7"/>
    <w:rsid w:val="005A257F"/>
    <w:rsid w:val="005A2A27"/>
    <w:rsid w:val="005A4BE8"/>
    <w:rsid w:val="005A6794"/>
    <w:rsid w:val="005A6BC2"/>
    <w:rsid w:val="005A706E"/>
    <w:rsid w:val="005A7746"/>
    <w:rsid w:val="005A7F78"/>
    <w:rsid w:val="005B23B8"/>
    <w:rsid w:val="005B2E05"/>
    <w:rsid w:val="005B3C35"/>
    <w:rsid w:val="005B55B5"/>
    <w:rsid w:val="005B6550"/>
    <w:rsid w:val="005B6BFD"/>
    <w:rsid w:val="005B749F"/>
    <w:rsid w:val="005B7704"/>
    <w:rsid w:val="005C0DC4"/>
    <w:rsid w:val="005C11D4"/>
    <w:rsid w:val="005C2388"/>
    <w:rsid w:val="005C3E33"/>
    <w:rsid w:val="005C4774"/>
    <w:rsid w:val="005C59BB"/>
    <w:rsid w:val="005C7C16"/>
    <w:rsid w:val="005D047A"/>
    <w:rsid w:val="005D1249"/>
    <w:rsid w:val="005D4328"/>
    <w:rsid w:val="005D4354"/>
    <w:rsid w:val="005D58CF"/>
    <w:rsid w:val="005D5BB7"/>
    <w:rsid w:val="005D6C4C"/>
    <w:rsid w:val="005D71EF"/>
    <w:rsid w:val="005E0000"/>
    <w:rsid w:val="005E2D6D"/>
    <w:rsid w:val="005E3D4C"/>
    <w:rsid w:val="005E4E4F"/>
    <w:rsid w:val="005E503B"/>
    <w:rsid w:val="005E5F90"/>
    <w:rsid w:val="005E6091"/>
    <w:rsid w:val="005F0B2A"/>
    <w:rsid w:val="005F24F2"/>
    <w:rsid w:val="005F39D5"/>
    <w:rsid w:val="005F4E95"/>
    <w:rsid w:val="005F6C6E"/>
    <w:rsid w:val="005F7619"/>
    <w:rsid w:val="005F7F46"/>
    <w:rsid w:val="006003E9"/>
    <w:rsid w:val="00601521"/>
    <w:rsid w:val="006017C0"/>
    <w:rsid w:val="00601FDA"/>
    <w:rsid w:val="0060271A"/>
    <w:rsid w:val="00603C18"/>
    <w:rsid w:val="00603E51"/>
    <w:rsid w:val="006050D3"/>
    <w:rsid w:val="00605314"/>
    <w:rsid w:val="006053F4"/>
    <w:rsid w:val="006061AF"/>
    <w:rsid w:val="00606E1B"/>
    <w:rsid w:val="00606E75"/>
    <w:rsid w:val="0060787C"/>
    <w:rsid w:val="006110D8"/>
    <w:rsid w:val="00611263"/>
    <w:rsid w:val="00611715"/>
    <w:rsid w:val="00611ECA"/>
    <w:rsid w:val="006120E3"/>
    <w:rsid w:val="00612B18"/>
    <w:rsid w:val="00612FF8"/>
    <w:rsid w:val="00613057"/>
    <w:rsid w:val="00613E64"/>
    <w:rsid w:val="00614800"/>
    <w:rsid w:val="00614CBE"/>
    <w:rsid w:val="0061505C"/>
    <w:rsid w:val="00615F54"/>
    <w:rsid w:val="006176F4"/>
    <w:rsid w:val="00617BB2"/>
    <w:rsid w:val="00622417"/>
    <w:rsid w:val="00622633"/>
    <w:rsid w:val="00623956"/>
    <w:rsid w:val="006240AA"/>
    <w:rsid w:val="0062435E"/>
    <w:rsid w:val="006249C1"/>
    <w:rsid w:val="00624A1D"/>
    <w:rsid w:val="00626134"/>
    <w:rsid w:val="0062647F"/>
    <w:rsid w:val="00626727"/>
    <w:rsid w:val="00626B48"/>
    <w:rsid w:val="00626FB3"/>
    <w:rsid w:val="00627CC6"/>
    <w:rsid w:val="00627F63"/>
    <w:rsid w:val="00631E12"/>
    <w:rsid w:val="00632B6F"/>
    <w:rsid w:val="00632CA3"/>
    <w:rsid w:val="00633CAA"/>
    <w:rsid w:val="00633FFC"/>
    <w:rsid w:val="0063419D"/>
    <w:rsid w:val="00636FC4"/>
    <w:rsid w:val="00637353"/>
    <w:rsid w:val="006401CD"/>
    <w:rsid w:val="00642852"/>
    <w:rsid w:val="0064296F"/>
    <w:rsid w:val="00642D3F"/>
    <w:rsid w:val="00644DFC"/>
    <w:rsid w:val="00650369"/>
    <w:rsid w:val="00651A52"/>
    <w:rsid w:val="00651BCD"/>
    <w:rsid w:val="00652382"/>
    <w:rsid w:val="006540C1"/>
    <w:rsid w:val="006544C5"/>
    <w:rsid w:val="00654C68"/>
    <w:rsid w:val="00654F78"/>
    <w:rsid w:val="00654FAA"/>
    <w:rsid w:val="00655176"/>
    <w:rsid w:val="006559A1"/>
    <w:rsid w:val="00657785"/>
    <w:rsid w:val="00660886"/>
    <w:rsid w:val="00661D14"/>
    <w:rsid w:val="00661FB2"/>
    <w:rsid w:val="00662B49"/>
    <w:rsid w:val="00663E56"/>
    <w:rsid w:val="00664D79"/>
    <w:rsid w:val="00665238"/>
    <w:rsid w:val="006654F1"/>
    <w:rsid w:val="00665CF0"/>
    <w:rsid w:val="006666DB"/>
    <w:rsid w:val="0066767F"/>
    <w:rsid w:val="00670A7B"/>
    <w:rsid w:val="00670ED1"/>
    <w:rsid w:val="00671674"/>
    <w:rsid w:val="00671CB7"/>
    <w:rsid w:val="00672313"/>
    <w:rsid w:val="00672AFF"/>
    <w:rsid w:val="006732D2"/>
    <w:rsid w:val="00673307"/>
    <w:rsid w:val="0067387C"/>
    <w:rsid w:val="006758AC"/>
    <w:rsid w:val="00675965"/>
    <w:rsid w:val="00675D87"/>
    <w:rsid w:val="00676238"/>
    <w:rsid w:val="00676486"/>
    <w:rsid w:val="006764E3"/>
    <w:rsid w:val="00676527"/>
    <w:rsid w:val="00676FA5"/>
    <w:rsid w:val="0067766B"/>
    <w:rsid w:val="00680804"/>
    <w:rsid w:val="00680B31"/>
    <w:rsid w:val="00680C24"/>
    <w:rsid w:val="0068329B"/>
    <w:rsid w:val="006845B3"/>
    <w:rsid w:val="00685001"/>
    <w:rsid w:val="006857D5"/>
    <w:rsid w:val="00685A6C"/>
    <w:rsid w:val="0068754C"/>
    <w:rsid w:val="00690D15"/>
    <w:rsid w:val="00691D93"/>
    <w:rsid w:val="00692169"/>
    <w:rsid w:val="006923F8"/>
    <w:rsid w:val="00693CB1"/>
    <w:rsid w:val="00694ABD"/>
    <w:rsid w:val="00694B61"/>
    <w:rsid w:val="00697042"/>
    <w:rsid w:val="00697C3B"/>
    <w:rsid w:val="006A04FC"/>
    <w:rsid w:val="006A04FE"/>
    <w:rsid w:val="006A349A"/>
    <w:rsid w:val="006A37D7"/>
    <w:rsid w:val="006A3A00"/>
    <w:rsid w:val="006A419A"/>
    <w:rsid w:val="006A50C9"/>
    <w:rsid w:val="006A56D4"/>
    <w:rsid w:val="006A578C"/>
    <w:rsid w:val="006A5C31"/>
    <w:rsid w:val="006A5D30"/>
    <w:rsid w:val="006A62EF"/>
    <w:rsid w:val="006A6B8F"/>
    <w:rsid w:val="006A74FD"/>
    <w:rsid w:val="006B043E"/>
    <w:rsid w:val="006B1178"/>
    <w:rsid w:val="006B17A9"/>
    <w:rsid w:val="006B2762"/>
    <w:rsid w:val="006B2E15"/>
    <w:rsid w:val="006B3AD4"/>
    <w:rsid w:val="006B40DA"/>
    <w:rsid w:val="006B504C"/>
    <w:rsid w:val="006B5D88"/>
    <w:rsid w:val="006B5FA2"/>
    <w:rsid w:val="006B631E"/>
    <w:rsid w:val="006B63F3"/>
    <w:rsid w:val="006B78C8"/>
    <w:rsid w:val="006B7C83"/>
    <w:rsid w:val="006C0BE3"/>
    <w:rsid w:val="006C0FB3"/>
    <w:rsid w:val="006C13ED"/>
    <w:rsid w:val="006C1C09"/>
    <w:rsid w:val="006C2163"/>
    <w:rsid w:val="006C2B87"/>
    <w:rsid w:val="006C6D0C"/>
    <w:rsid w:val="006C7577"/>
    <w:rsid w:val="006D09F5"/>
    <w:rsid w:val="006D0DC7"/>
    <w:rsid w:val="006D1F2A"/>
    <w:rsid w:val="006D2B48"/>
    <w:rsid w:val="006D2C7A"/>
    <w:rsid w:val="006D3738"/>
    <w:rsid w:val="006D55D6"/>
    <w:rsid w:val="006D5760"/>
    <w:rsid w:val="006D7694"/>
    <w:rsid w:val="006D7961"/>
    <w:rsid w:val="006D7AC3"/>
    <w:rsid w:val="006E1694"/>
    <w:rsid w:val="006E1B90"/>
    <w:rsid w:val="006E285C"/>
    <w:rsid w:val="006E33D3"/>
    <w:rsid w:val="006E3598"/>
    <w:rsid w:val="006E35EA"/>
    <w:rsid w:val="006E3F9A"/>
    <w:rsid w:val="006E4060"/>
    <w:rsid w:val="006E4216"/>
    <w:rsid w:val="006E4EB1"/>
    <w:rsid w:val="006E5704"/>
    <w:rsid w:val="006E5DB0"/>
    <w:rsid w:val="006E6195"/>
    <w:rsid w:val="006E790C"/>
    <w:rsid w:val="006E7A0C"/>
    <w:rsid w:val="006F234A"/>
    <w:rsid w:val="006F24B0"/>
    <w:rsid w:val="006F2600"/>
    <w:rsid w:val="006F2B47"/>
    <w:rsid w:val="006F36B6"/>
    <w:rsid w:val="006F3B32"/>
    <w:rsid w:val="006F44EE"/>
    <w:rsid w:val="006F49B4"/>
    <w:rsid w:val="007013EC"/>
    <w:rsid w:val="00701639"/>
    <w:rsid w:val="00701A2F"/>
    <w:rsid w:val="00701C47"/>
    <w:rsid w:val="00701EF0"/>
    <w:rsid w:val="007024BF"/>
    <w:rsid w:val="007028CD"/>
    <w:rsid w:val="007067F8"/>
    <w:rsid w:val="0070704C"/>
    <w:rsid w:val="00707537"/>
    <w:rsid w:val="00712EBE"/>
    <w:rsid w:val="00714313"/>
    <w:rsid w:val="007144AA"/>
    <w:rsid w:val="0071649C"/>
    <w:rsid w:val="007165BB"/>
    <w:rsid w:val="00716A4D"/>
    <w:rsid w:val="00716B99"/>
    <w:rsid w:val="00717DAC"/>
    <w:rsid w:val="0072052C"/>
    <w:rsid w:val="00720BC7"/>
    <w:rsid w:val="00721BC3"/>
    <w:rsid w:val="00721F1A"/>
    <w:rsid w:val="00722237"/>
    <w:rsid w:val="00722928"/>
    <w:rsid w:val="00722D69"/>
    <w:rsid w:val="00724435"/>
    <w:rsid w:val="0072489A"/>
    <w:rsid w:val="00725D93"/>
    <w:rsid w:val="00726354"/>
    <w:rsid w:val="00727770"/>
    <w:rsid w:val="00727A4C"/>
    <w:rsid w:val="00727A9E"/>
    <w:rsid w:val="00731595"/>
    <w:rsid w:val="00731882"/>
    <w:rsid w:val="00731CEC"/>
    <w:rsid w:val="007347AA"/>
    <w:rsid w:val="007352A2"/>
    <w:rsid w:val="00735B6F"/>
    <w:rsid w:val="00735CAB"/>
    <w:rsid w:val="00736A7A"/>
    <w:rsid w:val="0073783F"/>
    <w:rsid w:val="0074013F"/>
    <w:rsid w:val="007419D4"/>
    <w:rsid w:val="00742D4C"/>
    <w:rsid w:val="00743252"/>
    <w:rsid w:val="00743441"/>
    <w:rsid w:val="00743DC0"/>
    <w:rsid w:val="00744492"/>
    <w:rsid w:val="007458DF"/>
    <w:rsid w:val="00745CAD"/>
    <w:rsid w:val="00745DC6"/>
    <w:rsid w:val="00746D40"/>
    <w:rsid w:val="0074729A"/>
    <w:rsid w:val="0074741E"/>
    <w:rsid w:val="00752A4D"/>
    <w:rsid w:val="00752F6C"/>
    <w:rsid w:val="00753F23"/>
    <w:rsid w:val="00755585"/>
    <w:rsid w:val="007575BF"/>
    <w:rsid w:val="0075783C"/>
    <w:rsid w:val="00760148"/>
    <w:rsid w:val="007607C0"/>
    <w:rsid w:val="00762A82"/>
    <w:rsid w:val="00763089"/>
    <w:rsid w:val="007634B3"/>
    <w:rsid w:val="007657B5"/>
    <w:rsid w:val="00765E1D"/>
    <w:rsid w:val="00766CD9"/>
    <w:rsid w:val="00766D71"/>
    <w:rsid w:val="00766E25"/>
    <w:rsid w:val="0076761E"/>
    <w:rsid w:val="00767BF6"/>
    <w:rsid w:val="00770576"/>
    <w:rsid w:val="007715D0"/>
    <w:rsid w:val="0077240B"/>
    <w:rsid w:val="00772938"/>
    <w:rsid w:val="00772A1B"/>
    <w:rsid w:val="0077446C"/>
    <w:rsid w:val="00774DE3"/>
    <w:rsid w:val="00775B35"/>
    <w:rsid w:val="00775D70"/>
    <w:rsid w:val="00775E30"/>
    <w:rsid w:val="007771B9"/>
    <w:rsid w:val="0077760B"/>
    <w:rsid w:val="00777F5F"/>
    <w:rsid w:val="0078043C"/>
    <w:rsid w:val="00780C42"/>
    <w:rsid w:val="00782DDC"/>
    <w:rsid w:val="007836A0"/>
    <w:rsid w:val="0078399A"/>
    <w:rsid w:val="00783DF7"/>
    <w:rsid w:val="00783E08"/>
    <w:rsid w:val="007842E7"/>
    <w:rsid w:val="00784C77"/>
    <w:rsid w:val="007875F2"/>
    <w:rsid w:val="00790DEF"/>
    <w:rsid w:val="0079102F"/>
    <w:rsid w:val="00791AEE"/>
    <w:rsid w:val="00791E2F"/>
    <w:rsid w:val="00791EC0"/>
    <w:rsid w:val="007927A2"/>
    <w:rsid w:val="007928F1"/>
    <w:rsid w:val="00792C93"/>
    <w:rsid w:val="00793EC8"/>
    <w:rsid w:val="007940A4"/>
    <w:rsid w:val="0079437F"/>
    <w:rsid w:val="00794D26"/>
    <w:rsid w:val="0079571F"/>
    <w:rsid w:val="00796BC9"/>
    <w:rsid w:val="007A0580"/>
    <w:rsid w:val="007A1589"/>
    <w:rsid w:val="007A1DA3"/>
    <w:rsid w:val="007A1FBC"/>
    <w:rsid w:val="007A381C"/>
    <w:rsid w:val="007A4810"/>
    <w:rsid w:val="007A6DD0"/>
    <w:rsid w:val="007B0618"/>
    <w:rsid w:val="007B24C2"/>
    <w:rsid w:val="007B258C"/>
    <w:rsid w:val="007B3D1F"/>
    <w:rsid w:val="007B3D49"/>
    <w:rsid w:val="007B3E51"/>
    <w:rsid w:val="007B4CC9"/>
    <w:rsid w:val="007B68F5"/>
    <w:rsid w:val="007B6A22"/>
    <w:rsid w:val="007B797B"/>
    <w:rsid w:val="007C06DB"/>
    <w:rsid w:val="007C0D20"/>
    <w:rsid w:val="007C1861"/>
    <w:rsid w:val="007C1A49"/>
    <w:rsid w:val="007C279A"/>
    <w:rsid w:val="007C3152"/>
    <w:rsid w:val="007C3240"/>
    <w:rsid w:val="007C3B94"/>
    <w:rsid w:val="007C460F"/>
    <w:rsid w:val="007C495E"/>
    <w:rsid w:val="007C592C"/>
    <w:rsid w:val="007C5B4F"/>
    <w:rsid w:val="007C6CA2"/>
    <w:rsid w:val="007D09C4"/>
    <w:rsid w:val="007D12B6"/>
    <w:rsid w:val="007D17F1"/>
    <w:rsid w:val="007D42CF"/>
    <w:rsid w:val="007D42D2"/>
    <w:rsid w:val="007D4FC7"/>
    <w:rsid w:val="007D53EF"/>
    <w:rsid w:val="007D72C0"/>
    <w:rsid w:val="007D7BD4"/>
    <w:rsid w:val="007E15CC"/>
    <w:rsid w:val="007E2343"/>
    <w:rsid w:val="007E25E0"/>
    <w:rsid w:val="007E267C"/>
    <w:rsid w:val="007E2E8C"/>
    <w:rsid w:val="007E3478"/>
    <w:rsid w:val="007E3A43"/>
    <w:rsid w:val="007E44B0"/>
    <w:rsid w:val="007E4DCA"/>
    <w:rsid w:val="007E55EF"/>
    <w:rsid w:val="007E5CF9"/>
    <w:rsid w:val="007E7025"/>
    <w:rsid w:val="007E70FF"/>
    <w:rsid w:val="007F08C4"/>
    <w:rsid w:val="007F38E8"/>
    <w:rsid w:val="007F458F"/>
    <w:rsid w:val="007F4DB3"/>
    <w:rsid w:val="007F4F68"/>
    <w:rsid w:val="007F50E7"/>
    <w:rsid w:val="007F6A0E"/>
    <w:rsid w:val="007F721D"/>
    <w:rsid w:val="008009D5"/>
    <w:rsid w:val="00801423"/>
    <w:rsid w:val="008020F6"/>
    <w:rsid w:val="00803717"/>
    <w:rsid w:val="00803F7B"/>
    <w:rsid w:val="0080421D"/>
    <w:rsid w:val="0080483C"/>
    <w:rsid w:val="008059A1"/>
    <w:rsid w:val="0080657F"/>
    <w:rsid w:val="00810892"/>
    <w:rsid w:val="00810DF6"/>
    <w:rsid w:val="00810F9C"/>
    <w:rsid w:val="008143DE"/>
    <w:rsid w:val="00814B1F"/>
    <w:rsid w:val="00814D8D"/>
    <w:rsid w:val="00815AAC"/>
    <w:rsid w:val="00815B64"/>
    <w:rsid w:val="00816128"/>
    <w:rsid w:val="008166AB"/>
    <w:rsid w:val="00816D1E"/>
    <w:rsid w:val="00817061"/>
    <w:rsid w:val="00817278"/>
    <w:rsid w:val="00821042"/>
    <w:rsid w:val="008220D8"/>
    <w:rsid w:val="0082255A"/>
    <w:rsid w:val="008238E3"/>
    <w:rsid w:val="00823D2C"/>
    <w:rsid w:val="00824524"/>
    <w:rsid w:val="00825603"/>
    <w:rsid w:val="00825718"/>
    <w:rsid w:val="00825989"/>
    <w:rsid w:val="00825D2E"/>
    <w:rsid w:val="00825F92"/>
    <w:rsid w:val="0082696C"/>
    <w:rsid w:val="00826B7A"/>
    <w:rsid w:val="00827A80"/>
    <w:rsid w:val="0083075C"/>
    <w:rsid w:val="00830ED9"/>
    <w:rsid w:val="00831E82"/>
    <w:rsid w:val="008326F3"/>
    <w:rsid w:val="00832A2B"/>
    <w:rsid w:val="0083690B"/>
    <w:rsid w:val="008405FD"/>
    <w:rsid w:val="00840AE4"/>
    <w:rsid w:val="00841679"/>
    <w:rsid w:val="00842702"/>
    <w:rsid w:val="00843AE0"/>
    <w:rsid w:val="00843F99"/>
    <w:rsid w:val="00846C49"/>
    <w:rsid w:val="00847484"/>
    <w:rsid w:val="00847AF9"/>
    <w:rsid w:val="008508E2"/>
    <w:rsid w:val="00850E08"/>
    <w:rsid w:val="008518F8"/>
    <w:rsid w:val="008519B3"/>
    <w:rsid w:val="00852070"/>
    <w:rsid w:val="00852556"/>
    <w:rsid w:val="00852678"/>
    <w:rsid w:val="00853100"/>
    <w:rsid w:val="008534D4"/>
    <w:rsid w:val="008537D8"/>
    <w:rsid w:val="00853F0A"/>
    <w:rsid w:val="008549CB"/>
    <w:rsid w:val="008549E4"/>
    <w:rsid w:val="00855DBA"/>
    <w:rsid w:val="008566A9"/>
    <w:rsid w:val="0085742C"/>
    <w:rsid w:val="00857659"/>
    <w:rsid w:val="00857B9A"/>
    <w:rsid w:val="00860381"/>
    <w:rsid w:val="00860425"/>
    <w:rsid w:val="00860618"/>
    <w:rsid w:val="00860F26"/>
    <w:rsid w:val="0086185C"/>
    <w:rsid w:val="0086189E"/>
    <w:rsid w:val="008632B6"/>
    <w:rsid w:val="00863B35"/>
    <w:rsid w:val="0086476F"/>
    <w:rsid w:val="00864CE2"/>
    <w:rsid w:val="00865423"/>
    <w:rsid w:val="008664F1"/>
    <w:rsid w:val="00866D47"/>
    <w:rsid w:val="00866F14"/>
    <w:rsid w:val="00867341"/>
    <w:rsid w:val="0087002D"/>
    <w:rsid w:val="008716D0"/>
    <w:rsid w:val="008725FB"/>
    <w:rsid w:val="008731C5"/>
    <w:rsid w:val="00873D8A"/>
    <w:rsid w:val="00873ED3"/>
    <w:rsid w:val="00874387"/>
    <w:rsid w:val="00874D06"/>
    <w:rsid w:val="00874F12"/>
    <w:rsid w:val="008753D2"/>
    <w:rsid w:val="008758E7"/>
    <w:rsid w:val="008759C0"/>
    <w:rsid w:val="00875B8C"/>
    <w:rsid w:val="008763DE"/>
    <w:rsid w:val="008776D9"/>
    <w:rsid w:val="00877834"/>
    <w:rsid w:val="00877A64"/>
    <w:rsid w:val="00877BB8"/>
    <w:rsid w:val="00877D4B"/>
    <w:rsid w:val="00877E6C"/>
    <w:rsid w:val="008813FF"/>
    <w:rsid w:val="008841FD"/>
    <w:rsid w:val="0088423A"/>
    <w:rsid w:val="00884255"/>
    <w:rsid w:val="0088486E"/>
    <w:rsid w:val="0088518C"/>
    <w:rsid w:val="00885303"/>
    <w:rsid w:val="00885309"/>
    <w:rsid w:val="00885705"/>
    <w:rsid w:val="008874A0"/>
    <w:rsid w:val="0089002E"/>
    <w:rsid w:val="00890395"/>
    <w:rsid w:val="00892A6F"/>
    <w:rsid w:val="008930AF"/>
    <w:rsid w:val="008935B6"/>
    <w:rsid w:val="00893EB5"/>
    <w:rsid w:val="00894590"/>
    <w:rsid w:val="008949D1"/>
    <w:rsid w:val="00895839"/>
    <w:rsid w:val="00896A19"/>
    <w:rsid w:val="00896A2A"/>
    <w:rsid w:val="0089707E"/>
    <w:rsid w:val="0089710F"/>
    <w:rsid w:val="00897A1F"/>
    <w:rsid w:val="00897FC2"/>
    <w:rsid w:val="008A0107"/>
    <w:rsid w:val="008A04A3"/>
    <w:rsid w:val="008A05A0"/>
    <w:rsid w:val="008A06C8"/>
    <w:rsid w:val="008A219B"/>
    <w:rsid w:val="008A2259"/>
    <w:rsid w:val="008A2293"/>
    <w:rsid w:val="008A25DB"/>
    <w:rsid w:val="008A2C14"/>
    <w:rsid w:val="008A41EA"/>
    <w:rsid w:val="008A435C"/>
    <w:rsid w:val="008A5138"/>
    <w:rsid w:val="008A59D0"/>
    <w:rsid w:val="008A5D88"/>
    <w:rsid w:val="008A60FF"/>
    <w:rsid w:val="008B133F"/>
    <w:rsid w:val="008B1DCB"/>
    <w:rsid w:val="008B2460"/>
    <w:rsid w:val="008B261B"/>
    <w:rsid w:val="008B26CC"/>
    <w:rsid w:val="008B2E3F"/>
    <w:rsid w:val="008B350B"/>
    <w:rsid w:val="008B4171"/>
    <w:rsid w:val="008B426A"/>
    <w:rsid w:val="008B5B6E"/>
    <w:rsid w:val="008B5CBE"/>
    <w:rsid w:val="008B6246"/>
    <w:rsid w:val="008C111D"/>
    <w:rsid w:val="008C1BD3"/>
    <w:rsid w:val="008C223E"/>
    <w:rsid w:val="008C29F0"/>
    <w:rsid w:val="008C2C02"/>
    <w:rsid w:val="008C2DF8"/>
    <w:rsid w:val="008C314D"/>
    <w:rsid w:val="008C3322"/>
    <w:rsid w:val="008C4357"/>
    <w:rsid w:val="008C45CF"/>
    <w:rsid w:val="008C4A8A"/>
    <w:rsid w:val="008C4BB2"/>
    <w:rsid w:val="008C4E82"/>
    <w:rsid w:val="008C4FD7"/>
    <w:rsid w:val="008C692E"/>
    <w:rsid w:val="008C6D0A"/>
    <w:rsid w:val="008D01ED"/>
    <w:rsid w:val="008D0202"/>
    <w:rsid w:val="008D05EB"/>
    <w:rsid w:val="008D0B6E"/>
    <w:rsid w:val="008D1BEA"/>
    <w:rsid w:val="008D1F86"/>
    <w:rsid w:val="008D2510"/>
    <w:rsid w:val="008D3C2E"/>
    <w:rsid w:val="008D40DE"/>
    <w:rsid w:val="008D4631"/>
    <w:rsid w:val="008D5AAD"/>
    <w:rsid w:val="008D62E6"/>
    <w:rsid w:val="008D62F3"/>
    <w:rsid w:val="008D7329"/>
    <w:rsid w:val="008D7C37"/>
    <w:rsid w:val="008E0F79"/>
    <w:rsid w:val="008E156C"/>
    <w:rsid w:val="008E26C3"/>
    <w:rsid w:val="008E2BAB"/>
    <w:rsid w:val="008E39BC"/>
    <w:rsid w:val="008E3C3D"/>
    <w:rsid w:val="008E45F6"/>
    <w:rsid w:val="008E537A"/>
    <w:rsid w:val="008E53BC"/>
    <w:rsid w:val="008E5C88"/>
    <w:rsid w:val="008E5CF8"/>
    <w:rsid w:val="008E613E"/>
    <w:rsid w:val="008E6409"/>
    <w:rsid w:val="008E6470"/>
    <w:rsid w:val="008E6CD5"/>
    <w:rsid w:val="008E795B"/>
    <w:rsid w:val="008F058F"/>
    <w:rsid w:val="008F063B"/>
    <w:rsid w:val="008F1508"/>
    <w:rsid w:val="008F1D88"/>
    <w:rsid w:val="008F3CB5"/>
    <w:rsid w:val="008F4182"/>
    <w:rsid w:val="008F4371"/>
    <w:rsid w:val="008F5258"/>
    <w:rsid w:val="008F5C56"/>
    <w:rsid w:val="008F61E7"/>
    <w:rsid w:val="008F6B1E"/>
    <w:rsid w:val="008F6B35"/>
    <w:rsid w:val="008F6B64"/>
    <w:rsid w:val="0090089C"/>
    <w:rsid w:val="00901DE7"/>
    <w:rsid w:val="00902197"/>
    <w:rsid w:val="00904590"/>
    <w:rsid w:val="0090558E"/>
    <w:rsid w:val="009056F0"/>
    <w:rsid w:val="00906CA0"/>
    <w:rsid w:val="009076A4"/>
    <w:rsid w:val="00907BC6"/>
    <w:rsid w:val="00910D3D"/>
    <w:rsid w:val="00910E31"/>
    <w:rsid w:val="0091194F"/>
    <w:rsid w:val="00912326"/>
    <w:rsid w:val="009139CF"/>
    <w:rsid w:val="00914415"/>
    <w:rsid w:val="009149AB"/>
    <w:rsid w:val="009158AA"/>
    <w:rsid w:val="00915E23"/>
    <w:rsid w:val="00916404"/>
    <w:rsid w:val="009167DF"/>
    <w:rsid w:val="00917169"/>
    <w:rsid w:val="009174F7"/>
    <w:rsid w:val="00917E75"/>
    <w:rsid w:val="0092024A"/>
    <w:rsid w:val="00921381"/>
    <w:rsid w:val="00921689"/>
    <w:rsid w:val="009217C6"/>
    <w:rsid w:val="009226D1"/>
    <w:rsid w:val="00922888"/>
    <w:rsid w:val="009234EA"/>
    <w:rsid w:val="00923539"/>
    <w:rsid w:val="0092363B"/>
    <w:rsid w:val="00924482"/>
    <w:rsid w:val="00924E22"/>
    <w:rsid w:val="009250C8"/>
    <w:rsid w:val="0092567C"/>
    <w:rsid w:val="009257C5"/>
    <w:rsid w:val="00926C5C"/>
    <w:rsid w:val="00927135"/>
    <w:rsid w:val="009311E6"/>
    <w:rsid w:val="00931EB7"/>
    <w:rsid w:val="00932BE9"/>
    <w:rsid w:val="00932D32"/>
    <w:rsid w:val="009331D1"/>
    <w:rsid w:val="009332C9"/>
    <w:rsid w:val="0093398A"/>
    <w:rsid w:val="00933FC7"/>
    <w:rsid w:val="0093427E"/>
    <w:rsid w:val="00934782"/>
    <w:rsid w:val="009351A8"/>
    <w:rsid w:val="00935E0F"/>
    <w:rsid w:val="00936360"/>
    <w:rsid w:val="00936387"/>
    <w:rsid w:val="00936C46"/>
    <w:rsid w:val="0093789A"/>
    <w:rsid w:val="00940DB9"/>
    <w:rsid w:val="00940ED1"/>
    <w:rsid w:val="0094124F"/>
    <w:rsid w:val="0094204D"/>
    <w:rsid w:val="0094218C"/>
    <w:rsid w:val="00942490"/>
    <w:rsid w:val="0094359C"/>
    <w:rsid w:val="00943665"/>
    <w:rsid w:val="0094368E"/>
    <w:rsid w:val="009440E6"/>
    <w:rsid w:val="0094440D"/>
    <w:rsid w:val="00945EAB"/>
    <w:rsid w:val="00946C09"/>
    <w:rsid w:val="009478DC"/>
    <w:rsid w:val="009505E4"/>
    <w:rsid w:val="00951962"/>
    <w:rsid w:val="00951E1D"/>
    <w:rsid w:val="00952039"/>
    <w:rsid w:val="009522BD"/>
    <w:rsid w:val="00953123"/>
    <w:rsid w:val="0095444A"/>
    <w:rsid w:val="0095486F"/>
    <w:rsid w:val="00954B6A"/>
    <w:rsid w:val="009557BA"/>
    <w:rsid w:val="00957CE2"/>
    <w:rsid w:val="00960451"/>
    <w:rsid w:val="00961725"/>
    <w:rsid w:val="00962E6A"/>
    <w:rsid w:val="009631DC"/>
    <w:rsid w:val="00963446"/>
    <w:rsid w:val="00964135"/>
    <w:rsid w:val="0096585C"/>
    <w:rsid w:val="00965931"/>
    <w:rsid w:val="00966002"/>
    <w:rsid w:val="0096649D"/>
    <w:rsid w:val="009665E4"/>
    <w:rsid w:val="00970B92"/>
    <w:rsid w:val="00973035"/>
    <w:rsid w:val="009732A2"/>
    <w:rsid w:val="0097433E"/>
    <w:rsid w:val="009752C8"/>
    <w:rsid w:val="0097644B"/>
    <w:rsid w:val="00976AD9"/>
    <w:rsid w:val="00977146"/>
    <w:rsid w:val="009776DD"/>
    <w:rsid w:val="009779CF"/>
    <w:rsid w:val="0098075C"/>
    <w:rsid w:val="0098125F"/>
    <w:rsid w:val="0098187E"/>
    <w:rsid w:val="009839E5"/>
    <w:rsid w:val="009845B7"/>
    <w:rsid w:val="00984B34"/>
    <w:rsid w:val="009867C6"/>
    <w:rsid w:val="00986A00"/>
    <w:rsid w:val="00986ADB"/>
    <w:rsid w:val="00986BC6"/>
    <w:rsid w:val="00986C04"/>
    <w:rsid w:val="009873E8"/>
    <w:rsid w:val="0099032D"/>
    <w:rsid w:val="00990732"/>
    <w:rsid w:val="00990954"/>
    <w:rsid w:val="00990AE9"/>
    <w:rsid w:val="0099204A"/>
    <w:rsid w:val="00992352"/>
    <w:rsid w:val="00994C87"/>
    <w:rsid w:val="009952D3"/>
    <w:rsid w:val="0099573D"/>
    <w:rsid w:val="00996E3D"/>
    <w:rsid w:val="00997048"/>
    <w:rsid w:val="009A0071"/>
    <w:rsid w:val="009A009B"/>
    <w:rsid w:val="009A01B1"/>
    <w:rsid w:val="009A0D5E"/>
    <w:rsid w:val="009A1CA6"/>
    <w:rsid w:val="009A22C5"/>
    <w:rsid w:val="009A316B"/>
    <w:rsid w:val="009A3E1F"/>
    <w:rsid w:val="009A4072"/>
    <w:rsid w:val="009A44B0"/>
    <w:rsid w:val="009A63D5"/>
    <w:rsid w:val="009A6E00"/>
    <w:rsid w:val="009A746D"/>
    <w:rsid w:val="009A7653"/>
    <w:rsid w:val="009A7732"/>
    <w:rsid w:val="009B14FF"/>
    <w:rsid w:val="009B2B48"/>
    <w:rsid w:val="009B60D0"/>
    <w:rsid w:val="009C0638"/>
    <w:rsid w:val="009C0A00"/>
    <w:rsid w:val="009C0A9F"/>
    <w:rsid w:val="009C12F7"/>
    <w:rsid w:val="009C14BD"/>
    <w:rsid w:val="009C1590"/>
    <w:rsid w:val="009C2228"/>
    <w:rsid w:val="009C3D94"/>
    <w:rsid w:val="009C6097"/>
    <w:rsid w:val="009C748D"/>
    <w:rsid w:val="009C7C37"/>
    <w:rsid w:val="009D0662"/>
    <w:rsid w:val="009D11EF"/>
    <w:rsid w:val="009D1E30"/>
    <w:rsid w:val="009D3196"/>
    <w:rsid w:val="009D346F"/>
    <w:rsid w:val="009D5270"/>
    <w:rsid w:val="009D67A2"/>
    <w:rsid w:val="009D6B56"/>
    <w:rsid w:val="009D713E"/>
    <w:rsid w:val="009E0421"/>
    <w:rsid w:val="009E13D6"/>
    <w:rsid w:val="009E1998"/>
    <w:rsid w:val="009E1AE2"/>
    <w:rsid w:val="009E283E"/>
    <w:rsid w:val="009E3014"/>
    <w:rsid w:val="009E4091"/>
    <w:rsid w:val="009E40BE"/>
    <w:rsid w:val="009E4159"/>
    <w:rsid w:val="009E45E1"/>
    <w:rsid w:val="009E4904"/>
    <w:rsid w:val="009E5103"/>
    <w:rsid w:val="009E5545"/>
    <w:rsid w:val="009E6429"/>
    <w:rsid w:val="009E65E3"/>
    <w:rsid w:val="009E7270"/>
    <w:rsid w:val="009E7E93"/>
    <w:rsid w:val="009F2141"/>
    <w:rsid w:val="009F2DE2"/>
    <w:rsid w:val="009F3CC5"/>
    <w:rsid w:val="009F3CF1"/>
    <w:rsid w:val="009F497C"/>
    <w:rsid w:val="009F4BB4"/>
    <w:rsid w:val="009F7145"/>
    <w:rsid w:val="009F76A9"/>
    <w:rsid w:val="009F7C0D"/>
    <w:rsid w:val="009F7F4B"/>
    <w:rsid w:val="00A00BEE"/>
    <w:rsid w:val="00A00C49"/>
    <w:rsid w:val="00A00F34"/>
    <w:rsid w:val="00A010CD"/>
    <w:rsid w:val="00A01188"/>
    <w:rsid w:val="00A01653"/>
    <w:rsid w:val="00A01A71"/>
    <w:rsid w:val="00A04508"/>
    <w:rsid w:val="00A04A9A"/>
    <w:rsid w:val="00A05005"/>
    <w:rsid w:val="00A05A8E"/>
    <w:rsid w:val="00A10530"/>
    <w:rsid w:val="00A10B43"/>
    <w:rsid w:val="00A11069"/>
    <w:rsid w:val="00A125CB"/>
    <w:rsid w:val="00A1266A"/>
    <w:rsid w:val="00A127B0"/>
    <w:rsid w:val="00A16260"/>
    <w:rsid w:val="00A174D6"/>
    <w:rsid w:val="00A220A6"/>
    <w:rsid w:val="00A22296"/>
    <w:rsid w:val="00A227D4"/>
    <w:rsid w:val="00A23476"/>
    <w:rsid w:val="00A24978"/>
    <w:rsid w:val="00A25C22"/>
    <w:rsid w:val="00A31711"/>
    <w:rsid w:val="00A31E00"/>
    <w:rsid w:val="00A33E8A"/>
    <w:rsid w:val="00A3478A"/>
    <w:rsid w:val="00A350D9"/>
    <w:rsid w:val="00A36A36"/>
    <w:rsid w:val="00A372A2"/>
    <w:rsid w:val="00A37729"/>
    <w:rsid w:val="00A41347"/>
    <w:rsid w:val="00A416D2"/>
    <w:rsid w:val="00A42231"/>
    <w:rsid w:val="00A4272B"/>
    <w:rsid w:val="00A42D66"/>
    <w:rsid w:val="00A44D88"/>
    <w:rsid w:val="00A44FB3"/>
    <w:rsid w:val="00A4553F"/>
    <w:rsid w:val="00A45CCA"/>
    <w:rsid w:val="00A4642D"/>
    <w:rsid w:val="00A474E3"/>
    <w:rsid w:val="00A4787C"/>
    <w:rsid w:val="00A5046A"/>
    <w:rsid w:val="00A51644"/>
    <w:rsid w:val="00A51B31"/>
    <w:rsid w:val="00A51CBD"/>
    <w:rsid w:val="00A51F0A"/>
    <w:rsid w:val="00A5269C"/>
    <w:rsid w:val="00A535BA"/>
    <w:rsid w:val="00A539E0"/>
    <w:rsid w:val="00A54391"/>
    <w:rsid w:val="00A54769"/>
    <w:rsid w:val="00A56434"/>
    <w:rsid w:val="00A5650A"/>
    <w:rsid w:val="00A56723"/>
    <w:rsid w:val="00A56D35"/>
    <w:rsid w:val="00A60BA1"/>
    <w:rsid w:val="00A611EC"/>
    <w:rsid w:val="00A614C7"/>
    <w:rsid w:val="00A61E22"/>
    <w:rsid w:val="00A6208F"/>
    <w:rsid w:val="00A62B73"/>
    <w:rsid w:val="00A63A34"/>
    <w:rsid w:val="00A6444C"/>
    <w:rsid w:val="00A65D01"/>
    <w:rsid w:val="00A664A7"/>
    <w:rsid w:val="00A66CC2"/>
    <w:rsid w:val="00A66EC5"/>
    <w:rsid w:val="00A709C1"/>
    <w:rsid w:val="00A71F2E"/>
    <w:rsid w:val="00A724BB"/>
    <w:rsid w:val="00A73C51"/>
    <w:rsid w:val="00A75868"/>
    <w:rsid w:val="00A7597D"/>
    <w:rsid w:val="00A771BB"/>
    <w:rsid w:val="00A772A7"/>
    <w:rsid w:val="00A80A5D"/>
    <w:rsid w:val="00A80DDE"/>
    <w:rsid w:val="00A811D7"/>
    <w:rsid w:val="00A81997"/>
    <w:rsid w:val="00A828F5"/>
    <w:rsid w:val="00A82C49"/>
    <w:rsid w:val="00A831E6"/>
    <w:rsid w:val="00A83BF6"/>
    <w:rsid w:val="00A844B9"/>
    <w:rsid w:val="00A84919"/>
    <w:rsid w:val="00A863DA"/>
    <w:rsid w:val="00A87D44"/>
    <w:rsid w:val="00A90583"/>
    <w:rsid w:val="00A90EA6"/>
    <w:rsid w:val="00A918C4"/>
    <w:rsid w:val="00A91A73"/>
    <w:rsid w:val="00A92C8B"/>
    <w:rsid w:val="00A92FD8"/>
    <w:rsid w:val="00A93DA6"/>
    <w:rsid w:val="00A941CA"/>
    <w:rsid w:val="00A96C5D"/>
    <w:rsid w:val="00A97152"/>
    <w:rsid w:val="00A97806"/>
    <w:rsid w:val="00A97C4B"/>
    <w:rsid w:val="00AA09BC"/>
    <w:rsid w:val="00AA3137"/>
    <w:rsid w:val="00AB07D4"/>
    <w:rsid w:val="00AB23A9"/>
    <w:rsid w:val="00AB26E8"/>
    <w:rsid w:val="00AB2AB8"/>
    <w:rsid w:val="00AB2BD1"/>
    <w:rsid w:val="00AB2E98"/>
    <w:rsid w:val="00AB4C45"/>
    <w:rsid w:val="00AB52EE"/>
    <w:rsid w:val="00AB6C13"/>
    <w:rsid w:val="00AB71E1"/>
    <w:rsid w:val="00AB74AD"/>
    <w:rsid w:val="00AB7E76"/>
    <w:rsid w:val="00AC0B7E"/>
    <w:rsid w:val="00AC1F59"/>
    <w:rsid w:val="00AC2722"/>
    <w:rsid w:val="00AC33AB"/>
    <w:rsid w:val="00AC4947"/>
    <w:rsid w:val="00AC62E2"/>
    <w:rsid w:val="00AC6675"/>
    <w:rsid w:val="00AC691E"/>
    <w:rsid w:val="00AD04F5"/>
    <w:rsid w:val="00AD0D72"/>
    <w:rsid w:val="00AD190A"/>
    <w:rsid w:val="00AD209B"/>
    <w:rsid w:val="00AD21B5"/>
    <w:rsid w:val="00AD28BD"/>
    <w:rsid w:val="00AD31F0"/>
    <w:rsid w:val="00AD31F5"/>
    <w:rsid w:val="00AD345C"/>
    <w:rsid w:val="00AD3CAA"/>
    <w:rsid w:val="00AD3E31"/>
    <w:rsid w:val="00AD463F"/>
    <w:rsid w:val="00AD48DD"/>
    <w:rsid w:val="00AD4F09"/>
    <w:rsid w:val="00AD549C"/>
    <w:rsid w:val="00AD5F18"/>
    <w:rsid w:val="00AD74DF"/>
    <w:rsid w:val="00AD7C0E"/>
    <w:rsid w:val="00AD7D82"/>
    <w:rsid w:val="00AE087B"/>
    <w:rsid w:val="00AE14CF"/>
    <w:rsid w:val="00AE2E47"/>
    <w:rsid w:val="00AE328A"/>
    <w:rsid w:val="00AE4FAC"/>
    <w:rsid w:val="00AE6DD3"/>
    <w:rsid w:val="00AE7896"/>
    <w:rsid w:val="00AF04CA"/>
    <w:rsid w:val="00AF3AF2"/>
    <w:rsid w:val="00AF42DB"/>
    <w:rsid w:val="00AF4946"/>
    <w:rsid w:val="00AF5EE5"/>
    <w:rsid w:val="00AF6832"/>
    <w:rsid w:val="00AF7BBA"/>
    <w:rsid w:val="00B0062C"/>
    <w:rsid w:val="00B00937"/>
    <w:rsid w:val="00B00FAF"/>
    <w:rsid w:val="00B01110"/>
    <w:rsid w:val="00B01813"/>
    <w:rsid w:val="00B02791"/>
    <w:rsid w:val="00B0452F"/>
    <w:rsid w:val="00B04782"/>
    <w:rsid w:val="00B04C1D"/>
    <w:rsid w:val="00B05A5A"/>
    <w:rsid w:val="00B069C0"/>
    <w:rsid w:val="00B06F27"/>
    <w:rsid w:val="00B072F0"/>
    <w:rsid w:val="00B0774C"/>
    <w:rsid w:val="00B1008C"/>
    <w:rsid w:val="00B10157"/>
    <w:rsid w:val="00B11270"/>
    <w:rsid w:val="00B118F5"/>
    <w:rsid w:val="00B11A3B"/>
    <w:rsid w:val="00B16ADD"/>
    <w:rsid w:val="00B16F33"/>
    <w:rsid w:val="00B22ACC"/>
    <w:rsid w:val="00B22F03"/>
    <w:rsid w:val="00B22F96"/>
    <w:rsid w:val="00B240D8"/>
    <w:rsid w:val="00B2437C"/>
    <w:rsid w:val="00B2566F"/>
    <w:rsid w:val="00B25B81"/>
    <w:rsid w:val="00B25C89"/>
    <w:rsid w:val="00B260EF"/>
    <w:rsid w:val="00B2641B"/>
    <w:rsid w:val="00B27569"/>
    <w:rsid w:val="00B30005"/>
    <w:rsid w:val="00B302CC"/>
    <w:rsid w:val="00B3083A"/>
    <w:rsid w:val="00B30F6A"/>
    <w:rsid w:val="00B31FC4"/>
    <w:rsid w:val="00B32654"/>
    <w:rsid w:val="00B32907"/>
    <w:rsid w:val="00B341EF"/>
    <w:rsid w:val="00B3498A"/>
    <w:rsid w:val="00B3596D"/>
    <w:rsid w:val="00B3666E"/>
    <w:rsid w:val="00B409F8"/>
    <w:rsid w:val="00B41035"/>
    <w:rsid w:val="00B4303F"/>
    <w:rsid w:val="00B43A38"/>
    <w:rsid w:val="00B4449C"/>
    <w:rsid w:val="00B445E9"/>
    <w:rsid w:val="00B45009"/>
    <w:rsid w:val="00B4548B"/>
    <w:rsid w:val="00B454F4"/>
    <w:rsid w:val="00B504F8"/>
    <w:rsid w:val="00B50EF6"/>
    <w:rsid w:val="00B51276"/>
    <w:rsid w:val="00B525E6"/>
    <w:rsid w:val="00B52C8F"/>
    <w:rsid w:val="00B52DE5"/>
    <w:rsid w:val="00B53498"/>
    <w:rsid w:val="00B54148"/>
    <w:rsid w:val="00B54E5E"/>
    <w:rsid w:val="00B5595F"/>
    <w:rsid w:val="00B55D86"/>
    <w:rsid w:val="00B56871"/>
    <w:rsid w:val="00B5760C"/>
    <w:rsid w:val="00B57991"/>
    <w:rsid w:val="00B60363"/>
    <w:rsid w:val="00B608B2"/>
    <w:rsid w:val="00B613EE"/>
    <w:rsid w:val="00B62C0C"/>
    <w:rsid w:val="00B63136"/>
    <w:rsid w:val="00B64615"/>
    <w:rsid w:val="00B66EE8"/>
    <w:rsid w:val="00B6772B"/>
    <w:rsid w:val="00B67A2A"/>
    <w:rsid w:val="00B67DB8"/>
    <w:rsid w:val="00B701F9"/>
    <w:rsid w:val="00B70407"/>
    <w:rsid w:val="00B707D7"/>
    <w:rsid w:val="00B70CC8"/>
    <w:rsid w:val="00B72185"/>
    <w:rsid w:val="00B724B4"/>
    <w:rsid w:val="00B726CC"/>
    <w:rsid w:val="00B732F4"/>
    <w:rsid w:val="00B73A52"/>
    <w:rsid w:val="00B73E29"/>
    <w:rsid w:val="00B75353"/>
    <w:rsid w:val="00B75DF3"/>
    <w:rsid w:val="00B75F65"/>
    <w:rsid w:val="00B766A1"/>
    <w:rsid w:val="00B77822"/>
    <w:rsid w:val="00B77FDB"/>
    <w:rsid w:val="00B803FD"/>
    <w:rsid w:val="00B811C0"/>
    <w:rsid w:val="00B8353C"/>
    <w:rsid w:val="00B84736"/>
    <w:rsid w:val="00B85AFB"/>
    <w:rsid w:val="00B8697E"/>
    <w:rsid w:val="00B90189"/>
    <w:rsid w:val="00B902B4"/>
    <w:rsid w:val="00B90B1F"/>
    <w:rsid w:val="00B92B30"/>
    <w:rsid w:val="00B93943"/>
    <w:rsid w:val="00B948C2"/>
    <w:rsid w:val="00B94E50"/>
    <w:rsid w:val="00B95673"/>
    <w:rsid w:val="00B95C24"/>
    <w:rsid w:val="00B9699C"/>
    <w:rsid w:val="00B97F8B"/>
    <w:rsid w:val="00BA010D"/>
    <w:rsid w:val="00BA03BA"/>
    <w:rsid w:val="00BA0B16"/>
    <w:rsid w:val="00BA0BF3"/>
    <w:rsid w:val="00BA1F1F"/>
    <w:rsid w:val="00BA2950"/>
    <w:rsid w:val="00BA30EB"/>
    <w:rsid w:val="00BA4599"/>
    <w:rsid w:val="00BA48CC"/>
    <w:rsid w:val="00BA4A89"/>
    <w:rsid w:val="00BA540C"/>
    <w:rsid w:val="00BA5FB5"/>
    <w:rsid w:val="00BA70F4"/>
    <w:rsid w:val="00BA7DD3"/>
    <w:rsid w:val="00BB14AE"/>
    <w:rsid w:val="00BB19E2"/>
    <w:rsid w:val="00BB1D59"/>
    <w:rsid w:val="00BB294A"/>
    <w:rsid w:val="00BB2AE3"/>
    <w:rsid w:val="00BB3678"/>
    <w:rsid w:val="00BB441A"/>
    <w:rsid w:val="00BB4B3C"/>
    <w:rsid w:val="00BB67C3"/>
    <w:rsid w:val="00BB6F41"/>
    <w:rsid w:val="00BB704A"/>
    <w:rsid w:val="00BB71CB"/>
    <w:rsid w:val="00BB76C7"/>
    <w:rsid w:val="00BC1A4C"/>
    <w:rsid w:val="00BC1D2C"/>
    <w:rsid w:val="00BC2730"/>
    <w:rsid w:val="00BC2870"/>
    <w:rsid w:val="00BC2D99"/>
    <w:rsid w:val="00BC364C"/>
    <w:rsid w:val="00BC521A"/>
    <w:rsid w:val="00BC553E"/>
    <w:rsid w:val="00BC5CFD"/>
    <w:rsid w:val="00BC5FF5"/>
    <w:rsid w:val="00BC610C"/>
    <w:rsid w:val="00BC6137"/>
    <w:rsid w:val="00BC6A21"/>
    <w:rsid w:val="00BD0655"/>
    <w:rsid w:val="00BD0BE1"/>
    <w:rsid w:val="00BD1AC3"/>
    <w:rsid w:val="00BD261E"/>
    <w:rsid w:val="00BD32A2"/>
    <w:rsid w:val="00BD35BB"/>
    <w:rsid w:val="00BD45E4"/>
    <w:rsid w:val="00BD4E06"/>
    <w:rsid w:val="00BD5274"/>
    <w:rsid w:val="00BD5D50"/>
    <w:rsid w:val="00BD679F"/>
    <w:rsid w:val="00BD749C"/>
    <w:rsid w:val="00BE04A0"/>
    <w:rsid w:val="00BE0718"/>
    <w:rsid w:val="00BE0B1C"/>
    <w:rsid w:val="00BE1277"/>
    <w:rsid w:val="00BE139B"/>
    <w:rsid w:val="00BE3681"/>
    <w:rsid w:val="00BE3DD5"/>
    <w:rsid w:val="00BE4C53"/>
    <w:rsid w:val="00BE6273"/>
    <w:rsid w:val="00BF1006"/>
    <w:rsid w:val="00BF10CA"/>
    <w:rsid w:val="00BF119D"/>
    <w:rsid w:val="00BF12D4"/>
    <w:rsid w:val="00BF1E6B"/>
    <w:rsid w:val="00BF20DF"/>
    <w:rsid w:val="00BF2250"/>
    <w:rsid w:val="00BF2B41"/>
    <w:rsid w:val="00BF4804"/>
    <w:rsid w:val="00BF52D0"/>
    <w:rsid w:val="00BF5982"/>
    <w:rsid w:val="00C01389"/>
    <w:rsid w:val="00C0258E"/>
    <w:rsid w:val="00C060EA"/>
    <w:rsid w:val="00C062FE"/>
    <w:rsid w:val="00C0708C"/>
    <w:rsid w:val="00C0792F"/>
    <w:rsid w:val="00C100AA"/>
    <w:rsid w:val="00C10A35"/>
    <w:rsid w:val="00C10B12"/>
    <w:rsid w:val="00C11872"/>
    <w:rsid w:val="00C12AF8"/>
    <w:rsid w:val="00C13070"/>
    <w:rsid w:val="00C143E8"/>
    <w:rsid w:val="00C147A5"/>
    <w:rsid w:val="00C15482"/>
    <w:rsid w:val="00C15566"/>
    <w:rsid w:val="00C16FD5"/>
    <w:rsid w:val="00C172AA"/>
    <w:rsid w:val="00C209BA"/>
    <w:rsid w:val="00C21703"/>
    <w:rsid w:val="00C23490"/>
    <w:rsid w:val="00C23661"/>
    <w:rsid w:val="00C23952"/>
    <w:rsid w:val="00C23D82"/>
    <w:rsid w:val="00C248D2"/>
    <w:rsid w:val="00C25406"/>
    <w:rsid w:val="00C25CFD"/>
    <w:rsid w:val="00C27839"/>
    <w:rsid w:val="00C27F7F"/>
    <w:rsid w:val="00C31B7A"/>
    <w:rsid w:val="00C32379"/>
    <w:rsid w:val="00C324BF"/>
    <w:rsid w:val="00C327D6"/>
    <w:rsid w:val="00C32D8C"/>
    <w:rsid w:val="00C33121"/>
    <w:rsid w:val="00C334AF"/>
    <w:rsid w:val="00C339AE"/>
    <w:rsid w:val="00C33B1A"/>
    <w:rsid w:val="00C33E70"/>
    <w:rsid w:val="00C34164"/>
    <w:rsid w:val="00C34442"/>
    <w:rsid w:val="00C34F76"/>
    <w:rsid w:val="00C3582E"/>
    <w:rsid w:val="00C36103"/>
    <w:rsid w:val="00C36742"/>
    <w:rsid w:val="00C36857"/>
    <w:rsid w:val="00C36EF4"/>
    <w:rsid w:val="00C36F4B"/>
    <w:rsid w:val="00C37EDA"/>
    <w:rsid w:val="00C40080"/>
    <w:rsid w:val="00C40CEF"/>
    <w:rsid w:val="00C41313"/>
    <w:rsid w:val="00C433BE"/>
    <w:rsid w:val="00C441AE"/>
    <w:rsid w:val="00C44ADE"/>
    <w:rsid w:val="00C455D1"/>
    <w:rsid w:val="00C46DF8"/>
    <w:rsid w:val="00C50008"/>
    <w:rsid w:val="00C501FD"/>
    <w:rsid w:val="00C51ECF"/>
    <w:rsid w:val="00C535AF"/>
    <w:rsid w:val="00C538AD"/>
    <w:rsid w:val="00C53A22"/>
    <w:rsid w:val="00C53C58"/>
    <w:rsid w:val="00C53F16"/>
    <w:rsid w:val="00C54385"/>
    <w:rsid w:val="00C548B3"/>
    <w:rsid w:val="00C555B6"/>
    <w:rsid w:val="00C55609"/>
    <w:rsid w:val="00C55D37"/>
    <w:rsid w:val="00C56D5B"/>
    <w:rsid w:val="00C56E33"/>
    <w:rsid w:val="00C57F06"/>
    <w:rsid w:val="00C60230"/>
    <w:rsid w:val="00C604D6"/>
    <w:rsid w:val="00C60F76"/>
    <w:rsid w:val="00C6105E"/>
    <w:rsid w:val="00C61863"/>
    <w:rsid w:val="00C61D59"/>
    <w:rsid w:val="00C625B8"/>
    <w:rsid w:val="00C625DA"/>
    <w:rsid w:val="00C6270E"/>
    <w:rsid w:val="00C63601"/>
    <w:rsid w:val="00C63B79"/>
    <w:rsid w:val="00C6440D"/>
    <w:rsid w:val="00C65383"/>
    <w:rsid w:val="00C6547F"/>
    <w:rsid w:val="00C65A6F"/>
    <w:rsid w:val="00C67C98"/>
    <w:rsid w:val="00C72FD2"/>
    <w:rsid w:val="00C73013"/>
    <w:rsid w:val="00C730F3"/>
    <w:rsid w:val="00C7312D"/>
    <w:rsid w:val="00C7314D"/>
    <w:rsid w:val="00C7476A"/>
    <w:rsid w:val="00C753B8"/>
    <w:rsid w:val="00C75B20"/>
    <w:rsid w:val="00C75F2B"/>
    <w:rsid w:val="00C76E00"/>
    <w:rsid w:val="00C778B2"/>
    <w:rsid w:val="00C80230"/>
    <w:rsid w:val="00C80BD1"/>
    <w:rsid w:val="00C80D81"/>
    <w:rsid w:val="00C814C9"/>
    <w:rsid w:val="00C829A3"/>
    <w:rsid w:val="00C83246"/>
    <w:rsid w:val="00C850D6"/>
    <w:rsid w:val="00C852CB"/>
    <w:rsid w:val="00C860E0"/>
    <w:rsid w:val="00C86603"/>
    <w:rsid w:val="00C87F3D"/>
    <w:rsid w:val="00C91A8D"/>
    <w:rsid w:val="00C93608"/>
    <w:rsid w:val="00C93B55"/>
    <w:rsid w:val="00C944CB"/>
    <w:rsid w:val="00C95254"/>
    <w:rsid w:val="00C954C3"/>
    <w:rsid w:val="00C95DEF"/>
    <w:rsid w:val="00C9744A"/>
    <w:rsid w:val="00C97EA6"/>
    <w:rsid w:val="00CA021F"/>
    <w:rsid w:val="00CA0436"/>
    <w:rsid w:val="00CA0B94"/>
    <w:rsid w:val="00CA1859"/>
    <w:rsid w:val="00CA3BAE"/>
    <w:rsid w:val="00CA3E31"/>
    <w:rsid w:val="00CA577F"/>
    <w:rsid w:val="00CA5D8E"/>
    <w:rsid w:val="00CA603A"/>
    <w:rsid w:val="00CA62C6"/>
    <w:rsid w:val="00CA6808"/>
    <w:rsid w:val="00CB068B"/>
    <w:rsid w:val="00CB08C2"/>
    <w:rsid w:val="00CB1499"/>
    <w:rsid w:val="00CB3A24"/>
    <w:rsid w:val="00CB49DE"/>
    <w:rsid w:val="00CB5E81"/>
    <w:rsid w:val="00CB5F0B"/>
    <w:rsid w:val="00CB64C2"/>
    <w:rsid w:val="00CB7E75"/>
    <w:rsid w:val="00CC0050"/>
    <w:rsid w:val="00CC1C8C"/>
    <w:rsid w:val="00CC1D65"/>
    <w:rsid w:val="00CC2C7E"/>
    <w:rsid w:val="00CC3610"/>
    <w:rsid w:val="00CC362D"/>
    <w:rsid w:val="00CC4574"/>
    <w:rsid w:val="00CC4EFF"/>
    <w:rsid w:val="00CC50CF"/>
    <w:rsid w:val="00CC5321"/>
    <w:rsid w:val="00CC6BDA"/>
    <w:rsid w:val="00CC6CCF"/>
    <w:rsid w:val="00CD0A06"/>
    <w:rsid w:val="00CD1603"/>
    <w:rsid w:val="00CD1AFF"/>
    <w:rsid w:val="00CD2A2F"/>
    <w:rsid w:val="00CD3B5E"/>
    <w:rsid w:val="00CD4BAE"/>
    <w:rsid w:val="00CD52A8"/>
    <w:rsid w:val="00CD7035"/>
    <w:rsid w:val="00CD742E"/>
    <w:rsid w:val="00CE0694"/>
    <w:rsid w:val="00CE0EF1"/>
    <w:rsid w:val="00CE11CB"/>
    <w:rsid w:val="00CE1920"/>
    <w:rsid w:val="00CE2B89"/>
    <w:rsid w:val="00CE3458"/>
    <w:rsid w:val="00CE3906"/>
    <w:rsid w:val="00CE51D3"/>
    <w:rsid w:val="00CE5E0D"/>
    <w:rsid w:val="00CE6091"/>
    <w:rsid w:val="00CE70AB"/>
    <w:rsid w:val="00CE7EBC"/>
    <w:rsid w:val="00CF0018"/>
    <w:rsid w:val="00CF04C1"/>
    <w:rsid w:val="00CF0BA6"/>
    <w:rsid w:val="00CF17B5"/>
    <w:rsid w:val="00CF1CEC"/>
    <w:rsid w:val="00CF22C2"/>
    <w:rsid w:val="00CF2980"/>
    <w:rsid w:val="00CF2FE7"/>
    <w:rsid w:val="00CF4255"/>
    <w:rsid w:val="00CF4CF9"/>
    <w:rsid w:val="00CF5886"/>
    <w:rsid w:val="00CF6926"/>
    <w:rsid w:val="00CF6F84"/>
    <w:rsid w:val="00CF7A56"/>
    <w:rsid w:val="00D0052F"/>
    <w:rsid w:val="00D02AAC"/>
    <w:rsid w:val="00D04AD6"/>
    <w:rsid w:val="00D05B3B"/>
    <w:rsid w:val="00D0619E"/>
    <w:rsid w:val="00D0725E"/>
    <w:rsid w:val="00D0735D"/>
    <w:rsid w:val="00D077AA"/>
    <w:rsid w:val="00D10BF0"/>
    <w:rsid w:val="00D1165B"/>
    <w:rsid w:val="00D1167C"/>
    <w:rsid w:val="00D124DB"/>
    <w:rsid w:val="00D1261B"/>
    <w:rsid w:val="00D12855"/>
    <w:rsid w:val="00D128DC"/>
    <w:rsid w:val="00D13253"/>
    <w:rsid w:val="00D13A21"/>
    <w:rsid w:val="00D13E8A"/>
    <w:rsid w:val="00D14484"/>
    <w:rsid w:val="00D14F77"/>
    <w:rsid w:val="00D151BC"/>
    <w:rsid w:val="00D15916"/>
    <w:rsid w:val="00D16843"/>
    <w:rsid w:val="00D16B4E"/>
    <w:rsid w:val="00D175E2"/>
    <w:rsid w:val="00D20188"/>
    <w:rsid w:val="00D21ABD"/>
    <w:rsid w:val="00D2228E"/>
    <w:rsid w:val="00D231DE"/>
    <w:rsid w:val="00D2392B"/>
    <w:rsid w:val="00D23E1D"/>
    <w:rsid w:val="00D24370"/>
    <w:rsid w:val="00D246B7"/>
    <w:rsid w:val="00D258F2"/>
    <w:rsid w:val="00D25A42"/>
    <w:rsid w:val="00D25A5A"/>
    <w:rsid w:val="00D26B43"/>
    <w:rsid w:val="00D2780A"/>
    <w:rsid w:val="00D27C5A"/>
    <w:rsid w:val="00D32543"/>
    <w:rsid w:val="00D3271A"/>
    <w:rsid w:val="00D32AB1"/>
    <w:rsid w:val="00D331C0"/>
    <w:rsid w:val="00D33793"/>
    <w:rsid w:val="00D33F31"/>
    <w:rsid w:val="00D34370"/>
    <w:rsid w:val="00D34E5F"/>
    <w:rsid w:val="00D35124"/>
    <w:rsid w:val="00D35604"/>
    <w:rsid w:val="00D36547"/>
    <w:rsid w:val="00D37576"/>
    <w:rsid w:val="00D37C1A"/>
    <w:rsid w:val="00D41850"/>
    <w:rsid w:val="00D41CE7"/>
    <w:rsid w:val="00D41E1B"/>
    <w:rsid w:val="00D42AFD"/>
    <w:rsid w:val="00D42C22"/>
    <w:rsid w:val="00D43B00"/>
    <w:rsid w:val="00D43F6F"/>
    <w:rsid w:val="00D46064"/>
    <w:rsid w:val="00D46315"/>
    <w:rsid w:val="00D46E31"/>
    <w:rsid w:val="00D47FCD"/>
    <w:rsid w:val="00D51861"/>
    <w:rsid w:val="00D51AA8"/>
    <w:rsid w:val="00D51C1D"/>
    <w:rsid w:val="00D51D84"/>
    <w:rsid w:val="00D52168"/>
    <w:rsid w:val="00D521F9"/>
    <w:rsid w:val="00D52AE8"/>
    <w:rsid w:val="00D534A1"/>
    <w:rsid w:val="00D53E09"/>
    <w:rsid w:val="00D553D5"/>
    <w:rsid w:val="00D55D35"/>
    <w:rsid w:val="00D56512"/>
    <w:rsid w:val="00D610AC"/>
    <w:rsid w:val="00D611D9"/>
    <w:rsid w:val="00D6129C"/>
    <w:rsid w:val="00D64009"/>
    <w:rsid w:val="00D65BE7"/>
    <w:rsid w:val="00D66BEC"/>
    <w:rsid w:val="00D71B4F"/>
    <w:rsid w:val="00D72F6F"/>
    <w:rsid w:val="00D732AB"/>
    <w:rsid w:val="00D7375C"/>
    <w:rsid w:val="00D7381C"/>
    <w:rsid w:val="00D738EF"/>
    <w:rsid w:val="00D73D88"/>
    <w:rsid w:val="00D73E3A"/>
    <w:rsid w:val="00D7425E"/>
    <w:rsid w:val="00D74354"/>
    <w:rsid w:val="00D746DA"/>
    <w:rsid w:val="00D74821"/>
    <w:rsid w:val="00D749ED"/>
    <w:rsid w:val="00D74ED0"/>
    <w:rsid w:val="00D76359"/>
    <w:rsid w:val="00D7675A"/>
    <w:rsid w:val="00D76AB2"/>
    <w:rsid w:val="00D7709C"/>
    <w:rsid w:val="00D774C2"/>
    <w:rsid w:val="00D8072C"/>
    <w:rsid w:val="00D808C9"/>
    <w:rsid w:val="00D80BC0"/>
    <w:rsid w:val="00D81013"/>
    <w:rsid w:val="00D840A2"/>
    <w:rsid w:val="00D848D9"/>
    <w:rsid w:val="00D855E3"/>
    <w:rsid w:val="00D87024"/>
    <w:rsid w:val="00D87486"/>
    <w:rsid w:val="00D876CD"/>
    <w:rsid w:val="00D900E2"/>
    <w:rsid w:val="00D90F51"/>
    <w:rsid w:val="00D91A2E"/>
    <w:rsid w:val="00D92318"/>
    <w:rsid w:val="00D925FA"/>
    <w:rsid w:val="00D92C5B"/>
    <w:rsid w:val="00D92F21"/>
    <w:rsid w:val="00D934D8"/>
    <w:rsid w:val="00D94DD0"/>
    <w:rsid w:val="00D9538C"/>
    <w:rsid w:val="00D956CC"/>
    <w:rsid w:val="00D96608"/>
    <w:rsid w:val="00D973DD"/>
    <w:rsid w:val="00DA12E8"/>
    <w:rsid w:val="00DA1A65"/>
    <w:rsid w:val="00DA1B30"/>
    <w:rsid w:val="00DA2863"/>
    <w:rsid w:val="00DA29F9"/>
    <w:rsid w:val="00DA30BA"/>
    <w:rsid w:val="00DA3A69"/>
    <w:rsid w:val="00DA4634"/>
    <w:rsid w:val="00DA49D1"/>
    <w:rsid w:val="00DA6C6B"/>
    <w:rsid w:val="00DB0B67"/>
    <w:rsid w:val="00DB0E7F"/>
    <w:rsid w:val="00DB233B"/>
    <w:rsid w:val="00DB2F8A"/>
    <w:rsid w:val="00DB400D"/>
    <w:rsid w:val="00DB464D"/>
    <w:rsid w:val="00DB6377"/>
    <w:rsid w:val="00DB7377"/>
    <w:rsid w:val="00DB7853"/>
    <w:rsid w:val="00DB78CE"/>
    <w:rsid w:val="00DC16CF"/>
    <w:rsid w:val="00DC1AAE"/>
    <w:rsid w:val="00DC1B6A"/>
    <w:rsid w:val="00DC2C46"/>
    <w:rsid w:val="00DC35ED"/>
    <w:rsid w:val="00DC4D06"/>
    <w:rsid w:val="00DC511C"/>
    <w:rsid w:val="00DC5EB1"/>
    <w:rsid w:val="00DC6D6C"/>
    <w:rsid w:val="00DC74D4"/>
    <w:rsid w:val="00DC74D7"/>
    <w:rsid w:val="00DD2F32"/>
    <w:rsid w:val="00DD34BE"/>
    <w:rsid w:val="00DD3687"/>
    <w:rsid w:val="00DD45E6"/>
    <w:rsid w:val="00DD49ED"/>
    <w:rsid w:val="00DD4C39"/>
    <w:rsid w:val="00DD523F"/>
    <w:rsid w:val="00DD699D"/>
    <w:rsid w:val="00DD6B76"/>
    <w:rsid w:val="00DD6C9A"/>
    <w:rsid w:val="00DE0436"/>
    <w:rsid w:val="00DE0848"/>
    <w:rsid w:val="00DE0D02"/>
    <w:rsid w:val="00DE1626"/>
    <w:rsid w:val="00DE1E2C"/>
    <w:rsid w:val="00DE2190"/>
    <w:rsid w:val="00DE31BA"/>
    <w:rsid w:val="00DE37AB"/>
    <w:rsid w:val="00DE4488"/>
    <w:rsid w:val="00DE497D"/>
    <w:rsid w:val="00DE62C2"/>
    <w:rsid w:val="00DE6F68"/>
    <w:rsid w:val="00DE7101"/>
    <w:rsid w:val="00DE7452"/>
    <w:rsid w:val="00DF1149"/>
    <w:rsid w:val="00DF2335"/>
    <w:rsid w:val="00DF285C"/>
    <w:rsid w:val="00DF382A"/>
    <w:rsid w:val="00DF3C2B"/>
    <w:rsid w:val="00DF3D4F"/>
    <w:rsid w:val="00DF3F8A"/>
    <w:rsid w:val="00DF43C3"/>
    <w:rsid w:val="00DF6D51"/>
    <w:rsid w:val="00DF6FB7"/>
    <w:rsid w:val="00E00DC8"/>
    <w:rsid w:val="00E00F4A"/>
    <w:rsid w:val="00E0108F"/>
    <w:rsid w:val="00E02A80"/>
    <w:rsid w:val="00E02E99"/>
    <w:rsid w:val="00E02F01"/>
    <w:rsid w:val="00E03E0D"/>
    <w:rsid w:val="00E055C8"/>
    <w:rsid w:val="00E072A0"/>
    <w:rsid w:val="00E07343"/>
    <w:rsid w:val="00E07D9F"/>
    <w:rsid w:val="00E10E50"/>
    <w:rsid w:val="00E10F37"/>
    <w:rsid w:val="00E119A5"/>
    <w:rsid w:val="00E11FAB"/>
    <w:rsid w:val="00E11FE1"/>
    <w:rsid w:val="00E137D4"/>
    <w:rsid w:val="00E155E7"/>
    <w:rsid w:val="00E1764F"/>
    <w:rsid w:val="00E2044A"/>
    <w:rsid w:val="00E207CB"/>
    <w:rsid w:val="00E214E8"/>
    <w:rsid w:val="00E21C51"/>
    <w:rsid w:val="00E22291"/>
    <w:rsid w:val="00E227E1"/>
    <w:rsid w:val="00E22AF2"/>
    <w:rsid w:val="00E232AB"/>
    <w:rsid w:val="00E2389B"/>
    <w:rsid w:val="00E24120"/>
    <w:rsid w:val="00E24AC4"/>
    <w:rsid w:val="00E24D2F"/>
    <w:rsid w:val="00E260F3"/>
    <w:rsid w:val="00E2628A"/>
    <w:rsid w:val="00E26D0E"/>
    <w:rsid w:val="00E26FEA"/>
    <w:rsid w:val="00E273B2"/>
    <w:rsid w:val="00E2793E"/>
    <w:rsid w:val="00E27989"/>
    <w:rsid w:val="00E31194"/>
    <w:rsid w:val="00E31D7D"/>
    <w:rsid w:val="00E32095"/>
    <w:rsid w:val="00E3235E"/>
    <w:rsid w:val="00E342A7"/>
    <w:rsid w:val="00E3445E"/>
    <w:rsid w:val="00E36652"/>
    <w:rsid w:val="00E369B5"/>
    <w:rsid w:val="00E37727"/>
    <w:rsid w:val="00E408B9"/>
    <w:rsid w:val="00E40C10"/>
    <w:rsid w:val="00E41168"/>
    <w:rsid w:val="00E44630"/>
    <w:rsid w:val="00E4511C"/>
    <w:rsid w:val="00E452CD"/>
    <w:rsid w:val="00E45E8C"/>
    <w:rsid w:val="00E46773"/>
    <w:rsid w:val="00E46EF5"/>
    <w:rsid w:val="00E47D4F"/>
    <w:rsid w:val="00E514A7"/>
    <w:rsid w:val="00E51E45"/>
    <w:rsid w:val="00E52145"/>
    <w:rsid w:val="00E52382"/>
    <w:rsid w:val="00E5439B"/>
    <w:rsid w:val="00E55371"/>
    <w:rsid w:val="00E55B23"/>
    <w:rsid w:val="00E55D50"/>
    <w:rsid w:val="00E57126"/>
    <w:rsid w:val="00E57524"/>
    <w:rsid w:val="00E60F36"/>
    <w:rsid w:val="00E61C0A"/>
    <w:rsid w:val="00E62C08"/>
    <w:rsid w:val="00E636F8"/>
    <w:rsid w:val="00E64245"/>
    <w:rsid w:val="00E64629"/>
    <w:rsid w:val="00E6758C"/>
    <w:rsid w:val="00E67DBE"/>
    <w:rsid w:val="00E70212"/>
    <w:rsid w:val="00E7060C"/>
    <w:rsid w:val="00E70A1F"/>
    <w:rsid w:val="00E71C6D"/>
    <w:rsid w:val="00E72B16"/>
    <w:rsid w:val="00E72E54"/>
    <w:rsid w:val="00E74095"/>
    <w:rsid w:val="00E743C9"/>
    <w:rsid w:val="00E74CB3"/>
    <w:rsid w:val="00E755BD"/>
    <w:rsid w:val="00E75676"/>
    <w:rsid w:val="00E75768"/>
    <w:rsid w:val="00E75AA9"/>
    <w:rsid w:val="00E77DD7"/>
    <w:rsid w:val="00E80012"/>
    <w:rsid w:val="00E8328B"/>
    <w:rsid w:val="00E84640"/>
    <w:rsid w:val="00E857A5"/>
    <w:rsid w:val="00E870E2"/>
    <w:rsid w:val="00E90160"/>
    <w:rsid w:val="00E91ED4"/>
    <w:rsid w:val="00E92805"/>
    <w:rsid w:val="00E92D81"/>
    <w:rsid w:val="00E942BD"/>
    <w:rsid w:val="00E95994"/>
    <w:rsid w:val="00E95A14"/>
    <w:rsid w:val="00E96EB5"/>
    <w:rsid w:val="00EA03F4"/>
    <w:rsid w:val="00EA2006"/>
    <w:rsid w:val="00EA2413"/>
    <w:rsid w:val="00EA29BE"/>
    <w:rsid w:val="00EA4C29"/>
    <w:rsid w:val="00EA5ADE"/>
    <w:rsid w:val="00EA66B2"/>
    <w:rsid w:val="00EA6FA2"/>
    <w:rsid w:val="00EA7649"/>
    <w:rsid w:val="00EB096E"/>
    <w:rsid w:val="00EB19F9"/>
    <w:rsid w:val="00EB1DE6"/>
    <w:rsid w:val="00EB2076"/>
    <w:rsid w:val="00EB29D5"/>
    <w:rsid w:val="00EB4907"/>
    <w:rsid w:val="00EB5852"/>
    <w:rsid w:val="00EB5DEF"/>
    <w:rsid w:val="00EB61BF"/>
    <w:rsid w:val="00EB763A"/>
    <w:rsid w:val="00EC0038"/>
    <w:rsid w:val="00EC0BD5"/>
    <w:rsid w:val="00EC129F"/>
    <w:rsid w:val="00EC1371"/>
    <w:rsid w:val="00EC191B"/>
    <w:rsid w:val="00EC1ACA"/>
    <w:rsid w:val="00EC2097"/>
    <w:rsid w:val="00EC2592"/>
    <w:rsid w:val="00EC2987"/>
    <w:rsid w:val="00EC4340"/>
    <w:rsid w:val="00EC4378"/>
    <w:rsid w:val="00EC5315"/>
    <w:rsid w:val="00EC5691"/>
    <w:rsid w:val="00EC5CB2"/>
    <w:rsid w:val="00EC5E06"/>
    <w:rsid w:val="00EC623B"/>
    <w:rsid w:val="00EC6573"/>
    <w:rsid w:val="00EC70FA"/>
    <w:rsid w:val="00EC7CBF"/>
    <w:rsid w:val="00EC7E7E"/>
    <w:rsid w:val="00ED005F"/>
    <w:rsid w:val="00ED007A"/>
    <w:rsid w:val="00ED111D"/>
    <w:rsid w:val="00ED2517"/>
    <w:rsid w:val="00ED33AF"/>
    <w:rsid w:val="00ED4FCB"/>
    <w:rsid w:val="00ED52BB"/>
    <w:rsid w:val="00ED65A9"/>
    <w:rsid w:val="00ED721B"/>
    <w:rsid w:val="00ED7ECA"/>
    <w:rsid w:val="00EE00D5"/>
    <w:rsid w:val="00EE0382"/>
    <w:rsid w:val="00EE055E"/>
    <w:rsid w:val="00EE2562"/>
    <w:rsid w:val="00EE2804"/>
    <w:rsid w:val="00EE4F7C"/>
    <w:rsid w:val="00EE5147"/>
    <w:rsid w:val="00EE57C3"/>
    <w:rsid w:val="00EE5B8C"/>
    <w:rsid w:val="00EE6414"/>
    <w:rsid w:val="00EE695A"/>
    <w:rsid w:val="00EE6DC2"/>
    <w:rsid w:val="00EE730B"/>
    <w:rsid w:val="00EF1A99"/>
    <w:rsid w:val="00EF2231"/>
    <w:rsid w:val="00EF2989"/>
    <w:rsid w:val="00EF3254"/>
    <w:rsid w:val="00EF36AF"/>
    <w:rsid w:val="00EF3C87"/>
    <w:rsid w:val="00EF5003"/>
    <w:rsid w:val="00EF5093"/>
    <w:rsid w:val="00EF5FF0"/>
    <w:rsid w:val="00EF76F3"/>
    <w:rsid w:val="00F00D8C"/>
    <w:rsid w:val="00F0140B"/>
    <w:rsid w:val="00F033A8"/>
    <w:rsid w:val="00F03FBC"/>
    <w:rsid w:val="00F04B13"/>
    <w:rsid w:val="00F05175"/>
    <w:rsid w:val="00F0591C"/>
    <w:rsid w:val="00F05CF2"/>
    <w:rsid w:val="00F06256"/>
    <w:rsid w:val="00F06B03"/>
    <w:rsid w:val="00F079FD"/>
    <w:rsid w:val="00F106BA"/>
    <w:rsid w:val="00F11A2E"/>
    <w:rsid w:val="00F12596"/>
    <w:rsid w:val="00F13233"/>
    <w:rsid w:val="00F144B0"/>
    <w:rsid w:val="00F1465B"/>
    <w:rsid w:val="00F14A05"/>
    <w:rsid w:val="00F14AFC"/>
    <w:rsid w:val="00F16CED"/>
    <w:rsid w:val="00F21964"/>
    <w:rsid w:val="00F22CF5"/>
    <w:rsid w:val="00F22D83"/>
    <w:rsid w:val="00F2375E"/>
    <w:rsid w:val="00F2388B"/>
    <w:rsid w:val="00F23D59"/>
    <w:rsid w:val="00F24614"/>
    <w:rsid w:val="00F25128"/>
    <w:rsid w:val="00F2777A"/>
    <w:rsid w:val="00F30186"/>
    <w:rsid w:val="00F30EB8"/>
    <w:rsid w:val="00F31CD0"/>
    <w:rsid w:val="00F31FD8"/>
    <w:rsid w:val="00F32107"/>
    <w:rsid w:val="00F321A4"/>
    <w:rsid w:val="00F32E5F"/>
    <w:rsid w:val="00F32E9A"/>
    <w:rsid w:val="00F333F4"/>
    <w:rsid w:val="00F337BA"/>
    <w:rsid w:val="00F34885"/>
    <w:rsid w:val="00F34897"/>
    <w:rsid w:val="00F350DB"/>
    <w:rsid w:val="00F35A57"/>
    <w:rsid w:val="00F36194"/>
    <w:rsid w:val="00F36BB8"/>
    <w:rsid w:val="00F36F82"/>
    <w:rsid w:val="00F37E6C"/>
    <w:rsid w:val="00F406F8"/>
    <w:rsid w:val="00F40A52"/>
    <w:rsid w:val="00F4147C"/>
    <w:rsid w:val="00F416F1"/>
    <w:rsid w:val="00F417B2"/>
    <w:rsid w:val="00F419DD"/>
    <w:rsid w:val="00F43B1F"/>
    <w:rsid w:val="00F43CD9"/>
    <w:rsid w:val="00F44822"/>
    <w:rsid w:val="00F4572C"/>
    <w:rsid w:val="00F4607A"/>
    <w:rsid w:val="00F46C77"/>
    <w:rsid w:val="00F47E8D"/>
    <w:rsid w:val="00F51573"/>
    <w:rsid w:val="00F51C91"/>
    <w:rsid w:val="00F52687"/>
    <w:rsid w:val="00F528B6"/>
    <w:rsid w:val="00F52DC9"/>
    <w:rsid w:val="00F53B3A"/>
    <w:rsid w:val="00F55FE6"/>
    <w:rsid w:val="00F563B5"/>
    <w:rsid w:val="00F56C87"/>
    <w:rsid w:val="00F56FCA"/>
    <w:rsid w:val="00F572B9"/>
    <w:rsid w:val="00F60B08"/>
    <w:rsid w:val="00F61F96"/>
    <w:rsid w:val="00F63ECF"/>
    <w:rsid w:val="00F63FB3"/>
    <w:rsid w:val="00F64722"/>
    <w:rsid w:val="00F6655C"/>
    <w:rsid w:val="00F666C8"/>
    <w:rsid w:val="00F66D87"/>
    <w:rsid w:val="00F66DC1"/>
    <w:rsid w:val="00F702EE"/>
    <w:rsid w:val="00F70322"/>
    <w:rsid w:val="00F7200D"/>
    <w:rsid w:val="00F72511"/>
    <w:rsid w:val="00F72674"/>
    <w:rsid w:val="00F72DD2"/>
    <w:rsid w:val="00F731F2"/>
    <w:rsid w:val="00F733D9"/>
    <w:rsid w:val="00F7393C"/>
    <w:rsid w:val="00F73C30"/>
    <w:rsid w:val="00F74207"/>
    <w:rsid w:val="00F7462F"/>
    <w:rsid w:val="00F7500F"/>
    <w:rsid w:val="00F75E81"/>
    <w:rsid w:val="00F77364"/>
    <w:rsid w:val="00F80CFB"/>
    <w:rsid w:val="00F8104E"/>
    <w:rsid w:val="00F815AC"/>
    <w:rsid w:val="00F820DE"/>
    <w:rsid w:val="00F82488"/>
    <w:rsid w:val="00F83271"/>
    <w:rsid w:val="00F8409C"/>
    <w:rsid w:val="00F84857"/>
    <w:rsid w:val="00F8659D"/>
    <w:rsid w:val="00F86DFD"/>
    <w:rsid w:val="00F87A08"/>
    <w:rsid w:val="00F90B20"/>
    <w:rsid w:val="00F90C92"/>
    <w:rsid w:val="00F9224B"/>
    <w:rsid w:val="00F93172"/>
    <w:rsid w:val="00F931C3"/>
    <w:rsid w:val="00F9383A"/>
    <w:rsid w:val="00F93F66"/>
    <w:rsid w:val="00F9408B"/>
    <w:rsid w:val="00F94263"/>
    <w:rsid w:val="00F94AA1"/>
    <w:rsid w:val="00F94B92"/>
    <w:rsid w:val="00F94BB4"/>
    <w:rsid w:val="00F95184"/>
    <w:rsid w:val="00F97716"/>
    <w:rsid w:val="00FA0451"/>
    <w:rsid w:val="00FA0552"/>
    <w:rsid w:val="00FA0850"/>
    <w:rsid w:val="00FA09AF"/>
    <w:rsid w:val="00FA0AA7"/>
    <w:rsid w:val="00FA0CFD"/>
    <w:rsid w:val="00FA1139"/>
    <w:rsid w:val="00FA2648"/>
    <w:rsid w:val="00FA2807"/>
    <w:rsid w:val="00FA2CDF"/>
    <w:rsid w:val="00FA366D"/>
    <w:rsid w:val="00FA5A3C"/>
    <w:rsid w:val="00FA6252"/>
    <w:rsid w:val="00FA6D68"/>
    <w:rsid w:val="00FA7BAE"/>
    <w:rsid w:val="00FA7FB2"/>
    <w:rsid w:val="00FB0397"/>
    <w:rsid w:val="00FB08E5"/>
    <w:rsid w:val="00FB40E9"/>
    <w:rsid w:val="00FB49FD"/>
    <w:rsid w:val="00FB4B87"/>
    <w:rsid w:val="00FB5092"/>
    <w:rsid w:val="00FB556B"/>
    <w:rsid w:val="00FB5DF1"/>
    <w:rsid w:val="00FB69FC"/>
    <w:rsid w:val="00FB6B89"/>
    <w:rsid w:val="00FC0265"/>
    <w:rsid w:val="00FC02BF"/>
    <w:rsid w:val="00FC03CD"/>
    <w:rsid w:val="00FC332B"/>
    <w:rsid w:val="00FC37CD"/>
    <w:rsid w:val="00FC3DE5"/>
    <w:rsid w:val="00FC5A74"/>
    <w:rsid w:val="00FC5F73"/>
    <w:rsid w:val="00FC63A7"/>
    <w:rsid w:val="00FC649E"/>
    <w:rsid w:val="00FC6A46"/>
    <w:rsid w:val="00FC7822"/>
    <w:rsid w:val="00FC7B0D"/>
    <w:rsid w:val="00FD05F7"/>
    <w:rsid w:val="00FD10A5"/>
    <w:rsid w:val="00FD1341"/>
    <w:rsid w:val="00FD1AB6"/>
    <w:rsid w:val="00FD1E36"/>
    <w:rsid w:val="00FD20B7"/>
    <w:rsid w:val="00FD288D"/>
    <w:rsid w:val="00FD3328"/>
    <w:rsid w:val="00FD3A44"/>
    <w:rsid w:val="00FD414A"/>
    <w:rsid w:val="00FD5626"/>
    <w:rsid w:val="00FD671C"/>
    <w:rsid w:val="00FD6E0B"/>
    <w:rsid w:val="00FD7EA0"/>
    <w:rsid w:val="00FE0C64"/>
    <w:rsid w:val="00FE0FED"/>
    <w:rsid w:val="00FE178C"/>
    <w:rsid w:val="00FE4418"/>
    <w:rsid w:val="00FE668B"/>
    <w:rsid w:val="00FE6878"/>
    <w:rsid w:val="00FF025B"/>
    <w:rsid w:val="00FF24AA"/>
    <w:rsid w:val="00FF2E3A"/>
    <w:rsid w:val="00FF4B21"/>
    <w:rsid w:val="00FF62FB"/>
    <w:rsid w:val="00FF7B94"/>
    <w:rsid w:val="010307F3"/>
    <w:rsid w:val="010F3D19"/>
    <w:rsid w:val="011D3624"/>
    <w:rsid w:val="01205304"/>
    <w:rsid w:val="012E5BDD"/>
    <w:rsid w:val="012E7DD1"/>
    <w:rsid w:val="01336359"/>
    <w:rsid w:val="014067DA"/>
    <w:rsid w:val="014632E9"/>
    <w:rsid w:val="015514B2"/>
    <w:rsid w:val="0174550E"/>
    <w:rsid w:val="017B526D"/>
    <w:rsid w:val="01822573"/>
    <w:rsid w:val="01865638"/>
    <w:rsid w:val="01991975"/>
    <w:rsid w:val="01A50265"/>
    <w:rsid w:val="01C37AC6"/>
    <w:rsid w:val="01C4202A"/>
    <w:rsid w:val="01C77937"/>
    <w:rsid w:val="01DA6E1D"/>
    <w:rsid w:val="01E048BA"/>
    <w:rsid w:val="01EA636A"/>
    <w:rsid w:val="01FC02B4"/>
    <w:rsid w:val="01FD4C91"/>
    <w:rsid w:val="02026E30"/>
    <w:rsid w:val="02067E2E"/>
    <w:rsid w:val="021138F7"/>
    <w:rsid w:val="021C5A78"/>
    <w:rsid w:val="023251F7"/>
    <w:rsid w:val="024D295E"/>
    <w:rsid w:val="024D35C2"/>
    <w:rsid w:val="025033FE"/>
    <w:rsid w:val="02531F0A"/>
    <w:rsid w:val="02537B69"/>
    <w:rsid w:val="02704276"/>
    <w:rsid w:val="02751302"/>
    <w:rsid w:val="02764654"/>
    <w:rsid w:val="028B5457"/>
    <w:rsid w:val="0299651B"/>
    <w:rsid w:val="029D502D"/>
    <w:rsid w:val="029D5B72"/>
    <w:rsid w:val="02B64EDF"/>
    <w:rsid w:val="02C04F04"/>
    <w:rsid w:val="02C26874"/>
    <w:rsid w:val="02C77868"/>
    <w:rsid w:val="02C941D1"/>
    <w:rsid w:val="02CF6ABF"/>
    <w:rsid w:val="02DD00D7"/>
    <w:rsid w:val="02F925EB"/>
    <w:rsid w:val="030A693F"/>
    <w:rsid w:val="030B686A"/>
    <w:rsid w:val="03143042"/>
    <w:rsid w:val="031463AC"/>
    <w:rsid w:val="031E66BE"/>
    <w:rsid w:val="03293693"/>
    <w:rsid w:val="033C1FAA"/>
    <w:rsid w:val="034571EB"/>
    <w:rsid w:val="035B575C"/>
    <w:rsid w:val="03661A20"/>
    <w:rsid w:val="03724869"/>
    <w:rsid w:val="03924A15"/>
    <w:rsid w:val="03945DFB"/>
    <w:rsid w:val="03A26EF0"/>
    <w:rsid w:val="03B079AA"/>
    <w:rsid w:val="03CB7FC7"/>
    <w:rsid w:val="03D244AC"/>
    <w:rsid w:val="03E93270"/>
    <w:rsid w:val="03F474F8"/>
    <w:rsid w:val="03F91FDF"/>
    <w:rsid w:val="040D50D0"/>
    <w:rsid w:val="042370A7"/>
    <w:rsid w:val="04252C6D"/>
    <w:rsid w:val="043701DB"/>
    <w:rsid w:val="04387860"/>
    <w:rsid w:val="045469B1"/>
    <w:rsid w:val="0458580D"/>
    <w:rsid w:val="047D5573"/>
    <w:rsid w:val="047F5CF0"/>
    <w:rsid w:val="048E015A"/>
    <w:rsid w:val="04DF3A0D"/>
    <w:rsid w:val="04ED064B"/>
    <w:rsid w:val="051E57AF"/>
    <w:rsid w:val="05215120"/>
    <w:rsid w:val="052668C1"/>
    <w:rsid w:val="05334D16"/>
    <w:rsid w:val="054E3F52"/>
    <w:rsid w:val="0563090D"/>
    <w:rsid w:val="056379C6"/>
    <w:rsid w:val="058B75FB"/>
    <w:rsid w:val="058C766B"/>
    <w:rsid w:val="059053A1"/>
    <w:rsid w:val="05946D18"/>
    <w:rsid w:val="05B02ABC"/>
    <w:rsid w:val="05B16E97"/>
    <w:rsid w:val="05BD5CEC"/>
    <w:rsid w:val="05C07B0D"/>
    <w:rsid w:val="05DF7EE1"/>
    <w:rsid w:val="06007623"/>
    <w:rsid w:val="062772AE"/>
    <w:rsid w:val="06342239"/>
    <w:rsid w:val="06416FDE"/>
    <w:rsid w:val="06AE2DF9"/>
    <w:rsid w:val="06B43B46"/>
    <w:rsid w:val="06C448FC"/>
    <w:rsid w:val="06CE41BC"/>
    <w:rsid w:val="06E52F5E"/>
    <w:rsid w:val="06E73A9E"/>
    <w:rsid w:val="070752C8"/>
    <w:rsid w:val="070F7498"/>
    <w:rsid w:val="071619A6"/>
    <w:rsid w:val="071A22CA"/>
    <w:rsid w:val="071B3043"/>
    <w:rsid w:val="071D312D"/>
    <w:rsid w:val="07335FA1"/>
    <w:rsid w:val="07433DE6"/>
    <w:rsid w:val="07615139"/>
    <w:rsid w:val="0768169C"/>
    <w:rsid w:val="076D6F60"/>
    <w:rsid w:val="07753C24"/>
    <w:rsid w:val="077753B0"/>
    <w:rsid w:val="077D0B41"/>
    <w:rsid w:val="07961D30"/>
    <w:rsid w:val="07A4016F"/>
    <w:rsid w:val="07B46D72"/>
    <w:rsid w:val="07BD1A2B"/>
    <w:rsid w:val="07BF2A5A"/>
    <w:rsid w:val="07C06F59"/>
    <w:rsid w:val="07C8237A"/>
    <w:rsid w:val="07CA42EF"/>
    <w:rsid w:val="07CD3E7A"/>
    <w:rsid w:val="07E72C91"/>
    <w:rsid w:val="07F341CA"/>
    <w:rsid w:val="080041F1"/>
    <w:rsid w:val="0802440D"/>
    <w:rsid w:val="082050E6"/>
    <w:rsid w:val="082F4AD6"/>
    <w:rsid w:val="082F6AAF"/>
    <w:rsid w:val="08354C04"/>
    <w:rsid w:val="08445B15"/>
    <w:rsid w:val="08522BD2"/>
    <w:rsid w:val="08617E09"/>
    <w:rsid w:val="0865674A"/>
    <w:rsid w:val="087276EF"/>
    <w:rsid w:val="089B198E"/>
    <w:rsid w:val="08A07D1C"/>
    <w:rsid w:val="08A92ADB"/>
    <w:rsid w:val="08B5322E"/>
    <w:rsid w:val="08B96B4A"/>
    <w:rsid w:val="08BC1FC1"/>
    <w:rsid w:val="08BE7056"/>
    <w:rsid w:val="08C83A20"/>
    <w:rsid w:val="08D226FF"/>
    <w:rsid w:val="08DF5AD4"/>
    <w:rsid w:val="08E24980"/>
    <w:rsid w:val="08ED5C60"/>
    <w:rsid w:val="08F30618"/>
    <w:rsid w:val="08FC6D02"/>
    <w:rsid w:val="08FD4BD5"/>
    <w:rsid w:val="09047D11"/>
    <w:rsid w:val="09097997"/>
    <w:rsid w:val="090A607B"/>
    <w:rsid w:val="090E4C07"/>
    <w:rsid w:val="09131429"/>
    <w:rsid w:val="09173EE8"/>
    <w:rsid w:val="092B5711"/>
    <w:rsid w:val="094401F6"/>
    <w:rsid w:val="094649D2"/>
    <w:rsid w:val="0969226A"/>
    <w:rsid w:val="09891E40"/>
    <w:rsid w:val="09966A8F"/>
    <w:rsid w:val="099B05EB"/>
    <w:rsid w:val="09A94AB1"/>
    <w:rsid w:val="09D37BC5"/>
    <w:rsid w:val="09D914C8"/>
    <w:rsid w:val="09EE30F7"/>
    <w:rsid w:val="09EF44EC"/>
    <w:rsid w:val="09F21F45"/>
    <w:rsid w:val="0A1133A8"/>
    <w:rsid w:val="0A123850"/>
    <w:rsid w:val="0A163FD0"/>
    <w:rsid w:val="0A2E766B"/>
    <w:rsid w:val="0A3960E0"/>
    <w:rsid w:val="0A4627BB"/>
    <w:rsid w:val="0A4947FA"/>
    <w:rsid w:val="0A511214"/>
    <w:rsid w:val="0A617E09"/>
    <w:rsid w:val="0A642803"/>
    <w:rsid w:val="0A695FFC"/>
    <w:rsid w:val="0A7048D2"/>
    <w:rsid w:val="0A723B49"/>
    <w:rsid w:val="0A795621"/>
    <w:rsid w:val="0A866E5C"/>
    <w:rsid w:val="0A870935"/>
    <w:rsid w:val="0A967C03"/>
    <w:rsid w:val="0AA37ECF"/>
    <w:rsid w:val="0AC87203"/>
    <w:rsid w:val="0ACE05D7"/>
    <w:rsid w:val="0AD613F1"/>
    <w:rsid w:val="0AD94996"/>
    <w:rsid w:val="0AE133F1"/>
    <w:rsid w:val="0AF63852"/>
    <w:rsid w:val="0AF80D11"/>
    <w:rsid w:val="0B07596A"/>
    <w:rsid w:val="0B0860CB"/>
    <w:rsid w:val="0B0D73C6"/>
    <w:rsid w:val="0B1464DD"/>
    <w:rsid w:val="0B161241"/>
    <w:rsid w:val="0B262785"/>
    <w:rsid w:val="0B4334DC"/>
    <w:rsid w:val="0B526459"/>
    <w:rsid w:val="0B535E0E"/>
    <w:rsid w:val="0B5755D3"/>
    <w:rsid w:val="0B5804EA"/>
    <w:rsid w:val="0B7C46E0"/>
    <w:rsid w:val="0B856258"/>
    <w:rsid w:val="0B8C3FEE"/>
    <w:rsid w:val="0BA37CB5"/>
    <w:rsid w:val="0BA63367"/>
    <w:rsid w:val="0BA9061A"/>
    <w:rsid w:val="0BAE41AF"/>
    <w:rsid w:val="0BB6678C"/>
    <w:rsid w:val="0BBA3280"/>
    <w:rsid w:val="0BBE01F4"/>
    <w:rsid w:val="0BBF4F65"/>
    <w:rsid w:val="0BD460C1"/>
    <w:rsid w:val="0BE91EC1"/>
    <w:rsid w:val="0BF16C73"/>
    <w:rsid w:val="0BFD1124"/>
    <w:rsid w:val="0C0F231C"/>
    <w:rsid w:val="0C1A44E1"/>
    <w:rsid w:val="0C1D16F4"/>
    <w:rsid w:val="0C2A0948"/>
    <w:rsid w:val="0C2B014F"/>
    <w:rsid w:val="0C2B4700"/>
    <w:rsid w:val="0C3455B8"/>
    <w:rsid w:val="0C356FA3"/>
    <w:rsid w:val="0C384DED"/>
    <w:rsid w:val="0C5E2F6F"/>
    <w:rsid w:val="0C624800"/>
    <w:rsid w:val="0C693FB6"/>
    <w:rsid w:val="0C807124"/>
    <w:rsid w:val="0C8F1FE8"/>
    <w:rsid w:val="0C9114F3"/>
    <w:rsid w:val="0C97555B"/>
    <w:rsid w:val="0CA36BD7"/>
    <w:rsid w:val="0CBC5652"/>
    <w:rsid w:val="0CBF58C1"/>
    <w:rsid w:val="0CBF5DD4"/>
    <w:rsid w:val="0CC21B08"/>
    <w:rsid w:val="0CD70F51"/>
    <w:rsid w:val="0CEB1914"/>
    <w:rsid w:val="0CF34325"/>
    <w:rsid w:val="0D1B468F"/>
    <w:rsid w:val="0D2A5193"/>
    <w:rsid w:val="0D2C0E9D"/>
    <w:rsid w:val="0D387B7E"/>
    <w:rsid w:val="0D474670"/>
    <w:rsid w:val="0D4872CE"/>
    <w:rsid w:val="0D4A5F0F"/>
    <w:rsid w:val="0D4F2492"/>
    <w:rsid w:val="0D5E3553"/>
    <w:rsid w:val="0D5F0658"/>
    <w:rsid w:val="0D671EE5"/>
    <w:rsid w:val="0D7B7E36"/>
    <w:rsid w:val="0D943085"/>
    <w:rsid w:val="0D9773A6"/>
    <w:rsid w:val="0D9A29CC"/>
    <w:rsid w:val="0DB22BB6"/>
    <w:rsid w:val="0DE845A7"/>
    <w:rsid w:val="0DED4859"/>
    <w:rsid w:val="0DEF66F8"/>
    <w:rsid w:val="0E0C079A"/>
    <w:rsid w:val="0E0C5F1C"/>
    <w:rsid w:val="0E165CDF"/>
    <w:rsid w:val="0E1E3C50"/>
    <w:rsid w:val="0E1E5FDC"/>
    <w:rsid w:val="0E2F6667"/>
    <w:rsid w:val="0E466034"/>
    <w:rsid w:val="0E502351"/>
    <w:rsid w:val="0E614E63"/>
    <w:rsid w:val="0E62693A"/>
    <w:rsid w:val="0E6409B6"/>
    <w:rsid w:val="0E7A4F21"/>
    <w:rsid w:val="0E8027DC"/>
    <w:rsid w:val="0E996B45"/>
    <w:rsid w:val="0EB70696"/>
    <w:rsid w:val="0EB85F2C"/>
    <w:rsid w:val="0EC537EA"/>
    <w:rsid w:val="0ED14DE6"/>
    <w:rsid w:val="0ED17A44"/>
    <w:rsid w:val="0EE44DDF"/>
    <w:rsid w:val="0EF110A8"/>
    <w:rsid w:val="0F0767D0"/>
    <w:rsid w:val="0F22030A"/>
    <w:rsid w:val="0F276E27"/>
    <w:rsid w:val="0F2C71AD"/>
    <w:rsid w:val="0F341D16"/>
    <w:rsid w:val="0F403FDC"/>
    <w:rsid w:val="0F5C08A7"/>
    <w:rsid w:val="0F8F6145"/>
    <w:rsid w:val="0F960D54"/>
    <w:rsid w:val="0F9C4F98"/>
    <w:rsid w:val="0F9D4E20"/>
    <w:rsid w:val="0FA96F42"/>
    <w:rsid w:val="0FE0493D"/>
    <w:rsid w:val="0FE23CB5"/>
    <w:rsid w:val="0FED53BE"/>
    <w:rsid w:val="0FF57F35"/>
    <w:rsid w:val="0FF65CC4"/>
    <w:rsid w:val="0FFB4C3D"/>
    <w:rsid w:val="100A7516"/>
    <w:rsid w:val="10155DF9"/>
    <w:rsid w:val="102313C5"/>
    <w:rsid w:val="10372845"/>
    <w:rsid w:val="10550681"/>
    <w:rsid w:val="107F5C26"/>
    <w:rsid w:val="1080388A"/>
    <w:rsid w:val="10821DA2"/>
    <w:rsid w:val="10A2679F"/>
    <w:rsid w:val="10A342B4"/>
    <w:rsid w:val="10B538FF"/>
    <w:rsid w:val="10C34238"/>
    <w:rsid w:val="10E21B3A"/>
    <w:rsid w:val="10E9580B"/>
    <w:rsid w:val="10FE773C"/>
    <w:rsid w:val="11027C9D"/>
    <w:rsid w:val="110B3C50"/>
    <w:rsid w:val="11136EC1"/>
    <w:rsid w:val="111D5E14"/>
    <w:rsid w:val="11333B88"/>
    <w:rsid w:val="115E08D7"/>
    <w:rsid w:val="11612681"/>
    <w:rsid w:val="11812847"/>
    <w:rsid w:val="1181390D"/>
    <w:rsid w:val="11866440"/>
    <w:rsid w:val="1189011B"/>
    <w:rsid w:val="11AA45C9"/>
    <w:rsid w:val="11B62393"/>
    <w:rsid w:val="11BA3663"/>
    <w:rsid w:val="11CD617F"/>
    <w:rsid w:val="11D101DA"/>
    <w:rsid w:val="11D62156"/>
    <w:rsid w:val="11E647D9"/>
    <w:rsid w:val="11E73AB9"/>
    <w:rsid w:val="11EE5A02"/>
    <w:rsid w:val="11F5518F"/>
    <w:rsid w:val="11F554B6"/>
    <w:rsid w:val="11F63571"/>
    <w:rsid w:val="12016952"/>
    <w:rsid w:val="12063EF9"/>
    <w:rsid w:val="120C558C"/>
    <w:rsid w:val="122218E3"/>
    <w:rsid w:val="122E3A09"/>
    <w:rsid w:val="12445B3A"/>
    <w:rsid w:val="124A21A9"/>
    <w:rsid w:val="125750B1"/>
    <w:rsid w:val="12763A3F"/>
    <w:rsid w:val="12773092"/>
    <w:rsid w:val="127D5951"/>
    <w:rsid w:val="128F1629"/>
    <w:rsid w:val="12993BC0"/>
    <w:rsid w:val="12A11B9A"/>
    <w:rsid w:val="12AF2FBC"/>
    <w:rsid w:val="12B62DB9"/>
    <w:rsid w:val="12C2010E"/>
    <w:rsid w:val="12CE777F"/>
    <w:rsid w:val="12D34B15"/>
    <w:rsid w:val="12ED7A68"/>
    <w:rsid w:val="12F131AC"/>
    <w:rsid w:val="12F473A6"/>
    <w:rsid w:val="131E12B4"/>
    <w:rsid w:val="131E2581"/>
    <w:rsid w:val="13324823"/>
    <w:rsid w:val="133A0AC3"/>
    <w:rsid w:val="133B4525"/>
    <w:rsid w:val="133D7232"/>
    <w:rsid w:val="13486BAA"/>
    <w:rsid w:val="1360289B"/>
    <w:rsid w:val="136F6921"/>
    <w:rsid w:val="137263C4"/>
    <w:rsid w:val="138E4265"/>
    <w:rsid w:val="13967D02"/>
    <w:rsid w:val="13B011C1"/>
    <w:rsid w:val="13BC1B02"/>
    <w:rsid w:val="13C27143"/>
    <w:rsid w:val="13D2674F"/>
    <w:rsid w:val="13D90D3A"/>
    <w:rsid w:val="13D91ADE"/>
    <w:rsid w:val="13DF126B"/>
    <w:rsid w:val="13EB79F5"/>
    <w:rsid w:val="14021527"/>
    <w:rsid w:val="14081F16"/>
    <w:rsid w:val="140E413A"/>
    <w:rsid w:val="140F0FAD"/>
    <w:rsid w:val="14137380"/>
    <w:rsid w:val="141610A3"/>
    <w:rsid w:val="141B4404"/>
    <w:rsid w:val="1429717C"/>
    <w:rsid w:val="14386063"/>
    <w:rsid w:val="143D5C10"/>
    <w:rsid w:val="14552984"/>
    <w:rsid w:val="14985F19"/>
    <w:rsid w:val="149D3B04"/>
    <w:rsid w:val="14A405FA"/>
    <w:rsid w:val="14AA7B06"/>
    <w:rsid w:val="14B77629"/>
    <w:rsid w:val="14BB272A"/>
    <w:rsid w:val="14C00D2F"/>
    <w:rsid w:val="14D61785"/>
    <w:rsid w:val="14E03DAA"/>
    <w:rsid w:val="14F50128"/>
    <w:rsid w:val="151D4729"/>
    <w:rsid w:val="15211D27"/>
    <w:rsid w:val="153C5EC0"/>
    <w:rsid w:val="15473AD5"/>
    <w:rsid w:val="156523D2"/>
    <w:rsid w:val="157F12C4"/>
    <w:rsid w:val="15866E1F"/>
    <w:rsid w:val="15886CDA"/>
    <w:rsid w:val="159409F3"/>
    <w:rsid w:val="15944468"/>
    <w:rsid w:val="15A20FDE"/>
    <w:rsid w:val="15A5325E"/>
    <w:rsid w:val="15B94642"/>
    <w:rsid w:val="15D17658"/>
    <w:rsid w:val="15E46271"/>
    <w:rsid w:val="15FA1C09"/>
    <w:rsid w:val="16071F9D"/>
    <w:rsid w:val="161B7D4F"/>
    <w:rsid w:val="162B467B"/>
    <w:rsid w:val="164A2C2D"/>
    <w:rsid w:val="16501589"/>
    <w:rsid w:val="1658480F"/>
    <w:rsid w:val="165A1A6D"/>
    <w:rsid w:val="165B5EB2"/>
    <w:rsid w:val="165E2722"/>
    <w:rsid w:val="16610551"/>
    <w:rsid w:val="166D22B8"/>
    <w:rsid w:val="16796C36"/>
    <w:rsid w:val="169F3ACF"/>
    <w:rsid w:val="16A9130C"/>
    <w:rsid w:val="16B54D41"/>
    <w:rsid w:val="16BB254A"/>
    <w:rsid w:val="16CE63CC"/>
    <w:rsid w:val="16E04812"/>
    <w:rsid w:val="16ED1317"/>
    <w:rsid w:val="16EE441D"/>
    <w:rsid w:val="16EF7071"/>
    <w:rsid w:val="16F97D1D"/>
    <w:rsid w:val="17073639"/>
    <w:rsid w:val="17146C21"/>
    <w:rsid w:val="171507D5"/>
    <w:rsid w:val="17177706"/>
    <w:rsid w:val="174D1ECD"/>
    <w:rsid w:val="175031F0"/>
    <w:rsid w:val="17654E21"/>
    <w:rsid w:val="17663DC4"/>
    <w:rsid w:val="1769007A"/>
    <w:rsid w:val="177B477E"/>
    <w:rsid w:val="178E51F7"/>
    <w:rsid w:val="17964357"/>
    <w:rsid w:val="17A3069B"/>
    <w:rsid w:val="17A4294C"/>
    <w:rsid w:val="17A97A83"/>
    <w:rsid w:val="17AD456C"/>
    <w:rsid w:val="17B74A43"/>
    <w:rsid w:val="17D85A62"/>
    <w:rsid w:val="17DF063E"/>
    <w:rsid w:val="17E07DAD"/>
    <w:rsid w:val="17EC4054"/>
    <w:rsid w:val="17F8432A"/>
    <w:rsid w:val="18043880"/>
    <w:rsid w:val="180B3F4E"/>
    <w:rsid w:val="180B5ABD"/>
    <w:rsid w:val="180C5D2B"/>
    <w:rsid w:val="18172976"/>
    <w:rsid w:val="182C24B5"/>
    <w:rsid w:val="18324053"/>
    <w:rsid w:val="18356139"/>
    <w:rsid w:val="184243B2"/>
    <w:rsid w:val="18553EC6"/>
    <w:rsid w:val="18807CCF"/>
    <w:rsid w:val="1884220A"/>
    <w:rsid w:val="18B202ED"/>
    <w:rsid w:val="18D071C7"/>
    <w:rsid w:val="18D152C9"/>
    <w:rsid w:val="18D433A9"/>
    <w:rsid w:val="18D771F0"/>
    <w:rsid w:val="18E134FB"/>
    <w:rsid w:val="18ED3F2E"/>
    <w:rsid w:val="18EE0096"/>
    <w:rsid w:val="18F9358F"/>
    <w:rsid w:val="19091A7D"/>
    <w:rsid w:val="190C1FC5"/>
    <w:rsid w:val="1912647A"/>
    <w:rsid w:val="19263CD4"/>
    <w:rsid w:val="19273F5F"/>
    <w:rsid w:val="1927534B"/>
    <w:rsid w:val="192B3EF2"/>
    <w:rsid w:val="19384C1B"/>
    <w:rsid w:val="1949619A"/>
    <w:rsid w:val="19500AC7"/>
    <w:rsid w:val="19500BD1"/>
    <w:rsid w:val="19550115"/>
    <w:rsid w:val="1977008B"/>
    <w:rsid w:val="19940768"/>
    <w:rsid w:val="19943440"/>
    <w:rsid w:val="199A5258"/>
    <w:rsid w:val="19A31463"/>
    <w:rsid w:val="19AD0674"/>
    <w:rsid w:val="19BD01F0"/>
    <w:rsid w:val="19D460CB"/>
    <w:rsid w:val="19DC4AC8"/>
    <w:rsid w:val="19E750D0"/>
    <w:rsid w:val="1A0E3B10"/>
    <w:rsid w:val="1A1C2F09"/>
    <w:rsid w:val="1A2159CF"/>
    <w:rsid w:val="1A2878C3"/>
    <w:rsid w:val="1A2A469C"/>
    <w:rsid w:val="1A2F04B8"/>
    <w:rsid w:val="1A432151"/>
    <w:rsid w:val="1A5246F2"/>
    <w:rsid w:val="1A5B5915"/>
    <w:rsid w:val="1A6772E7"/>
    <w:rsid w:val="1A694F73"/>
    <w:rsid w:val="1A7B1AB9"/>
    <w:rsid w:val="1A826DBD"/>
    <w:rsid w:val="1A871DB2"/>
    <w:rsid w:val="1A8B5566"/>
    <w:rsid w:val="1AAA7DF8"/>
    <w:rsid w:val="1AB560D7"/>
    <w:rsid w:val="1ABC044C"/>
    <w:rsid w:val="1AD5425D"/>
    <w:rsid w:val="1ADD5B61"/>
    <w:rsid w:val="1AED2863"/>
    <w:rsid w:val="1AEF014E"/>
    <w:rsid w:val="1AF4448C"/>
    <w:rsid w:val="1AFB3F20"/>
    <w:rsid w:val="1B074FDA"/>
    <w:rsid w:val="1B115F6E"/>
    <w:rsid w:val="1B157E99"/>
    <w:rsid w:val="1B1E6602"/>
    <w:rsid w:val="1B26560E"/>
    <w:rsid w:val="1B272899"/>
    <w:rsid w:val="1B3A7392"/>
    <w:rsid w:val="1B3A75C2"/>
    <w:rsid w:val="1B553D75"/>
    <w:rsid w:val="1B7B17D1"/>
    <w:rsid w:val="1B8448B7"/>
    <w:rsid w:val="1B8F5ABD"/>
    <w:rsid w:val="1B915AB2"/>
    <w:rsid w:val="1B933BF8"/>
    <w:rsid w:val="1B9B7C05"/>
    <w:rsid w:val="1B9E47A5"/>
    <w:rsid w:val="1BA61BEF"/>
    <w:rsid w:val="1BC20967"/>
    <w:rsid w:val="1BC32E0B"/>
    <w:rsid w:val="1BC82E20"/>
    <w:rsid w:val="1BD376C4"/>
    <w:rsid w:val="1BD8020C"/>
    <w:rsid w:val="1BEA5591"/>
    <w:rsid w:val="1BEB3C87"/>
    <w:rsid w:val="1C090C95"/>
    <w:rsid w:val="1C0E765E"/>
    <w:rsid w:val="1C327240"/>
    <w:rsid w:val="1C367EC6"/>
    <w:rsid w:val="1C3C0C77"/>
    <w:rsid w:val="1C4448AF"/>
    <w:rsid w:val="1C502276"/>
    <w:rsid w:val="1C574879"/>
    <w:rsid w:val="1C5D7B47"/>
    <w:rsid w:val="1C681408"/>
    <w:rsid w:val="1C6955F7"/>
    <w:rsid w:val="1C7B24E2"/>
    <w:rsid w:val="1C8B717A"/>
    <w:rsid w:val="1C9B5F9A"/>
    <w:rsid w:val="1C9F727F"/>
    <w:rsid w:val="1CAF7473"/>
    <w:rsid w:val="1CCA701D"/>
    <w:rsid w:val="1CCE33C6"/>
    <w:rsid w:val="1CED457C"/>
    <w:rsid w:val="1D12416B"/>
    <w:rsid w:val="1D141272"/>
    <w:rsid w:val="1D180615"/>
    <w:rsid w:val="1D260F5B"/>
    <w:rsid w:val="1D290F49"/>
    <w:rsid w:val="1D482187"/>
    <w:rsid w:val="1D48246B"/>
    <w:rsid w:val="1D547061"/>
    <w:rsid w:val="1D550375"/>
    <w:rsid w:val="1D653434"/>
    <w:rsid w:val="1D831634"/>
    <w:rsid w:val="1D8F2669"/>
    <w:rsid w:val="1D905BC0"/>
    <w:rsid w:val="1DAA4DE5"/>
    <w:rsid w:val="1DB57E58"/>
    <w:rsid w:val="1DE84DF2"/>
    <w:rsid w:val="1DEC7A95"/>
    <w:rsid w:val="1DF149CA"/>
    <w:rsid w:val="1E022B0B"/>
    <w:rsid w:val="1E0237F4"/>
    <w:rsid w:val="1E05475B"/>
    <w:rsid w:val="1E1B1AA4"/>
    <w:rsid w:val="1E1F0132"/>
    <w:rsid w:val="1E3E3FAE"/>
    <w:rsid w:val="1E6000B4"/>
    <w:rsid w:val="1E6D7CDF"/>
    <w:rsid w:val="1E8150D1"/>
    <w:rsid w:val="1E8A35E1"/>
    <w:rsid w:val="1E8E4FD8"/>
    <w:rsid w:val="1E9B0B0E"/>
    <w:rsid w:val="1E9E10D4"/>
    <w:rsid w:val="1EA846AF"/>
    <w:rsid w:val="1EB75FDC"/>
    <w:rsid w:val="1EBF49AE"/>
    <w:rsid w:val="1EDC0404"/>
    <w:rsid w:val="1EE52FDC"/>
    <w:rsid w:val="1EEA6132"/>
    <w:rsid w:val="1EF61AD2"/>
    <w:rsid w:val="1F0754D5"/>
    <w:rsid w:val="1F11736D"/>
    <w:rsid w:val="1F1B08F2"/>
    <w:rsid w:val="1F2F50C1"/>
    <w:rsid w:val="1F4C082F"/>
    <w:rsid w:val="1F4E3EAC"/>
    <w:rsid w:val="1F541C4C"/>
    <w:rsid w:val="1F575934"/>
    <w:rsid w:val="1F641135"/>
    <w:rsid w:val="1F7631EB"/>
    <w:rsid w:val="1F7F6EC1"/>
    <w:rsid w:val="1F80692A"/>
    <w:rsid w:val="1F81051A"/>
    <w:rsid w:val="1F82347A"/>
    <w:rsid w:val="1F892FAD"/>
    <w:rsid w:val="1F8C6832"/>
    <w:rsid w:val="1FAF595C"/>
    <w:rsid w:val="1FCC07FB"/>
    <w:rsid w:val="1FCF30E9"/>
    <w:rsid w:val="1FED3D7E"/>
    <w:rsid w:val="1FF30DF6"/>
    <w:rsid w:val="1FF46E45"/>
    <w:rsid w:val="1FFD243A"/>
    <w:rsid w:val="20016901"/>
    <w:rsid w:val="20036767"/>
    <w:rsid w:val="20036FFE"/>
    <w:rsid w:val="2006008E"/>
    <w:rsid w:val="200620FC"/>
    <w:rsid w:val="2011123A"/>
    <w:rsid w:val="201B0F50"/>
    <w:rsid w:val="20275C9A"/>
    <w:rsid w:val="203E32D9"/>
    <w:rsid w:val="205506FA"/>
    <w:rsid w:val="20664686"/>
    <w:rsid w:val="20781922"/>
    <w:rsid w:val="20895524"/>
    <w:rsid w:val="208F0434"/>
    <w:rsid w:val="20AD6DF8"/>
    <w:rsid w:val="20AE6A88"/>
    <w:rsid w:val="20B873EB"/>
    <w:rsid w:val="20BF54EB"/>
    <w:rsid w:val="20C27542"/>
    <w:rsid w:val="20C73087"/>
    <w:rsid w:val="20C73B62"/>
    <w:rsid w:val="20C911E4"/>
    <w:rsid w:val="20DC447C"/>
    <w:rsid w:val="20E60813"/>
    <w:rsid w:val="20E71F9A"/>
    <w:rsid w:val="20E87EE1"/>
    <w:rsid w:val="21141AB5"/>
    <w:rsid w:val="211F34E2"/>
    <w:rsid w:val="21255A4D"/>
    <w:rsid w:val="21561DE5"/>
    <w:rsid w:val="215D225D"/>
    <w:rsid w:val="21721078"/>
    <w:rsid w:val="21775608"/>
    <w:rsid w:val="218F6F3C"/>
    <w:rsid w:val="219043E0"/>
    <w:rsid w:val="219A1092"/>
    <w:rsid w:val="21AD2F63"/>
    <w:rsid w:val="21C40F13"/>
    <w:rsid w:val="21D7254D"/>
    <w:rsid w:val="21D92FBA"/>
    <w:rsid w:val="21DB240E"/>
    <w:rsid w:val="21DD3EC8"/>
    <w:rsid w:val="21E544FB"/>
    <w:rsid w:val="21EB576C"/>
    <w:rsid w:val="21EC560F"/>
    <w:rsid w:val="21F41307"/>
    <w:rsid w:val="21FE7A8E"/>
    <w:rsid w:val="220B6146"/>
    <w:rsid w:val="22144EBE"/>
    <w:rsid w:val="22367490"/>
    <w:rsid w:val="2245341D"/>
    <w:rsid w:val="22622D2E"/>
    <w:rsid w:val="227B1351"/>
    <w:rsid w:val="22847DF8"/>
    <w:rsid w:val="228C4962"/>
    <w:rsid w:val="22934E4F"/>
    <w:rsid w:val="22B75B6A"/>
    <w:rsid w:val="22C36939"/>
    <w:rsid w:val="22D26782"/>
    <w:rsid w:val="22DF18B4"/>
    <w:rsid w:val="22DF73CD"/>
    <w:rsid w:val="22ED71DF"/>
    <w:rsid w:val="23004ECD"/>
    <w:rsid w:val="232600CB"/>
    <w:rsid w:val="232E75A8"/>
    <w:rsid w:val="233B2C77"/>
    <w:rsid w:val="233E2B43"/>
    <w:rsid w:val="233F7E6C"/>
    <w:rsid w:val="23564262"/>
    <w:rsid w:val="23635359"/>
    <w:rsid w:val="239C5315"/>
    <w:rsid w:val="23AB222F"/>
    <w:rsid w:val="23BC0C45"/>
    <w:rsid w:val="23C13C0E"/>
    <w:rsid w:val="23C50AFE"/>
    <w:rsid w:val="23C80D05"/>
    <w:rsid w:val="23CA42DA"/>
    <w:rsid w:val="23D031BA"/>
    <w:rsid w:val="23DB5488"/>
    <w:rsid w:val="23DD5F24"/>
    <w:rsid w:val="23DE53DF"/>
    <w:rsid w:val="23DE7E21"/>
    <w:rsid w:val="23E17227"/>
    <w:rsid w:val="23EE05DA"/>
    <w:rsid w:val="23F94978"/>
    <w:rsid w:val="23FA3E7C"/>
    <w:rsid w:val="2418706C"/>
    <w:rsid w:val="241B0F74"/>
    <w:rsid w:val="2444674F"/>
    <w:rsid w:val="244E79BB"/>
    <w:rsid w:val="24571EB9"/>
    <w:rsid w:val="245F1806"/>
    <w:rsid w:val="24642416"/>
    <w:rsid w:val="247332FB"/>
    <w:rsid w:val="24936748"/>
    <w:rsid w:val="24B1468C"/>
    <w:rsid w:val="24B61418"/>
    <w:rsid w:val="24B957CA"/>
    <w:rsid w:val="24BA2895"/>
    <w:rsid w:val="24CC1BD3"/>
    <w:rsid w:val="24DB394F"/>
    <w:rsid w:val="251B2E81"/>
    <w:rsid w:val="252037D1"/>
    <w:rsid w:val="252208C5"/>
    <w:rsid w:val="252D29A2"/>
    <w:rsid w:val="252E3785"/>
    <w:rsid w:val="25424108"/>
    <w:rsid w:val="25611C99"/>
    <w:rsid w:val="25703E2C"/>
    <w:rsid w:val="257414C5"/>
    <w:rsid w:val="2578449F"/>
    <w:rsid w:val="258055E3"/>
    <w:rsid w:val="25AC6556"/>
    <w:rsid w:val="25BC2ADC"/>
    <w:rsid w:val="25C2334B"/>
    <w:rsid w:val="25C311F0"/>
    <w:rsid w:val="25C468DD"/>
    <w:rsid w:val="25D92B57"/>
    <w:rsid w:val="25DA74AE"/>
    <w:rsid w:val="25EA1F4D"/>
    <w:rsid w:val="25EB6665"/>
    <w:rsid w:val="25FE611E"/>
    <w:rsid w:val="260E0424"/>
    <w:rsid w:val="26151358"/>
    <w:rsid w:val="262B2807"/>
    <w:rsid w:val="262E2017"/>
    <w:rsid w:val="263D6290"/>
    <w:rsid w:val="26410554"/>
    <w:rsid w:val="264B57A2"/>
    <w:rsid w:val="264D7C14"/>
    <w:rsid w:val="264F16C0"/>
    <w:rsid w:val="265A2E8E"/>
    <w:rsid w:val="265F1545"/>
    <w:rsid w:val="265F6142"/>
    <w:rsid w:val="266F35DF"/>
    <w:rsid w:val="267C1FA6"/>
    <w:rsid w:val="267F4B7E"/>
    <w:rsid w:val="269D7349"/>
    <w:rsid w:val="26A84703"/>
    <w:rsid w:val="26AB574B"/>
    <w:rsid w:val="26BC7986"/>
    <w:rsid w:val="26C43D4C"/>
    <w:rsid w:val="26CB23B2"/>
    <w:rsid w:val="26D42A7B"/>
    <w:rsid w:val="26D44D6F"/>
    <w:rsid w:val="26E72CF4"/>
    <w:rsid w:val="26E825C8"/>
    <w:rsid w:val="26ED6C7A"/>
    <w:rsid w:val="27035654"/>
    <w:rsid w:val="2710609F"/>
    <w:rsid w:val="27110C95"/>
    <w:rsid w:val="27525BD6"/>
    <w:rsid w:val="275A34C6"/>
    <w:rsid w:val="275F47D6"/>
    <w:rsid w:val="276308DF"/>
    <w:rsid w:val="27630A8A"/>
    <w:rsid w:val="27705F36"/>
    <w:rsid w:val="277F0350"/>
    <w:rsid w:val="27802801"/>
    <w:rsid w:val="27892580"/>
    <w:rsid w:val="27912C60"/>
    <w:rsid w:val="27A36EA9"/>
    <w:rsid w:val="27A46429"/>
    <w:rsid w:val="27BE06A8"/>
    <w:rsid w:val="27CA3284"/>
    <w:rsid w:val="27E965F8"/>
    <w:rsid w:val="27EB29FE"/>
    <w:rsid w:val="28015FA9"/>
    <w:rsid w:val="280C4527"/>
    <w:rsid w:val="28137270"/>
    <w:rsid w:val="281B5041"/>
    <w:rsid w:val="28302DCC"/>
    <w:rsid w:val="28386767"/>
    <w:rsid w:val="283B5E64"/>
    <w:rsid w:val="2843270B"/>
    <w:rsid w:val="28676F7A"/>
    <w:rsid w:val="2879797C"/>
    <w:rsid w:val="287C52F1"/>
    <w:rsid w:val="287D5272"/>
    <w:rsid w:val="289E3768"/>
    <w:rsid w:val="28A3076F"/>
    <w:rsid w:val="28A41846"/>
    <w:rsid w:val="28AB3A2F"/>
    <w:rsid w:val="28BF7D25"/>
    <w:rsid w:val="28D57BCA"/>
    <w:rsid w:val="28D605D8"/>
    <w:rsid w:val="28E90E49"/>
    <w:rsid w:val="28E955E1"/>
    <w:rsid w:val="28EC45F2"/>
    <w:rsid w:val="28ED3C93"/>
    <w:rsid w:val="28F1227F"/>
    <w:rsid w:val="28F14874"/>
    <w:rsid w:val="28F1615F"/>
    <w:rsid w:val="28F60448"/>
    <w:rsid w:val="2900009D"/>
    <w:rsid w:val="29006B66"/>
    <w:rsid w:val="29055792"/>
    <w:rsid w:val="290A02A4"/>
    <w:rsid w:val="29210E84"/>
    <w:rsid w:val="292335E5"/>
    <w:rsid w:val="293B0C89"/>
    <w:rsid w:val="294256DC"/>
    <w:rsid w:val="2942749F"/>
    <w:rsid w:val="294855A0"/>
    <w:rsid w:val="294F40E1"/>
    <w:rsid w:val="295170DB"/>
    <w:rsid w:val="296077B8"/>
    <w:rsid w:val="2968280F"/>
    <w:rsid w:val="29693BD0"/>
    <w:rsid w:val="297E393E"/>
    <w:rsid w:val="29886183"/>
    <w:rsid w:val="298C7B83"/>
    <w:rsid w:val="29A33418"/>
    <w:rsid w:val="29AC1491"/>
    <w:rsid w:val="29AF20AF"/>
    <w:rsid w:val="29B1624B"/>
    <w:rsid w:val="29B50660"/>
    <w:rsid w:val="29C52BFE"/>
    <w:rsid w:val="29C77287"/>
    <w:rsid w:val="29C86BFB"/>
    <w:rsid w:val="29CE470D"/>
    <w:rsid w:val="29D23752"/>
    <w:rsid w:val="29D83858"/>
    <w:rsid w:val="29DC67C5"/>
    <w:rsid w:val="29EB4B6C"/>
    <w:rsid w:val="29EC18EA"/>
    <w:rsid w:val="2A057CAF"/>
    <w:rsid w:val="2A1306EF"/>
    <w:rsid w:val="2A1F2907"/>
    <w:rsid w:val="2A2009C5"/>
    <w:rsid w:val="2A231454"/>
    <w:rsid w:val="2A2B12CF"/>
    <w:rsid w:val="2A2E7C1A"/>
    <w:rsid w:val="2A351AE7"/>
    <w:rsid w:val="2A381FB3"/>
    <w:rsid w:val="2A3A7DAD"/>
    <w:rsid w:val="2A4B4FF6"/>
    <w:rsid w:val="2A4D723B"/>
    <w:rsid w:val="2A4F2D85"/>
    <w:rsid w:val="2A4F6F0B"/>
    <w:rsid w:val="2A526445"/>
    <w:rsid w:val="2A567388"/>
    <w:rsid w:val="2A853775"/>
    <w:rsid w:val="2A906871"/>
    <w:rsid w:val="2A9A6E2C"/>
    <w:rsid w:val="2AAA5C90"/>
    <w:rsid w:val="2AAB49D9"/>
    <w:rsid w:val="2AB6233B"/>
    <w:rsid w:val="2AC0044B"/>
    <w:rsid w:val="2AD25FFE"/>
    <w:rsid w:val="2AD321A5"/>
    <w:rsid w:val="2AD66D45"/>
    <w:rsid w:val="2AD7765D"/>
    <w:rsid w:val="2ADB5B9F"/>
    <w:rsid w:val="2AE57BB8"/>
    <w:rsid w:val="2AF459E0"/>
    <w:rsid w:val="2B0D2554"/>
    <w:rsid w:val="2B1E22C0"/>
    <w:rsid w:val="2B4A1AA4"/>
    <w:rsid w:val="2B5852ED"/>
    <w:rsid w:val="2B604E23"/>
    <w:rsid w:val="2B743461"/>
    <w:rsid w:val="2B8B00E1"/>
    <w:rsid w:val="2B9259EE"/>
    <w:rsid w:val="2B973B86"/>
    <w:rsid w:val="2BA43649"/>
    <w:rsid w:val="2BA6227F"/>
    <w:rsid w:val="2BA82B64"/>
    <w:rsid w:val="2BC02215"/>
    <w:rsid w:val="2BD459E1"/>
    <w:rsid w:val="2BF0659B"/>
    <w:rsid w:val="2C042402"/>
    <w:rsid w:val="2C063C80"/>
    <w:rsid w:val="2C167BCD"/>
    <w:rsid w:val="2C1725E3"/>
    <w:rsid w:val="2C214C90"/>
    <w:rsid w:val="2C290B67"/>
    <w:rsid w:val="2C2C4113"/>
    <w:rsid w:val="2C303D5C"/>
    <w:rsid w:val="2C3D7714"/>
    <w:rsid w:val="2C3F165B"/>
    <w:rsid w:val="2C4748F9"/>
    <w:rsid w:val="2C7F45F2"/>
    <w:rsid w:val="2C8156C5"/>
    <w:rsid w:val="2C8A14E3"/>
    <w:rsid w:val="2C8A23E7"/>
    <w:rsid w:val="2C8E59C0"/>
    <w:rsid w:val="2C8F112D"/>
    <w:rsid w:val="2CA02B84"/>
    <w:rsid w:val="2CA637C0"/>
    <w:rsid w:val="2CAC08A7"/>
    <w:rsid w:val="2CAF2821"/>
    <w:rsid w:val="2CB066F4"/>
    <w:rsid w:val="2CBF42DF"/>
    <w:rsid w:val="2CDD5BA2"/>
    <w:rsid w:val="2CE37ABA"/>
    <w:rsid w:val="2CE649EF"/>
    <w:rsid w:val="2D04268C"/>
    <w:rsid w:val="2D052E51"/>
    <w:rsid w:val="2D0A5960"/>
    <w:rsid w:val="2D0C7A15"/>
    <w:rsid w:val="2D177FD2"/>
    <w:rsid w:val="2D20261B"/>
    <w:rsid w:val="2D202ACF"/>
    <w:rsid w:val="2D2943F3"/>
    <w:rsid w:val="2D595FCE"/>
    <w:rsid w:val="2D644EDA"/>
    <w:rsid w:val="2D70512C"/>
    <w:rsid w:val="2D7415F8"/>
    <w:rsid w:val="2D8007AC"/>
    <w:rsid w:val="2D931D82"/>
    <w:rsid w:val="2D9645AA"/>
    <w:rsid w:val="2D96552C"/>
    <w:rsid w:val="2DA32098"/>
    <w:rsid w:val="2DA45F1F"/>
    <w:rsid w:val="2DB52F67"/>
    <w:rsid w:val="2DBA00F8"/>
    <w:rsid w:val="2DCD000B"/>
    <w:rsid w:val="2DCF56EE"/>
    <w:rsid w:val="2DCF6290"/>
    <w:rsid w:val="2DD5193A"/>
    <w:rsid w:val="2DD843A1"/>
    <w:rsid w:val="2E197A3D"/>
    <w:rsid w:val="2E333209"/>
    <w:rsid w:val="2E350646"/>
    <w:rsid w:val="2E385741"/>
    <w:rsid w:val="2E394281"/>
    <w:rsid w:val="2E4B6896"/>
    <w:rsid w:val="2E5643AC"/>
    <w:rsid w:val="2E73567F"/>
    <w:rsid w:val="2E7C69AC"/>
    <w:rsid w:val="2E81758A"/>
    <w:rsid w:val="2E8A483E"/>
    <w:rsid w:val="2EAB0483"/>
    <w:rsid w:val="2EAE2349"/>
    <w:rsid w:val="2EAE6B2A"/>
    <w:rsid w:val="2EAF7625"/>
    <w:rsid w:val="2EBC30BB"/>
    <w:rsid w:val="2EBE0501"/>
    <w:rsid w:val="2ECC7C54"/>
    <w:rsid w:val="2ED018DD"/>
    <w:rsid w:val="2ED64009"/>
    <w:rsid w:val="2EEF3AA0"/>
    <w:rsid w:val="2EF20AD5"/>
    <w:rsid w:val="2EF21577"/>
    <w:rsid w:val="2EF94D95"/>
    <w:rsid w:val="2EFA3AD6"/>
    <w:rsid w:val="2F226D3D"/>
    <w:rsid w:val="2F5C329E"/>
    <w:rsid w:val="2F67605F"/>
    <w:rsid w:val="2F6C6278"/>
    <w:rsid w:val="2F762976"/>
    <w:rsid w:val="2F7A3DF6"/>
    <w:rsid w:val="2F8E3EAC"/>
    <w:rsid w:val="2FA33B25"/>
    <w:rsid w:val="2FA55A71"/>
    <w:rsid w:val="2FA774C5"/>
    <w:rsid w:val="2FBE65BC"/>
    <w:rsid w:val="2FCA4F61"/>
    <w:rsid w:val="2FD45C3D"/>
    <w:rsid w:val="2FD57F0D"/>
    <w:rsid w:val="30116A61"/>
    <w:rsid w:val="301607A4"/>
    <w:rsid w:val="301A2340"/>
    <w:rsid w:val="301A3277"/>
    <w:rsid w:val="30224760"/>
    <w:rsid w:val="30286718"/>
    <w:rsid w:val="302B3D82"/>
    <w:rsid w:val="304E3653"/>
    <w:rsid w:val="305753A2"/>
    <w:rsid w:val="305F6AC7"/>
    <w:rsid w:val="306626CA"/>
    <w:rsid w:val="306833A9"/>
    <w:rsid w:val="306A1541"/>
    <w:rsid w:val="30985A8F"/>
    <w:rsid w:val="309B5EB0"/>
    <w:rsid w:val="30C60350"/>
    <w:rsid w:val="30CB187F"/>
    <w:rsid w:val="30D131E5"/>
    <w:rsid w:val="30DD55AC"/>
    <w:rsid w:val="30ED5CF7"/>
    <w:rsid w:val="30F50546"/>
    <w:rsid w:val="30FA7B5B"/>
    <w:rsid w:val="30FE7DB5"/>
    <w:rsid w:val="310605AC"/>
    <w:rsid w:val="310B26AB"/>
    <w:rsid w:val="311415DF"/>
    <w:rsid w:val="3115209B"/>
    <w:rsid w:val="31187080"/>
    <w:rsid w:val="311E52C7"/>
    <w:rsid w:val="31247DCD"/>
    <w:rsid w:val="31261BE1"/>
    <w:rsid w:val="313D63DB"/>
    <w:rsid w:val="313E0D04"/>
    <w:rsid w:val="31582E17"/>
    <w:rsid w:val="316A70FC"/>
    <w:rsid w:val="316D2048"/>
    <w:rsid w:val="3177295A"/>
    <w:rsid w:val="318B6972"/>
    <w:rsid w:val="318D326C"/>
    <w:rsid w:val="31932985"/>
    <w:rsid w:val="3195152F"/>
    <w:rsid w:val="31AF7D74"/>
    <w:rsid w:val="31B41C1C"/>
    <w:rsid w:val="31B45EC9"/>
    <w:rsid w:val="322A42A7"/>
    <w:rsid w:val="3240150B"/>
    <w:rsid w:val="326939FB"/>
    <w:rsid w:val="326B068E"/>
    <w:rsid w:val="327A2C6E"/>
    <w:rsid w:val="32985D7B"/>
    <w:rsid w:val="32A016E2"/>
    <w:rsid w:val="32A70BF6"/>
    <w:rsid w:val="32AF2646"/>
    <w:rsid w:val="32B231A0"/>
    <w:rsid w:val="32B90D3E"/>
    <w:rsid w:val="32C04E80"/>
    <w:rsid w:val="32CA53FC"/>
    <w:rsid w:val="32DF6F75"/>
    <w:rsid w:val="32F940CB"/>
    <w:rsid w:val="32FB5E3C"/>
    <w:rsid w:val="32FD5DDF"/>
    <w:rsid w:val="33005691"/>
    <w:rsid w:val="33025685"/>
    <w:rsid w:val="33033244"/>
    <w:rsid w:val="33051188"/>
    <w:rsid w:val="33185FE3"/>
    <w:rsid w:val="33246694"/>
    <w:rsid w:val="333878F1"/>
    <w:rsid w:val="33543AF9"/>
    <w:rsid w:val="335D00EB"/>
    <w:rsid w:val="335D4E5A"/>
    <w:rsid w:val="3364747B"/>
    <w:rsid w:val="336559CD"/>
    <w:rsid w:val="3370483D"/>
    <w:rsid w:val="33820D2D"/>
    <w:rsid w:val="33886F6E"/>
    <w:rsid w:val="339406A5"/>
    <w:rsid w:val="339A0697"/>
    <w:rsid w:val="33A40B97"/>
    <w:rsid w:val="33B745C0"/>
    <w:rsid w:val="33BC6BBE"/>
    <w:rsid w:val="33BE531D"/>
    <w:rsid w:val="33C91A99"/>
    <w:rsid w:val="33CA19D4"/>
    <w:rsid w:val="33D94FA4"/>
    <w:rsid w:val="33E9583B"/>
    <w:rsid w:val="33FA5088"/>
    <w:rsid w:val="340D25AE"/>
    <w:rsid w:val="341B24AF"/>
    <w:rsid w:val="34243BF5"/>
    <w:rsid w:val="34270BD4"/>
    <w:rsid w:val="344A48C2"/>
    <w:rsid w:val="34502FCD"/>
    <w:rsid w:val="34621C0C"/>
    <w:rsid w:val="34835986"/>
    <w:rsid w:val="34873421"/>
    <w:rsid w:val="349F0DCD"/>
    <w:rsid w:val="34A14B78"/>
    <w:rsid w:val="34A33E66"/>
    <w:rsid w:val="34BA37F6"/>
    <w:rsid w:val="34C75F13"/>
    <w:rsid w:val="34CF384E"/>
    <w:rsid w:val="34EE02D1"/>
    <w:rsid w:val="34EE6D34"/>
    <w:rsid w:val="34F712FB"/>
    <w:rsid w:val="34FD4DB8"/>
    <w:rsid w:val="351578D3"/>
    <w:rsid w:val="354C01C6"/>
    <w:rsid w:val="35577ABD"/>
    <w:rsid w:val="35750D0B"/>
    <w:rsid w:val="35776188"/>
    <w:rsid w:val="357F4F5A"/>
    <w:rsid w:val="358076A9"/>
    <w:rsid w:val="359B0FB3"/>
    <w:rsid w:val="35A96F2F"/>
    <w:rsid w:val="35B247C6"/>
    <w:rsid w:val="35CA04DD"/>
    <w:rsid w:val="35D55439"/>
    <w:rsid w:val="35E0375C"/>
    <w:rsid w:val="35E5716E"/>
    <w:rsid w:val="35F46869"/>
    <w:rsid w:val="360F07E9"/>
    <w:rsid w:val="361072B2"/>
    <w:rsid w:val="36187AD6"/>
    <w:rsid w:val="36190A39"/>
    <w:rsid w:val="36272755"/>
    <w:rsid w:val="364A0BAA"/>
    <w:rsid w:val="36556B1F"/>
    <w:rsid w:val="365C4AD4"/>
    <w:rsid w:val="3683504D"/>
    <w:rsid w:val="36864141"/>
    <w:rsid w:val="3692514A"/>
    <w:rsid w:val="36936245"/>
    <w:rsid w:val="369F2B5F"/>
    <w:rsid w:val="36B416D4"/>
    <w:rsid w:val="36C435F7"/>
    <w:rsid w:val="36C86824"/>
    <w:rsid w:val="36CF3B56"/>
    <w:rsid w:val="36D73DAE"/>
    <w:rsid w:val="36E65E63"/>
    <w:rsid w:val="36F42EDC"/>
    <w:rsid w:val="36F47CE2"/>
    <w:rsid w:val="37050830"/>
    <w:rsid w:val="3707043B"/>
    <w:rsid w:val="370A45C3"/>
    <w:rsid w:val="371A3B43"/>
    <w:rsid w:val="371A7946"/>
    <w:rsid w:val="371C1384"/>
    <w:rsid w:val="3747014D"/>
    <w:rsid w:val="374B6987"/>
    <w:rsid w:val="375B6C80"/>
    <w:rsid w:val="3790703A"/>
    <w:rsid w:val="37A74E88"/>
    <w:rsid w:val="37AD1D0E"/>
    <w:rsid w:val="37C171C7"/>
    <w:rsid w:val="37CA4D45"/>
    <w:rsid w:val="37EA6A17"/>
    <w:rsid w:val="37FE6BEC"/>
    <w:rsid w:val="380A5A24"/>
    <w:rsid w:val="383D019E"/>
    <w:rsid w:val="38451104"/>
    <w:rsid w:val="38652678"/>
    <w:rsid w:val="3884097C"/>
    <w:rsid w:val="3892325A"/>
    <w:rsid w:val="389B654A"/>
    <w:rsid w:val="389F7BF8"/>
    <w:rsid w:val="38A94BA3"/>
    <w:rsid w:val="38BC653E"/>
    <w:rsid w:val="38BD2702"/>
    <w:rsid w:val="38D71A53"/>
    <w:rsid w:val="38EC1A3D"/>
    <w:rsid w:val="38EE7F12"/>
    <w:rsid w:val="38F622BF"/>
    <w:rsid w:val="38F74B63"/>
    <w:rsid w:val="38F84269"/>
    <w:rsid w:val="38FA6401"/>
    <w:rsid w:val="3929719C"/>
    <w:rsid w:val="39506AB6"/>
    <w:rsid w:val="3955258A"/>
    <w:rsid w:val="395F1632"/>
    <w:rsid w:val="3968693E"/>
    <w:rsid w:val="396B2D22"/>
    <w:rsid w:val="399A59A4"/>
    <w:rsid w:val="39AD1B7B"/>
    <w:rsid w:val="39B26F3C"/>
    <w:rsid w:val="39B35F0D"/>
    <w:rsid w:val="39B61D4D"/>
    <w:rsid w:val="39BA2930"/>
    <w:rsid w:val="39BA7DF4"/>
    <w:rsid w:val="39C866B8"/>
    <w:rsid w:val="39CF2F72"/>
    <w:rsid w:val="39D94CA2"/>
    <w:rsid w:val="39F63B7A"/>
    <w:rsid w:val="3A0D47D7"/>
    <w:rsid w:val="3A107B48"/>
    <w:rsid w:val="3A1736AC"/>
    <w:rsid w:val="3A3667C1"/>
    <w:rsid w:val="3A42053B"/>
    <w:rsid w:val="3A4A6320"/>
    <w:rsid w:val="3A6414E7"/>
    <w:rsid w:val="3A681706"/>
    <w:rsid w:val="3A6A7EB0"/>
    <w:rsid w:val="3A75030F"/>
    <w:rsid w:val="3A9B5F8A"/>
    <w:rsid w:val="3A9C2BF1"/>
    <w:rsid w:val="3AA77BAC"/>
    <w:rsid w:val="3AAA7C0A"/>
    <w:rsid w:val="3ABD1D00"/>
    <w:rsid w:val="3AC11F2B"/>
    <w:rsid w:val="3ACF473A"/>
    <w:rsid w:val="3AD60CC9"/>
    <w:rsid w:val="3ADA36B6"/>
    <w:rsid w:val="3B103394"/>
    <w:rsid w:val="3B151968"/>
    <w:rsid w:val="3B1A22C1"/>
    <w:rsid w:val="3B2321E2"/>
    <w:rsid w:val="3B240DA3"/>
    <w:rsid w:val="3B273268"/>
    <w:rsid w:val="3B334DD7"/>
    <w:rsid w:val="3B3E69D9"/>
    <w:rsid w:val="3B4171C3"/>
    <w:rsid w:val="3B441816"/>
    <w:rsid w:val="3B584A09"/>
    <w:rsid w:val="3B5A363D"/>
    <w:rsid w:val="3B7B1805"/>
    <w:rsid w:val="3B7B2140"/>
    <w:rsid w:val="3B873C2C"/>
    <w:rsid w:val="3B964647"/>
    <w:rsid w:val="3BBC7A16"/>
    <w:rsid w:val="3BC85A52"/>
    <w:rsid w:val="3BEA7629"/>
    <w:rsid w:val="3C0035C8"/>
    <w:rsid w:val="3C0B294D"/>
    <w:rsid w:val="3C0F2FD7"/>
    <w:rsid w:val="3C265D73"/>
    <w:rsid w:val="3C3B0FB9"/>
    <w:rsid w:val="3C526550"/>
    <w:rsid w:val="3C6A7D30"/>
    <w:rsid w:val="3CA279D5"/>
    <w:rsid w:val="3CAD6F11"/>
    <w:rsid w:val="3CBA6138"/>
    <w:rsid w:val="3CBE5DC0"/>
    <w:rsid w:val="3CCC1A9D"/>
    <w:rsid w:val="3CD048DB"/>
    <w:rsid w:val="3CD25455"/>
    <w:rsid w:val="3CD84372"/>
    <w:rsid w:val="3CDC45A5"/>
    <w:rsid w:val="3CDE55F6"/>
    <w:rsid w:val="3CE57664"/>
    <w:rsid w:val="3CEF07B0"/>
    <w:rsid w:val="3CF547F0"/>
    <w:rsid w:val="3CF7310E"/>
    <w:rsid w:val="3D0A24EF"/>
    <w:rsid w:val="3D214534"/>
    <w:rsid w:val="3D4225DB"/>
    <w:rsid w:val="3D5E11F2"/>
    <w:rsid w:val="3D690DAE"/>
    <w:rsid w:val="3D707C5B"/>
    <w:rsid w:val="3D7429A3"/>
    <w:rsid w:val="3DB112A3"/>
    <w:rsid w:val="3DB80235"/>
    <w:rsid w:val="3DB92E3F"/>
    <w:rsid w:val="3DD1395F"/>
    <w:rsid w:val="3DFB31A5"/>
    <w:rsid w:val="3DFB45F9"/>
    <w:rsid w:val="3E4F0A67"/>
    <w:rsid w:val="3E4F28BB"/>
    <w:rsid w:val="3E504C3C"/>
    <w:rsid w:val="3E5A585B"/>
    <w:rsid w:val="3E602576"/>
    <w:rsid w:val="3E6D68AC"/>
    <w:rsid w:val="3E7657B7"/>
    <w:rsid w:val="3E7D2D88"/>
    <w:rsid w:val="3E93764E"/>
    <w:rsid w:val="3EA03A5D"/>
    <w:rsid w:val="3EB956A6"/>
    <w:rsid w:val="3EC45F40"/>
    <w:rsid w:val="3ED47538"/>
    <w:rsid w:val="3EEA7442"/>
    <w:rsid w:val="3F107DA9"/>
    <w:rsid w:val="3F121D47"/>
    <w:rsid w:val="3F237AEB"/>
    <w:rsid w:val="3F255EE2"/>
    <w:rsid w:val="3F4723E0"/>
    <w:rsid w:val="3F5440AB"/>
    <w:rsid w:val="3F567940"/>
    <w:rsid w:val="3F65517D"/>
    <w:rsid w:val="3F713917"/>
    <w:rsid w:val="3F773D0F"/>
    <w:rsid w:val="3F823162"/>
    <w:rsid w:val="3F8D25DD"/>
    <w:rsid w:val="3F960BF7"/>
    <w:rsid w:val="3FAA5C4C"/>
    <w:rsid w:val="3FAF1C5C"/>
    <w:rsid w:val="3FE56D10"/>
    <w:rsid w:val="401B4263"/>
    <w:rsid w:val="40216364"/>
    <w:rsid w:val="40310B5C"/>
    <w:rsid w:val="40385E01"/>
    <w:rsid w:val="405E0026"/>
    <w:rsid w:val="4063401F"/>
    <w:rsid w:val="40642868"/>
    <w:rsid w:val="4069760E"/>
    <w:rsid w:val="406F4803"/>
    <w:rsid w:val="40765BC6"/>
    <w:rsid w:val="407C1666"/>
    <w:rsid w:val="408D2352"/>
    <w:rsid w:val="409E0075"/>
    <w:rsid w:val="40A87C5F"/>
    <w:rsid w:val="40A94E20"/>
    <w:rsid w:val="40A960C5"/>
    <w:rsid w:val="40AA6EAA"/>
    <w:rsid w:val="40AA765C"/>
    <w:rsid w:val="40B416B7"/>
    <w:rsid w:val="40D21111"/>
    <w:rsid w:val="40DA6082"/>
    <w:rsid w:val="40E439A9"/>
    <w:rsid w:val="40E8138A"/>
    <w:rsid w:val="40E92FF7"/>
    <w:rsid w:val="40F01130"/>
    <w:rsid w:val="40F70196"/>
    <w:rsid w:val="410D693D"/>
    <w:rsid w:val="411F732E"/>
    <w:rsid w:val="41211416"/>
    <w:rsid w:val="41322966"/>
    <w:rsid w:val="413978A2"/>
    <w:rsid w:val="413E50B8"/>
    <w:rsid w:val="41506184"/>
    <w:rsid w:val="41627D75"/>
    <w:rsid w:val="41694F2C"/>
    <w:rsid w:val="416D1FB5"/>
    <w:rsid w:val="4170325B"/>
    <w:rsid w:val="41730D07"/>
    <w:rsid w:val="4173423A"/>
    <w:rsid w:val="41902B92"/>
    <w:rsid w:val="41C64CB8"/>
    <w:rsid w:val="41D028AB"/>
    <w:rsid w:val="41D63F26"/>
    <w:rsid w:val="41E20178"/>
    <w:rsid w:val="41E2022F"/>
    <w:rsid w:val="41E60D0C"/>
    <w:rsid w:val="41E77BCB"/>
    <w:rsid w:val="41FD05AA"/>
    <w:rsid w:val="4212760B"/>
    <w:rsid w:val="421767B3"/>
    <w:rsid w:val="422229DB"/>
    <w:rsid w:val="422A0A83"/>
    <w:rsid w:val="422C3859"/>
    <w:rsid w:val="423F2FD4"/>
    <w:rsid w:val="42505EE4"/>
    <w:rsid w:val="42730D08"/>
    <w:rsid w:val="427B21C3"/>
    <w:rsid w:val="429119F5"/>
    <w:rsid w:val="42915E41"/>
    <w:rsid w:val="42944722"/>
    <w:rsid w:val="42A10D90"/>
    <w:rsid w:val="42BA0FB3"/>
    <w:rsid w:val="42C11E60"/>
    <w:rsid w:val="42C473F2"/>
    <w:rsid w:val="42D1418B"/>
    <w:rsid w:val="42DC12B4"/>
    <w:rsid w:val="42F87D0B"/>
    <w:rsid w:val="42FA5762"/>
    <w:rsid w:val="42FE2D71"/>
    <w:rsid w:val="430A69DE"/>
    <w:rsid w:val="43134C94"/>
    <w:rsid w:val="43196A08"/>
    <w:rsid w:val="431A68E1"/>
    <w:rsid w:val="431C6BC9"/>
    <w:rsid w:val="43464EC2"/>
    <w:rsid w:val="43490AA8"/>
    <w:rsid w:val="436533AE"/>
    <w:rsid w:val="4368382B"/>
    <w:rsid w:val="437841F8"/>
    <w:rsid w:val="43787781"/>
    <w:rsid w:val="438F0AAE"/>
    <w:rsid w:val="43AF4811"/>
    <w:rsid w:val="43B26A05"/>
    <w:rsid w:val="43BF6DEF"/>
    <w:rsid w:val="43D24C60"/>
    <w:rsid w:val="43EB5A74"/>
    <w:rsid w:val="43F0357B"/>
    <w:rsid w:val="43F321B1"/>
    <w:rsid w:val="43F4091B"/>
    <w:rsid w:val="44001E51"/>
    <w:rsid w:val="44013D6C"/>
    <w:rsid w:val="441328B1"/>
    <w:rsid w:val="44223166"/>
    <w:rsid w:val="442C6925"/>
    <w:rsid w:val="443A2387"/>
    <w:rsid w:val="44415521"/>
    <w:rsid w:val="44461648"/>
    <w:rsid w:val="445C6678"/>
    <w:rsid w:val="446C478E"/>
    <w:rsid w:val="44706E6A"/>
    <w:rsid w:val="44882270"/>
    <w:rsid w:val="449D0F82"/>
    <w:rsid w:val="44A61B69"/>
    <w:rsid w:val="44C2564E"/>
    <w:rsid w:val="44CA5E59"/>
    <w:rsid w:val="44DE15E5"/>
    <w:rsid w:val="44DF452C"/>
    <w:rsid w:val="44F24F9F"/>
    <w:rsid w:val="44F53FBC"/>
    <w:rsid w:val="44FE5CC1"/>
    <w:rsid w:val="4508473D"/>
    <w:rsid w:val="45102BCD"/>
    <w:rsid w:val="45164E7F"/>
    <w:rsid w:val="45196317"/>
    <w:rsid w:val="452458BF"/>
    <w:rsid w:val="453859FD"/>
    <w:rsid w:val="455020EC"/>
    <w:rsid w:val="45576901"/>
    <w:rsid w:val="458620D1"/>
    <w:rsid w:val="45A24A5D"/>
    <w:rsid w:val="45A33BAA"/>
    <w:rsid w:val="45A639E7"/>
    <w:rsid w:val="45A85719"/>
    <w:rsid w:val="45BB117C"/>
    <w:rsid w:val="45D10A9B"/>
    <w:rsid w:val="45E51686"/>
    <w:rsid w:val="45E57A43"/>
    <w:rsid w:val="45F40263"/>
    <w:rsid w:val="45F43796"/>
    <w:rsid w:val="45F76A82"/>
    <w:rsid w:val="460E3B07"/>
    <w:rsid w:val="46111FE3"/>
    <w:rsid w:val="462F12AD"/>
    <w:rsid w:val="46326674"/>
    <w:rsid w:val="463F1D7B"/>
    <w:rsid w:val="46466F79"/>
    <w:rsid w:val="466971B1"/>
    <w:rsid w:val="46727855"/>
    <w:rsid w:val="46A13966"/>
    <w:rsid w:val="46B01975"/>
    <w:rsid w:val="46B15BAC"/>
    <w:rsid w:val="46C90747"/>
    <w:rsid w:val="46E44703"/>
    <w:rsid w:val="46FA2178"/>
    <w:rsid w:val="46FF08E1"/>
    <w:rsid w:val="46FF153C"/>
    <w:rsid w:val="4709009D"/>
    <w:rsid w:val="471850D7"/>
    <w:rsid w:val="471F57C4"/>
    <w:rsid w:val="472167CF"/>
    <w:rsid w:val="47245A31"/>
    <w:rsid w:val="472479E1"/>
    <w:rsid w:val="47285D22"/>
    <w:rsid w:val="472B1A28"/>
    <w:rsid w:val="474F1DD6"/>
    <w:rsid w:val="474F47CF"/>
    <w:rsid w:val="47615DF2"/>
    <w:rsid w:val="478F072E"/>
    <w:rsid w:val="47A64D31"/>
    <w:rsid w:val="47AA1047"/>
    <w:rsid w:val="47AB5220"/>
    <w:rsid w:val="47D047AC"/>
    <w:rsid w:val="47D465D2"/>
    <w:rsid w:val="47F22CA9"/>
    <w:rsid w:val="47F5631F"/>
    <w:rsid w:val="47FA5C10"/>
    <w:rsid w:val="48060444"/>
    <w:rsid w:val="480627C0"/>
    <w:rsid w:val="481417F0"/>
    <w:rsid w:val="48200D08"/>
    <w:rsid w:val="4831001E"/>
    <w:rsid w:val="48375794"/>
    <w:rsid w:val="4847697F"/>
    <w:rsid w:val="48603A96"/>
    <w:rsid w:val="48647524"/>
    <w:rsid w:val="486E66D7"/>
    <w:rsid w:val="486F745F"/>
    <w:rsid w:val="4871442B"/>
    <w:rsid w:val="48807E97"/>
    <w:rsid w:val="48830928"/>
    <w:rsid w:val="488869A5"/>
    <w:rsid w:val="48923E4A"/>
    <w:rsid w:val="48CA7928"/>
    <w:rsid w:val="48D65497"/>
    <w:rsid w:val="48E92A25"/>
    <w:rsid w:val="48F43830"/>
    <w:rsid w:val="49060F7A"/>
    <w:rsid w:val="490A2181"/>
    <w:rsid w:val="491D36A3"/>
    <w:rsid w:val="491F055C"/>
    <w:rsid w:val="492559AC"/>
    <w:rsid w:val="49366D6C"/>
    <w:rsid w:val="4937188E"/>
    <w:rsid w:val="495D1B40"/>
    <w:rsid w:val="49617449"/>
    <w:rsid w:val="496A560A"/>
    <w:rsid w:val="496B3716"/>
    <w:rsid w:val="49867420"/>
    <w:rsid w:val="498C41E6"/>
    <w:rsid w:val="498E4568"/>
    <w:rsid w:val="49971434"/>
    <w:rsid w:val="49A038A4"/>
    <w:rsid w:val="49AE333E"/>
    <w:rsid w:val="49B138A0"/>
    <w:rsid w:val="49B74350"/>
    <w:rsid w:val="49C34191"/>
    <w:rsid w:val="49D32058"/>
    <w:rsid w:val="49D901F6"/>
    <w:rsid w:val="4A03679D"/>
    <w:rsid w:val="4A0F6213"/>
    <w:rsid w:val="4A153EDB"/>
    <w:rsid w:val="4A216ECF"/>
    <w:rsid w:val="4A293051"/>
    <w:rsid w:val="4A2C5F37"/>
    <w:rsid w:val="4A2F1FF2"/>
    <w:rsid w:val="4A545A31"/>
    <w:rsid w:val="4A553112"/>
    <w:rsid w:val="4A6A02B3"/>
    <w:rsid w:val="4A6A76A2"/>
    <w:rsid w:val="4A6E2C61"/>
    <w:rsid w:val="4A6E5E1B"/>
    <w:rsid w:val="4A6F7399"/>
    <w:rsid w:val="4A8D7CE4"/>
    <w:rsid w:val="4A9E1F5E"/>
    <w:rsid w:val="4AA9373A"/>
    <w:rsid w:val="4AAE4780"/>
    <w:rsid w:val="4ABB463C"/>
    <w:rsid w:val="4AC52797"/>
    <w:rsid w:val="4ADB406F"/>
    <w:rsid w:val="4ADC4A9F"/>
    <w:rsid w:val="4AEA4DAD"/>
    <w:rsid w:val="4AEC658B"/>
    <w:rsid w:val="4AF313B8"/>
    <w:rsid w:val="4B0349FF"/>
    <w:rsid w:val="4B0363CB"/>
    <w:rsid w:val="4B0E7989"/>
    <w:rsid w:val="4B1222F4"/>
    <w:rsid w:val="4B137251"/>
    <w:rsid w:val="4B1E40D8"/>
    <w:rsid w:val="4B271062"/>
    <w:rsid w:val="4B3D72A5"/>
    <w:rsid w:val="4B4660C1"/>
    <w:rsid w:val="4B524B51"/>
    <w:rsid w:val="4B6034DE"/>
    <w:rsid w:val="4B6446F7"/>
    <w:rsid w:val="4B70590C"/>
    <w:rsid w:val="4B8676B9"/>
    <w:rsid w:val="4B873C61"/>
    <w:rsid w:val="4B8E04BA"/>
    <w:rsid w:val="4B9F67C7"/>
    <w:rsid w:val="4BB362B0"/>
    <w:rsid w:val="4BB569FC"/>
    <w:rsid w:val="4BBA3FF0"/>
    <w:rsid w:val="4BC0573E"/>
    <w:rsid w:val="4BCA4138"/>
    <w:rsid w:val="4BD914FD"/>
    <w:rsid w:val="4BD91F1C"/>
    <w:rsid w:val="4BEC5D41"/>
    <w:rsid w:val="4BEF23E7"/>
    <w:rsid w:val="4C092C1C"/>
    <w:rsid w:val="4C226A74"/>
    <w:rsid w:val="4C312543"/>
    <w:rsid w:val="4C543218"/>
    <w:rsid w:val="4C590D85"/>
    <w:rsid w:val="4C5B6DF7"/>
    <w:rsid w:val="4C5C7FA2"/>
    <w:rsid w:val="4C7D6CC5"/>
    <w:rsid w:val="4C8C70B8"/>
    <w:rsid w:val="4C8E7C81"/>
    <w:rsid w:val="4C9515D9"/>
    <w:rsid w:val="4C951975"/>
    <w:rsid w:val="4C9D10F3"/>
    <w:rsid w:val="4CA010CC"/>
    <w:rsid w:val="4CB70EE4"/>
    <w:rsid w:val="4CB93263"/>
    <w:rsid w:val="4CC7549D"/>
    <w:rsid w:val="4CCC3C6F"/>
    <w:rsid w:val="4CCE5A98"/>
    <w:rsid w:val="4CDC785E"/>
    <w:rsid w:val="4D0B7493"/>
    <w:rsid w:val="4D122A21"/>
    <w:rsid w:val="4D152B85"/>
    <w:rsid w:val="4D1C2CCF"/>
    <w:rsid w:val="4D3D0964"/>
    <w:rsid w:val="4D4153CC"/>
    <w:rsid w:val="4D442323"/>
    <w:rsid w:val="4D4730B6"/>
    <w:rsid w:val="4D730A9A"/>
    <w:rsid w:val="4D77691C"/>
    <w:rsid w:val="4D8858EB"/>
    <w:rsid w:val="4D8968F4"/>
    <w:rsid w:val="4D9C6DA9"/>
    <w:rsid w:val="4DC17497"/>
    <w:rsid w:val="4DCB2C6B"/>
    <w:rsid w:val="4DCC5D65"/>
    <w:rsid w:val="4DD54467"/>
    <w:rsid w:val="4DDC4386"/>
    <w:rsid w:val="4DF01146"/>
    <w:rsid w:val="4E046949"/>
    <w:rsid w:val="4E237B90"/>
    <w:rsid w:val="4E487ED9"/>
    <w:rsid w:val="4E496543"/>
    <w:rsid w:val="4E544995"/>
    <w:rsid w:val="4E552989"/>
    <w:rsid w:val="4E772E0D"/>
    <w:rsid w:val="4E774D8F"/>
    <w:rsid w:val="4E842F59"/>
    <w:rsid w:val="4E9A7376"/>
    <w:rsid w:val="4EA114F8"/>
    <w:rsid w:val="4EA56E6D"/>
    <w:rsid w:val="4EA86B20"/>
    <w:rsid w:val="4EC00A71"/>
    <w:rsid w:val="4EC17E9E"/>
    <w:rsid w:val="4ED43005"/>
    <w:rsid w:val="4EE07D3F"/>
    <w:rsid w:val="4EEE7E32"/>
    <w:rsid w:val="4EEF1E97"/>
    <w:rsid w:val="4EF13ACB"/>
    <w:rsid w:val="4F023DAD"/>
    <w:rsid w:val="4F0C738D"/>
    <w:rsid w:val="4F26040A"/>
    <w:rsid w:val="4F5E1303"/>
    <w:rsid w:val="4F6051BF"/>
    <w:rsid w:val="4F6603AB"/>
    <w:rsid w:val="4F8776F4"/>
    <w:rsid w:val="4F9A492F"/>
    <w:rsid w:val="4F9C2D79"/>
    <w:rsid w:val="4FAD3D77"/>
    <w:rsid w:val="4FC539CF"/>
    <w:rsid w:val="4FC835DC"/>
    <w:rsid w:val="4FD90B2E"/>
    <w:rsid w:val="4FDA66A3"/>
    <w:rsid w:val="4FDB0887"/>
    <w:rsid w:val="4FEC2D98"/>
    <w:rsid w:val="4FF95BE3"/>
    <w:rsid w:val="50045E59"/>
    <w:rsid w:val="50143102"/>
    <w:rsid w:val="5028191E"/>
    <w:rsid w:val="503029BF"/>
    <w:rsid w:val="50450869"/>
    <w:rsid w:val="50482FF8"/>
    <w:rsid w:val="505E3C8D"/>
    <w:rsid w:val="50605398"/>
    <w:rsid w:val="506B0B34"/>
    <w:rsid w:val="50852AB2"/>
    <w:rsid w:val="50916F64"/>
    <w:rsid w:val="509727E6"/>
    <w:rsid w:val="509E5C09"/>
    <w:rsid w:val="50A62D48"/>
    <w:rsid w:val="50B361EF"/>
    <w:rsid w:val="50DB006F"/>
    <w:rsid w:val="50E27F2F"/>
    <w:rsid w:val="50EE429B"/>
    <w:rsid w:val="50F3504C"/>
    <w:rsid w:val="50F6575E"/>
    <w:rsid w:val="51027285"/>
    <w:rsid w:val="510D0A84"/>
    <w:rsid w:val="512C07EE"/>
    <w:rsid w:val="51454495"/>
    <w:rsid w:val="515661FD"/>
    <w:rsid w:val="51592EBB"/>
    <w:rsid w:val="51597A9B"/>
    <w:rsid w:val="51735F41"/>
    <w:rsid w:val="517830B0"/>
    <w:rsid w:val="51790C79"/>
    <w:rsid w:val="518E3BE9"/>
    <w:rsid w:val="51A36139"/>
    <w:rsid w:val="51D007B9"/>
    <w:rsid w:val="51E02F27"/>
    <w:rsid w:val="51E04182"/>
    <w:rsid w:val="51F93925"/>
    <w:rsid w:val="52073EDA"/>
    <w:rsid w:val="52166259"/>
    <w:rsid w:val="521D44AE"/>
    <w:rsid w:val="524D011C"/>
    <w:rsid w:val="526235EF"/>
    <w:rsid w:val="526801FC"/>
    <w:rsid w:val="52740554"/>
    <w:rsid w:val="527461F8"/>
    <w:rsid w:val="527D2F6B"/>
    <w:rsid w:val="52945240"/>
    <w:rsid w:val="52972F91"/>
    <w:rsid w:val="52AB6302"/>
    <w:rsid w:val="52DA325B"/>
    <w:rsid w:val="52DB6AD9"/>
    <w:rsid w:val="52E5101D"/>
    <w:rsid w:val="52E676A2"/>
    <w:rsid w:val="52EA30A1"/>
    <w:rsid w:val="52F8129E"/>
    <w:rsid w:val="52FB177B"/>
    <w:rsid w:val="530B071F"/>
    <w:rsid w:val="5312149B"/>
    <w:rsid w:val="532748A7"/>
    <w:rsid w:val="532C06C0"/>
    <w:rsid w:val="535B73DE"/>
    <w:rsid w:val="53740BBC"/>
    <w:rsid w:val="537901CE"/>
    <w:rsid w:val="538454F7"/>
    <w:rsid w:val="53894163"/>
    <w:rsid w:val="53963229"/>
    <w:rsid w:val="53A07F12"/>
    <w:rsid w:val="53AD546C"/>
    <w:rsid w:val="53B54F6C"/>
    <w:rsid w:val="53B86CFB"/>
    <w:rsid w:val="53E0348D"/>
    <w:rsid w:val="53E5423D"/>
    <w:rsid w:val="53EA19F0"/>
    <w:rsid w:val="53F908B1"/>
    <w:rsid w:val="54056C36"/>
    <w:rsid w:val="54065CB8"/>
    <w:rsid w:val="540B32CF"/>
    <w:rsid w:val="54200456"/>
    <w:rsid w:val="54221C2B"/>
    <w:rsid w:val="5436341E"/>
    <w:rsid w:val="54492F6D"/>
    <w:rsid w:val="54514734"/>
    <w:rsid w:val="546D5CA2"/>
    <w:rsid w:val="547828B5"/>
    <w:rsid w:val="547938A0"/>
    <w:rsid w:val="54AB1DF4"/>
    <w:rsid w:val="54B13602"/>
    <w:rsid w:val="54B27BEE"/>
    <w:rsid w:val="54B70989"/>
    <w:rsid w:val="54BF1612"/>
    <w:rsid w:val="54D44941"/>
    <w:rsid w:val="54DE6EBF"/>
    <w:rsid w:val="54E16725"/>
    <w:rsid w:val="54F2004E"/>
    <w:rsid w:val="54F7272D"/>
    <w:rsid w:val="54F92AAB"/>
    <w:rsid w:val="552D1A7A"/>
    <w:rsid w:val="55550481"/>
    <w:rsid w:val="55550F5B"/>
    <w:rsid w:val="555D72FC"/>
    <w:rsid w:val="55603E89"/>
    <w:rsid w:val="556174A2"/>
    <w:rsid w:val="55675C14"/>
    <w:rsid w:val="556A1C66"/>
    <w:rsid w:val="556E756B"/>
    <w:rsid w:val="559E0679"/>
    <w:rsid w:val="55AD03B6"/>
    <w:rsid w:val="55B21FE3"/>
    <w:rsid w:val="55C675FB"/>
    <w:rsid w:val="55CA5A69"/>
    <w:rsid w:val="55CE4B64"/>
    <w:rsid w:val="55D048F7"/>
    <w:rsid w:val="55E77713"/>
    <w:rsid w:val="560C1580"/>
    <w:rsid w:val="56175D31"/>
    <w:rsid w:val="5620700A"/>
    <w:rsid w:val="56275C75"/>
    <w:rsid w:val="562B1B57"/>
    <w:rsid w:val="56352D53"/>
    <w:rsid w:val="563E6603"/>
    <w:rsid w:val="565A1CE7"/>
    <w:rsid w:val="56667BCE"/>
    <w:rsid w:val="566969D2"/>
    <w:rsid w:val="568C4C86"/>
    <w:rsid w:val="56960AAB"/>
    <w:rsid w:val="56A812A9"/>
    <w:rsid w:val="56B139A7"/>
    <w:rsid w:val="56C5095D"/>
    <w:rsid w:val="56DD0793"/>
    <w:rsid w:val="56F54F89"/>
    <w:rsid w:val="56F569F9"/>
    <w:rsid w:val="56FC48F7"/>
    <w:rsid w:val="572920D2"/>
    <w:rsid w:val="572D2FE2"/>
    <w:rsid w:val="57376DDA"/>
    <w:rsid w:val="573C7C43"/>
    <w:rsid w:val="57551807"/>
    <w:rsid w:val="57560D05"/>
    <w:rsid w:val="57871726"/>
    <w:rsid w:val="57910049"/>
    <w:rsid w:val="5791393B"/>
    <w:rsid w:val="57963B85"/>
    <w:rsid w:val="57A314E8"/>
    <w:rsid w:val="57A53A3A"/>
    <w:rsid w:val="57AA14AD"/>
    <w:rsid w:val="57AF0EC6"/>
    <w:rsid w:val="57B10CE9"/>
    <w:rsid w:val="57E23B1A"/>
    <w:rsid w:val="57EF77FA"/>
    <w:rsid w:val="57FD5D21"/>
    <w:rsid w:val="5811641E"/>
    <w:rsid w:val="582854DF"/>
    <w:rsid w:val="582901C7"/>
    <w:rsid w:val="58431F89"/>
    <w:rsid w:val="584D6A47"/>
    <w:rsid w:val="58503BD9"/>
    <w:rsid w:val="58524590"/>
    <w:rsid w:val="5870172D"/>
    <w:rsid w:val="587020A4"/>
    <w:rsid w:val="58B255B1"/>
    <w:rsid w:val="58BA3515"/>
    <w:rsid w:val="58D0564A"/>
    <w:rsid w:val="58DC68FD"/>
    <w:rsid w:val="58DC7D89"/>
    <w:rsid w:val="58DF1374"/>
    <w:rsid w:val="58E47103"/>
    <w:rsid w:val="58F22021"/>
    <w:rsid w:val="58F508BE"/>
    <w:rsid w:val="59006114"/>
    <w:rsid w:val="59061863"/>
    <w:rsid w:val="59115620"/>
    <w:rsid w:val="59146352"/>
    <w:rsid w:val="591C0817"/>
    <w:rsid w:val="594B0E7C"/>
    <w:rsid w:val="594D25DB"/>
    <w:rsid w:val="59514DAD"/>
    <w:rsid w:val="595C38B0"/>
    <w:rsid w:val="597159AF"/>
    <w:rsid w:val="597F12B6"/>
    <w:rsid w:val="59927801"/>
    <w:rsid w:val="5998730B"/>
    <w:rsid w:val="59A21779"/>
    <w:rsid w:val="59AB21EA"/>
    <w:rsid w:val="59BF71FB"/>
    <w:rsid w:val="59C20139"/>
    <w:rsid w:val="59DA22DC"/>
    <w:rsid w:val="59DB0023"/>
    <w:rsid w:val="59DC278F"/>
    <w:rsid w:val="59E635D1"/>
    <w:rsid w:val="59E72A03"/>
    <w:rsid w:val="59F86C66"/>
    <w:rsid w:val="59F900A2"/>
    <w:rsid w:val="5A02062A"/>
    <w:rsid w:val="5A072C32"/>
    <w:rsid w:val="5A0A778E"/>
    <w:rsid w:val="5A0C7930"/>
    <w:rsid w:val="5A0F4ECA"/>
    <w:rsid w:val="5A137390"/>
    <w:rsid w:val="5A262B98"/>
    <w:rsid w:val="5A2748FD"/>
    <w:rsid w:val="5A427D7C"/>
    <w:rsid w:val="5A457E59"/>
    <w:rsid w:val="5A636653"/>
    <w:rsid w:val="5A644B05"/>
    <w:rsid w:val="5A657AF5"/>
    <w:rsid w:val="5A7003F4"/>
    <w:rsid w:val="5A786548"/>
    <w:rsid w:val="5A843F22"/>
    <w:rsid w:val="5A8B7A02"/>
    <w:rsid w:val="5A961824"/>
    <w:rsid w:val="5A9D2792"/>
    <w:rsid w:val="5A9E4719"/>
    <w:rsid w:val="5AAF1395"/>
    <w:rsid w:val="5AB04D57"/>
    <w:rsid w:val="5AB6201D"/>
    <w:rsid w:val="5AC40647"/>
    <w:rsid w:val="5ADB7FC0"/>
    <w:rsid w:val="5ADC3B08"/>
    <w:rsid w:val="5AE223F3"/>
    <w:rsid w:val="5AF94D35"/>
    <w:rsid w:val="5B2353A2"/>
    <w:rsid w:val="5B3539B0"/>
    <w:rsid w:val="5B383209"/>
    <w:rsid w:val="5B42342D"/>
    <w:rsid w:val="5B423ECD"/>
    <w:rsid w:val="5B446AD6"/>
    <w:rsid w:val="5B476268"/>
    <w:rsid w:val="5B602639"/>
    <w:rsid w:val="5B6D35C8"/>
    <w:rsid w:val="5B7F0145"/>
    <w:rsid w:val="5BA00806"/>
    <w:rsid w:val="5BA37E9E"/>
    <w:rsid w:val="5BB0635C"/>
    <w:rsid w:val="5BE76ED1"/>
    <w:rsid w:val="5BEC71AA"/>
    <w:rsid w:val="5BEF18F6"/>
    <w:rsid w:val="5BF81DF7"/>
    <w:rsid w:val="5C1B251D"/>
    <w:rsid w:val="5C1D5554"/>
    <w:rsid w:val="5C2F4FB1"/>
    <w:rsid w:val="5C401276"/>
    <w:rsid w:val="5C4750C0"/>
    <w:rsid w:val="5C4E755B"/>
    <w:rsid w:val="5C613D58"/>
    <w:rsid w:val="5C695116"/>
    <w:rsid w:val="5C6C6DBD"/>
    <w:rsid w:val="5C704F3D"/>
    <w:rsid w:val="5C7D1D79"/>
    <w:rsid w:val="5C7F5DAA"/>
    <w:rsid w:val="5C9F267F"/>
    <w:rsid w:val="5CC8545E"/>
    <w:rsid w:val="5CCD62E6"/>
    <w:rsid w:val="5CCD7615"/>
    <w:rsid w:val="5CD1207B"/>
    <w:rsid w:val="5CFA2C85"/>
    <w:rsid w:val="5D3A123C"/>
    <w:rsid w:val="5D7A5403"/>
    <w:rsid w:val="5D965A03"/>
    <w:rsid w:val="5DAF357B"/>
    <w:rsid w:val="5DBC4DF8"/>
    <w:rsid w:val="5DBF657E"/>
    <w:rsid w:val="5DC04FC2"/>
    <w:rsid w:val="5DC138DA"/>
    <w:rsid w:val="5DC939B1"/>
    <w:rsid w:val="5DE340A2"/>
    <w:rsid w:val="5DE95B14"/>
    <w:rsid w:val="5DF22D17"/>
    <w:rsid w:val="5DFD77B7"/>
    <w:rsid w:val="5E0912BB"/>
    <w:rsid w:val="5E0A45F7"/>
    <w:rsid w:val="5E0E3977"/>
    <w:rsid w:val="5E4F4460"/>
    <w:rsid w:val="5E523DA9"/>
    <w:rsid w:val="5E646C96"/>
    <w:rsid w:val="5E75582F"/>
    <w:rsid w:val="5E952A3E"/>
    <w:rsid w:val="5E977DDD"/>
    <w:rsid w:val="5E99006F"/>
    <w:rsid w:val="5E9D402F"/>
    <w:rsid w:val="5EB42F3B"/>
    <w:rsid w:val="5ED16293"/>
    <w:rsid w:val="5ED86BCA"/>
    <w:rsid w:val="5ED94731"/>
    <w:rsid w:val="5EE23CFB"/>
    <w:rsid w:val="5EE66DF5"/>
    <w:rsid w:val="5EEC1A2F"/>
    <w:rsid w:val="5EED73BA"/>
    <w:rsid w:val="5F2362F4"/>
    <w:rsid w:val="5F3C6B9F"/>
    <w:rsid w:val="5F5561D5"/>
    <w:rsid w:val="5F5F30DF"/>
    <w:rsid w:val="5F6803A9"/>
    <w:rsid w:val="5F7F1C23"/>
    <w:rsid w:val="5FA4426B"/>
    <w:rsid w:val="5FA83700"/>
    <w:rsid w:val="5FCA6374"/>
    <w:rsid w:val="5FCA6734"/>
    <w:rsid w:val="5FCD1368"/>
    <w:rsid w:val="5FCE502F"/>
    <w:rsid w:val="5FE14455"/>
    <w:rsid w:val="5FF003B5"/>
    <w:rsid w:val="5FF054C7"/>
    <w:rsid w:val="5FFF3C65"/>
    <w:rsid w:val="601B510D"/>
    <w:rsid w:val="603A2CEC"/>
    <w:rsid w:val="603B2BA8"/>
    <w:rsid w:val="60430294"/>
    <w:rsid w:val="60520F0F"/>
    <w:rsid w:val="60572341"/>
    <w:rsid w:val="60594CDA"/>
    <w:rsid w:val="606001E5"/>
    <w:rsid w:val="60630022"/>
    <w:rsid w:val="60AE2B38"/>
    <w:rsid w:val="60CE06CF"/>
    <w:rsid w:val="60D52E50"/>
    <w:rsid w:val="60D61108"/>
    <w:rsid w:val="60E44F8E"/>
    <w:rsid w:val="60E5239E"/>
    <w:rsid w:val="60F6584D"/>
    <w:rsid w:val="60F83273"/>
    <w:rsid w:val="60F943A5"/>
    <w:rsid w:val="610417D1"/>
    <w:rsid w:val="610422CE"/>
    <w:rsid w:val="61176028"/>
    <w:rsid w:val="61254703"/>
    <w:rsid w:val="614D042A"/>
    <w:rsid w:val="6155164E"/>
    <w:rsid w:val="61675870"/>
    <w:rsid w:val="61691D26"/>
    <w:rsid w:val="616C21F1"/>
    <w:rsid w:val="618D6D00"/>
    <w:rsid w:val="61900858"/>
    <w:rsid w:val="619F4124"/>
    <w:rsid w:val="61A11080"/>
    <w:rsid w:val="61B249AE"/>
    <w:rsid w:val="61B74EE7"/>
    <w:rsid w:val="61E21073"/>
    <w:rsid w:val="62024B80"/>
    <w:rsid w:val="620472B0"/>
    <w:rsid w:val="621E6443"/>
    <w:rsid w:val="62332B9A"/>
    <w:rsid w:val="62385460"/>
    <w:rsid w:val="62406C6A"/>
    <w:rsid w:val="62463300"/>
    <w:rsid w:val="624778E4"/>
    <w:rsid w:val="624B3430"/>
    <w:rsid w:val="625F7D31"/>
    <w:rsid w:val="62635B97"/>
    <w:rsid w:val="628724FB"/>
    <w:rsid w:val="62A07592"/>
    <w:rsid w:val="62D705FF"/>
    <w:rsid w:val="62DB1464"/>
    <w:rsid w:val="62E80565"/>
    <w:rsid w:val="62EC10F2"/>
    <w:rsid w:val="62F15D85"/>
    <w:rsid w:val="62F760B7"/>
    <w:rsid w:val="62FD26CF"/>
    <w:rsid w:val="630B2015"/>
    <w:rsid w:val="631D3B96"/>
    <w:rsid w:val="632320F9"/>
    <w:rsid w:val="632C6336"/>
    <w:rsid w:val="63311929"/>
    <w:rsid w:val="63326863"/>
    <w:rsid w:val="633C4B5A"/>
    <w:rsid w:val="63417E60"/>
    <w:rsid w:val="634651F4"/>
    <w:rsid w:val="634B2A2E"/>
    <w:rsid w:val="634C2528"/>
    <w:rsid w:val="63647A76"/>
    <w:rsid w:val="63687889"/>
    <w:rsid w:val="63691CF9"/>
    <w:rsid w:val="636C365E"/>
    <w:rsid w:val="636C5D59"/>
    <w:rsid w:val="63737669"/>
    <w:rsid w:val="63783597"/>
    <w:rsid w:val="63842EA9"/>
    <w:rsid w:val="63892ADC"/>
    <w:rsid w:val="63896F3B"/>
    <w:rsid w:val="63957059"/>
    <w:rsid w:val="639C6030"/>
    <w:rsid w:val="63A85D05"/>
    <w:rsid w:val="63C00AE4"/>
    <w:rsid w:val="63C35974"/>
    <w:rsid w:val="63D37537"/>
    <w:rsid w:val="63E5799A"/>
    <w:rsid w:val="63EB18C6"/>
    <w:rsid w:val="63F92EEA"/>
    <w:rsid w:val="64051A8B"/>
    <w:rsid w:val="640A33E4"/>
    <w:rsid w:val="642C32BB"/>
    <w:rsid w:val="642F4205"/>
    <w:rsid w:val="643072A6"/>
    <w:rsid w:val="643B01BA"/>
    <w:rsid w:val="64430AFA"/>
    <w:rsid w:val="644E7D61"/>
    <w:rsid w:val="646A07CC"/>
    <w:rsid w:val="647342CE"/>
    <w:rsid w:val="6477329E"/>
    <w:rsid w:val="64780AB8"/>
    <w:rsid w:val="649A0E1F"/>
    <w:rsid w:val="64A357A5"/>
    <w:rsid w:val="64A92A42"/>
    <w:rsid w:val="64C100F4"/>
    <w:rsid w:val="64DE4C40"/>
    <w:rsid w:val="65181CEF"/>
    <w:rsid w:val="65473993"/>
    <w:rsid w:val="655D4AEF"/>
    <w:rsid w:val="65612551"/>
    <w:rsid w:val="65616EB4"/>
    <w:rsid w:val="656C190B"/>
    <w:rsid w:val="656D0182"/>
    <w:rsid w:val="65840A05"/>
    <w:rsid w:val="65D379C4"/>
    <w:rsid w:val="65DE73FE"/>
    <w:rsid w:val="65F81F70"/>
    <w:rsid w:val="660D3C8A"/>
    <w:rsid w:val="66186914"/>
    <w:rsid w:val="662A5730"/>
    <w:rsid w:val="662B6E9F"/>
    <w:rsid w:val="662C133F"/>
    <w:rsid w:val="66502702"/>
    <w:rsid w:val="66680A54"/>
    <w:rsid w:val="667D7A9C"/>
    <w:rsid w:val="66830175"/>
    <w:rsid w:val="6685639F"/>
    <w:rsid w:val="668E58BD"/>
    <w:rsid w:val="66994753"/>
    <w:rsid w:val="66C873B4"/>
    <w:rsid w:val="66CA5C98"/>
    <w:rsid w:val="66E1288D"/>
    <w:rsid w:val="66F0390D"/>
    <w:rsid w:val="67092186"/>
    <w:rsid w:val="6709548E"/>
    <w:rsid w:val="67096B35"/>
    <w:rsid w:val="67145FE6"/>
    <w:rsid w:val="67171522"/>
    <w:rsid w:val="672576DC"/>
    <w:rsid w:val="673D72AB"/>
    <w:rsid w:val="673F7444"/>
    <w:rsid w:val="674658DA"/>
    <w:rsid w:val="67592F1E"/>
    <w:rsid w:val="675D2D9F"/>
    <w:rsid w:val="67633699"/>
    <w:rsid w:val="678D5E82"/>
    <w:rsid w:val="678F3DBF"/>
    <w:rsid w:val="67BC3AC4"/>
    <w:rsid w:val="67CE6B15"/>
    <w:rsid w:val="67E14386"/>
    <w:rsid w:val="67E80D53"/>
    <w:rsid w:val="67F61157"/>
    <w:rsid w:val="67F66B18"/>
    <w:rsid w:val="68277C67"/>
    <w:rsid w:val="68296CCD"/>
    <w:rsid w:val="683A1F7D"/>
    <w:rsid w:val="68430352"/>
    <w:rsid w:val="68452ADF"/>
    <w:rsid w:val="68482498"/>
    <w:rsid w:val="6856162A"/>
    <w:rsid w:val="68664B20"/>
    <w:rsid w:val="6882549E"/>
    <w:rsid w:val="68984AF9"/>
    <w:rsid w:val="68984EEA"/>
    <w:rsid w:val="689A27E8"/>
    <w:rsid w:val="689D7970"/>
    <w:rsid w:val="68B751F8"/>
    <w:rsid w:val="68BF247F"/>
    <w:rsid w:val="68C14A1B"/>
    <w:rsid w:val="68C33D20"/>
    <w:rsid w:val="68C85165"/>
    <w:rsid w:val="68CD4762"/>
    <w:rsid w:val="68D03DCD"/>
    <w:rsid w:val="68ED7F96"/>
    <w:rsid w:val="69105AF0"/>
    <w:rsid w:val="692B6B00"/>
    <w:rsid w:val="693E3CEF"/>
    <w:rsid w:val="69433C8E"/>
    <w:rsid w:val="69703190"/>
    <w:rsid w:val="69747710"/>
    <w:rsid w:val="69780874"/>
    <w:rsid w:val="69790883"/>
    <w:rsid w:val="69C85FBC"/>
    <w:rsid w:val="69D75139"/>
    <w:rsid w:val="69E46ABD"/>
    <w:rsid w:val="69E57703"/>
    <w:rsid w:val="69E63F88"/>
    <w:rsid w:val="6A093EE9"/>
    <w:rsid w:val="6A252FEE"/>
    <w:rsid w:val="6A2D34C9"/>
    <w:rsid w:val="6A3A2D49"/>
    <w:rsid w:val="6A3E081A"/>
    <w:rsid w:val="6A454083"/>
    <w:rsid w:val="6A484DBA"/>
    <w:rsid w:val="6A4E2969"/>
    <w:rsid w:val="6A63681F"/>
    <w:rsid w:val="6A6D6FE9"/>
    <w:rsid w:val="6A7A173E"/>
    <w:rsid w:val="6A7D6AB5"/>
    <w:rsid w:val="6A824715"/>
    <w:rsid w:val="6A8521B8"/>
    <w:rsid w:val="6A941E18"/>
    <w:rsid w:val="6A9806C4"/>
    <w:rsid w:val="6A9F6D08"/>
    <w:rsid w:val="6AAA634C"/>
    <w:rsid w:val="6AB15F82"/>
    <w:rsid w:val="6AB267E2"/>
    <w:rsid w:val="6ADE4939"/>
    <w:rsid w:val="6AE14931"/>
    <w:rsid w:val="6AEA1C85"/>
    <w:rsid w:val="6AF64904"/>
    <w:rsid w:val="6B0827A0"/>
    <w:rsid w:val="6B0E684E"/>
    <w:rsid w:val="6B132DED"/>
    <w:rsid w:val="6B1B5777"/>
    <w:rsid w:val="6B224A20"/>
    <w:rsid w:val="6B2447A3"/>
    <w:rsid w:val="6B467B41"/>
    <w:rsid w:val="6B4B0C4E"/>
    <w:rsid w:val="6B4D1C1E"/>
    <w:rsid w:val="6B6B71B5"/>
    <w:rsid w:val="6B756ACD"/>
    <w:rsid w:val="6B842DAA"/>
    <w:rsid w:val="6B973BD8"/>
    <w:rsid w:val="6B9C63ED"/>
    <w:rsid w:val="6BAE5E8B"/>
    <w:rsid w:val="6BB25075"/>
    <w:rsid w:val="6BB8537F"/>
    <w:rsid w:val="6BBA41F0"/>
    <w:rsid w:val="6BC3094D"/>
    <w:rsid w:val="6BDF5356"/>
    <w:rsid w:val="6BE668CD"/>
    <w:rsid w:val="6C287098"/>
    <w:rsid w:val="6C3A5EC1"/>
    <w:rsid w:val="6C3C73B7"/>
    <w:rsid w:val="6C716011"/>
    <w:rsid w:val="6C732069"/>
    <w:rsid w:val="6C9B562B"/>
    <w:rsid w:val="6C9F62BC"/>
    <w:rsid w:val="6CA039A8"/>
    <w:rsid w:val="6CA20743"/>
    <w:rsid w:val="6CB703D1"/>
    <w:rsid w:val="6CB95B66"/>
    <w:rsid w:val="6CBF1591"/>
    <w:rsid w:val="6CC94373"/>
    <w:rsid w:val="6CCA174A"/>
    <w:rsid w:val="6CD767FA"/>
    <w:rsid w:val="6CE246B4"/>
    <w:rsid w:val="6CE32517"/>
    <w:rsid w:val="6CE52D0A"/>
    <w:rsid w:val="6CE87149"/>
    <w:rsid w:val="6CE95B70"/>
    <w:rsid w:val="6CEE0594"/>
    <w:rsid w:val="6CF66305"/>
    <w:rsid w:val="6CFB0AC9"/>
    <w:rsid w:val="6D0D5BC8"/>
    <w:rsid w:val="6D225521"/>
    <w:rsid w:val="6D274150"/>
    <w:rsid w:val="6D2772D4"/>
    <w:rsid w:val="6D2B5ADB"/>
    <w:rsid w:val="6D2C5676"/>
    <w:rsid w:val="6D4573FA"/>
    <w:rsid w:val="6D4C6B28"/>
    <w:rsid w:val="6D4F0753"/>
    <w:rsid w:val="6D5161E4"/>
    <w:rsid w:val="6D625946"/>
    <w:rsid w:val="6D684382"/>
    <w:rsid w:val="6D6C54A1"/>
    <w:rsid w:val="6D714693"/>
    <w:rsid w:val="6D7D3701"/>
    <w:rsid w:val="6D7E278E"/>
    <w:rsid w:val="6D932265"/>
    <w:rsid w:val="6D99642B"/>
    <w:rsid w:val="6DAE5391"/>
    <w:rsid w:val="6DBA09B7"/>
    <w:rsid w:val="6DC17E3E"/>
    <w:rsid w:val="6DC31920"/>
    <w:rsid w:val="6DC33B7F"/>
    <w:rsid w:val="6DD42DF2"/>
    <w:rsid w:val="6DD61A7C"/>
    <w:rsid w:val="6DDA2D50"/>
    <w:rsid w:val="6DE5483F"/>
    <w:rsid w:val="6E3363D6"/>
    <w:rsid w:val="6E3466A6"/>
    <w:rsid w:val="6E3E24A5"/>
    <w:rsid w:val="6E407F6E"/>
    <w:rsid w:val="6E475D56"/>
    <w:rsid w:val="6E475F8B"/>
    <w:rsid w:val="6E6B6B2B"/>
    <w:rsid w:val="6E763327"/>
    <w:rsid w:val="6E914A7C"/>
    <w:rsid w:val="6E951F31"/>
    <w:rsid w:val="6E970D76"/>
    <w:rsid w:val="6E995702"/>
    <w:rsid w:val="6EAC5256"/>
    <w:rsid w:val="6EAD34A8"/>
    <w:rsid w:val="6EBD0248"/>
    <w:rsid w:val="6EC802E2"/>
    <w:rsid w:val="6EDC4042"/>
    <w:rsid w:val="6EEA1F7D"/>
    <w:rsid w:val="6EEE586F"/>
    <w:rsid w:val="6F124BBE"/>
    <w:rsid w:val="6F387F61"/>
    <w:rsid w:val="6F3F189D"/>
    <w:rsid w:val="6F40125B"/>
    <w:rsid w:val="6F4936D7"/>
    <w:rsid w:val="6F4F3D3E"/>
    <w:rsid w:val="6F52128B"/>
    <w:rsid w:val="6F9208F0"/>
    <w:rsid w:val="6F994256"/>
    <w:rsid w:val="6F9B0E67"/>
    <w:rsid w:val="6F9E32BD"/>
    <w:rsid w:val="6FA21CCE"/>
    <w:rsid w:val="6FF326D1"/>
    <w:rsid w:val="6FF801F8"/>
    <w:rsid w:val="70020B77"/>
    <w:rsid w:val="701103B6"/>
    <w:rsid w:val="703025E3"/>
    <w:rsid w:val="703A7547"/>
    <w:rsid w:val="703C127D"/>
    <w:rsid w:val="703F2F31"/>
    <w:rsid w:val="7042722E"/>
    <w:rsid w:val="705102FE"/>
    <w:rsid w:val="70550D0E"/>
    <w:rsid w:val="70585414"/>
    <w:rsid w:val="706511F5"/>
    <w:rsid w:val="707E00D7"/>
    <w:rsid w:val="70906967"/>
    <w:rsid w:val="70AD5668"/>
    <w:rsid w:val="70B52AE8"/>
    <w:rsid w:val="70C05B3C"/>
    <w:rsid w:val="70C3242C"/>
    <w:rsid w:val="70C4060A"/>
    <w:rsid w:val="70C66336"/>
    <w:rsid w:val="70CE7706"/>
    <w:rsid w:val="70D01BCA"/>
    <w:rsid w:val="70DA78D9"/>
    <w:rsid w:val="70E42487"/>
    <w:rsid w:val="70EE760A"/>
    <w:rsid w:val="71021257"/>
    <w:rsid w:val="71073D02"/>
    <w:rsid w:val="710D0A82"/>
    <w:rsid w:val="71104D71"/>
    <w:rsid w:val="71136FA4"/>
    <w:rsid w:val="713F638B"/>
    <w:rsid w:val="71443075"/>
    <w:rsid w:val="714567C6"/>
    <w:rsid w:val="7148063F"/>
    <w:rsid w:val="7149257E"/>
    <w:rsid w:val="716A690C"/>
    <w:rsid w:val="71710CB1"/>
    <w:rsid w:val="71714B6E"/>
    <w:rsid w:val="717F1E5E"/>
    <w:rsid w:val="719D5EF5"/>
    <w:rsid w:val="71A202B9"/>
    <w:rsid w:val="71B0539D"/>
    <w:rsid w:val="71CA1032"/>
    <w:rsid w:val="71F25676"/>
    <w:rsid w:val="71F85A3E"/>
    <w:rsid w:val="720430D3"/>
    <w:rsid w:val="7215435C"/>
    <w:rsid w:val="722F67D0"/>
    <w:rsid w:val="72313584"/>
    <w:rsid w:val="72380E0E"/>
    <w:rsid w:val="724275BD"/>
    <w:rsid w:val="725A4E06"/>
    <w:rsid w:val="7266517D"/>
    <w:rsid w:val="726C58D8"/>
    <w:rsid w:val="7278176A"/>
    <w:rsid w:val="72791826"/>
    <w:rsid w:val="72792644"/>
    <w:rsid w:val="727C5B55"/>
    <w:rsid w:val="72833994"/>
    <w:rsid w:val="728D6D67"/>
    <w:rsid w:val="729D42E2"/>
    <w:rsid w:val="72AC291D"/>
    <w:rsid w:val="72B34F40"/>
    <w:rsid w:val="72C07522"/>
    <w:rsid w:val="72D51220"/>
    <w:rsid w:val="72D56FD8"/>
    <w:rsid w:val="730B58C3"/>
    <w:rsid w:val="730B7265"/>
    <w:rsid w:val="73114FD2"/>
    <w:rsid w:val="732C286C"/>
    <w:rsid w:val="73316976"/>
    <w:rsid w:val="73336CF8"/>
    <w:rsid w:val="733646C4"/>
    <w:rsid w:val="73532356"/>
    <w:rsid w:val="735479C1"/>
    <w:rsid w:val="73565E42"/>
    <w:rsid w:val="735829BA"/>
    <w:rsid w:val="736B7B78"/>
    <w:rsid w:val="73727918"/>
    <w:rsid w:val="737427E7"/>
    <w:rsid w:val="73916C46"/>
    <w:rsid w:val="73CA0659"/>
    <w:rsid w:val="73D32D21"/>
    <w:rsid w:val="73E159A2"/>
    <w:rsid w:val="73E364A8"/>
    <w:rsid w:val="73E64F3B"/>
    <w:rsid w:val="73EC7CC2"/>
    <w:rsid w:val="73F522F6"/>
    <w:rsid w:val="73F8372D"/>
    <w:rsid w:val="74091FD2"/>
    <w:rsid w:val="740D1AB0"/>
    <w:rsid w:val="74143C2D"/>
    <w:rsid w:val="743263D6"/>
    <w:rsid w:val="74426145"/>
    <w:rsid w:val="744B4D78"/>
    <w:rsid w:val="745247B3"/>
    <w:rsid w:val="74540DF1"/>
    <w:rsid w:val="747B2340"/>
    <w:rsid w:val="748543D2"/>
    <w:rsid w:val="749762E6"/>
    <w:rsid w:val="74985E57"/>
    <w:rsid w:val="74B3107C"/>
    <w:rsid w:val="74CC66FD"/>
    <w:rsid w:val="74D0416B"/>
    <w:rsid w:val="74D7368F"/>
    <w:rsid w:val="74FE750B"/>
    <w:rsid w:val="75020BA4"/>
    <w:rsid w:val="750F2D7F"/>
    <w:rsid w:val="751C3400"/>
    <w:rsid w:val="752321D2"/>
    <w:rsid w:val="752452BD"/>
    <w:rsid w:val="75381CFD"/>
    <w:rsid w:val="753D3138"/>
    <w:rsid w:val="75571112"/>
    <w:rsid w:val="75595303"/>
    <w:rsid w:val="756D0068"/>
    <w:rsid w:val="7595310F"/>
    <w:rsid w:val="759F311E"/>
    <w:rsid w:val="75A562EA"/>
    <w:rsid w:val="75C77705"/>
    <w:rsid w:val="75D03DF5"/>
    <w:rsid w:val="75F04A2B"/>
    <w:rsid w:val="75F23E97"/>
    <w:rsid w:val="75FC21F4"/>
    <w:rsid w:val="760771A6"/>
    <w:rsid w:val="763D362F"/>
    <w:rsid w:val="763F51EF"/>
    <w:rsid w:val="76452218"/>
    <w:rsid w:val="767D320A"/>
    <w:rsid w:val="767D5CFE"/>
    <w:rsid w:val="7682347B"/>
    <w:rsid w:val="768627CD"/>
    <w:rsid w:val="768F1D79"/>
    <w:rsid w:val="7692280C"/>
    <w:rsid w:val="7699418A"/>
    <w:rsid w:val="76A72B73"/>
    <w:rsid w:val="76A92BE9"/>
    <w:rsid w:val="76CE6D37"/>
    <w:rsid w:val="76E31D4F"/>
    <w:rsid w:val="76F33126"/>
    <w:rsid w:val="76FE0DD6"/>
    <w:rsid w:val="77151CD2"/>
    <w:rsid w:val="771855D3"/>
    <w:rsid w:val="772D5E05"/>
    <w:rsid w:val="772E53A2"/>
    <w:rsid w:val="77360AA6"/>
    <w:rsid w:val="77394800"/>
    <w:rsid w:val="7746478F"/>
    <w:rsid w:val="77597A1C"/>
    <w:rsid w:val="7771513C"/>
    <w:rsid w:val="77766076"/>
    <w:rsid w:val="777A27FC"/>
    <w:rsid w:val="7786465C"/>
    <w:rsid w:val="779613D0"/>
    <w:rsid w:val="77987691"/>
    <w:rsid w:val="779E4DF6"/>
    <w:rsid w:val="77B41A5F"/>
    <w:rsid w:val="77DE5F73"/>
    <w:rsid w:val="77E109EB"/>
    <w:rsid w:val="77E95E0A"/>
    <w:rsid w:val="7805620E"/>
    <w:rsid w:val="780A196C"/>
    <w:rsid w:val="780E0E25"/>
    <w:rsid w:val="7810461F"/>
    <w:rsid w:val="782013CC"/>
    <w:rsid w:val="78266D22"/>
    <w:rsid w:val="78276B74"/>
    <w:rsid w:val="78394C30"/>
    <w:rsid w:val="78414C61"/>
    <w:rsid w:val="784F3822"/>
    <w:rsid w:val="785B0280"/>
    <w:rsid w:val="78634237"/>
    <w:rsid w:val="78872795"/>
    <w:rsid w:val="788A7367"/>
    <w:rsid w:val="788B023B"/>
    <w:rsid w:val="789746E8"/>
    <w:rsid w:val="789D0A06"/>
    <w:rsid w:val="78C76532"/>
    <w:rsid w:val="78C7785D"/>
    <w:rsid w:val="78CC6B79"/>
    <w:rsid w:val="78D22ED9"/>
    <w:rsid w:val="78EB6075"/>
    <w:rsid w:val="79006B69"/>
    <w:rsid w:val="79184CE4"/>
    <w:rsid w:val="791D4EEF"/>
    <w:rsid w:val="792A2BA1"/>
    <w:rsid w:val="792A74CC"/>
    <w:rsid w:val="792B7DEB"/>
    <w:rsid w:val="794402A5"/>
    <w:rsid w:val="794D1059"/>
    <w:rsid w:val="794D5F5D"/>
    <w:rsid w:val="795B5D7A"/>
    <w:rsid w:val="795C7DF9"/>
    <w:rsid w:val="795D55F4"/>
    <w:rsid w:val="798A77A3"/>
    <w:rsid w:val="798D240C"/>
    <w:rsid w:val="798E29BE"/>
    <w:rsid w:val="799524D9"/>
    <w:rsid w:val="79A03AA7"/>
    <w:rsid w:val="79D47614"/>
    <w:rsid w:val="79E34DC6"/>
    <w:rsid w:val="79E7016D"/>
    <w:rsid w:val="79F93A46"/>
    <w:rsid w:val="79FD6043"/>
    <w:rsid w:val="7A052430"/>
    <w:rsid w:val="7A067BF3"/>
    <w:rsid w:val="7A090330"/>
    <w:rsid w:val="7A185A4F"/>
    <w:rsid w:val="7A2F4CCC"/>
    <w:rsid w:val="7A3E33B9"/>
    <w:rsid w:val="7A4C2D4A"/>
    <w:rsid w:val="7A556E34"/>
    <w:rsid w:val="7A5C4A46"/>
    <w:rsid w:val="7A6E13AB"/>
    <w:rsid w:val="7A905FC5"/>
    <w:rsid w:val="7A920F96"/>
    <w:rsid w:val="7A952B97"/>
    <w:rsid w:val="7A992B33"/>
    <w:rsid w:val="7AA65250"/>
    <w:rsid w:val="7AD15C0E"/>
    <w:rsid w:val="7AD46CA0"/>
    <w:rsid w:val="7AD6644C"/>
    <w:rsid w:val="7AFB04BA"/>
    <w:rsid w:val="7B001B7C"/>
    <w:rsid w:val="7B0E5E71"/>
    <w:rsid w:val="7B1635F5"/>
    <w:rsid w:val="7B1D0E37"/>
    <w:rsid w:val="7B231ADD"/>
    <w:rsid w:val="7B2E611E"/>
    <w:rsid w:val="7B364518"/>
    <w:rsid w:val="7B3F47F3"/>
    <w:rsid w:val="7B44687E"/>
    <w:rsid w:val="7B4B20BC"/>
    <w:rsid w:val="7B51165F"/>
    <w:rsid w:val="7B595B0E"/>
    <w:rsid w:val="7B6D59D8"/>
    <w:rsid w:val="7B733451"/>
    <w:rsid w:val="7B767E7B"/>
    <w:rsid w:val="7B775EE5"/>
    <w:rsid w:val="7B806235"/>
    <w:rsid w:val="7B864625"/>
    <w:rsid w:val="7B9E2353"/>
    <w:rsid w:val="7BB611CC"/>
    <w:rsid w:val="7BC04298"/>
    <w:rsid w:val="7BDD08B6"/>
    <w:rsid w:val="7BF00C11"/>
    <w:rsid w:val="7BF8558F"/>
    <w:rsid w:val="7C085BE7"/>
    <w:rsid w:val="7C12401E"/>
    <w:rsid w:val="7C184FB7"/>
    <w:rsid w:val="7C4A0DEC"/>
    <w:rsid w:val="7C71082F"/>
    <w:rsid w:val="7C7E130D"/>
    <w:rsid w:val="7C886ADB"/>
    <w:rsid w:val="7CB0738F"/>
    <w:rsid w:val="7CCB6131"/>
    <w:rsid w:val="7CDF537A"/>
    <w:rsid w:val="7CE56BC6"/>
    <w:rsid w:val="7CEA1BF4"/>
    <w:rsid w:val="7CEB5017"/>
    <w:rsid w:val="7CF25F57"/>
    <w:rsid w:val="7D0010A8"/>
    <w:rsid w:val="7D012C34"/>
    <w:rsid w:val="7D0C5E2F"/>
    <w:rsid w:val="7D1C2C48"/>
    <w:rsid w:val="7D3648D2"/>
    <w:rsid w:val="7D384885"/>
    <w:rsid w:val="7D4F75C8"/>
    <w:rsid w:val="7D580076"/>
    <w:rsid w:val="7D5875B5"/>
    <w:rsid w:val="7D5B3117"/>
    <w:rsid w:val="7D5E08B4"/>
    <w:rsid w:val="7D796FCB"/>
    <w:rsid w:val="7D7E0379"/>
    <w:rsid w:val="7D8C5EB4"/>
    <w:rsid w:val="7D932AEA"/>
    <w:rsid w:val="7D950362"/>
    <w:rsid w:val="7DA73889"/>
    <w:rsid w:val="7DAB2547"/>
    <w:rsid w:val="7DB324AE"/>
    <w:rsid w:val="7DB400DC"/>
    <w:rsid w:val="7DB948D0"/>
    <w:rsid w:val="7DDD48E4"/>
    <w:rsid w:val="7DE12030"/>
    <w:rsid w:val="7E0A3557"/>
    <w:rsid w:val="7E113917"/>
    <w:rsid w:val="7E220AF2"/>
    <w:rsid w:val="7E244ADA"/>
    <w:rsid w:val="7E300061"/>
    <w:rsid w:val="7E374752"/>
    <w:rsid w:val="7E414079"/>
    <w:rsid w:val="7E49594E"/>
    <w:rsid w:val="7E524263"/>
    <w:rsid w:val="7E634DDC"/>
    <w:rsid w:val="7E684048"/>
    <w:rsid w:val="7E7223E0"/>
    <w:rsid w:val="7E8A534F"/>
    <w:rsid w:val="7E962AE7"/>
    <w:rsid w:val="7EB167A5"/>
    <w:rsid w:val="7ED2423A"/>
    <w:rsid w:val="7ED24865"/>
    <w:rsid w:val="7ED75A14"/>
    <w:rsid w:val="7EE301CB"/>
    <w:rsid w:val="7EE4500E"/>
    <w:rsid w:val="7EEA6053"/>
    <w:rsid w:val="7EFE69A4"/>
    <w:rsid w:val="7F08297D"/>
    <w:rsid w:val="7F0E37B9"/>
    <w:rsid w:val="7F13096B"/>
    <w:rsid w:val="7F2B37BF"/>
    <w:rsid w:val="7F37685D"/>
    <w:rsid w:val="7F5454B3"/>
    <w:rsid w:val="7F875650"/>
    <w:rsid w:val="7FA0317D"/>
    <w:rsid w:val="7FA066D7"/>
    <w:rsid w:val="7FA374BA"/>
    <w:rsid w:val="7FB52726"/>
    <w:rsid w:val="7FC33011"/>
    <w:rsid w:val="7FD824A1"/>
    <w:rsid w:val="7FD86466"/>
    <w:rsid w:val="7FEB7EFA"/>
    <w:rsid w:val="7FF05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nhideWhenUsed="0" w:uiPriority="0"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71"/>
    <w:qFormat/>
    <w:uiPriority w:val="0"/>
    <w:pPr>
      <w:keepNext/>
      <w:keepLines/>
      <w:spacing w:line="360" w:lineRule="auto"/>
      <w:outlineLvl w:val="0"/>
    </w:pPr>
    <w:rPr>
      <w:rFonts w:ascii="Times New Roman"/>
      <w:b/>
      <w:bCs/>
      <w:kern w:val="44"/>
      <w:sz w:val="32"/>
      <w:szCs w:val="44"/>
    </w:rPr>
  </w:style>
  <w:style w:type="paragraph" w:styleId="3">
    <w:name w:val="heading 2"/>
    <w:basedOn w:val="1"/>
    <w:next w:val="1"/>
    <w:link w:val="72"/>
    <w:qFormat/>
    <w:uiPriority w:val="0"/>
    <w:pPr>
      <w:keepNext/>
      <w:keepLines/>
      <w:spacing w:before="260" w:after="260" w:line="416" w:lineRule="auto"/>
      <w:outlineLvl w:val="1"/>
    </w:pPr>
    <w:rPr>
      <w:rFonts w:ascii="Cambria" w:hAnsi="Cambria"/>
      <w:b/>
      <w:bCs/>
      <w:kern w:val="2"/>
      <w:sz w:val="32"/>
      <w:szCs w:val="32"/>
    </w:rPr>
  </w:style>
  <w:style w:type="paragraph" w:styleId="4">
    <w:name w:val="heading 3"/>
    <w:basedOn w:val="1"/>
    <w:next w:val="1"/>
    <w:link w:val="70"/>
    <w:qFormat/>
    <w:uiPriority w:val="9"/>
    <w:pPr>
      <w:keepNext/>
      <w:keepLines/>
      <w:spacing w:before="120" w:after="120" w:line="360" w:lineRule="auto"/>
      <w:jc w:val="left"/>
      <w:outlineLvl w:val="2"/>
    </w:pPr>
    <w:rPr>
      <w:rFonts w:ascii="黑体" w:hAnsi="黑体" w:eastAsia="黑体"/>
      <w:bCs/>
      <w:kern w:val="2"/>
      <w:szCs w:val="24"/>
    </w:rPr>
  </w:style>
  <w:style w:type="paragraph" w:styleId="5">
    <w:name w:val="heading 4"/>
    <w:basedOn w:val="1"/>
    <w:next w:val="1"/>
    <w:link w:val="73"/>
    <w:qFormat/>
    <w:uiPriority w:val="0"/>
    <w:pPr>
      <w:keepNext/>
      <w:keepLines/>
      <w:spacing w:before="120" w:after="120" w:line="360" w:lineRule="auto"/>
      <w:ind w:firstLine="420" w:firstLineChars="200"/>
      <w:outlineLvl w:val="3"/>
    </w:pPr>
    <w:rPr>
      <w:rFonts w:ascii="Arial" w:hAnsi="Arial" w:eastAsia="黑体"/>
      <w:bCs/>
      <w:kern w:val="2"/>
      <w:sz w:val="21"/>
      <w:szCs w:val="28"/>
    </w:rPr>
  </w:style>
  <w:style w:type="paragraph" w:styleId="6">
    <w:name w:val="heading 5"/>
    <w:basedOn w:val="1"/>
    <w:next w:val="1"/>
    <w:link w:val="74"/>
    <w:autoRedefine/>
    <w:qFormat/>
    <w:uiPriority w:val="0"/>
    <w:pPr>
      <w:keepNext/>
      <w:keepLines/>
      <w:spacing w:before="280" w:after="290" w:line="376" w:lineRule="auto"/>
      <w:outlineLvl w:val="4"/>
    </w:pPr>
    <w:rPr>
      <w:rFonts w:ascii="Calibri" w:hAnsi="Calibri"/>
      <w:b/>
      <w:bCs/>
      <w:kern w:val="2"/>
      <w:sz w:val="28"/>
      <w:szCs w:val="28"/>
    </w:rPr>
  </w:style>
  <w:style w:type="paragraph" w:styleId="7">
    <w:name w:val="heading 6"/>
    <w:basedOn w:val="6"/>
    <w:next w:val="1"/>
    <w:link w:val="75"/>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6"/>
    <w:autoRedefine/>
    <w:qFormat/>
    <w:uiPriority w:val="0"/>
    <w:pPr>
      <w:tabs>
        <w:tab w:val="left" w:pos="1800"/>
        <w:tab w:val="clear" w:pos="1440"/>
      </w:tabs>
      <w:ind w:left="1276" w:hanging="1276"/>
      <w:outlineLvl w:val="6"/>
    </w:pPr>
  </w:style>
  <w:style w:type="paragraph" w:styleId="9">
    <w:name w:val="heading 8"/>
    <w:basedOn w:val="1"/>
    <w:link w:val="77"/>
    <w:autoRedefine/>
    <w:qFormat/>
    <w:uiPriority w:val="0"/>
    <w:pPr>
      <w:keepNext/>
      <w:keepLines/>
      <w:spacing w:line="400" w:lineRule="exact"/>
      <w:jc w:val="center"/>
      <w:outlineLvl w:val="7"/>
    </w:pPr>
    <w:rPr>
      <w:rFonts w:hAnsi="宋体" w:eastAsia="黑体"/>
      <w:kern w:val="2"/>
      <w:sz w:val="32"/>
      <w:szCs w:val="32"/>
    </w:rPr>
  </w:style>
  <w:style w:type="paragraph" w:styleId="10">
    <w:name w:val="heading 9"/>
    <w:basedOn w:val="1"/>
    <w:next w:val="1"/>
    <w:link w:val="78"/>
    <w:autoRedefine/>
    <w:qFormat/>
    <w:uiPriority w:val="0"/>
    <w:pPr>
      <w:keepNext/>
      <w:keepLines/>
      <w:spacing w:before="240" w:after="64" w:line="320" w:lineRule="auto"/>
      <w:outlineLvl w:val="8"/>
    </w:pPr>
    <w:rPr>
      <w:rFonts w:ascii="Cambria" w:hAnsi="Cambria"/>
      <w:kern w:val="2"/>
      <w:sz w:val="21"/>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szCs w:val="22"/>
    </w:rPr>
  </w:style>
  <w:style w:type="paragraph" w:styleId="12">
    <w:name w:val="toc 7"/>
    <w:basedOn w:val="1"/>
    <w:next w:val="1"/>
    <w:autoRedefine/>
    <w:unhideWhenUsed/>
    <w:qFormat/>
    <w:uiPriority w:val="39"/>
    <w:pPr>
      <w:ind w:left="1260"/>
      <w:jc w:val="left"/>
    </w:pPr>
    <w:rPr>
      <w:rFonts w:ascii="Calibri" w:hAnsi="Calibri" w:cs="Calibri"/>
      <w:sz w:val="18"/>
      <w:szCs w:val="18"/>
    </w:rPr>
  </w:style>
  <w:style w:type="paragraph" w:styleId="13">
    <w:name w:val="Normal Indent"/>
    <w:basedOn w:val="1"/>
    <w:autoRedefine/>
    <w:qFormat/>
    <w:uiPriority w:val="0"/>
    <w:pPr>
      <w:ind w:firstLine="420" w:firstLineChars="200"/>
    </w:pPr>
  </w:style>
  <w:style w:type="paragraph" w:styleId="14">
    <w:name w:val="caption"/>
    <w:basedOn w:val="1"/>
    <w:next w:val="1"/>
    <w:autoRedefine/>
    <w:qFormat/>
    <w:uiPriority w:val="0"/>
    <w:pPr>
      <w:spacing w:before="152" w:after="160"/>
    </w:pPr>
    <w:rPr>
      <w:rFonts w:ascii="Arial" w:hAnsi="Arial" w:eastAsia="黑体" w:cs="Arial"/>
      <w:sz w:val="20"/>
    </w:rPr>
  </w:style>
  <w:style w:type="paragraph" w:styleId="15">
    <w:name w:val="Document Map"/>
    <w:basedOn w:val="1"/>
    <w:link w:val="79"/>
    <w:autoRedefine/>
    <w:qFormat/>
    <w:uiPriority w:val="0"/>
    <w:pPr>
      <w:shd w:val="clear" w:color="auto" w:fill="000080"/>
    </w:pPr>
    <w:rPr>
      <w:rFonts w:ascii="Calibri" w:hAnsi="Calibri"/>
      <w:bCs/>
      <w:kern w:val="2"/>
      <w:sz w:val="21"/>
      <w:szCs w:val="32"/>
    </w:rPr>
  </w:style>
  <w:style w:type="paragraph" w:styleId="16">
    <w:name w:val="annotation text"/>
    <w:basedOn w:val="1"/>
    <w:link w:val="80"/>
    <w:autoRedefine/>
    <w:qFormat/>
    <w:uiPriority w:val="0"/>
    <w:pPr>
      <w:adjustRightInd w:val="0"/>
      <w:spacing w:line="360" w:lineRule="atLeast"/>
      <w:jc w:val="left"/>
      <w:textAlignment w:val="baseline"/>
    </w:pPr>
    <w:rPr>
      <w:rFonts w:ascii="Times New Roman"/>
    </w:rPr>
  </w:style>
  <w:style w:type="paragraph" w:styleId="17">
    <w:name w:val="Salutation"/>
    <w:basedOn w:val="1"/>
    <w:next w:val="1"/>
    <w:link w:val="81"/>
    <w:autoRedefine/>
    <w:qFormat/>
    <w:uiPriority w:val="0"/>
    <w:rPr>
      <w:rFonts w:ascii="仿宋_GB2312" w:eastAsia="仿宋_GB2312"/>
      <w:kern w:val="2"/>
      <w:sz w:val="28"/>
    </w:rPr>
  </w:style>
  <w:style w:type="paragraph" w:styleId="18">
    <w:name w:val="Body Text 3"/>
    <w:basedOn w:val="1"/>
    <w:link w:val="82"/>
    <w:autoRedefine/>
    <w:qFormat/>
    <w:uiPriority w:val="0"/>
    <w:pPr>
      <w:adjustRightInd w:val="0"/>
      <w:snapToGrid w:val="0"/>
    </w:pPr>
    <w:rPr>
      <w:rFonts w:ascii="仿宋_GB2312" w:hAnsi="宋体" w:eastAsia="仿宋_GB2312"/>
      <w:bCs/>
      <w:color w:val="000000"/>
      <w:kern w:val="2"/>
      <w:szCs w:val="32"/>
    </w:rPr>
  </w:style>
  <w:style w:type="paragraph" w:styleId="19">
    <w:name w:val="Body Text"/>
    <w:basedOn w:val="1"/>
    <w:next w:val="1"/>
    <w:link w:val="83"/>
    <w:autoRedefine/>
    <w:qFormat/>
    <w:uiPriority w:val="0"/>
    <w:pPr>
      <w:spacing w:after="120"/>
    </w:pPr>
    <w:rPr>
      <w:rFonts w:ascii="Times New Roman"/>
      <w:kern w:val="2"/>
      <w:sz w:val="21"/>
      <w:szCs w:val="24"/>
    </w:rPr>
  </w:style>
  <w:style w:type="paragraph" w:styleId="20">
    <w:name w:val="Body Text Indent"/>
    <w:basedOn w:val="1"/>
    <w:link w:val="84"/>
    <w:autoRedefine/>
    <w:qFormat/>
    <w:uiPriority w:val="0"/>
    <w:pPr>
      <w:ind w:firstLine="560" w:firstLineChars="200"/>
    </w:pPr>
    <w:rPr>
      <w:rFonts w:hAnsi="宋体"/>
      <w:bCs/>
      <w:kern w:val="2"/>
      <w:sz w:val="28"/>
      <w:szCs w:val="32"/>
    </w:rPr>
  </w:style>
  <w:style w:type="paragraph" w:styleId="21">
    <w:name w:val="List 2"/>
    <w:basedOn w:val="1"/>
    <w:autoRedefine/>
    <w:qFormat/>
    <w:uiPriority w:val="0"/>
    <w:pPr>
      <w:ind w:left="100" w:leftChars="200" w:hanging="200" w:hangingChars="200"/>
    </w:pPr>
    <w:rPr>
      <w:rFonts w:ascii="Calibri" w:hAnsi="Calibri"/>
      <w:szCs w:val="22"/>
    </w:rPr>
  </w:style>
  <w:style w:type="paragraph" w:styleId="22">
    <w:name w:val="List Continue"/>
    <w:basedOn w:val="1"/>
    <w:autoRedefine/>
    <w:qFormat/>
    <w:uiPriority w:val="0"/>
    <w:pPr>
      <w:spacing w:after="120"/>
      <w:ind w:left="420" w:leftChars="200"/>
    </w:pPr>
    <w:rPr>
      <w:rFonts w:ascii="Calibri" w:hAnsi="Calibri"/>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sz w:val="72"/>
    </w:rPr>
  </w:style>
  <w:style w:type="paragraph" w:styleId="24">
    <w:name w:val="index 4"/>
    <w:basedOn w:val="1"/>
    <w:next w:val="1"/>
    <w:autoRedefine/>
    <w:qFormat/>
    <w:uiPriority w:val="0"/>
    <w:pPr>
      <w:ind w:left="600" w:leftChars="600"/>
    </w:pPr>
  </w:style>
  <w:style w:type="paragraph" w:styleId="25">
    <w:name w:val="toc 5"/>
    <w:basedOn w:val="1"/>
    <w:next w:val="1"/>
    <w:autoRedefine/>
    <w:unhideWhenUsed/>
    <w:qFormat/>
    <w:uiPriority w:val="39"/>
    <w:pPr>
      <w:ind w:left="840"/>
      <w:jc w:val="left"/>
    </w:pPr>
    <w:rPr>
      <w:rFonts w:ascii="Calibri" w:hAnsi="Calibri" w:cs="Calibri"/>
      <w:sz w:val="18"/>
      <w:szCs w:val="18"/>
    </w:rPr>
  </w:style>
  <w:style w:type="paragraph" w:styleId="26">
    <w:name w:val="toc 3"/>
    <w:basedOn w:val="1"/>
    <w:next w:val="1"/>
    <w:autoRedefine/>
    <w:qFormat/>
    <w:uiPriority w:val="39"/>
    <w:pPr>
      <w:ind w:left="420"/>
      <w:jc w:val="left"/>
    </w:pPr>
    <w:rPr>
      <w:rFonts w:ascii="Calibri" w:hAnsi="Calibri" w:cs="Calibri"/>
      <w:i/>
      <w:iCs/>
      <w:sz w:val="20"/>
    </w:rPr>
  </w:style>
  <w:style w:type="paragraph" w:styleId="27">
    <w:name w:val="Plain Text"/>
    <w:basedOn w:val="1"/>
    <w:link w:val="85"/>
    <w:autoRedefine/>
    <w:qFormat/>
    <w:uiPriority w:val="0"/>
    <w:rPr>
      <w:rFonts w:ascii="Courier New" w:hAnsi="Courier New"/>
      <w:kern w:val="2"/>
      <w:sz w:val="21"/>
    </w:rPr>
  </w:style>
  <w:style w:type="paragraph" w:styleId="28">
    <w:name w:val="toc 8"/>
    <w:basedOn w:val="1"/>
    <w:next w:val="1"/>
    <w:autoRedefine/>
    <w:unhideWhenUsed/>
    <w:qFormat/>
    <w:uiPriority w:val="39"/>
    <w:pPr>
      <w:ind w:left="1470"/>
      <w:jc w:val="left"/>
    </w:pPr>
    <w:rPr>
      <w:rFonts w:ascii="Calibri" w:hAnsi="Calibri" w:cs="Calibri"/>
      <w:sz w:val="18"/>
      <w:szCs w:val="18"/>
    </w:rPr>
  </w:style>
  <w:style w:type="paragraph" w:styleId="29">
    <w:name w:val="Date"/>
    <w:basedOn w:val="1"/>
    <w:next w:val="1"/>
    <w:link w:val="86"/>
    <w:autoRedefine/>
    <w:unhideWhenUsed/>
    <w:qFormat/>
    <w:uiPriority w:val="0"/>
    <w:pPr>
      <w:ind w:left="100" w:leftChars="2500"/>
    </w:pPr>
    <w:rPr>
      <w:rFonts w:ascii="Times New Roman"/>
      <w:kern w:val="2"/>
      <w:sz w:val="21"/>
      <w:szCs w:val="24"/>
    </w:rPr>
  </w:style>
  <w:style w:type="paragraph" w:styleId="30">
    <w:name w:val="Body Text Indent 2"/>
    <w:basedOn w:val="1"/>
    <w:link w:val="87"/>
    <w:autoRedefine/>
    <w:qFormat/>
    <w:uiPriority w:val="0"/>
    <w:pPr>
      <w:widowControl/>
      <w:overflowPunct w:val="0"/>
      <w:autoSpaceDE w:val="0"/>
      <w:autoSpaceDN w:val="0"/>
      <w:adjustRightInd w:val="0"/>
      <w:spacing w:line="360" w:lineRule="auto"/>
      <w:ind w:firstLine="555"/>
      <w:textAlignment w:val="baseline"/>
    </w:pPr>
    <w:rPr>
      <w:rFonts w:hAnsi="MS Sans Serif"/>
      <w:bCs/>
      <w:spacing w:val="12"/>
    </w:rPr>
  </w:style>
  <w:style w:type="paragraph" w:styleId="31">
    <w:name w:val="Balloon Text"/>
    <w:basedOn w:val="1"/>
    <w:link w:val="88"/>
    <w:autoRedefine/>
    <w:qFormat/>
    <w:uiPriority w:val="0"/>
    <w:rPr>
      <w:rFonts w:ascii="Times New Roman"/>
      <w:kern w:val="2"/>
      <w:sz w:val="18"/>
    </w:rPr>
  </w:style>
  <w:style w:type="paragraph" w:styleId="32">
    <w:name w:val="footer"/>
    <w:basedOn w:val="1"/>
    <w:link w:val="89"/>
    <w:autoRedefine/>
    <w:qFormat/>
    <w:uiPriority w:val="99"/>
    <w:pPr>
      <w:tabs>
        <w:tab w:val="center" w:pos="4153"/>
        <w:tab w:val="right" w:pos="8306"/>
      </w:tabs>
      <w:snapToGrid w:val="0"/>
      <w:jc w:val="left"/>
    </w:pPr>
    <w:rPr>
      <w:rFonts w:ascii="Times New Roman"/>
      <w:kern w:val="2"/>
      <w:sz w:val="18"/>
      <w:szCs w:val="18"/>
    </w:rPr>
  </w:style>
  <w:style w:type="paragraph" w:styleId="33">
    <w:name w:val="header"/>
    <w:basedOn w:val="1"/>
    <w:link w:val="90"/>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34">
    <w:name w:val="toc 1"/>
    <w:basedOn w:val="1"/>
    <w:next w:val="1"/>
    <w:autoRedefine/>
    <w:qFormat/>
    <w:uiPriority w:val="39"/>
    <w:pPr>
      <w:spacing w:before="120" w:after="120"/>
      <w:jc w:val="left"/>
    </w:pPr>
    <w:rPr>
      <w:rFonts w:ascii="Calibri" w:hAnsi="Calibri" w:cs="Calibri"/>
      <w:b/>
      <w:bCs/>
      <w:caps/>
      <w:sz w:val="20"/>
    </w:rPr>
  </w:style>
  <w:style w:type="paragraph" w:styleId="35">
    <w:name w:val="List Continue 4"/>
    <w:basedOn w:val="1"/>
    <w:autoRedefine/>
    <w:qFormat/>
    <w:uiPriority w:val="0"/>
    <w:pPr>
      <w:spacing w:after="120"/>
      <w:ind w:left="1680" w:leftChars="800"/>
    </w:pPr>
    <w:rPr>
      <w:rFonts w:ascii="Calibri" w:hAnsi="Calibri"/>
      <w:szCs w:val="22"/>
    </w:rPr>
  </w:style>
  <w:style w:type="paragraph" w:styleId="36">
    <w:name w:val="toc 4"/>
    <w:basedOn w:val="1"/>
    <w:next w:val="1"/>
    <w:autoRedefine/>
    <w:unhideWhenUsed/>
    <w:qFormat/>
    <w:uiPriority w:val="39"/>
    <w:pPr>
      <w:ind w:left="630"/>
      <w:jc w:val="left"/>
    </w:pPr>
    <w:rPr>
      <w:rFonts w:ascii="Calibri" w:hAnsi="Calibri" w:cs="Calibri"/>
      <w:sz w:val="18"/>
      <w:szCs w:val="18"/>
    </w:rPr>
  </w:style>
  <w:style w:type="paragraph" w:styleId="37">
    <w:name w:val="index heading"/>
    <w:basedOn w:val="1"/>
    <w:next w:val="38"/>
    <w:autoRedefine/>
    <w:semiHidden/>
    <w:qFormat/>
    <w:uiPriority w:val="0"/>
  </w:style>
  <w:style w:type="paragraph" w:styleId="38">
    <w:name w:val="index 1"/>
    <w:basedOn w:val="1"/>
    <w:next w:val="1"/>
    <w:autoRedefine/>
    <w:semiHidden/>
    <w:qFormat/>
    <w:uiPriority w:val="0"/>
  </w:style>
  <w:style w:type="paragraph" w:styleId="39">
    <w:name w:val="Subtitle"/>
    <w:basedOn w:val="1"/>
    <w:link w:val="91"/>
    <w:autoRedefine/>
    <w:qFormat/>
    <w:uiPriority w:val="0"/>
    <w:pPr>
      <w:spacing w:before="240" w:after="60" w:line="312" w:lineRule="auto"/>
      <w:jc w:val="center"/>
      <w:outlineLvl w:val="1"/>
    </w:pPr>
    <w:rPr>
      <w:rFonts w:ascii="Arial" w:hAnsi="Arial"/>
      <w:b/>
      <w:bCs/>
      <w:kern w:val="28"/>
      <w:sz w:val="32"/>
      <w:szCs w:val="32"/>
    </w:rPr>
  </w:style>
  <w:style w:type="paragraph" w:styleId="40">
    <w:name w:val="List"/>
    <w:basedOn w:val="1"/>
    <w:autoRedefine/>
    <w:qFormat/>
    <w:uiPriority w:val="0"/>
    <w:pPr>
      <w:ind w:left="200" w:hanging="200" w:hangingChars="200"/>
    </w:pPr>
    <w:rPr>
      <w:rFonts w:ascii="Calibri" w:hAnsi="Calibri"/>
      <w:szCs w:val="22"/>
    </w:rPr>
  </w:style>
  <w:style w:type="paragraph" w:styleId="41">
    <w:name w:val="footnote text"/>
    <w:basedOn w:val="1"/>
    <w:link w:val="92"/>
    <w:autoRedefine/>
    <w:unhideWhenUsed/>
    <w:qFormat/>
    <w:uiPriority w:val="0"/>
    <w:pPr>
      <w:snapToGrid w:val="0"/>
      <w:jc w:val="left"/>
    </w:pPr>
    <w:rPr>
      <w:rFonts w:ascii="Times New Roman"/>
      <w:kern w:val="2"/>
      <w:sz w:val="18"/>
      <w:szCs w:val="18"/>
    </w:rPr>
  </w:style>
  <w:style w:type="paragraph" w:styleId="42">
    <w:name w:val="toc 6"/>
    <w:basedOn w:val="1"/>
    <w:next w:val="1"/>
    <w:autoRedefine/>
    <w:unhideWhenUsed/>
    <w:qFormat/>
    <w:uiPriority w:val="39"/>
    <w:pPr>
      <w:ind w:left="1050"/>
      <w:jc w:val="left"/>
    </w:pPr>
    <w:rPr>
      <w:rFonts w:ascii="Calibri" w:hAnsi="Calibri" w:cs="Calibri"/>
      <w:sz w:val="18"/>
      <w:szCs w:val="18"/>
    </w:rPr>
  </w:style>
  <w:style w:type="paragraph" w:styleId="43">
    <w:name w:val="Body Text Indent 3"/>
    <w:basedOn w:val="1"/>
    <w:link w:val="93"/>
    <w:autoRedefine/>
    <w:qFormat/>
    <w:uiPriority w:val="0"/>
    <w:pPr>
      <w:widowControl/>
      <w:overflowPunct w:val="0"/>
      <w:autoSpaceDE w:val="0"/>
      <w:autoSpaceDN w:val="0"/>
      <w:adjustRightInd w:val="0"/>
      <w:spacing w:line="360" w:lineRule="auto"/>
      <w:ind w:firstLine="540"/>
      <w:textAlignment w:val="baseline"/>
    </w:pPr>
    <w:rPr>
      <w:rFonts w:hAnsi="MS Sans Serif"/>
      <w:bCs/>
      <w:color w:val="000000"/>
    </w:rPr>
  </w:style>
  <w:style w:type="paragraph" w:styleId="44">
    <w:name w:val="toc 2"/>
    <w:basedOn w:val="1"/>
    <w:next w:val="1"/>
    <w:autoRedefine/>
    <w:qFormat/>
    <w:uiPriority w:val="39"/>
    <w:pPr>
      <w:ind w:left="210"/>
      <w:jc w:val="left"/>
    </w:pPr>
    <w:rPr>
      <w:rFonts w:ascii="Calibri" w:hAnsi="Calibri" w:cs="Calibri"/>
      <w:smallCaps/>
      <w:sz w:val="20"/>
    </w:rPr>
  </w:style>
  <w:style w:type="paragraph" w:styleId="45">
    <w:name w:val="toc 9"/>
    <w:basedOn w:val="1"/>
    <w:next w:val="1"/>
    <w:autoRedefine/>
    <w:unhideWhenUsed/>
    <w:qFormat/>
    <w:uiPriority w:val="39"/>
    <w:pPr>
      <w:ind w:left="1680"/>
      <w:jc w:val="left"/>
    </w:pPr>
    <w:rPr>
      <w:rFonts w:ascii="Calibri" w:hAnsi="Calibri" w:cs="Calibri"/>
      <w:sz w:val="18"/>
      <w:szCs w:val="18"/>
    </w:rPr>
  </w:style>
  <w:style w:type="paragraph" w:styleId="46">
    <w:name w:val="Body Text 2"/>
    <w:basedOn w:val="1"/>
    <w:link w:val="94"/>
    <w:autoRedefine/>
    <w:qFormat/>
    <w:uiPriority w:val="0"/>
    <w:pPr>
      <w:spacing w:line="360" w:lineRule="auto"/>
    </w:pPr>
    <w:rPr>
      <w:spacing w:val="-20"/>
      <w:kern w:val="2"/>
      <w:sz w:val="28"/>
    </w:rPr>
  </w:style>
  <w:style w:type="paragraph" w:styleId="47">
    <w:name w:val="List 4"/>
    <w:basedOn w:val="1"/>
    <w:autoRedefine/>
    <w:qFormat/>
    <w:uiPriority w:val="0"/>
    <w:pPr>
      <w:ind w:left="100" w:leftChars="600" w:hanging="200" w:hangingChars="200"/>
    </w:pPr>
    <w:rPr>
      <w:rFonts w:ascii="Calibri" w:hAnsi="Calibri"/>
      <w:szCs w:val="22"/>
    </w:rPr>
  </w:style>
  <w:style w:type="paragraph" w:styleId="48">
    <w:name w:val="List Continue 2"/>
    <w:basedOn w:val="1"/>
    <w:autoRedefine/>
    <w:qFormat/>
    <w:uiPriority w:val="0"/>
    <w:pPr>
      <w:spacing w:after="120"/>
      <w:ind w:left="840" w:leftChars="400"/>
    </w:pPr>
    <w:rPr>
      <w:rFonts w:ascii="Calibri" w:hAnsi="Calibri"/>
      <w:szCs w:val="22"/>
    </w:rPr>
  </w:style>
  <w:style w:type="paragraph" w:styleId="49">
    <w:name w:val="Normal (Web)"/>
    <w:basedOn w:val="1"/>
    <w:autoRedefine/>
    <w:qFormat/>
    <w:uiPriority w:val="0"/>
    <w:pPr>
      <w:widowControl/>
      <w:spacing w:before="100" w:beforeAutospacing="1" w:after="100" w:afterAutospacing="1"/>
      <w:jc w:val="left"/>
    </w:pPr>
    <w:rPr>
      <w:rFonts w:hAnsi="宋体" w:cs="宋体"/>
      <w:color w:val="0066CC"/>
    </w:rPr>
  </w:style>
  <w:style w:type="paragraph" w:styleId="50">
    <w:name w:val="Title"/>
    <w:basedOn w:val="3"/>
    <w:next w:val="1"/>
    <w:link w:val="95"/>
    <w:autoRedefine/>
    <w:qFormat/>
    <w:uiPriority w:val="0"/>
    <w:pPr>
      <w:spacing w:before="0" w:after="0" w:line="360" w:lineRule="auto"/>
      <w:jc w:val="center"/>
    </w:pPr>
    <w:rPr>
      <w:rFonts w:ascii="宋体" w:hAnsi="宋体" w:eastAsia="黑体"/>
      <w:bCs w:val="0"/>
      <w:smallCaps/>
      <w:snapToGrid w:val="0"/>
      <w:sz w:val="44"/>
      <w:szCs w:val="24"/>
    </w:rPr>
  </w:style>
  <w:style w:type="paragraph" w:styleId="51">
    <w:name w:val="annotation subject"/>
    <w:basedOn w:val="16"/>
    <w:next w:val="16"/>
    <w:link w:val="96"/>
    <w:autoRedefine/>
    <w:qFormat/>
    <w:uiPriority w:val="0"/>
    <w:pPr>
      <w:adjustRightInd/>
      <w:spacing w:line="240" w:lineRule="auto"/>
      <w:textAlignment w:val="auto"/>
    </w:pPr>
    <w:rPr>
      <w:b/>
      <w:bCs/>
      <w:kern w:val="2"/>
      <w:sz w:val="21"/>
      <w:szCs w:val="24"/>
    </w:rPr>
  </w:style>
  <w:style w:type="table" w:styleId="53">
    <w:name w:val="Table Grid"/>
    <w:basedOn w:val="5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5">
    <w:name w:val="Strong"/>
    <w:autoRedefine/>
    <w:qFormat/>
    <w:uiPriority w:val="0"/>
    <w:rPr>
      <w:b/>
      <w:bCs/>
    </w:rPr>
  </w:style>
  <w:style w:type="character" w:styleId="56">
    <w:name w:val="page number"/>
    <w:autoRedefine/>
    <w:qFormat/>
    <w:uiPriority w:val="0"/>
  </w:style>
  <w:style w:type="character" w:styleId="57">
    <w:name w:val="FollowedHyperlink"/>
    <w:autoRedefine/>
    <w:qFormat/>
    <w:uiPriority w:val="99"/>
    <w:rPr>
      <w:color w:val="800080"/>
      <w:u w:val="none"/>
    </w:rPr>
  </w:style>
  <w:style w:type="character" w:styleId="58">
    <w:name w:val="Emphasis"/>
    <w:autoRedefine/>
    <w:qFormat/>
    <w:uiPriority w:val="0"/>
    <w:rPr>
      <w:i/>
      <w:iCs/>
    </w:rPr>
  </w:style>
  <w:style w:type="character" w:styleId="59">
    <w:name w:val="HTML Definition"/>
    <w:autoRedefine/>
    <w:unhideWhenUsed/>
    <w:qFormat/>
    <w:uiPriority w:val="99"/>
  </w:style>
  <w:style w:type="character" w:styleId="60">
    <w:name w:val="HTML Typewriter"/>
    <w:autoRedefine/>
    <w:unhideWhenUsed/>
    <w:qFormat/>
    <w:uiPriority w:val="99"/>
    <w:rPr>
      <w:rFonts w:ascii="monospace" w:hAnsi="monospace" w:eastAsia="monospace" w:cs="monospace"/>
      <w:sz w:val="20"/>
    </w:rPr>
  </w:style>
  <w:style w:type="character" w:styleId="61">
    <w:name w:val="HTML Acronym"/>
    <w:autoRedefine/>
    <w:unhideWhenUsed/>
    <w:qFormat/>
    <w:uiPriority w:val="99"/>
  </w:style>
  <w:style w:type="character" w:styleId="62">
    <w:name w:val="HTML Variable"/>
    <w:autoRedefine/>
    <w:unhideWhenUsed/>
    <w:qFormat/>
    <w:uiPriority w:val="99"/>
  </w:style>
  <w:style w:type="character" w:styleId="63">
    <w:name w:val="Hyperlink"/>
    <w:autoRedefine/>
    <w:qFormat/>
    <w:uiPriority w:val="99"/>
    <w:rPr>
      <w:color w:val="0000FF"/>
      <w:u w:val="none"/>
    </w:rPr>
  </w:style>
  <w:style w:type="character" w:styleId="64">
    <w:name w:val="HTML Code"/>
    <w:autoRedefine/>
    <w:unhideWhenUsed/>
    <w:qFormat/>
    <w:uiPriority w:val="99"/>
    <w:rPr>
      <w:rFonts w:hint="default" w:ascii="monospace" w:hAnsi="monospace" w:eastAsia="monospace" w:cs="monospace"/>
      <w:sz w:val="20"/>
    </w:rPr>
  </w:style>
  <w:style w:type="character" w:styleId="65">
    <w:name w:val="annotation reference"/>
    <w:autoRedefine/>
    <w:qFormat/>
    <w:uiPriority w:val="0"/>
    <w:rPr>
      <w:sz w:val="21"/>
    </w:rPr>
  </w:style>
  <w:style w:type="character" w:styleId="66">
    <w:name w:val="HTML Cite"/>
    <w:autoRedefine/>
    <w:unhideWhenUsed/>
    <w:qFormat/>
    <w:uiPriority w:val="99"/>
  </w:style>
  <w:style w:type="character" w:styleId="67">
    <w:name w:val="footnote reference"/>
    <w:autoRedefine/>
    <w:unhideWhenUsed/>
    <w:qFormat/>
    <w:uiPriority w:val="0"/>
    <w:rPr>
      <w:vertAlign w:val="superscript"/>
    </w:rPr>
  </w:style>
  <w:style w:type="character" w:styleId="68">
    <w:name w:val="HTML Keyboard"/>
    <w:autoRedefine/>
    <w:unhideWhenUsed/>
    <w:qFormat/>
    <w:uiPriority w:val="99"/>
    <w:rPr>
      <w:rFonts w:hint="default" w:ascii="monospace" w:hAnsi="monospace" w:eastAsia="monospace" w:cs="monospace"/>
      <w:sz w:val="20"/>
    </w:rPr>
  </w:style>
  <w:style w:type="character" w:styleId="69">
    <w:name w:val="HTML Sample"/>
    <w:autoRedefine/>
    <w:qFormat/>
    <w:uiPriority w:val="0"/>
    <w:rPr>
      <w:rFonts w:hint="default" w:ascii="monospace" w:hAnsi="monospace" w:eastAsia="monospace" w:cs="monospace"/>
      <w:sz w:val="21"/>
      <w:szCs w:val="21"/>
    </w:rPr>
  </w:style>
  <w:style w:type="character" w:customStyle="1" w:styleId="70">
    <w:name w:val="标题 3 Char"/>
    <w:link w:val="4"/>
    <w:autoRedefine/>
    <w:qFormat/>
    <w:uiPriority w:val="9"/>
    <w:rPr>
      <w:rFonts w:ascii="黑体" w:hAnsi="黑体" w:eastAsia="黑体"/>
      <w:bCs/>
      <w:kern w:val="2"/>
      <w:sz w:val="24"/>
      <w:szCs w:val="24"/>
    </w:rPr>
  </w:style>
  <w:style w:type="character" w:customStyle="1" w:styleId="71">
    <w:name w:val="标题 1 Char"/>
    <w:link w:val="2"/>
    <w:autoRedefine/>
    <w:qFormat/>
    <w:uiPriority w:val="0"/>
    <w:rPr>
      <w:b/>
      <w:bCs/>
      <w:kern w:val="44"/>
      <w:sz w:val="32"/>
      <w:szCs w:val="44"/>
    </w:rPr>
  </w:style>
  <w:style w:type="character" w:customStyle="1" w:styleId="72">
    <w:name w:val="标题 2 Char"/>
    <w:link w:val="3"/>
    <w:autoRedefine/>
    <w:qFormat/>
    <w:uiPriority w:val="0"/>
    <w:rPr>
      <w:rFonts w:ascii="Cambria" w:hAnsi="Cambria" w:eastAsia="宋体" w:cs="Times New Roman"/>
      <w:b/>
      <w:bCs/>
      <w:kern w:val="2"/>
      <w:sz w:val="32"/>
      <w:szCs w:val="32"/>
    </w:rPr>
  </w:style>
  <w:style w:type="character" w:customStyle="1" w:styleId="73">
    <w:name w:val="标题 4 Char"/>
    <w:link w:val="5"/>
    <w:autoRedefine/>
    <w:qFormat/>
    <w:uiPriority w:val="0"/>
    <w:rPr>
      <w:rFonts w:ascii="Arial" w:hAnsi="Arial" w:eastAsia="黑体"/>
      <w:bCs/>
      <w:kern w:val="2"/>
      <w:sz w:val="21"/>
      <w:szCs w:val="28"/>
    </w:rPr>
  </w:style>
  <w:style w:type="character" w:customStyle="1" w:styleId="74">
    <w:name w:val="标题 5 Char"/>
    <w:link w:val="6"/>
    <w:autoRedefine/>
    <w:qFormat/>
    <w:uiPriority w:val="0"/>
    <w:rPr>
      <w:rFonts w:ascii="Calibri" w:hAnsi="Calibri"/>
      <w:b/>
      <w:bCs/>
      <w:kern w:val="2"/>
      <w:sz w:val="28"/>
      <w:szCs w:val="28"/>
    </w:rPr>
  </w:style>
  <w:style w:type="character" w:customStyle="1" w:styleId="75">
    <w:name w:val="标题 6 Char"/>
    <w:link w:val="7"/>
    <w:autoRedefine/>
    <w:qFormat/>
    <w:uiPriority w:val="0"/>
    <w:rPr>
      <w:b/>
      <w:bCs/>
      <w:kern w:val="2"/>
      <w:sz w:val="30"/>
      <w:szCs w:val="18"/>
    </w:rPr>
  </w:style>
  <w:style w:type="character" w:customStyle="1" w:styleId="76">
    <w:name w:val="标题 7 Char"/>
    <w:link w:val="8"/>
    <w:autoRedefine/>
    <w:qFormat/>
    <w:uiPriority w:val="0"/>
    <w:rPr>
      <w:b/>
      <w:bCs/>
      <w:kern w:val="2"/>
      <w:sz w:val="30"/>
      <w:szCs w:val="18"/>
    </w:rPr>
  </w:style>
  <w:style w:type="character" w:customStyle="1" w:styleId="77">
    <w:name w:val="标题 8 Char"/>
    <w:link w:val="9"/>
    <w:autoRedefine/>
    <w:qFormat/>
    <w:uiPriority w:val="0"/>
    <w:rPr>
      <w:rFonts w:ascii="宋体" w:hAnsi="宋体" w:eastAsia="黑体"/>
      <w:kern w:val="2"/>
      <w:sz w:val="32"/>
      <w:szCs w:val="32"/>
    </w:rPr>
  </w:style>
  <w:style w:type="character" w:customStyle="1" w:styleId="78">
    <w:name w:val="标题 9 Char"/>
    <w:link w:val="10"/>
    <w:autoRedefine/>
    <w:qFormat/>
    <w:uiPriority w:val="0"/>
    <w:rPr>
      <w:rFonts w:ascii="Cambria" w:hAnsi="Cambria"/>
      <w:kern w:val="2"/>
      <w:sz w:val="21"/>
      <w:szCs w:val="21"/>
    </w:rPr>
  </w:style>
  <w:style w:type="character" w:customStyle="1" w:styleId="79">
    <w:name w:val="文档结构图 Char"/>
    <w:link w:val="15"/>
    <w:autoRedefine/>
    <w:qFormat/>
    <w:uiPriority w:val="0"/>
    <w:rPr>
      <w:rFonts w:ascii="Calibri" w:hAnsi="Calibri"/>
      <w:bCs/>
      <w:kern w:val="2"/>
      <w:sz w:val="21"/>
      <w:szCs w:val="32"/>
      <w:shd w:val="clear" w:color="auto" w:fill="000080"/>
    </w:rPr>
  </w:style>
  <w:style w:type="character" w:customStyle="1" w:styleId="80">
    <w:name w:val="批注文字 Char"/>
    <w:link w:val="16"/>
    <w:autoRedefine/>
    <w:qFormat/>
    <w:uiPriority w:val="0"/>
    <w:rPr>
      <w:sz w:val="24"/>
    </w:rPr>
  </w:style>
  <w:style w:type="character" w:customStyle="1" w:styleId="81">
    <w:name w:val="称呼 Char"/>
    <w:link w:val="17"/>
    <w:autoRedefine/>
    <w:qFormat/>
    <w:uiPriority w:val="0"/>
    <w:rPr>
      <w:rFonts w:ascii="仿宋_GB2312" w:eastAsia="仿宋_GB2312"/>
      <w:kern w:val="2"/>
      <w:sz w:val="28"/>
    </w:rPr>
  </w:style>
  <w:style w:type="character" w:customStyle="1" w:styleId="82">
    <w:name w:val="正文文本 3 Char"/>
    <w:link w:val="18"/>
    <w:autoRedefine/>
    <w:qFormat/>
    <w:uiPriority w:val="0"/>
    <w:rPr>
      <w:rFonts w:ascii="仿宋_GB2312" w:hAnsi="宋体" w:eastAsia="仿宋_GB2312"/>
      <w:bCs/>
      <w:color w:val="000000"/>
      <w:kern w:val="2"/>
      <w:sz w:val="24"/>
      <w:szCs w:val="32"/>
    </w:rPr>
  </w:style>
  <w:style w:type="character" w:customStyle="1" w:styleId="83">
    <w:name w:val="正文文本 Char"/>
    <w:link w:val="19"/>
    <w:autoRedefine/>
    <w:qFormat/>
    <w:uiPriority w:val="0"/>
    <w:rPr>
      <w:kern w:val="2"/>
      <w:sz w:val="21"/>
      <w:szCs w:val="24"/>
    </w:rPr>
  </w:style>
  <w:style w:type="character" w:customStyle="1" w:styleId="84">
    <w:name w:val="正文文本缩进 Char"/>
    <w:link w:val="20"/>
    <w:autoRedefine/>
    <w:qFormat/>
    <w:uiPriority w:val="0"/>
    <w:rPr>
      <w:rFonts w:ascii="宋体" w:hAnsi="宋体"/>
      <w:bCs/>
      <w:kern w:val="2"/>
      <w:sz w:val="28"/>
      <w:szCs w:val="32"/>
    </w:rPr>
  </w:style>
  <w:style w:type="character" w:customStyle="1" w:styleId="85">
    <w:name w:val="纯文本 Char1"/>
    <w:link w:val="27"/>
    <w:autoRedefine/>
    <w:qFormat/>
    <w:uiPriority w:val="0"/>
    <w:rPr>
      <w:rFonts w:ascii="Courier New" w:hAnsi="Courier New"/>
      <w:kern w:val="2"/>
      <w:sz w:val="21"/>
    </w:rPr>
  </w:style>
  <w:style w:type="character" w:customStyle="1" w:styleId="86">
    <w:name w:val="日期 Char"/>
    <w:link w:val="29"/>
    <w:autoRedefine/>
    <w:qFormat/>
    <w:uiPriority w:val="0"/>
    <w:rPr>
      <w:kern w:val="2"/>
      <w:sz w:val="21"/>
      <w:szCs w:val="24"/>
    </w:rPr>
  </w:style>
  <w:style w:type="character" w:customStyle="1" w:styleId="87">
    <w:name w:val="正文文本缩进 2 Char"/>
    <w:link w:val="30"/>
    <w:autoRedefine/>
    <w:qFormat/>
    <w:uiPriority w:val="0"/>
    <w:rPr>
      <w:rFonts w:ascii="宋体" w:hAnsi="MS Sans Serif"/>
      <w:bCs/>
      <w:spacing w:val="12"/>
      <w:sz w:val="24"/>
    </w:rPr>
  </w:style>
  <w:style w:type="character" w:customStyle="1" w:styleId="88">
    <w:name w:val="批注框文本 Char"/>
    <w:link w:val="31"/>
    <w:autoRedefine/>
    <w:qFormat/>
    <w:uiPriority w:val="0"/>
    <w:rPr>
      <w:kern w:val="2"/>
      <w:sz w:val="18"/>
    </w:rPr>
  </w:style>
  <w:style w:type="character" w:customStyle="1" w:styleId="89">
    <w:name w:val="页脚 Char"/>
    <w:link w:val="32"/>
    <w:autoRedefine/>
    <w:qFormat/>
    <w:uiPriority w:val="99"/>
    <w:rPr>
      <w:kern w:val="2"/>
      <w:sz w:val="18"/>
      <w:szCs w:val="18"/>
    </w:rPr>
  </w:style>
  <w:style w:type="character" w:customStyle="1" w:styleId="90">
    <w:name w:val="页眉 Char"/>
    <w:link w:val="33"/>
    <w:autoRedefine/>
    <w:qFormat/>
    <w:uiPriority w:val="0"/>
    <w:rPr>
      <w:kern w:val="2"/>
      <w:sz w:val="18"/>
      <w:szCs w:val="18"/>
    </w:rPr>
  </w:style>
  <w:style w:type="character" w:customStyle="1" w:styleId="91">
    <w:name w:val="副标题 Char"/>
    <w:link w:val="39"/>
    <w:autoRedefine/>
    <w:qFormat/>
    <w:uiPriority w:val="0"/>
    <w:rPr>
      <w:rFonts w:ascii="Arial" w:hAnsi="Arial"/>
      <w:b/>
      <w:bCs/>
      <w:kern w:val="28"/>
      <w:sz w:val="32"/>
      <w:szCs w:val="32"/>
    </w:rPr>
  </w:style>
  <w:style w:type="character" w:customStyle="1" w:styleId="92">
    <w:name w:val="脚注文本 Char"/>
    <w:link w:val="41"/>
    <w:autoRedefine/>
    <w:qFormat/>
    <w:uiPriority w:val="0"/>
    <w:rPr>
      <w:kern w:val="2"/>
      <w:sz w:val="18"/>
      <w:szCs w:val="18"/>
    </w:rPr>
  </w:style>
  <w:style w:type="character" w:customStyle="1" w:styleId="93">
    <w:name w:val="正文文本缩进 3 Char"/>
    <w:link w:val="43"/>
    <w:autoRedefine/>
    <w:qFormat/>
    <w:uiPriority w:val="0"/>
    <w:rPr>
      <w:rFonts w:ascii="宋体" w:hAnsi="MS Sans Serif"/>
      <w:bCs/>
      <w:color w:val="000000"/>
      <w:sz w:val="24"/>
    </w:rPr>
  </w:style>
  <w:style w:type="character" w:customStyle="1" w:styleId="94">
    <w:name w:val="正文文本 2 Char"/>
    <w:link w:val="46"/>
    <w:autoRedefine/>
    <w:qFormat/>
    <w:uiPriority w:val="0"/>
    <w:rPr>
      <w:rFonts w:ascii="宋体"/>
      <w:spacing w:val="-20"/>
      <w:kern w:val="2"/>
      <w:sz w:val="28"/>
    </w:rPr>
  </w:style>
  <w:style w:type="character" w:customStyle="1" w:styleId="95">
    <w:name w:val="标题 Char"/>
    <w:link w:val="50"/>
    <w:autoRedefine/>
    <w:qFormat/>
    <w:uiPriority w:val="0"/>
    <w:rPr>
      <w:rFonts w:ascii="宋体" w:hAnsi="宋体" w:eastAsia="黑体"/>
      <w:b/>
      <w:smallCaps/>
      <w:snapToGrid w:val="0"/>
      <w:kern w:val="2"/>
      <w:sz w:val="44"/>
      <w:szCs w:val="24"/>
    </w:rPr>
  </w:style>
  <w:style w:type="character" w:customStyle="1" w:styleId="96">
    <w:name w:val="批注主题 Char"/>
    <w:link w:val="51"/>
    <w:autoRedefine/>
    <w:qFormat/>
    <w:uiPriority w:val="0"/>
  </w:style>
  <w:style w:type="paragraph" w:styleId="97">
    <w:name w:val="List Paragraph"/>
    <w:basedOn w:val="1"/>
    <w:autoRedefine/>
    <w:qFormat/>
    <w:uiPriority w:val="34"/>
    <w:pPr>
      <w:ind w:firstLine="420" w:firstLineChars="200"/>
    </w:pPr>
    <w:rPr>
      <w:rFonts w:ascii="Calibri" w:hAnsi="Calibri"/>
      <w:szCs w:val="22"/>
    </w:rPr>
  </w:style>
  <w:style w:type="character" w:customStyle="1" w:styleId="98">
    <w:name w:val="纯文本 Char"/>
    <w:autoRedefine/>
    <w:qFormat/>
    <w:uiPriority w:val="0"/>
    <w:rPr>
      <w:rFonts w:ascii="宋体" w:hAnsi="Courier New" w:cs="Courier New"/>
      <w:kern w:val="2"/>
      <w:sz w:val="21"/>
      <w:szCs w:val="21"/>
    </w:rPr>
  </w:style>
  <w:style w:type="character" w:customStyle="1" w:styleId="99">
    <w:name w:val="书籍标题1"/>
    <w:autoRedefine/>
    <w:qFormat/>
    <w:uiPriority w:val="0"/>
    <w:rPr>
      <w:b/>
      <w:bCs/>
      <w:smallCaps/>
      <w:spacing w:val="5"/>
    </w:rPr>
  </w:style>
  <w:style w:type="character" w:customStyle="1" w:styleId="100">
    <w:name w:val="Blockquote Char"/>
    <w:link w:val="101"/>
    <w:autoRedefine/>
    <w:qFormat/>
    <w:uiPriority w:val="0"/>
    <w:rPr>
      <w:sz w:val="24"/>
    </w:rPr>
  </w:style>
  <w:style w:type="paragraph" w:customStyle="1" w:styleId="101">
    <w:name w:val="Blockquote"/>
    <w:basedOn w:val="1"/>
    <w:link w:val="100"/>
    <w:autoRedefine/>
    <w:qFormat/>
    <w:uiPriority w:val="0"/>
    <w:pPr>
      <w:autoSpaceDE w:val="0"/>
      <w:autoSpaceDN w:val="0"/>
      <w:adjustRightInd w:val="0"/>
      <w:spacing w:before="100" w:after="100"/>
      <w:ind w:left="360" w:right="360"/>
      <w:jc w:val="left"/>
    </w:pPr>
    <w:rPr>
      <w:rFonts w:ascii="Times New Roman"/>
    </w:rPr>
  </w:style>
  <w:style w:type="character" w:customStyle="1" w:styleId="102">
    <w:name w:val="正文文本 Char2"/>
    <w:autoRedefine/>
    <w:semiHidden/>
    <w:qFormat/>
    <w:uiPriority w:val="99"/>
    <w:rPr>
      <w:kern w:val="2"/>
      <w:sz w:val="21"/>
      <w:szCs w:val="22"/>
    </w:rPr>
  </w:style>
  <w:style w:type="character" w:customStyle="1" w:styleId="103">
    <w:name w:val="tdrownotice1"/>
    <w:autoRedefine/>
    <w:qFormat/>
    <w:uiPriority w:val="0"/>
    <w:rPr>
      <w:sz w:val="22"/>
    </w:rPr>
  </w:style>
  <w:style w:type="character" w:customStyle="1" w:styleId="104">
    <w:name w:val="正文文本 (2)_"/>
    <w:link w:val="105"/>
    <w:autoRedefine/>
    <w:qFormat/>
    <w:locked/>
    <w:uiPriority w:val="99"/>
    <w:rPr>
      <w:rFonts w:ascii="MingLiU" w:eastAsia="MingLiU" w:cs="MingLiU"/>
      <w:spacing w:val="20"/>
      <w:sz w:val="22"/>
      <w:shd w:val="clear" w:color="auto" w:fill="FFFFFF"/>
    </w:rPr>
  </w:style>
  <w:style w:type="paragraph" w:customStyle="1" w:styleId="105">
    <w:name w:val="正文文本 (2)1"/>
    <w:basedOn w:val="1"/>
    <w:link w:val="104"/>
    <w:autoRedefine/>
    <w:qFormat/>
    <w:uiPriority w:val="99"/>
    <w:pPr>
      <w:shd w:val="clear" w:color="auto" w:fill="FFFFFF"/>
      <w:spacing w:before="300" w:line="439" w:lineRule="exact"/>
      <w:jc w:val="distribute"/>
    </w:pPr>
    <w:rPr>
      <w:rFonts w:ascii="MingLiU" w:eastAsia="MingLiU"/>
      <w:spacing w:val="20"/>
      <w:sz w:val="22"/>
    </w:rPr>
  </w:style>
  <w:style w:type="character" w:customStyle="1" w:styleId="106">
    <w:name w:val="副标题 Char1"/>
    <w:autoRedefine/>
    <w:qFormat/>
    <w:uiPriority w:val="11"/>
    <w:rPr>
      <w:rFonts w:ascii="Cambria" w:hAnsi="Cambria" w:cs="Times New Roman"/>
      <w:b/>
      <w:bCs/>
      <w:kern w:val="28"/>
      <w:sz w:val="32"/>
      <w:szCs w:val="32"/>
    </w:rPr>
  </w:style>
  <w:style w:type="character" w:customStyle="1" w:styleId="107">
    <w:name w:val="日期 Char2"/>
    <w:autoRedefine/>
    <w:semiHidden/>
    <w:qFormat/>
    <w:uiPriority w:val="99"/>
    <w:rPr>
      <w:kern w:val="2"/>
      <w:sz w:val="21"/>
      <w:szCs w:val="22"/>
    </w:rPr>
  </w:style>
  <w:style w:type="character" w:customStyle="1" w:styleId="108">
    <w:name w:val="t_tag"/>
    <w:autoRedefine/>
    <w:qFormat/>
    <w:uiPriority w:val="0"/>
  </w:style>
  <w:style w:type="character" w:customStyle="1" w:styleId="109">
    <w:name w:val="批注框文本 Char1"/>
    <w:autoRedefine/>
    <w:qFormat/>
    <w:uiPriority w:val="0"/>
    <w:rPr>
      <w:kern w:val="2"/>
      <w:sz w:val="18"/>
      <w:szCs w:val="18"/>
    </w:rPr>
  </w:style>
  <w:style w:type="character" w:customStyle="1" w:styleId="110">
    <w:name w:val="标题 Char1"/>
    <w:autoRedefine/>
    <w:qFormat/>
    <w:uiPriority w:val="10"/>
    <w:rPr>
      <w:rFonts w:ascii="Cambria" w:hAnsi="Cambria" w:cs="Times New Roman"/>
      <w:b/>
      <w:bCs/>
      <w:kern w:val="2"/>
      <w:sz w:val="32"/>
      <w:szCs w:val="32"/>
    </w:rPr>
  </w:style>
  <w:style w:type="character" w:customStyle="1" w:styleId="111">
    <w:name w:val="批注文字 Char1"/>
    <w:autoRedefine/>
    <w:qFormat/>
    <w:uiPriority w:val="99"/>
    <w:rPr>
      <w:kern w:val="2"/>
      <w:sz w:val="21"/>
      <w:szCs w:val="24"/>
    </w:rPr>
  </w:style>
  <w:style w:type="character" w:customStyle="1" w:styleId="112">
    <w:name w:val="批注主题 Char2"/>
    <w:autoRedefine/>
    <w:semiHidden/>
    <w:qFormat/>
    <w:uiPriority w:val="99"/>
    <w:rPr>
      <w:b/>
      <w:bCs/>
      <w:kern w:val="2"/>
      <w:sz w:val="21"/>
      <w:szCs w:val="22"/>
    </w:rPr>
  </w:style>
  <w:style w:type="character" w:customStyle="1" w:styleId="113">
    <w:name w:val="批注主题 Char1"/>
    <w:autoRedefine/>
    <w:qFormat/>
    <w:uiPriority w:val="0"/>
    <w:rPr>
      <w:b/>
      <w:bCs/>
      <w:kern w:val="2"/>
      <w:sz w:val="21"/>
      <w:szCs w:val="24"/>
    </w:rPr>
  </w:style>
  <w:style w:type="character" w:customStyle="1" w:styleId="114">
    <w:name w:val="普通文字1 Char"/>
    <w:autoRedefine/>
    <w:qFormat/>
    <w:uiPriority w:val="99"/>
    <w:rPr>
      <w:rFonts w:ascii="宋体" w:hAnsi="Courier New" w:eastAsia="宋体" w:cs="Courier New"/>
      <w:szCs w:val="21"/>
    </w:rPr>
  </w:style>
  <w:style w:type="character" w:customStyle="1" w:styleId="115">
    <w:name w:val="标题 1 Char1"/>
    <w:autoRedefine/>
    <w:qFormat/>
    <w:uiPriority w:val="0"/>
    <w:rPr>
      <w:rFonts w:ascii="Calibri" w:hAnsi="Calibri" w:eastAsia="宋体"/>
      <w:b/>
      <w:kern w:val="44"/>
      <w:sz w:val="44"/>
      <w:szCs w:val="44"/>
    </w:rPr>
  </w:style>
  <w:style w:type="character" w:customStyle="1" w:styleId="116">
    <w:name w:val="标题 3 Char1"/>
    <w:autoRedefine/>
    <w:semiHidden/>
    <w:qFormat/>
    <w:uiPriority w:val="0"/>
    <w:rPr>
      <w:rFonts w:ascii="Calibri" w:hAnsi="Calibri" w:eastAsia="宋体"/>
      <w:b/>
      <w:kern w:val="2"/>
      <w:sz w:val="32"/>
    </w:rPr>
  </w:style>
  <w:style w:type="character" w:customStyle="1" w:styleId="117">
    <w:name w:val="标题 4 Char1"/>
    <w:autoRedefine/>
    <w:semiHidden/>
    <w:qFormat/>
    <w:uiPriority w:val="0"/>
    <w:rPr>
      <w:rFonts w:ascii="Cambria" w:hAnsi="Cambria" w:eastAsia="宋体"/>
      <w:b/>
      <w:kern w:val="2"/>
      <w:sz w:val="28"/>
      <w:szCs w:val="28"/>
    </w:rPr>
  </w:style>
  <w:style w:type="character" w:customStyle="1" w:styleId="118">
    <w:name w:val="标题 5 Char1"/>
    <w:autoRedefine/>
    <w:semiHidden/>
    <w:qFormat/>
    <w:uiPriority w:val="0"/>
    <w:rPr>
      <w:rFonts w:ascii="Calibri" w:hAnsi="Calibri" w:eastAsia="宋体"/>
      <w:b/>
      <w:kern w:val="2"/>
      <w:sz w:val="28"/>
      <w:szCs w:val="28"/>
    </w:rPr>
  </w:style>
  <w:style w:type="character" w:customStyle="1" w:styleId="119">
    <w:name w:val="标题 6 Char1"/>
    <w:autoRedefine/>
    <w:semiHidden/>
    <w:qFormat/>
    <w:uiPriority w:val="0"/>
    <w:rPr>
      <w:rFonts w:ascii="Cambria" w:hAnsi="Cambria" w:eastAsia="宋体"/>
      <w:b/>
      <w:kern w:val="2"/>
      <w:sz w:val="24"/>
      <w:szCs w:val="24"/>
    </w:rPr>
  </w:style>
  <w:style w:type="character" w:customStyle="1" w:styleId="120">
    <w:name w:val="正文文本 (2) + 间距 0 pt5"/>
    <w:autoRedefine/>
    <w:qFormat/>
    <w:uiPriority w:val="99"/>
    <w:rPr>
      <w:rFonts w:ascii="MingLiU" w:eastAsia="MingLiU" w:cs="MingLiU"/>
      <w:spacing w:val="0"/>
      <w:sz w:val="22"/>
      <w:shd w:val="clear" w:color="auto" w:fill="FFFFFF"/>
    </w:rPr>
  </w:style>
  <w:style w:type="character" w:customStyle="1" w:styleId="121">
    <w:name w:val="标题 7 Char1"/>
    <w:autoRedefine/>
    <w:semiHidden/>
    <w:qFormat/>
    <w:uiPriority w:val="0"/>
    <w:rPr>
      <w:rFonts w:ascii="Calibri" w:hAnsi="Calibri" w:eastAsia="宋体"/>
      <w:b/>
      <w:kern w:val="2"/>
      <w:sz w:val="24"/>
      <w:szCs w:val="24"/>
    </w:rPr>
  </w:style>
  <w:style w:type="character" w:customStyle="1" w:styleId="122">
    <w:name w:val="标题 8 Char1"/>
    <w:autoRedefine/>
    <w:semiHidden/>
    <w:qFormat/>
    <w:uiPriority w:val="0"/>
    <w:rPr>
      <w:rFonts w:ascii="Cambria" w:hAnsi="Cambria" w:eastAsia="宋体"/>
      <w:kern w:val="2"/>
      <w:sz w:val="24"/>
      <w:szCs w:val="24"/>
    </w:rPr>
  </w:style>
  <w:style w:type="character" w:customStyle="1" w:styleId="123">
    <w:name w:val="页眉 Char1"/>
    <w:autoRedefine/>
    <w:semiHidden/>
    <w:qFormat/>
    <w:uiPriority w:val="99"/>
    <w:rPr>
      <w:kern w:val="2"/>
      <w:sz w:val="18"/>
      <w:szCs w:val="18"/>
    </w:rPr>
  </w:style>
  <w:style w:type="character" w:customStyle="1" w:styleId="124">
    <w:name w:val="标题 9 Char1"/>
    <w:autoRedefine/>
    <w:semiHidden/>
    <w:qFormat/>
    <w:uiPriority w:val="0"/>
    <w:rPr>
      <w:rFonts w:ascii="Cambria" w:hAnsi="Cambria" w:eastAsia="宋体"/>
      <w:kern w:val="2"/>
      <w:sz w:val="21"/>
      <w:szCs w:val="21"/>
    </w:rPr>
  </w:style>
  <w:style w:type="character" w:customStyle="1" w:styleId="12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126">
    <w:name w:val="标题 2 Char_0"/>
    <w:link w:val="127"/>
    <w:autoRedefine/>
    <w:qFormat/>
    <w:uiPriority w:val="0"/>
    <w:rPr>
      <w:rFonts w:ascii="黑体" w:hAnsi="宋体" w:eastAsia="黑体"/>
      <w:b/>
      <w:smallCaps/>
      <w:snapToGrid w:val="0"/>
      <w:sz w:val="36"/>
      <w:szCs w:val="24"/>
    </w:rPr>
  </w:style>
  <w:style w:type="paragraph" w:customStyle="1" w:styleId="127">
    <w:name w:val="标题 2_0"/>
    <w:basedOn w:val="128"/>
    <w:next w:val="129"/>
    <w:link w:val="126"/>
    <w:autoRedefine/>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28">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Texte Char1"/>
    <w:link w:val="131"/>
    <w:autoRedefine/>
    <w:qFormat/>
    <w:uiPriority w:val="99"/>
    <w:rPr>
      <w:rFonts w:ascii="宋体" w:hAnsi="Courier New"/>
      <w:kern w:val="2"/>
      <w:sz w:val="21"/>
      <w:szCs w:val="21"/>
      <w:lang w:val="en-US" w:eastAsia="zh-CN"/>
    </w:rPr>
  </w:style>
  <w:style w:type="paragraph" w:customStyle="1" w:styleId="131">
    <w:name w:val="纯文本_0"/>
    <w:basedOn w:val="129"/>
    <w:link w:val="130"/>
    <w:autoRedefine/>
    <w:qFormat/>
    <w:uiPriority w:val="99"/>
    <w:rPr>
      <w:rFonts w:ascii="宋体" w:hAnsi="Courier New"/>
      <w:szCs w:val="21"/>
    </w:rPr>
  </w:style>
  <w:style w:type="character" w:customStyle="1" w:styleId="132">
    <w:name w:val="纯文本 Char1_0"/>
    <w:link w:val="133"/>
    <w:autoRedefine/>
    <w:qFormat/>
    <w:uiPriority w:val="0"/>
    <w:rPr>
      <w:rFonts w:ascii="宋体" w:hAnsi="Courier New"/>
      <w:kern w:val="2"/>
      <w:sz w:val="21"/>
      <w:szCs w:val="21"/>
    </w:rPr>
  </w:style>
  <w:style w:type="paragraph" w:customStyle="1" w:styleId="133">
    <w:name w:val="纯文本_1"/>
    <w:basedOn w:val="134"/>
    <w:link w:val="132"/>
    <w:autoRedefine/>
    <w:qFormat/>
    <w:uiPriority w:val="0"/>
    <w:rPr>
      <w:rFonts w:ascii="宋体" w:hAnsi="Courier New"/>
      <w:szCs w:val="21"/>
    </w:rPr>
  </w:style>
  <w:style w:type="paragraph" w:customStyle="1" w:styleId="1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5">
    <w:name w:val="文档结构图 Char2"/>
    <w:autoRedefine/>
    <w:semiHidden/>
    <w:qFormat/>
    <w:uiPriority w:val="99"/>
    <w:rPr>
      <w:rFonts w:ascii="宋体"/>
      <w:kern w:val="2"/>
      <w:sz w:val="18"/>
      <w:szCs w:val="18"/>
    </w:rPr>
  </w:style>
  <w:style w:type="character" w:customStyle="1" w:styleId="136">
    <w:name w:val="标题 1 Char_0"/>
    <w:link w:val="137"/>
    <w:autoRedefine/>
    <w:qFormat/>
    <w:uiPriority w:val="0"/>
    <w:rPr>
      <w:rFonts w:ascii="黑体" w:eastAsia="黑体"/>
      <w:sz w:val="52"/>
    </w:rPr>
  </w:style>
  <w:style w:type="paragraph" w:customStyle="1" w:styleId="137">
    <w:name w:val="标题 1_0"/>
    <w:basedOn w:val="138"/>
    <w:next w:val="138"/>
    <w:link w:val="136"/>
    <w:autoRedefine/>
    <w:qFormat/>
    <w:uiPriority w:val="0"/>
    <w:pPr>
      <w:keepNext/>
      <w:widowControl/>
      <w:numPr>
        <w:ilvl w:val="0"/>
        <w:numId w:val="1"/>
      </w:numPr>
      <w:jc w:val="center"/>
      <w:outlineLvl w:val="0"/>
    </w:pPr>
    <w:rPr>
      <w:rFonts w:ascii="黑体" w:eastAsia="黑体"/>
      <w:kern w:val="0"/>
      <w:sz w:val="52"/>
      <w:szCs w:val="20"/>
    </w:rPr>
  </w:style>
  <w:style w:type="paragraph" w:customStyle="1" w:styleId="13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9">
    <w:name w:val="正文2 Char"/>
    <w:link w:val="140"/>
    <w:autoRedefine/>
    <w:qFormat/>
    <w:uiPriority w:val="0"/>
    <w:rPr>
      <w:rFonts w:ascii="楷体" w:eastAsia="楷体"/>
      <w:b/>
      <w:color w:val="0000FF"/>
      <w:kern w:val="2"/>
      <w:sz w:val="21"/>
      <w:szCs w:val="22"/>
      <w:lang w:val="en-US" w:eastAsia="zh-CN" w:bidi="ar-SA"/>
    </w:rPr>
  </w:style>
  <w:style w:type="paragraph" w:customStyle="1" w:styleId="140">
    <w:name w:val="正文2"/>
    <w:link w:val="139"/>
    <w:autoRedefine/>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41">
    <w:name w:val="标题 6 Char_0"/>
    <w:link w:val="142"/>
    <w:autoRedefine/>
    <w:qFormat/>
    <w:uiPriority w:val="0"/>
    <w:rPr>
      <w:rFonts w:ascii="Arial" w:hAnsi="Arial" w:eastAsia="黑体"/>
      <w:b/>
      <w:bCs/>
      <w:sz w:val="24"/>
      <w:szCs w:val="24"/>
    </w:rPr>
  </w:style>
  <w:style w:type="paragraph" w:customStyle="1" w:styleId="142">
    <w:name w:val="标题 6_0"/>
    <w:basedOn w:val="138"/>
    <w:next w:val="138"/>
    <w:link w:val="141"/>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43">
    <w:name w:val="标题 7 Char_0"/>
    <w:link w:val="144"/>
    <w:autoRedefine/>
    <w:qFormat/>
    <w:uiPriority w:val="0"/>
    <w:rPr>
      <w:b/>
      <w:bCs/>
      <w:sz w:val="24"/>
      <w:szCs w:val="24"/>
    </w:rPr>
  </w:style>
  <w:style w:type="paragraph" w:customStyle="1" w:styleId="144">
    <w:name w:val="标题 7_0"/>
    <w:basedOn w:val="138"/>
    <w:next w:val="138"/>
    <w:link w:val="143"/>
    <w:autoRedefine/>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45">
    <w:name w:val="标题 8 Char_0"/>
    <w:link w:val="146"/>
    <w:autoRedefine/>
    <w:qFormat/>
    <w:uiPriority w:val="0"/>
    <w:rPr>
      <w:rFonts w:ascii="Arial" w:hAnsi="Arial" w:eastAsia="黑体"/>
      <w:sz w:val="24"/>
      <w:szCs w:val="24"/>
    </w:rPr>
  </w:style>
  <w:style w:type="paragraph" w:customStyle="1" w:styleId="146">
    <w:name w:val="标题 8_0"/>
    <w:basedOn w:val="138"/>
    <w:next w:val="138"/>
    <w:link w:val="145"/>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47">
    <w:name w:val="标题 9 Char_0"/>
    <w:link w:val="148"/>
    <w:autoRedefine/>
    <w:qFormat/>
    <w:uiPriority w:val="0"/>
    <w:rPr>
      <w:rFonts w:ascii="Arial" w:hAnsi="Arial" w:eastAsia="黑体"/>
      <w:sz w:val="21"/>
      <w:szCs w:val="21"/>
    </w:rPr>
  </w:style>
  <w:style w:type="paragraph" w:customStyle="1" w:styleId="148">
    <w:name w:val="标题 9_0"/>
    <w:basedOn w:val="138"/>
    <w:next w:val="138"/>
    <w:link w:val="147"/>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49">
    <w:name w:val="标题 3 Char_0"/>
    <w:link w:val="150"/>
    <w:autoRedefine/>
    <w:qFormat/>
    <w:uiPriority w:val="0"/>
    <w:rPr>
      <w:b/>
      <w:sz w:val="32"/>
    </w:rPr>
  </w:style>
  <w:style w:type="paragraph" w:customStyle="1" w:styleId="150">
    <w:name w:val="标题 3_0"/>
    <w:basedOn w:val="138"/>
    <w:next w:val="151"/>
    <w:link w:val="149"/>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51">
    <w:name w:val="正文缩进_0"/>
    <w:basedOn w:val="138"/>
    <w:autoRedefine/>
    <w:unhideWhenUsed/>
    <w:qFormat/>
    <w:uiPriority w:val="0"/>
    <w:pPr>
      <w:ind w:firstLine="420" w:firstLineChars="200"/>
    </w:pPr>
    <w:rPr>
      <w:rFonts w:ascii="Calibri" w:hAnsi="Calibri"/>
      <w:bCs/>
      <w:szCs w:val="32"/>
    </w:rPr>
  </w:style>
  <w:style w:type="character" w:customStyle="1" w:styleId="152">
    <w:name w:val="Blockquote Char_0"/>
    <w:link w:val="153"/>
    <w:autoRedefine/>
    <w:qFormat/>
    <w:locked/>
    <w:uiPriority w:val="0"/>
    <w:rPr>
      <w:sz w:val="24"/>
    </w:rPr>
  </w:style>
  <w:style w:type="paragraph" w:customStyle="1" w:styleId="153">
    <w:name w:val="Blockquote_0"/>
    <w:basedOn w:val="138"/>
    <w:link w:val="152"/>
    <w:autoRedefine/>
    <w:qFormat/>
    <w:uiPriority w:val="0"/>
    <w:pPr>
      <w:autoSpaceDE w:val="0"/>
      <w:autoSpaceDN w:val="0"/>
      <w:adjustRightInd w:val="0"/>
      <w:spacing w:before="100" w:after="100"/>
      <w:ind w:left="360" w:right="360"/>
      <w:jc w:val="left"/>
    </w:pPr>
    <w:rPr>
      <w:kern w:val="0"/>
      <w:sz w:val="24"/>
      <w:szCs w:val="20"/>
    </w:rPr>
  </w:style>
  <w:style w:type="character" w:customStyle="1" w:styleId="154">
    <w:name w:val="标题 4 Char_0"/>
    <w:link w:val="155"/>
    <w:autoRedefine/>
    <w:qFormat/>
    <w:uiPriority w:val="0"/>
    <w:rPr>
      <w:rFonts w:ascii="Arial" w:hAnsi="Arial" w:eastAsia="黑体"/>
      <w:sz w:val="28"/>
    </w:rPr>
  </w:style>
  <w:style w:type="paragraph" w:customStyle="1" w:styleId="155">
    <w:name w:val="标题 4_0"/>
    <w:basedOn w:val="138"/>
    <w:next w:val="138"/>
    <w:link w:val="154"/>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56">
    <w:name w:val="纯文本 Char1_1"/>
    <w:link w:val="157"/>
    <w:autoRedefine/>
    <w:qFormat/>
    <w:uiPriority w:val="0"/>
    <w:rPr>
      <w:rFonts w:ascii="宋体" w:hAnsi="Courier New"/>
      <w:kern w:val="2"/>
      <w:sz w:val="21"/>
      <w:szCs w:val="21"/>
    </w:rPr>
  </w:style>
  <w:style w:type="paragraph" w:customStyle="1" w:styleId="157">
    <w:name w:val="纯文本_2"/>
    <w:basedOn w:val="138"/>
    <w:link w:val="156"/>
    <w:autoRedefine/>
    <w:qFormat/>
    <w:uiPriority w:val="0"/>
    <w:rPr>
      <w:rFonts w:ascii="宋体" w:hAnsi="Courier New"/>
      <w:szCs w:val="21"/>
    </w:rPr>
  </w:style>
  <w:style w:type="character" w:customStyle="1" w:styleId="158">
    <w:name w:val="Blockquote Char_0_1"/>
    <w:link w:val="159"/>
    <w:autoRedefine/>
    <w:qFormat/>
    <w:locked/>
    <w:uiPriority w:val="0"/>
    <w:rPr>
      <w:sz w:val="24"/>
    </w:rPr>
  </w:style>
  <w:style w:type="paragraph" w:customStyle="1" w:styleId="159">
    <w:name w:val="Blockquote_0_1"/>
    <w:basedOn w:val="160"/>
    <w:link w:val="158"/>
    <w:autoRedefine/>
    <w:qFormat/>
    <w:uiPriority w:val="0"/>
    <w:pPr>
      <w:autoSpaceDE w:val="0"/>
      <w:autoSpaceDN w:val="0"/>
      <w:adjustRightInd w:val="0"/>
      <w:spacing w:before="100" w:after="100"/>
      <w:ind w:left="360" w:right="360"/>
      <w:jc w:val="left"/>
    </w:pPr>
    <w:rPr>
      <w:kern w:val="0"/>
      <w:sz w:val="24"/>
      <w:szCs w:val="20"/>
    </w:rPr>
  </w:style>
  <w:style w:type="paragraph" w:customStyle="1" w:styleId="16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正文文本 Char_0"/>
    <w:link w:val="162"/>
    <w:autoRedefine/>
    <w:qFormat/>
    <w:uiPriority w:val="0"/>
    <w:rPr>
      <w:kern w:val="2"/>
      <w:sz w:val="21"/>
      <w:szCs w:val="24"/>
    </w:rPr>
  </w:style>
  <w:style w:type="paragraph" w:customStyle="1" w:styleId="162">
    <w:name w:val="正文文本_0"/>
    <w:basedOn w:val="138"/>
    <w:link w:val="161"/>
    <w:autoRedefine/>
    <w:qFormat/>
    <w:uiPriority w:val="0"/>
    <w:pPr>
      <w:spacing w:after="120"/>
    </w:pPr>
  </w:style>
  <w:style w:type="character" w:customStyle="1" w:styleId="163">
    <w:name w:val="脚注文本 Char_0"/>
    <w:link w:val="164"/>
    <w:autoRedefine/>
    <w:semiHidden/>
    <w:qFormat/>
    <w:uiPriority w:val="0"/>
    <w:rPr>
      <w:sz w:val="18"/>
    </w:rPr>
  </w:style>
  <w:style w:type="paragraph" w:customStyle="1" w:styleId="164">
    <w:name w:val="脚注文本_0"/>
    <w:basedOn w:val="165"/>
    <w:link w:val="163"/>
    <w:autoRedefine/>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6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6">
    <w:name w:val="Char Char"/>
    <w:autoRedefine/>
    <w:qFormat/>
    <w:uiPriority w:val="0"/>
    <w:rPr>
      <w:rFonts w:ascii="宋体" w:hAnsi="Courier New" w:eastAsia="宋体" w:cs="Courier New"/>
      <w:kern w:val="2"/>
      <w:sz w:val="21"/>
      <w:szCs w:val="21"/>
      <w:lang w:val="en-US" w:eastAsia="zh-CN" w:bidi="ar-SA"/>
    </w:rPr>
  </w:style>
  <w:style w:type="character" w:customStyle="1" w:styleId="167">
    <w:name w:val="标题4 Char Char"/>
    <w:link w:val="168"/>
    <w:autoRedefine/>
    <w:qFormat/>
    <w:uiPriority w:val="0"/>
    <w:rPr>
      <w:rFonts w:ascii="Arial" w:hAnsi="Arial"/>
      <w:b/>
      <w:bCs/>
      <w:sz w:val="24"/>
      <w:szCs w:val="32"/>
    </w:rPr>
  </w:style>
  <w:style w:type="paragraph" w:customStyle="1" w:styleId="168">
    <w:name w:val="标题4"/>
    <w:basedOn w:val="3"/>
    <w:next w:val="24"/>
    <w:link w:val="167"/>
    <w:autoRedefine/>
    <w:qFormat/>
    <w:uiPriority w:val="0"/>
    <w:pPr>
      <w:spacing w:before="0" w:after="0" w:line="413" w:lineRule="auto"/>
    </w:pPr>
    <w:rPr>
      <w:rFonts w:ascii="Arial" w:hAnsi="Arial"/>
      <w:kern w:val="0"/>
      <w:sz w:val="24"/>
    </w:rPr>
  </w:style>
  <w:style w:type="character" w:customStyle="1" w:styleId="169">
    <w:name w:val="明显引用 Char"/>
    <w:link w:val="170"/>
    <w:autoRedefine/>
    <w:qFormat/>
    <w:uiPriority w:val="0"/>
    <w:rPr>
      <w:b/>
      <w:bCs/>
      <w:i/>
      <w:iCs/>
      <w:color w:val="4F81BD"/>
      <w:kern w:val="2"/>
      <w:sz w:val="21"/>
      <w:szCs w:val="22"/>
    </w:rPr>
  </w:style>
  <w:style w:type="paragraph" w:styleId="170">
    <w:name w:val="Intense Quote"/>
    <w:basedOn w:val="1"/>
    <w:next w:val="1"/>
    <w:link w:val="169"/>
    <w:autoRedefine/>
    <w:qFormat/>
    <w:uiPriority w:val="0"/>
    <w:pPr>
      <w:pBdr>
        <w:bottom w:val="single" w:color="4F81BD" w:sz="4" w:space="4"/>
      </w:pBdr>
      <w:spacing w:before="200" w:after="280"/>
      <w:ind w:left="936" w:right="936"/>
    </w:pPr>
    <w:rPr>
      <w:rFonts w:ascii="Times New Roman"/>
      <w:b/>
      <w:bCs/>
      <w:i/>
      <w:iCs/>
      <w:color w:val="4F81BD"/>
      <w:kern w:val="2"/>
      <w:sz w:val="21"/>
      <w:szCs w:val="22"/>
    </w:rPr>
  </w:style>
  <w:style w:type="character" w:customStyle="1" w:styleId="171">
    <w:name w:val="明显引用 Char1"/>
    <w:autoRedefine/>
    <w:qFormat/>
    <w:uiPriority w:val="30"/>
    <w:rPr>
      <w:b/>
      <w:bCs/>
      <w:i/>
      <w:iCs/>
      <w:color w:val="4F81BD"/>
      <w:kern w:val="2"/>
      <w:sz w:val="21"/>
      <w:szCs w:val="24"/>
    </w:rPr>
  </w:style>
  <w:style w:type="character" w:customStyle="1" w:styleId="172">
    <w:name w:val="标题5 Char Char"/>
    <w:link w:val="173"/>
    <w:autoRedefine/>
    <w:qFormat/>
    <w:uiPriority w:val="0"/>
    <w:rPr>
      <w:rFonts w:ascii="Arial" w:hAnsi="Arial"/>
      <w:b/>
      <w:bCs/>
      <w:sz w:val="24"/>
      <w:szCs w:val="32"/>
    </w:rPr>
  </w:style>
  <w:style w:type="paragraph" w:customStyle="1" w:styleId="173">
    <w:name w:val="标题5"/>
    <w:basedOn w:val="4"/>
    <w:link w:val="172"/>
    <w:autoRedefine/>
    <w:qFormat/>
    <w:uiPriority w:val="0"/>
    <w:pPr>
      <w:spacing w:before="260" w:after="260" w:line="413" w:lineRule="auto"/>
    </w:pPr>
    <w:rPr>
      <w:rFonts w:ascii="Arial" w:hAnsi="Arial" w:eastAsia="宋体"/>
      <w:b/>
      <w:kern w:val="0"/>
      <w:szCs w:val="32"/>
    </w:rPr>
  </w:style>
  <w:style w:type="character" w:customStyle="1" w:styleId="174">
    <w:name w:val="引用 Char"/>
    <w:link w:val="175"/>
    <w:autoRedefine/>
    <w:qFormat/>
    <w:uiPriority w:val="0"/>
    <w:rPr>
      <w:i/>
      <w:iCs/>
      <w:color w:val="000000"/>
      <w:kern w:val="2"/>
      <w:sz w:val="21"/>
      <w:szCs w:val="22"/>
    </w:rPr>
  </w:style>
  <w:style w:type="paragraph" w:styleId="175">
    <w:name w:val="Quote"/>
    <w:basedOn w:val="1"/>
    <w:next w:val="1"/>
    <w:link w:val="174"/>
    <w:autoRedefine/>
    <w:qFormat/>
    <w:uiPriority w:val="0"/>
    <w:rPr>
      <w:rFonts w:ascii="Times New Roman"/>
      <w:i/>
      <w:iCs/>
      <w:color w:val="000000"/>
      <w:kern w:val="2"/>
      <w:sz w:val="21"/>
      <w:szCs w:val="22"/>
    </w:rPr>
  </w:style>
  <w:style w:type="character" w:customStyle="1" w:styleId="176">
    <w:name w:val="引用 Char1"/>
    <w:autoRedefine/>
    <w:qFormat/>
    <w:uiPriority w:val="29"/>
    <w:rPr>
      <w:i/>
      <w:iCs/>
      <w:color w:val="000000"/>
      <w:kern w:val="2"/>
      <w:sz w:val="21"/>
      <w:szCs w:val="24"/>
    </w:rPr>
  </w:style>
  <w:style w:type="character" w:customStyle="1" w:styleId="177">
    <w:name w:val="ask-title2"/>
    <w:autoRedefine/>
    <w:qFormat/>
    <w:uiPriority w:val="0"/>
  </w:style>
  <w:style w:type="character" w:customStyle="1" w:styleId="178">
    <w:name w:val="正文文本 Char1"/>
    <w:autoRedefine/>
    <w:qFormat/>
    <w:uiPriority w:val="0"/>
    <w:rPr>
      <w:kern w:val="2"/>
      <w:sz w:val="21"/>
      <w:szCs w:val="22"/>
    </w:rPr>
  </w:style>
  <w:style w:type="character" w:customStyle="1" w:styleId="179">
    <w:name w:val="不明显强调1"/>
    <w:autoRedefine/>
    <w:qFormat/>
    <w:uiPriority w:val="0"/>
    <w:rPr>
      <w:i/>
      <w:iCs/>
      <w:color w:val="808080"/>
    </w:rPr>
  </w:style>
  <w:style w:type="character" w:customStyle="1" w:styleId="180">
    <w:name w:val="明显参考1"/>
    <w:autoRedefine/>
    <w:qFormat/>
    <w:uiPriority w:val="0"/>
    <w:rPr>
      <w:b/>
      <w:bCs/>
      <w:smallCaps/>
      <w:color w:val="C0504D"/>
      <w:spacing w:val="5"/>
      <w:u w:val="single"/>
    </w:rPr>
  </w:style>
  <w:style w:type="character" w:customStyle="1" w:styleId="181">
    <w:name w:val="日期 Char1"/>
    <w:autoRedefine/>
    <w:qFormat/>
    <w:uiPriority w:val="0"/>
    <w:rPr>
      <w:kern w:val="2"/>
      <w:sz w:val="21"/>
      <w:szCs w:val="22"/>
    </w:rPr>
  </w:style>
  <w:style w:type="character" w:customStyle="1" w:styleId="182">
    <w:name w:val="明显强调1"/>
    <w:autoRedefine/>
    <w:qFormat/>
    <w:uiPriority w:val="0"/>
    <w:rPr>
      <w:b/>
      <w:bCs/>
      <w:i/>
      <w:iCs/>
      <w:color w:val="4F81BD"/>
    </w:rPr>
  </w:style>
  <w:style w:type="character" w:customStyle="1" w:styleId="183">
    <w:name w:val="textcontents"/>
    <w:autoRedefine/>
    <w:qFormat/>
    <w:uiPriority w:val="0"/>
    <w:rPr>
      <w:rFonts w:cs="Times New Roman"/>
    </w:rPr>
  </w:style>
  <w:style w:type="character" w:customStyle="1" w:styleId="184">
    <w:name w:val="不明显参考1"/>
    <w:autoRedefine/>
    <w:qFormat/>
    <w:uiPriority w:val="0"/>
    <w:rPr>
      <w:smallCaps/>
      <w:color w:val="C0504D"/>
      <w:u w:val="single"/>
    </w:rPr>
  </w:style>
  <w:style w:type="character" w:customStyle="1" w:styleId="185">
    <w:name w:val="批注文字 Char Char"/>
    <w:autoRedefine/>
    <w:qFormat/>
    <w:uiPriority w:val="0"/>
    <w:rPr>
      <w:rFonts w:ascii="宋体" w:hAnsi="Times New Roman" w:eastAsia="宋体" w:cs="Times New Roman"/>
      <w:sz w:val="28"/>
      <w:szCs w:val="20"/>
    </w:rPr>
  </w:style>
  <w:style w:type="character" w:customStyle="1" w:styleId="186">
    <w:name w:val="文档结构图 Char1"/>
    <w:autoRedefine/>
    <w:qFormat/>
    <w:uiPriority w:val="0"/>
    <w:rPr>
      <w:rFonts w:ascii="宋体"/>
      <w:kern w:val="2"/>
      <w:sz w:val="18"/>
      <w:szCs w:val="18"/>
    </w:rPr>
  </w:style>
  <w:style w:type="character" w:customStyle="1" w:styleId="187">
    <w:name w:val="页脚 Char1"/>
    <w:autoRedefine/>
    <w:semiHidden/>
    <w:qFormat/>
    <w:uiPriority w:val="99"/>
    <w:rPr>
      <w:kern w:val="2"/>
      <w:sz w:val="18"/>
      <w:szCs w:val="18"/>
    </w:rPr>
  </w:style>
  <w:style w:type="character" w:customStyle="1" w:styleId="188">
    <w:name w:val="批注框文本 Char2"/>
    <w:autoRedefine/>
    <w:semiHidden/>
    <w:qFormat/>
    <w:uiPriority w:val="99"/>
    <w:rPr>
      <w:kern w:val="2"/>
      <w:sz w:val="18"/>
      <w:szCs w:val="18"/>
    </w:rPr>
  </w:style>
  <w:style w:type="paragraph" w:customStyle="1" w:styleId="18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rPr>
  </w:style>
  <w:style w:type="paragraph" w:customStyle="1" w:styleId="19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sz w:val="18"/>
      <w:szCs w:val="18"/>
    </w:rPr>
  </w:style>
  <w:style w:type="paragraph" w:customStyle="1" w:styleId="19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193">
    <w:name w:val="Char Char Char Char"/>
    <w:basedOn w:val="1"/>
    <w:autoRedefine/>
    <w:qFormat/>
    <w:uiPriority w:val="0"/>
    <w:pPr>
      <w:snapToGrid w:val="0"/>
      <w:spacing w:line="360" w:lineRule="auto"/>
      <w:ind w:firstLine="200" w:firstLineChars="200"/>
    </w:pPr>
    <w:rPr>
      <w:rFonts w:ascii="Calibri" w:hAnsi="Calibri" w:eastAsia="仿宋_GB2312"/>
      <w:szCs w:val="22"/>
    </w:rPr>
  </w:style>
  <w:style w:type="paragraph" w:customStyle="1" w:styleId="194">
    <w:name w:val="样式 标题 3 + (中文) 黑体 小四 非加粗 段前: 7.8 磅 段后: 0 磅 行距: 固定值 20 磅"/>
    <w:basedOn w:val="4"/>
    <w:autoRedefine/>
    <w:qFormat/>
    <w:uiPriority w:val="0"/>
    <w:pPr>
      <w:spacing w:line="400" w:lineRule="exact"/>
    </w:pPr>
    <w:rPr>
      <w:rFonts w:cs="宋体"/>
      <w:b/>
      <w:bCs w:val="0"/>
      <w:szCs w:val="20"/>
    </w:rPr>
  </w:style>
  <w:style w:type="paragraph" w:customStyle="1" w:styleId="19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196">
    <w:name w:val="Char Char Char Char Char Char"/>
    <w:basedOn w:val="1"/>
    <w:autoRedefine/>
    <w:qFormat/>
    <w:uiPriority w:val="0"/>
    <w:rPr>
      <w:rFonts w:ascii="Tahoma" w:hAnsi="Tahoma"/>
    </w:rPr>
  </w:style>
  <w:style w:type="paragraph" w:customStyle="1" w:styleId="197">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19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rPr>
  </w:style>
  <w:style w:type="paragraph" w:customStyle="1" w:styleId="199">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0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201">
    <w:name w:val="样式 标题 2 + Times New Roman 四号 非加粗 段前: 5 磅 段后: 0 磅 行距: 固定值 20..."/>
    <w:basedOn w:val="3"/>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202">
    <w:name w:val="普通 (Web)"/>
    <w:basedOn w:val="1"/>
    <w:autoRedefine/>
    <w:qFormat/>
    <w:uiPriority w:val="0"/>
    <w:pPr>
      <w:widowControl/>
      <w:spacing w:before="100" w:beforeAutospacing="1" w:after="100" w:afterAutospacing="1"/>
      <w:jc w:val="left"/>
    </w:pPr>
    <w:rPr>
      <w:rFonts w:hAnsi="宋体"/>
    </w:rPr>
  </w:style>
  <w:style w:type="paragraph" w:styleId="203">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06">
    <w:name w:val="Normal_0"/>
    <w:autoRedefine/>
    <w:qFormat/>
    <w:uiPriority w:val="0"/>
    <w:rPr>
      <w:rFonts w:ascii="Times New Roman" w:hAnsi="Times New Roman" w:eastAsia="宋体" w:cs="Times New Roman"/>
      <w:sz w:val="24"/>
      <w:szCs w:val="24"/>
      <w:lang w:val="en-US" w:eastAsia="zh-CN" w:bidi="ar-SA"/>
    </w:rPr>
  </w:style>
  <w:style w:type="paragraph" w:customStyle="1" w:styleId="207">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0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paragraph" w:customStyle="1" w:styleId="21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212">
    <w:name w:val="Char"/>
    <w:basedOn w:val="1"/>
    <w:autoRedefine/>
    <w:qFormat/>
    <w:uiPriority w:val="0"/>
    <w:rPr>
      <w:rFonts w:ascii="Calibri" w:hAnsi="Calibri"/>
      <w:szCs w:val="22"/>
    </w:rPr>
  </w:style>
  <w:style w:type="paragraph" w:customStyle="1" w:styleId="213">
    <w:name w:val="Char Char Char Char Char Char1"/>
    <w:basedOn w:val="1"/>
    <w:autoRedefine/>
    <w:qFormat/>
    <w:uiPriority w:val="0"/>
    <w:rPr>
      <w:rFonts w:ascii="Tahoma" w:hAnsi="Tahoma"/>
    </w:rPr>
  </w:style>
  <w:style w:type="paragraph" w:customStyle="1" w:styleId="214">
    <w:name w:val="xl42"/>
    <w:basedOn w:val="1"/>
    <w:autoRedefine/>
    <w:qFormat/>
    <w:uiPriority w:val="0"/>
    <w:pPr>
      <w:widowControl/>
      <w:spacing w:before="100" w:beforeAutospacing="1" w:after="100" w:afterAutospacing="1"/>
      <w:jc w:val="center"/>
      <w:textAlignment w:val="center"/>
    </w:pPr>
    <w:rPr>
      <w:rFonts w:hAnsi="宋体"/>
      <w:b/>
      <w:bCs/>
      <w:sz w:val="32"/>
      <w:szCs w:val="32"/>
    </w:rPr>
  </w:style>
  <w:style w:type="paragraph" w:customStyle="1" w:styleId="21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szCs w:val="22"/>
    </w:rPr>
  </w:style>
  <w:style w:type="paragraph" w:customStyle="1" w:styleId="216">
    <w:name w:val="样式1"/>
    <w:basedOn w:val="1"/>
    <w:next w:val="5"/>
    <w:autoRedefine/>
    <w:qFormat/>
    <w:uiPriority w:val="0"/>
    <w:pPr>
      <w:spacing w:line="360" w:lineRule="auto"/>
      <w:ind w:firstLine="420" w:firstLineChars="200"/>
    </w:pPr>
    <w:rPr>
      <w:rFonts w:hAnsi="宋体"/>
      <w:szCs w:val="21"/>
    </w:rPr>
  </w:style>
  <w:style w:type="paragraph" w:customStyle="1" w:styleId="217">
    <w:name w:val="段落2"/>
    <w:basedOn w:val="1"/>
    <w:autoRedefine/>
    <w:qFormat/>
    <w:uiPriority w:val="0"/>
    <w:pPr>
      <w:spacing w:line="360" w:lineRule="auto"/>
      <w:ind w:firstLine="480" w:firstLineChars="200"/>
    </w:pPr>
    <w:rPr>
      <w:rFonts w:ascii="Calibri" w:hAnsi="Calibri" w:cs="Courier New"/>
      <w:szCs w:val="21"/>
    </w:rPr>
  </w:style>
  <w:style w:type="paragraph" w:customStyle="1" w:styleId="218">
    <w:name w:val="目录"/>
    <w:basedOn w:val="1"/>
    <w:autoRedefine/>
    <w:qFormat/>
    <w:uiPriority w:val="0"/>
    <w:pPr>
      <w:widowControl/>
      <w:jc w:val="center"/>
    </w:pPr>
    <w:rPr>
      <w:rFonts w:hAnsi="Calibri"/>
      <w:b/>
      <w:sz w:val="36"/>
    </w:rPr>
  </w:style>
  <w:style w:type="paragraph" w:customStyle="1" w:styleId="219">
    <w:name w:val="目录文字"/>
    <w:basedOn w:val="1"/>
    <w:autoRedefine/>
    <w:qFormat/>
    <w:uiPriority w:val="0"/>
    <w:pPr>
      <w:widowControl/>
      <w:spacing w:line="480" w:lineRule="auto"/>
      <w:jc w:val="left"/>
    </w:pPr>
    <w:rPr>
      <w:rFonts w:hAnsi="宋体"/>
    </w:rPr>
  </w:style>
  <w:style w:type="paragraph" w:customStyle="1" w:styleId="2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22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paragraph" w:customStyle="1" w:styleId="222">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paragraph" w:customStyle="1" w:styleId="223">
    <w:name w:val="段落1 Char"/>
    <w:basedOn w:val="27"/>
    <w:autoRedefine/>
    <w:qFormat/>
    <w:uiPriority w:val="0"/>
    <w:pPr>
      <w:spacing w:line="360" w:lineRule="auto"/>
    </w:pPr>
    <w:rPr>
      <w:rFonts w:ascii="Times New Roman" w:hAnsi="Times New Roman"/>
      <w:sz w:val="24"/>
      <w:szCs w:val="21"/>
    </w:rPr>
  </w:style>
  <w:style w:type="paragraph" w:customStyle="1" w:styleId="224">
    <w:name w:val="样式3"/>
    <w:basedOn w:val="1"/>
    <w:autoRedefine/>
    <w:qFormat/>
    <w:uiPriority w:val="0"/>
    <w:pPr>
      <w:tabs>
        <w:tab w:val="left" w:pos="560"/>
        <w:tab w:val="left" w:pos="1120"/>
      </w:tabs>
      <w:spacing w:line="480" w:lineRule="atLeast"/>
    </w:pPr>
    <w:rPr>
      <w:rFonts w:ascii="Calibri" w:hAnsi="Calibri" w:eastAsia="创艺简黑体"/>
      <w:b/>
      <w:sz w:val="28"/>
    </w:rPr>
  </w:style>
  <w:style w:type="paragraph" w:customStyle="1" w:styleId="225">
    <w:name w:val="简单回函地址"/>
    <w:basedOn w:val="1"/>
    <w:autoRedefine/>
    <w:qFormat/>
    <w:uiPriority w:val="0"/>
    <w:rPr>
      <w:rFonts w:ascii="Calibri" w:hAnsi="Calibri"/>
      <w:szCs w:val="22"/>
    </w:rPr>
  </w:style>
  <w:style w:type="paragraph" w:customStyle="1" w:styleId="226">
    <w:name w:val="xl44"/>
    <w:basedOn w:val="1"/>
    <w:autoRedefine/>
    <w:qFormat/>
    <w:uiPriority w:val="0"/>
    <w:pPr>
      <w:widowControl/>
      <w:spacing w:before="100" w:beforeAutospacing="1" w:after="100" w:afterAutospacing="1"/>
      <w:jc w:val="center"/>
      <w:textAlignment w:val="center"/>
    </w:pPr>
    <w:rPr>
      <w:rFonts w:hAnsi="宋体"/>
      <w:b/>
      <w:bCs/>
      <w:sz w:val="32"/>
      <w:szCs w:val="32"/>
    </w:rPr>
  </w:style>
  <w:style w:type="paragraph" w:customStyle="1" w:styleId="22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rPr>
  </w:style>
  <w:style w:type="paragraph" w:customStyle="1" w:styleId="228">
    <w:name w:val="Default Paragraph Char Char Char Char"/>
    <w:basedOn w:val="1"/>
    <w:next w:val="1"/>
    <w:autoRedefine/>
    <w:qFormat/>
    <w:uiPriority w:val="0"/>
    <w:pPr>
      <w:widowControl/>
      <w:spacing w:line="360" w:lineRule="auto"/>
      <w:jc w:val="left"/>
    </w:pPr>
    <w:rPr>
      <w:rFonts w:ascii="Calibri" w:hAnsi="Calibri"/>
      <w:lang w:eastAsia="en-US"/>
    </w:rPr>
  </w:style>
  <w:style w:type="paragraph" w:customStyle="1" w:styleId="229">
    <w:name w:val="普通(网站)_0"/>
    <w:basedOn w:val="138"/>
    <w:autoRedefine/>
    <w:qFormat/>
    <w:uiPriority w:val="0"/>
    <w:pPr>
      <w:widowControl/>
      <w:spacing w:before="100" w:beforeAutospacing="1" w:after="100" w:afterAutospacing="1"/>
      <w:jc w:val="left"/>
    </w:pPr>
    <w:rPr>
      <w:rFonts w:ascii="宋体" w:hAnsi="宋体"/>
      <w:kern w:val="0"/>
      <w:sz w:val="24"/>
    </w:rPr>
  </w:style>
  <w:style w:type="paragraph" w:customStyle="1" w:styleId="230">
    <w:name w:val="Char1"/>
    <w:basedOn w:val="1"/>
    <w:next w:val="1"/>
    <w:autoRedefine/>
    <w:qFormat/>
    <w:uiPriority w:val="0"/>
    <w:pPr>
      <w:widowControl/>
      <w:spacing w:line="360" w:lineRule="auto"/>
      <w:jc w:val="left"/>
    </w:pPr>
    <w:rPr>
      <w:rFonts w:ascii="Calibri" w:hAnsi="Calibri"/>
      <w:lang w:eastAsia="en-US"/>
    </w:rPr>
  </w:style>
  <w:style w:type="paragraph" w:customStyle="1" w:styleId="231">
    <w:name w:val="Char10 Char Char Char Char Char Char Char Char Char"/>
    <w:basedOn w:val="1"/>
    <w:next w:val="1"/>
    <w:autoRedefine/>
    <w:qFormat/>
    <w:uiPriority w:val="0"/>
    <w:rPr>
      <w:rFonts w:ascii="Calibri" w:hAnsi="Calibri"/>
      <w:szCs w:val="22"/>
    </w:rPr>
  </w:style>
  <w:style w:type="paragraph" w:customStyle="1" w:styleId="232">
    <w:name w:val="TOC 标题1"/>
    <w:basedOn w:val="2"/>
    <w:next w:val="1"/>
    <w:autoRedefine/>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33">
    <w:name w:val="Char Char Char Char1"/>
    <w:basedOn w:val="1"/>
    <w:autoRedefine/>
    <w:qFormat/>
    <w:uiPriority w:val="0"/>
    <w:pPr>
      <w:snapToGrid w:val="0"/>
      <w:spacing w:line="360" w:lineRule="auto"/>
      <w:ind w:firstLine="200" w:firstLineChars="200"/>
    </w:pPr>
    <w:rPr>
      <w:rFonts w:ascii="Calibri" w:hAnsi="Calibri" w:eastAsia="仿宋_GB2312"/>
      <w:szCs w:val="22"/>
    </w:rPr>
  </w:style>
  <w:style w:type="paragraph" w:customStyle="1" w:styleId="234">
    <w:name w:val="Char10 Char Char Char Char Char Char Char Char Char1"/>
    <w:basedOn w:val="1"/>
    <w:next w:val="1"/>
    <w:autoRedefine/>
    <w:qFormat/>
    <w:uiPriority w:val="0"/>
    <w:rPr>
      <w:rFonts w:ascii="Calibri" w:hAnsi="Calibri"/>
      <w:szCs w:val="22"/>
    </w:rPr>
  </w:style>
  <w:style w:type="paragraph" w:customStyle="1" w:styleId="235">
    <w:name w:val="xl45"/>
    <w:basedOn w:val="1"/>
    <w:autoRedefine/>
    <w:qFormat/>
    <w:uiPriority w:val="0"/>
    <w:pPr>
      <w:widowControl/>
      <w:spacing w:before="100" w:beforeAutospacing="1" w:after="100" w:afterAutospacing="1"/>
      <w:jc w:val="left"/>
      <w:textAlignment w:val="top"/>
    </w:pPr>
    <w:rPr>
      <w:rFonts w:hAnsi="宋体"/>
    </w:rPr>
  </w:style>
  <w:style w:type="paragraph" w:customStyle="1" w:styleId="236">
    <w:name w:val="MsoNormal"/>
    <w:basedOn w:val="206"/>
    <w:autoRedefine/>
    <w:qFormat/>
    <w:uiPriority w:val="0"/>
    <w:rPr>
      <w:rFonts w:ascii="Calibri" w:hAnsi="Calibri" w:eastAsia="Calibri"/>
      <w:sz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3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39">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rPr>
  </w:style>
  <w:style w:type="paragraph" w:customStyle="1" w:styleId="24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241">
    <w:name w:val="flNote"/>
    <w:basedOn w:val="1"/>
    <w:autoRedefine/>
    <w:qFormat/>
    <w:uiPriority w:val="0"/>
    <w:pPr>
      <w:adjustRightInd w:val="0"/>
      <w:spacing w:before="320" w:after="160" w:line="360" w:lineRule="atLeast"/>
      <w:jc w:val="center"/>
      <w:textAlignment w:val="baseline"/>
    </w:pPr>
    <w:rPr>
      <w:rFonts w:ascii="Arial" w:eastAsia="黑体"/>
      <w:sz w:val="30"/>
    </w:rPr>
  </w:style>
  <w:style w:type="paragraph" w:customStyle="1" w:styleId="24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范本目录"/>
    <w:basedOn w:val="1"/>
    <w:autoRedefine/>
    <w:qFormat/>
    <w:uiPriority w:val="0"/>
    <w:pPr>
      <w:adjustRightInd w:val="0"/>
      <w:snapToGrid w:val="0"/>
      <w:spacing w:beforeLines="20" w:afterLines="20" w:line="540" w:lineRule="exact"/>
      <w:jc w:val="center"/>
    </w:pPr>
    <w:rPr>
      <w:rFonts w:hAnsi="宋体"/>
      <w:b/>
      <w:bCs/>
      <w:sz w:val="36"/>
    </w:rPr>
  </w:style>
  <w:style w:type="paragraph" w:customStyle="1" w:styleId="2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5">
    <w:name w:val="font5"/>
    <w:basedOn w:val="1"/>
    <w:autoRedefine/>
    <w:qFormat/>
    <w:uiPriority w:val="0"/>
    <w:pPr>
      <w:widowControl/>
      <w:spacing w:before="100" w:beforeAutospacing="1" w:after="100" w:afterAutospacing="1"/>
      <w:jc w:val="left"/>
    </w:pPr>
    <w:rPr>
      <w:rFonts w:hint="eastAsia" w:hAnsi="宋体"/>
      <w:sz w:val="18"/>
      <w:szCs w:val="18"/>
    </w:rPr>
  </w:style>
  <w:style w:type="paragraph" w:customStyle="1" w:styleId="24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22"/>
      <w:szCs w:val="22"/>
    </w:rPr>
  </w:style>
  <w:style w:type="paragraph" w:customStyle="1" w:styleId="24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rPr>
  </w:style>
  <w:style w:type="paragraph" w:customStyle="1" w:styleId="24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249">
    <w:name w:val="xl43"/>
    <w:basedOn w:val="1"/>
    <w:autoRedefine/>
    <w:qFormat/>
    <w:uiPriority w:val="0"/>
    <w:pPr>
      <w:widowControl/>
      <w:spacing w:before="100" w:beforeAutospacing="1" w:after="100" w:afterAutospacing="1"/>
      <w:jc w:val="left"/>
      <w:textAlignment w:val="top"/>
    </w:pPr>
    <w:rPr>
      <w:rFonts w:hAnsi="宋体"/>
    </w:rPr>
  </w:style>
  <w:style w:type="paragraph" w:customStyle="1" w:styleId="250">
    <w:name w:val="font6"/>
    <w:basedOn w:val="1"/>
    <w:autoRedefine/>
    <w:qFormat/>
    <w:uiPriority w:val="0"/>
    <w:pPr>
      <w:widowControl/>
      <w:spacing w:before="100" w:beforeAutospacing="1" w:after="100" w:afterAutospacing="1"/>
      <w:jc w:val="left"/>
    </w:pPr>
    <w:rPr>
      <w:sz w:val="18"/>
      <w:szCs w:val="18"/>
    </w:rPr>
  </w:style>
  <w:style w:type="paragraph" w:customStyle="1" w:styleId="251">
    <w:name w:val="Char Char Char Char Char"/>
    <w:basedOn w:val="1"/>
    <w:autoRedefine/>
    <w:qFormat/>
    <w:uiPriority w:val="0"/>
    <w:rPr>
      <w:rFonts w:ascii="Tahoma" w:hAnsi="Tahoma"/>
    </w:rPr>
  </w:style>
  <w:style w:type="paragraph" w:customStyle="1" w:styleId="252">
    <w:name w:val="空半行"/>
    <w:basedOn w:val="1"/>
    <w:autoRedefine/>
    <w:qFormat/>
    <w:uiPriority w:val="0"/>
    <w:pPr>
      <w:adjustRightInd w:val="0"/>
      <w:spacing w:line="120" w:lineRule="exact"/>
      <w:textAlignment w:val="baseline"/>
    </w:pPr>
    <w:rPr>
      <w:rFonts w:eastAsia="仿宋_GB2312"/>
      <w:color w:val="FFFFFF"/>
      <w:sz w:val="30"/>
    </w:rPr>
  </w:style>
  <w:style w:type="paragraph" w:customStyle="1" w:styleId="253">
    <w:name w:val="p0"/>
    <w:basedOn w:val="1"/>
    <w:autoRedefine/>
    <w:qFormat/>
    <w:uiPriority w:val="0"/>
    <w:pPr>
      <w:widowControl/>
      <w:spacing w:before="100" w:beforeAutospacing="1" w:after="100" w:afterAutospacing="1"/>
      <w:jc w:val="left"/>
    </w:pPr>
    <w:rPr>
      <w:rFonts w:hAnsi="宋体" w:cs="宋体"/>
    </w:rPr>
  </w:style>
  <w:style w:type="character" w:customStyle="1" w:styleId="254">
    <w:name w:val="fontstyle01"/>
    <w:autoRedefine/>
    <w:qFormat/>
    <w:uiPriority w:val="0"/>
    <w:rPr>
      <w:rFonts w:hint="eastAsia" w:ascii="宋体" w:hAnsi="宋体" w:eastAsia="宋体"/>
      <w:color w:val="000000"/>
      <w:sz w:val="22"/>
      <w:szCs w:val="22"/>
    </w:rPr>
  </w:style>
  <w:style w:type="character" w:customStyle="1" w:styleId="255">
    <w:name w:val="datetime"/>
    <w:autoRedefine/>
    <w:qFormat/>
    <w:uiPriority w:val="0"/>
    <w:rPr>
      <w:rFonts w:ascii="Arial" w:hAnsi="Arial" w:cs="Arial"/>
      <w:color w:val="999999"/>
      <w:sz w:val="21"/>
      <w:szCs w:val="21"/>
    </w:rPr>
  </w:style>
  <w:style w:type="character" w:customStyle="1" w:styleId="256">
    <w:name w:val="c2"/>
    <w:autoRedefine/>
    <w:qFormat/>
    <w:uiPriority w:val="0"/>
  </w:style>
  <w:style w:type="character" w:customStyle="1" w:styleId="257">
    <w:name w:val="msg-box10"/>
    <w:autoRedefine/>
    <w:qFormat/>
    <w:uiPriority w:val="0"/>
  </w:style>
  <w:style w:type="character" w:customStyle="1" w:styleId="258">
    <w:name w:val="c1"/>
    <w:autoRedefine/>
    <w:qFormat/>
    <w:uiPriority w:val="0"/>
  </w:style>
  <w:style w:type="character" w:customStyle="1" w:styleId="259">
    <w:name w:val="tit2"/>
    <w:autoRedefine/>
    <w:qFormat/>
    <w:uiPriority w:val="0"/>
    <w:rPr>
      <w:b/>
      <w:bCs/>
      <w:color w:val="333333"/>
      <w:sz w:val="24"/>
      <w:szCs w:val="24"/>
    </w:rPr>
  </w:style>
  <w:style w:type="character" w:customStyle="1" w:styleId="260">
    <w:name w:val="c3"/>
    <w:autoRedefine/>
    <w:qFormat/>
    <w:uiPriority w:val="0"/>
  </w:style>
  <w:style w:type="character" w:customStyle="1" w:styleId="261">
    <w:name w:val="buvis"/>
    <w:autoRedefine/>
    <w:qFormat/>
    <w:uiPriority w:val="0"/>
    <w:rPr>
      <w:color w:val="999999"/>
    </w:rPr>
  </w:style>
  <w:style w:type="character" w:customStyle="1" w:styleId="262">
    <w:name w:val="buvis1"/>
    <w:autoRedefine/>
    <w:qFormat/>
    <w:uiPriority w:val="0"/>
    <w:rPr>
      <w:color w:val="CC0000"/>
    </w:rPr>
  </w:style>
  <w:style w:type="character" w:customStyle="1" w:styleId="263">
    <w:name w:val="left2"/>
    <w:autoRedefine/>
    <w:qFormat/>
    <w:uiPriority w:val="0"/>
  </w:style>
  <w:style w:type="paragraph" w:customStyle="1" w:styleId="264">
    <w:name w:val="列表段落111"/>
    <w:basedOn w:val="1"/>
    <w:autoRedefine/>
    <w:qFormat/>
    <w:uiPriority w:val="34"/>
    <w:pPr>
      <w:ind w:firstLine="420" w:firstLineChars="200"/>
    </w:pPr>
  </w:style>
  <w:style w:type="paragraph" w:customStyle="1" w:styleId="265">
    <w:name w:val="列表段落11"/>
    <w:basedOn w:val="1"/>
    <w:autoRedefine/>
    <w:qFormat/>
    <w:uiPriority w:val="34"/>
    <w:pPr>
      <w:ind w:firstLine="420" w:firstLineChars="200"/>
    </w:pPr>
  </w:style>
  <w:style w:type="paragraph" w:customStyle="1" w:styleId="266">
    <w:name w:val="_Style 58"/>
    <w:basedOn w:val="2"/>
    <w:next w:val="1"/>
    <w:autoRedefine/>
    <w:qFormat/>
    <w:uiPriority w:val="39"/>
    <w:pPr>
      <w:widowControl/>
      <w:spacing w:before="240" w:line="259" w:lineRule="auto"/>
      <w:jc w:val="left"/>
      <w:outlineLvl w:val="9"/>
    </w:pPr>
    <w:rPr>
      <w:rFonts w:ascii="Calibri Light" w:hAnsi="Calibri Light"/>
      <w:b w:val="0"/>
      <w:bCs w:val="0"/>
      <w:color w:val="2E74B5"/>
      <w:kern w:val="0"/>
      <w:szCs w:val="32"/>
    </w:rPr>
  </w:style>
  <w:style w:type="paragraph" w:customStyle="1" w:styleId="267">
    <w:name w:val="Table Paragraph"/>
    <w:basedOn w:val="1"/>
    <w:autoRedefine/>
    <w:qFormat/>
    <w:uiPriority w:val="1"/>
    <w:pPr>
      <w:autoSpaceDE w:val="0"/>
      <w:autoSpaceDN w:val="0"/>
      <w:jc w:val="left"/>
    </w:pPr>
    <w:rPr>
      <w:rFonts w:hAnsi="宋体" w:cs="宋体"/>
      <w:sz w:val="22"/>
      <w:szCs w:val="22"/>
      <w:lang w:val="zh-CN" w:bidi="zh-CN"/>
    </w:rPr>
  </w:style>
  <w:style w:type="character" w:customStyle="1" w:styleId="268">
    <w:name w:val="font01"/>
    <w:autoRedefine/>
    <w:qFormat/>
    <w:uiPriority w:val="0"/>
    <w:rPr>
      <w:rFonts w:hint="eastAsia" w:ascii="宋体" w:hAnsi="宋体" w:eastAsia="宋体" w:cs="宋体"/>
      <w:color w:val="000000"/>
      <w:sz w:val="20"/>
      <w:szCs w:val="20"/>
      <w:u w:val="none"/>
    </w:rPr>
  </w:style>
  <w:style w:type="paragraph" w:customStyle="1" w:styleId="269">
    <w:name w:val="msonormal"/>
    <w:basedOn w:val="1"/>
    <w:autoRedefine/>
    <w:qFormat/>
    <w:uiPriority w:val="0"/>
    <w:pPr>
      <w:widowControl/>
      <w:spacing w:before="100" w:beforeAutospacing="1" w:after="100" w:afterAutospacing="1"/>
      <w:jc w:val="left"/>
    </w:pPr>
    <w:rPr>
      <w:rFonts w:hAnsi="宋体" w:cs="宋体"/>
      <w:szCs w:val="24"/>
    </w:rPr>
  </w:style>
  <w:style w:type="paragraph" w:customStyle="1" w:styleId="270">
    <w:name w:val="font7"/>
    <w:basedOn w:val="1"/>
    <w:autoRedefine/>
    <w:qFormat/>
    <w:uiPriority w:val="0"/>
    <w:pPr>
      <w:widowControl/>
      <w:spacing w:before="100" w:beforeAutospacing="1" w:after="100" w:afterAutospacing="1"/>
      <w:jc w:val="left"/>
    </w:pPr>
    <w:rPr>
      <w:rFonts w:hAnsi="宋体" w:cs="宋体"/>
      <w:color w:val="000000"/>
      <w:sz w:val="22"/>
      <w:szCs w:val="22"/>
    </w:rPr>
  </w:style>
  <w:style w:type="paragraph" w:customStyle="1" w:styleId="271">
    <w:name w:val="font8"/>
    <w:basedOn w:val="1"/>
    <w:autoRedefine/>
    <w:qFormat/>
    <w:uiPriority w:val="0"/>
    <w:pPr>
      <w:widowControl/>
      <w:spacing w:before="100" w:beforeAutospacing="1" w:after="100" w:afterAutospacing="1"/>
      <w:jc w:val="left"/>
    </w:pPr>
    <w:rPr>
      <w:rFonts w:hAnsi="宋体" w:cs="宋体"/>
      <w:b/>
      <w:bCs/>
      <w:color w:val="000000"/>
      <w:sz w:val="22"/>
      <w:szCs w:val="22"/>
    </w:rPr>
  </w:style>
  <w:style w:type="paragraph" w:customStyle="1" w:styleId="272">
    <w:name w:val="font9"/>
    <w:basedOn w:val="1"/>
    <w:autoRedefine/>
    <w:qFormat/>
    <w:uiPriority w:val="0"/>
    <w:pPr>
      <w:widowControl/>
      <w:spacing w:before="100" w:beforeAutospacing="1" w:after="100" w:afterAutospacing="1"/>
      <w:jc w:val="left"/>
    </w:pPr>
    <w:rPr>
      <w:rFonts w:ascii="Microsoft YaHei UI" w:hAnsi="Microsoft YaHei UI" w:eastAsia="Microsoft YaHei UI" w:cs="宋体"/>
      <w:sz w:val="22"/>
      <w:szCs w:val="22"/>
    </w:rPr>
  </w:style>
  <w:style w:type="paragraph" w:customStyle="1" w:styleId="273">
    <w:name w:val="font10"/>
    <w:basedOn w:val="1"/>
    <w:autoRedefine/>
    <w:qFormat/>
    <w:uiPriority w:val="0"/>
    <w:pPr>
      <w:widowControl/>
      <w:spacing w:before="100" w:beforeAutospacing="1" w:after="100" w:afterAutospacing="1"/>
      <w:jc w:val="left"/>
    </w:pPr>
    <w:rPr>
      <w:rFonts w:hAnsi="宋体" w:cs="宋体"/>
      <w:color w:val="FF0000"/>
      <w:sz w:val="22"/>
      <w:szCs w:val="22"/>
    </w:rPr>
  </w:style>
  <w:style w:type="paragraph" w:customStyle="1" w:styleId="274">
    <w:name w:val="font11"/>
    <w:basedOn w:val="1"/>
    <w:autoRedefine/>
    <w:qFormat/>
    <w:uiPriority w:val="0"/>
    <w:pPr>
      <w:widowControl/>
      <w:spacing w:before="100" w:beforeAutospacing="1" w:after="100" w:afterAutospacing="1"/>
      <w:jc w:val="left"/>
    </w:pPr>
    <w:rPr>
      <w:rFonts w:hAnsi="宋体" w:cs="宋体"/>
      <w:sz w:val="18"/>
      <w:szCs w:val="18"/>
    </w:rPr>
  </w:style>
  <w:style w:type="paragraph" w:customStyle="1" w:styleId="275">
    <w:name w:val="font12"/>
    <w:basedOn w:val="1"/>
    <w:autoRedefine/>
    <w:qFormat/>
    <w:uiPriority w:val="0"/>
    <w:pPr>
      <w:widowControl/>
      <w:spacing w:before="100" w:beforeAutospacing="1" w:after="100" w:afterAutospacing="1"/>
      <w:jc w:val="left"/>
    </w:pPr>
    <w:rPr>
      <w:rFonts w:ascii="Calibri" w:hAnsi="Calibri" w:cs="Calibri"/>
      <w:sz w:val="22"/>
      <w:szCs w:val="22"/>
    </w:rPr>
  </w:style>
  <w:style w:type="paragraph" w:customStyle="1" w:styleId="276">
    <w:name w:val="xl80"/>
    <w:basedOn w:val="1"/>
    <w:autoRedefine/>
    <w:qFormat/>
    <w:uiPriority w:val="0"/>
    <w:pPr>
      <w:widowControl/>
      <w:spacing w:before="100" w:beforeAutospacing="1" w:after="100" w:afterAutospacing="1"/>
      <w:jc w:val="left"/>
      <w:textAlignment w:val="center"/>
    </w:pPr>
    <w:rPr>
      <w:rFonts w:hAnsi="宋体" w:cs="宋体"/>
      <w:szCs w:val="24"/>
    </w:rPr>
  </w:style>
  <w:style w:type="paragraph" w:customStyle="1" w:styleId="277">
    <w:name w:val="xl81"/>
    <w:basedOn w:val="1"/>
    <w:autoRedefine/>
    <w:qFormat/>
    <w:uiPriority w:val="0"/>
    <w:pPr>
      <w:widowControl/>
      <w:spacing w:before="100" w:beforeAutospacing="1" w:after="100" w:afterAutospacing="1"/>
      <w:jc w:val="left"/>
    </w:pPr>
    <w:rPr>
      <w:rFonts w:hAnsi="宋体" w:cs="宋体"/>
      <w:szCs w:val="24"/>
    </w:rPr>
  </w:style>
  <w:style w:type="paragraph" w:customStyle="1" w:styleId="278">
    <w:name w:val="xl82"/>
    <w:basedOn w:val="1"/>
    <w:autoRedefine/>
    <w:qFormat/>
    <w:uiPriority w:val="0"/>
    <w:pPr>
      <w:widowControl/>
      <w:spacing w:before="100" w:beforeAutospacing="1" w:after="100" w:afterAutospacing="1"/>
      <w:jc w:val="center"/>
    </w:pPr>
    <w:rPr>
      <w:rFonts w:hAnsi="宋体" w:cs="宋体"/>
      <w:szCs w:val="24"/>
    </w:rPr>
  </w:style>
  <w:style w:type="paragraph" w:customStyle="1" w:styleId="279">
    <w:name w:val="xl83"/>
    <w:basedOn w:val="1"/>
    <w:autoRedefine/>
    <w:qFormat/>
    <w:uiPriority w:val="0"/>
    <w:pPr>
      <w:widowControl/>
      <w:spacing w:before="100" w:beforeAutospacing="1" w:after="100" w:afterAutospacing="1"/>
      <w:jc w:val="left"/>
    </w:pPr>
    <w:rPr>
      <w:rFonts w:hAnsi="宋体" w:cs="宋体"/>
      <w:szCs w:val="24"/>
    </w:rPr>
  </w:style>
  <w:style w:type="paragraph" w:customStyle="1" w:styleId="280">
    <w:name w:val="xl84"/>
    <w:basedOn w:val="1"/>
    <w:autoRedefine/>
    <w:qFormat/>
    <w:uiPriority w:val="0"/>
    <w:pPr>
      <w:widowControl/>
      <w:spacing w:before="100" w:beforeAutospacing="1" w:after="100" w:afterAutospacing="1"/>
      <w:jc w:val="center"/>
      <w:textAlignment w:val="center"/>
    </w:pPr>
    <w:rPr>
      <w:rFonts w:hAnsi="宋体" w:cs="宋体"/>
      <w:szCs w:val="24"/>
    </w:rPr>
  </w:style>
  <w:style w:type="paragraph" w:customStyle="1" w:styleId="281">
    <w:name w:val="xl8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2">
    <w:name w:val="xl8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83">
    <w:name w:val="xl8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4">
    <w:name w:val="xl8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5">
    <w:name w:val="xl8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6">
    <w:name w:val="xl9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b/>
      <w:bCs/>
      <w:szCs w:val="24"/>
    </w:rPr>
  </w:style>
  <w:style w:type="paragraph" w:customStyle="1" w:styleId="287">
    <w:name w:val="xl9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88">
    <w:name w:val="xl9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9">
    <w:name w:val="xl9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0">
    <w:name w:val="xl9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1">
    <w:name w:val="xl9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2">
    <w:name w:val="xl9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3">
    <w:name w:val="xl9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4">
    <w:name w:val="xl9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295">
    <w:name w:val="xl9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6">
    <w:name w:val="xl10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7">
    <w:name w:val="xl10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8">
    <w:name w:val="xl10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9">
    <w:name w:val="xl10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0">
    <w:name w:val="xl10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1">
    <w:name w:val="xl10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02">
    <w:name w:val="xl10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3">
    <w:name w:val="xl10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4">
    <w:name w:val="xl10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5">
    <w:name w:val="xl10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6">
    <w:name w:val="xl11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07">
    <w:name w:val="xl11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color w:val="000000"/>
      <w:szCs w:val="24"/>
    </w:rPr>
  </w:style>
  <w:style w:type="paragraph" w:customStyle="1" w:styleId="308">
    <w:name w:val="xl11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09">
    <w:name w:val="xl11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0">
    <w:name w:val="xl11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1">
    <w:name w:val="xl11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2">
    <w:name w:val="xl11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3">
    <w:name w:val="xl11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4">
    <w:name w:val="xl11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5">
    <w:name w:val="xl11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16">
    <w:name w:val="xl12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b/>
      <w:bCs/>
      <w:szCs w:val="24"/>
    </w:rPr>
  </w:style>
  <w:style w:type="paragraph" w:customStyle="1" w:styleId="317">
    <w:name w:val="xl121"/>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hAnsi="宋体" w:cs="宋体"/>
      <w:b/>
      <w:bCs/>
      <w:szCs w:val="24"/>
    </w:rPr>
  </w:style>
  <w:style w:type="paragraph" w:customStyle="1" w:styleId="318">
    <w:name w:val="xl122"/>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9">
    <w:name w:val="xl12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20">
    <w:name w:val="xl124"/>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1">
    <w:name w:val="xl12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2">
    <w:name w:val="xl126"/>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3">
    <w:name w:val="xl127"/>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4">
    <w:name w:val="xl12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25">
    <w:name w:val="xl129"/>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6">
    <w:name w:val="xl130"/>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7">
    <w:name w:val="xl13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28">
    <w:name w:val="xl13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9">
    <w:name w:val="xl133"/>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30">
    <w:name w:val="xl13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31">
    <w:name w:val="xl135"/>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szCs w:val="24"/>
    </w:rPr>
  </w:style>
  <w:style w:type="paragraph" w:customStyle="1" w:styleId="332">
    <w:name w:val="xl136"/>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szCs w:val="24"/>
    </w:rPr>
  </w:style>
  <w:style w:type="paragraph" w:customStyle="1" w:styleId="333">
    <w:name w:val="xl137"/>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02F8A-4F22-4D3F-9F95-F2A76DC9F3C6}">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21514</Words>
  <Characters>122633</Characters>
  <Lines>1021</Lines>
  <Paragraphs>287</Paragraphs>
  <TotalTime>0</TotalTime>
  <ScaleCrop>false</ScaleCrop>
  <LinksUpToDate>false</LinksUpToDate>
  <CharactersWithSpaces>143860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2023-10-19T02:35:00Z</dcterms:created>
  <dc:creator>User</dc:creator>
  <cp:lastModifiedBy>方新</cp:lastModifiedBy>
  <cp:lastPrinted>2023-10-19T06:39:00Z</cp:lastPrinted>
  <dcterms:modified xsi:type="dcterms:W3CDTF">2024-04-16T08:38:41Z</dcterms:modified>
  <dc:title>第二章  投标人须知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BE0477497E16458A966799345498EA43_13</vt:lpwstr>
  </property>
</Properties>
</file>