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）</w:t>
      </w:r>
    </w:p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按季度支付，每季度支付年度合同款的1/4。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首次服务期限为一年，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可续签合同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续签不得超过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两次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，总服务期限不超过三年（合同一年一签）。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  <w:t>牌坊回族满族乡养老服务中心社会化运营</w:t>
            </w:r>
          </w:p>
          <w:p>
            <w:pPr>
              <w:rPr>
                <w:rFonts w:ascii="宋体" w:hAnsi="宋体" w:eastAsia="宋体"/>
                <w:sz w:val="24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所属行业：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其他未列明行业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18"/>
          <w:highlight w:val="none"/>
        </w:rPr>
        <w:t>二、项目概况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ind w:firstLine="437"/>
        <w:rPr>
          <w:rFonts w:hint="eastAsia" w:ascii="宋体" w:hAnsi="宋体" w:eastAsia="宋体" w:cs="宋体"/>
          <w:b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养老服务中心拥有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幢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叁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层住宅楼共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间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平米老年公寓，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250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平米食堂，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平米办公场所，床位200张，可容纳200位老人居住。老人宿舍为标准间，配备衣橱、床、床头柜、电视机、空调等基本生活用具。院内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水泥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路面与宿舍楼、食堂等建筑相连。另外设有健身广场、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休憩凉亭、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棋牌室等功能区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18"/>
          <w:highlight w:val="none"/>
        </w:rPr>
        <w:t>三、服务需求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1、成交供应商为入院特困供养人员及养老对象提供健康教育、健康管理、疾病诊治、康复护理、生活照料、心理关爱、临终关怀等服务。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按入院特困供养人员数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不分失能、半失能、全自理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，统一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月1450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服务费及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每人每年400元水电费补贴支付成交供应商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。成交供应商负责入院每位特困供养人员的生活费不低于500元/月(适时根据市场物价标准提高)、衣被添置40元/月（各类标准动态调整时，不得低于县民政局当年规定的标准）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以现金方式发放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入院特困供养人员零花钱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100元/月，端午节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元，中秋节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元，春节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0元。成交供应商负责承担保证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养老服务中心正常运营产生的水电费用、管理服务人员工资及职工社保费用，院内日常生活设施维护等其他费用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合法经营、自负盈亏。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3、老人生病就医，根据病人病情，成交供应商安排就诊医院，一般是肥东县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卫生院、肥东县中医院、肥东县人民医院、合肥市三甲正规医院，就医接送车辆由成交供应商支付费用，看病医保报销范围内剩下的费用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票据到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人民政府报销。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4、院内现有200张床位，成交供应商须确保有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张床位提供给采购人安排特困供养人员,成交供应商不得以任何借口拒收符合条件的特困供养人员。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5、现有固定资产登记造册，双方核对后交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供应商使用，期满后须如数交回，损坏的按价赔偿 (合理使用导致损坏的除外)。成交供应商自行添置的资产，所需费用由成交供应商自行承担。原房屋用途不得改变，未经许可不得改、扩建，承包期满后，成交供应商在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养老服务中心院内添置不动资产无偿归养老服务中心所有。服务期限内若发生政策变更、政府征迁等原因导致成交供应商无法继续在本项目运营的，成交供应商在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养老服务中心内出资添置的不动资产应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按折旧后价格的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由采购人予以补偿成交供应商。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养老服务中心投资种植的树木、花卉、草坪，在种植前，报采购人同意后登记备案，合同期满，可移植的，由成交供应商在期满前移出养老服务中心，但不能影响整体美观。不移植的，无偿归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养老服务中心所有。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outlineLvl w:val="1"/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、成交供应商仅可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以将房屋及配套户外活动场地用于老人生活、健身、娱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乐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之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用，不得对外转让、出租出借、抵押等。且不得以养老服务中心名义对外借款，为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他人提供担保等。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8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的权力和义务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配合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做好房屋使用等前期各项工作。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2、对属于成交供应商的资产进行登记造册，经双方核实，签字确认后移交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经营管理。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3、遇不可抗拒的原因或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原因中止合同的，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有义务协助妥善安置住养老人。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不得干涉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正常的自主经营活动。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将积极协助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争取政府和社会支持，协助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享受国家对公办民营养老服务机构的相关补贴政策，协助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向上级政府争取运营补助等政策性资金，享受运营过程中的相关补贴。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6、运营期间，上级政府及民政部门对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养老服务中心的奖励等资金归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人民政府所有，并用于支付入院特困供养人员个人承担的医疗费。除捐赠人指定捐赠对象为运营机构外，社会捐赠实物可由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安排分配，受益对象必须是院内特困供养人员对象。社会捐赠款物应登记造册，接收、发放要做到账目手续完备，有账可查。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提供办理各类经营证照所需房产证、租赁证明、房屋消防验收合格意见书等相关材料。消防设施验收以消防安全为主，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需配合，经费由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承担，验收合格后的日常维护由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负责，消防维保费用、消防设备更换费用由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应按约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及时向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支付其安排入住的特困供养人员的服务费用。特困供养对象合规医疗费用由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先行垫付，所有报销程序结束后剩余费用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票据由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人民政府全额承担，每月结算一次。入住特困供养对象住院期间按照相关要求进行护理，护理费由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负责承担，保险公司报销后的护理费归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所有，直接打入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提供的账号。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8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的权利和义务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负责入住特困供养人员及养老对象的日常管理服务工作，合法经营，自负盈亏。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负责支付经营期间所产生的水电费、物业费等费用。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在本项目内不得从事与养老属性无关的生产经营活动，不得利用本项目场地从事生产、销售、经营国家规定的违禁品，不得从事任何违法活动。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不得以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养老服务中心的经营权向第三方进行转包、担保、保证、抵押或其他一切损害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权益的行为，由此引起的一切责任由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自行承担。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按照国家有关规定建立健全人身财产安全、消防安全、卫生、食品、财务、档案管理等规章制度，制定服务标准和工作流程，并予以公开。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服务期内，因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原因造成的安全事故，即第三人人身财产损失的责任，由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、运营考核，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自觉接受县、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政府的监督、管理和考核，并按照主管部门要求，进行相关业务指导。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将组织民政、安全、市场管理、公安等相关部门每季度对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运营情况进行考评，每年若连续两次得分低于70分、或在上级民政、安全、消防等部门日常检查中，发现存在严重管理漏洞及重大安全隐患的、不能严格执行合同或发生安全责任事故，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有权终止合同，由此产生的一切后果和责任由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全部承担，同时承担全部经济损失。期间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添置的不动产、动产、林木花草等无偿归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牌坊回族满族乡养老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服务中心所有。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、因病等正常死亡的特困供养对象丧葬有关事宜应当按现行政策处置。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、运营期内， 因成交供应商运营不当， 造成安全事故及其他意外事件由成交供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应商负责，其一切后果由运营方自行承担。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、成交供应商在履约过程中有违反项目要求的，采购人有权单方解除合同，由此给采购人或第三人造成损失的还应赔偿由此造成的损失。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、本采购要求与成交供应商与采购人签订的合同具有同等法律效力， 合同没有约定的，适用本采购要求。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12、成交供应商须为本项目配备专职财务管理人员、消防安全人员（不少于2人），工作人员须持证上岗，一线服务人员须持健康证上岗。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360" w:lineRule="auto"/>
        <w:ind w:firstLine="474" w:firstLineChars="200"/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  <w:lang w:eastAsia="zh-CN"/>
        </w:rPr>
        <w:t>注：除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  <w:lang w:val="en-US" w:eastAsia="zh-CN"/>
        </w:rPr>
        <w:t>评分细则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  <w:lang w:eastAsia="zh-CN"/>
        </w:rPr>
        <w:t>中要求提供的相关人员证明材料作为评分条件外，供应商在响应文件中无须提供其他人员相关证明材料，由采购人在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  <w:lang w:eastAsia="zh-CN"/>
        </w:rPr>
        <w:t>进场服务前核查人员配备情况，人员须按照要求配备到位，否则采购人有权解除合同并报监管部门按规定处理。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六</w:t>
      </w:r>
      <w:r>
        <w:rPr>
          <w:rFonts w:hint="eastAsia" w:ascii="宋体" w:hAnsi="宋体" w:eastAsia="宋体"/>
          <w:b/>
          <w:sz w:val="24"/>
          <w:szCs w:val="18"/>
          <w:highlight w:val="none"/>
        </w:rPr>
        <w:t>、报价要求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本项目预算为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145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万元/年。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360" w:lineRule="auto"/>
        <w:ind w:firstLine="512" w:firstLineChars="200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</w:rPr>
        <w:t>本</w:t>
      </w:r>
      <w:r>
        <w:rPr>
          <w:rFonts w:hint="eastAsia" w:ascii="宋体" w:hAnsi="宋体" w:eastAsia="宋体" w:cs="宋体"/>
          <w:spacing w:val="7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spacing w:val="4"/>
          <w:sz w:val="24"/>
          <w:szCs w:val="24"/>
          <w:highlight w:val="none"/>
        </w:rPr>
        <w:t>目采用定价采购，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按入院特困供养人员数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不分失能、半失能、全自理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，统一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服务费及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每人每年400元水电费补贴支付成交供应商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</w:rPr>
        <w:t>供应商无需报价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。</w:t>
      </w:r>
    </w:p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七</w:t>
      </w:r>
      <w:r>
        <w:rPr>
          <w:rFonts w:hint="eastAsia" w:ascii="宋体" w:hAnsi="宋体" w:eastAsia="宋体"/>
          <w:b/>
          <w:sz w:val="24"/>
          <w:szCs w:val="18"/>
          <w:highlight w:val="none"/>
        </w:rPr>
        <w:t>、验收要求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验收时，由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组成验收小组，验收小组应严格依照采购文件、采购合同及相关验收规范进行核对、验收，形成验收结论，并出具书面验收报告。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NjZTZjNTU3NDRjNTJmZDE4NTViNDM1MjA5NGMifQ=="/>
  </w:docVars>
  <w:rsids>
    <w:rsidRoot w:val="00000000"/>
    <w:rsid w:val="669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&amp;L"/>
    <w:basedOn w:val="6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2025-03-25T02:10:12Z</dcterms:created>
  <dc:creator>liul</dc:creator>
  <cp:lastModifiedBy>刘骝</cp:lastModifiedBy>
  <dcterms:modified xsi:type="dcterms:W3CDTF">2025-03-25T02:10:49Z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E0CE88A9CB30492B8E586C5B6CA005D6_12</vt:lpwstr>
  </property>
</Properties>
</file>